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03" w:rsidRPr="002A52F6" w:rsidRDefault="00277903" w:rsidP="00277903">
      <w:pPr>
        <w:rPr>
          <w:rFonts w:ascii="Arial" w:hAnsi="Arial" w:cs="Arial"/>
          <w:b/>
          <w:sz w:val="20"/>
          <w:szCs w:val="20"/>
        </w:rPr>
      </w:pPr>
      <w:r w:rsidRPr="002A52F6">
        <w:rPr>
          <w:rFonts w:ascii="Arial" w:hAnsi="Arial" w:cs="Arial"/>
          <w:b/>
          <w:sz w:val="20"/>
          <w:szCs w:val="20"/>
        </w:rPr>
        <w:t>POSVE</w:t>
      </w:r>
      <w:r>
        <w:rPr>
          <w:rFonts w:ascii="Arial" w:hAnsi="Arial" w:cs="Arial"/>
          <w:b/>
          <w:sz w:val="20"/>
          <w:szCs w:val="20"/>
        </w:rPr>
        <w:t>TOVANJE IN USKLAJEVANJE P</w:t>
      </w:r>
      <w:r w:rsidRPr="002A52F6">
        <w:rPr>
          <w:rFonts w:ascii="Arial" w:hAnsi="Arial" w:cs="Arial"/>
          <w:b/>
          <w:sz w:val="20"/>
          <w:szCs w:val="20"/>
        </w:rPr>
        <w:t>ROGRA</w:t>
      </w:r>
      <w:r>
        <w:rPr>
          <w:rFonts w:ascii="Arial" w:hAnsi="Arial" w:cs="Arial"/>
          <w:b/>
          <w:sz w:val="20"/>
          <w:szCs w:val="20"/>
        </w:rPr>
        <w:t>MA</w:t>
      </w:r>
      <w:r w:rsidRPr="002A52F6">
        <w:rPr>
          <w:rFonts w:ascii="Arial" w:hAnsi="Arial" w:cs="Arial"/>
          <w:b/>
          <w:sz w:val="20"/>
          <w:szCs w:val="20"/>
        </w:rPr>
        <w:t xml:space="preserve"> </w:t>
      </w:r>
      <w:r>
        <w:rPr>
          <w:rFonts w:ascii="Arial" w:hAnsi="Arial" w:cs="Arial"/>
          <w:b/>
          <w:sz w:val="20"/>
          <w:szCs w:val="20"/>
        </w:rPr>
        <w:t>IUMV</w:t>
      </w:r>
      <w:r w:rsidRPr="002A52F6">
        <w:rPr>
          <w:rFonts w:ascii="Arial" w:hAnsi="Arial" w:cs="Arial"/>
          <w:b/>
          <w:sz w:val="20"/>
          <w:szCs w:val="20"/>
        </w:rPr>
        <w:t xml:space="preserve"> 2021-2027</w:t>
      </w:r>
      <w:r>
        <w:rPr>
          <w:rFonts w:ascii="Arial" w:hAnsi="Arial" w:cs="Arial"/>
          <w:b/>
          <w:sz w:val="20"/>
          <w:szCs w:val="20"/>
        </w:rPr>
        <w:t xml:space="preserve"> Z DELEŽNIKI:</w:t>
      </w:r>
      <w:r w:rsidRPr="002A52F6">
        <w:rPr>
          <w:rFonts w:ascii="Arial" w:hAnsi="Arial" w:cs="Arial"/>
          <w:b/>
          <w:sz w:val="20"/>
          <w:szCs w:val="20"/>
        </w:rPr>
        <w:t xml:space="preserve"> POBUDE, VPRAŠANJA</w:t>
      </w:r>
      <w:r>
        <w:rPr>
          <w:rFonts w:ascii="Arial" w:hAnsi="Arial" w:cs="Arial"/>
          <w:b/>
          <w:sz w:val="20"/>
          <w:szCs w:val="20"/>
        </w:rPr>
        <w:t>,</w:t>
      </w:r>
      <w:r w:rsidRPr="002A52F6">
        <w:rPr>
          <w:rFonts w:ascii="Arial" w:hAnsi="Arial" w:cs="Arial"/>
          <w:b/>
          <w:sz w:val="20"/>
          <w:szCs w:val="20"/>
        </w:rPr>
        <w:t xml:space="preserve"> ODGOVORI</w:t>
      </w:r>
    </w:p>
    <w:p w:rsidR="00277903" w:rsidRDefault="00277903" w:rsidP="00277903">
      <w:pPr>
        <w:rPr>
          <w:rFonts w:ascii="Arial" w:hAnsi="Arial" w:cs="Arial"/>
          <w:sz w:val="20"/>
          <w:szCs w:val="20"/>
        </w:rPr>
      </w:pPr>
    </w:p>
    <w:p w:rsidR="00277903" w:rsidRPr="002A52F6" w:rsidRDefault="00277903" w:rsidP="00277903">
      <w:pPr>
        <w:rPr>
          <w:rFonts w:ascii="Arial" w:hAnsi="Arial" w:cs="Arial"/>
          <w:sz w:val="20"/>
          <w:szCs w:val="20"/>
        </w:rPr>
      </w:pPr>
    </w:p>
    <w:p w:rsidR="00277903" w:rsidRPr="002A52F6" w:rsidRDefault="00277903" w:rsidP="00277903">
      <w:pPr>
        <w:jc w:val="both"/>
        <w:rPr>
          <w:rFonts w:ascii="Arial" w:hAnsi="Arial" w:cs="Arial"/>
          <w:sz w:val="20"/>
          <w:szCs w:val="20"/>
        </w:rPr>
      </w:pPr>
      <w:r>
        <w:rPr>
          <w:rFonts w:ascii="Arial" w:hAnsi="Arial" w:cs="Arial"/>
          <w:sz w:val="20"/>
          <w:szCs w:val="20"/>
        </w:rPr>
        <w:t>MNZ je 14</w:t>
      </w:r>
      <w:r w:rsidRPr="002A52F6">
        <w:rPr>
          <w:rFonts w:ascii="Arial" w:hAnsi="Arial" w:cs="Arial"/>
          <w:sz w:val="20"/>
          <w:szCs w:val="20"/>
        </w:rPr>
        <w:t>. </w:t>
      </w:r>
      <w:r>
        <w:rPr>
          <w:rFonts w:ascii="Arial" w:hAnsi="Arial" w:cs="Arial"/>
          <w:sz w:val="20"/>
          <w:szCs w:val="20"/>
        </w:rPr>
        <w:t>6</w:t>
      </w:r>
      <w:r w:rsidRPr="002A52F6">
        <w:rPr>
          <w:rFonts w:ascii="Arial" w:hAnsi="Arial" w:cs="Arial"/>
          <w:sz w:val="20"/>
          <w:szCs w:val="20"/>
        </w:rPr>
        <w:t xml:space="preserve">. 2022 deležnikom poslalo osnutek </w:t>
      </w:r>
      <w:r>
        <w:rPr>
          <w:rFonts w:ascii="Arial" w:hAnsi="Arial" w:cs="Arial"/>
          <w:sz w:val="20"/>
          <w:szCs w:val="20"/>
        </w:rPr>
        <w:t>P</w:t>
      </w:r>
      <w:r w:rsidRPr="002A52F6">
        <w:rPr>
          <w:rFonts w:ascii="Arial" w:hAnsi="Arial" w:cs="Arial"/>
          <w:sz w:val="20"/>
          <w:szCs w:val="20"/>
        </w:rPr>
        <w:t xml:space="preserve">rograma za </w:t>
      </w:r>
      <w:r>
        <w:rPr>
          <w:rFonts w:ascii="Arial" w:hAnsi="Arial" w:cs="Arial"/>
          <w:color w:val="000000"/>
          <w:sz w:val="20"/>
          <w:szCs w:val="20"/>
        </w:rPr>
        <w:t>Instrument za finančno podporo za upravljanje meja in vizumsko politiko (IUMV) ter Metodologijo za vzpostavitev okvira smotrnosti za izvajanje instrumenta IUMV,</w:t>
      </w:r>
      <w:r>
        <w:rPr>
          <w:rFonts w:ascii="Arial" w:hAnsi="Arial" w:cs="Arial"/>
          <w:sz w:val="20"/>
          <w:szCs w:val="20"/>
        </w:rPr>
        <w:t xml:space="preserve"> </w:t>
      </w:r>
      <w:r w:rsidRPr="002A52F6">
        <w:rPr>
          <w:rFonts w:ascii="Arial" w:hAnsi="Arial" w:cs="Arial"/>
          <w:sz w:val="20"/>
          <w:szCs w:val="20"/>
        </w:rPr>
        <w:t>v</w:t>
      </w:r>
      <w:r w:rsidRPr="002A52F6">
        <w:rPr>
          <w:rFonts w:ascii="Arial" w:hAnsi="Arial" w:cs="Arial"/>
          <w:color w:val="000000"/>
          <w:sz w:val="20"/>
          <w:szCs w:val="20"/>
        </w:rPr>
        <w:t xml:space="preserve"> seznanitev</w:t>
      </w:r>
      <w:r>
        <w:rPr>
          <w:rFonts w:ascii="Arial" w:hAnsi="Arial" w:cs="Arial"/>
          <w:color w:val="000000"/>
          <w:sz w:val="20"/>
          <w:szCs w:val="20"/>
        </w:rPr>
        <w:t>, potrditev</w:t>
      </w:r>
      <w:r w:rsidRPr="002A52F6">
        <w:rPr>
          <w:rFonts w:ascii="Arial" w:hAnsi="Arial" w:cs="Arial"/>
          <w:color w:val="000000"/>
          <w:sz w:val="20"/>
          <w:szCs w:val="20"/>
        </w:rPr>
        <w:t xml:space="preserve"> in </w:t>
      </w:r>
      <w:r>
        <w:rPr>
          <w:rFonts w:ascii="Arial" w:hAnsi="Arial" w:cs="Arial"/>
          <w:color w:val="000000"/>
          <w:sz w:val="20"/>
          <w:szCs w:val="20"/>
        </w:rPr>
        <w:t>morebitne komentarje</w:t>
      </w:r>
      <w:r w:rsidRPr="002A52F6">
        <w:rPr>
          <w:rFonts w:ascii="Arial" w:hAnsi="Arial" w:cs="Arial"/>
          <w:sz w:val="20"/>
          <w:szCs w:val="20"/>
        </w:rPr>
        <w:t>.</w:t>
      </w:r>
      <w:r>
        <w:rPr>
          <w:rFonts w:ascii="Arial" w:hAnsi="Arial" w:cs="Arial"/>
          <w:sz w:val="20"/>
          <w:szCs w:val="20"/>
        </w:rPr>
        <w:t xml:space="preserve"> V tabeli je podan odgovor na prejeto vprašanje oziroma pobudo. MNZ je od deležnikov prejelo potrditve programov.</w:t>
      </w:r>
    </w:p>
    <w:p w:rsidR="00277903" w:rsidRPr="002A52F6" w:rsidRDefault="00277903" w:rsidP="00277903">
      <w:pPr>
        <w:rPr>
          <w:rFonts w:ascii="Arial" w:hAnsi="Arial" w:cs="Arial"/>
          <w:sz w:val="20"/>
          <w:szCs w:val="20"/>
        </w:rPr>
      </w:pPr>
    </w:p>
    <w:p w:rsidR="00277903" w:rsidRPr="002A52F6" w:rsidRDefault="00277903" w:rsidP="00277903">
      <w:pPr>
        <w:rPr>
          <w:rFonts w:ascii="Arial" w:hAnsi="Arial" w:cs="Arial"/>
          <w:sz w:val="20"/>
          <w:szCs w:val="20"/>
        </w:rPr>
      </w:pPr>
    </w:p>
    <w:tbl>
      <w:tblPr>
        <w:tblStyle w:val="Tabelamrea"/>
        <w:tblpPr w:leftFromText="141" w:rightFromText="141" w:vertAnchor="text" w:tblpY="1"/>
        <w:tblOverlap w:val="never"/>
        <w:tblW w:w="14029" w:type="dxa"/>
        <w:tblLayout w:type="fixed"/>
        <w:tblLook w:val="04A0" w:firstRow="1" w:lastRow="0" w:firstColumn="1" w:lastColumn="0" w:noHBand="0" w:noVBand="1"/>
        <w:tblCaption w:val="Pobude/ vprašanja deležnikov in odgovori"/>
        <w:tblDescription w:val="Vezano na pripravo Programa za Instrument za finančno podporo za upravljanje meja in vizumsko politiko (IUMV), je MNZ usklajevalo program z deležniki. Na podlagi pobud in vprašanj so podani odgovori."/>
      </w:tblPr>
      <w:tblGrid>
        <w:gridCol w:w="557"/>
        <w:gridCol w:w="1139"/>
        <w:gridCol w:w="1418"/>
        <w:gridCol w:w="4394"/>
        <w:gridCol w:w="1276"/>
        <w:gridCol w:w="5245"/>
      </w:tblGrid>
      <w:tr w:rsidR="00277903" w:rsidRPr="00767D7E" w:rsidTr="008568A7">
        <w:trPr>
          <w:tblHeader/>
        </w:trPr>
        <w:tc>
          <w:tcPr>
            <w:tcW w:w="557" w:type="dxa"/>
            <w:shd w:val="clear" w:color="auto" w:fill="D9E2F3" w:themeFill="accent5" w:themeFillTint="33"/>
          </w:tcPr>
          <w:p w:rsidR="00277903" w:rsidRPr="00767D7E" w:rsidRDefault="00277903" w:rsidP="008568A7">
            <w:pPr>
              <w:rPr>
                <w:rFonts w:ascii="Arial" w:hAnsi="Arial" w:cs="Arial"/>
                <w:b/>
                <w:sz w:val="18"/>
                <w:szCs w:val="18"/>
              </w:rPr>
            </w:pPr>
            <w:r w:rsidRPr="00767D7E">
              <w:rPr>
                <w:rFonts w:ascii="Arial" w:hAnsi="Arial" w:cs="Arial"/>
                <w:b/>
                <w:sz w:val="18"/>
                <w:szCs w:val="18"/>
              </w:rPr>
              <w:t>ŠT.</w:t>
            </w:r>
          </w:p>
        </w:tc>
        <w:tc>
          <w:tcPr>
            <w:tcW w:w="1139" w:type="dxa"/>
            <w:shd w:val="clear" w:color="auto" w:fill="D9E2F3" w:themeFill="accent5" w:themeFillTint="33"/>
          </w:tcPr>
          <w:p w:rsidR="00277903" w:rsidRPr="00767D7E" w:rsidRDefault="00277903" w:rsidP="008568A7">
            <w:pPr>
              <w:rPr>
                <w:rFonts w:ascii="Arial" w:hAnsi="Arial" w:cs="Arial"/>
                <w:b/>
                <w:sz w:val="18"/>
                <w:szCs w:val="18"/>
              </w:rPr>
            </w:pPr>
            <w:r w:rsidRPr="00767D7E">
              <w:rPr>
                <w:rFonts w:ascii="Arial" w:hAnsi="Arial" w:cs="Arial"/>
                <w:b/>
                <w:sz w:val="18"/>
                <w:szCs w:val="18"/>
              </w:rPr>
              <w:t>DATUM</w:t>
            </w:r>
          </w:p>
        </w:tc>
        <w:tc>
          <w:tcPr>
            <w:tcW w:w="1418" w:type="dxa"/>
            <w:shd w:val="clear" w:color="auto" w:fill="D9E2F3" w:themeFill="accent5" w:themeFillTint="33"/>
          </w:tcPr>
          <w:p w:rsidR="00277903" w:rsidRPr="00767D7E" w:rsidRDefault="00277903" w:rsidP="008568A7">
            <w:pPr>
              <w:rPr>
                <w:rFonts w:ascii="Arial" w:hAnsi="Arial" w:cs="Arial"/>
                <w:b/>
                <w:sz w:val="18"/>
                <w:szCs w:val="18"/>
              </w:rPr>
            </w:pPr>
            <w:r w:rsidRPr="00767D7E">
              <w:rPr>
                <w:rFonts w:ascii="Arial" w:hAnsi="Arial" w:cs="Arial"/>
                <w:b/>
                <w:sz w:val="18"/>
                <w:szCs w:val="18"/>
              </w:rPr>
              <w:t>DELEŽNIK</w:t>
            </w:r>
          </w:p>
        </w:tc>
        <w:tc>
          <w:tcPr>
            <w:tcW w:w="4394" w:type="dxa"/>
            <w:shd w:val="clear" w:color="auto" w:fill="D9E2F3" w:themeFill="accent5" w:themeFillTint="33"/>
          </w:tcPr>
          <w:p w:rsidR="00277903" w:rsidRPr="00767D7E" w:rsidRDefault="00277903" w:rsidP="008568A7">
            <w:pPr>
              <w:rPr>
                <w:rFonts w:ascii="Arial" w:hAnsi="Arial" w:cs="Arial"/>
                <w:b/>
                <w:sz w:val="18"/>
                <w:szCs w:val="18"/>
              </w:rPr>
            </w:pPr>
            <w:r w:rsidRPr="00767D7E">
              <w:rPr>
                <w:rFonts w:ascii="Arial" w:hAnsi="Arial" w:cs="Arial"/>
                <w:b/>
                <w:sz w:val="18"/>
                <w:szCs w:val="18"/>
              </w:rPr>
              <w:t>POBUDA/VPRAŠANJE</w:t>
            </w:r>
          </w:p>
        </w:tc>
        <w:tc>
          <w:tcPr>
            <w:tcW w:w="1276" w:type="dxa"/>
            <w:shd w:val="clear" w:color="auto" w:fill="D9E2F3" w:themeFill="accent5" w:themeFillTint="33"/>
          </w:tcPr>
          <w:p w:rsidR="00277903" w:rsidRPr="00767D7E" w:rsidRDefault="00277903" w:rsidP="008568A7">
            <w:pPr>
              <w:rPr>
                <w:rFonts w:ascii="Arial" w:hAnsi="Arial" w:cs="Arial"/>
                <w:b/>
                <w:sz w:val="18"/>
                <w:szCs w:val="18"/>
              </w:rPr>
            </w:pPr>
            <w:r w:rsidRPr="00767D7E">
              <w:rPr>
                <w:rFonts w:ascii="Arial" w:hAnsi="Arial" w:cs="Arial"/>
                <w:b/>
                <w:sz w:val="18"/>
                <w:szCs w:val="18"/>
              </w:rPr>
              <w:t>SPECIFIČNI CILJ</w:t>
            </w:r>
          </w:p>
        </w:tc>
        <w:tc>
          <w:tcPr>
            <w:tcW w:w="5245" w:type="dxa"/>
            <w:shd w:val="clear" w:color="auto" w:fill="D9E2F3" w:themeFill="accent5" w:themeFillTint="33"/>
          </w:tcPr>
          <w:p w:rsidR="00277903" w:rsidRPr="00767D7E" w:rsidRDefault="00277903" w:rsidP="008568A7">
            <w:pPr>
              <w:rPr>
                <w:rFonts w:ascii="Arial" w:hAnsi="Arial" w:cs="Arial"/>
                <w:b/>
                <w:sz w:val="18"/>
                <w:szCs w:val="18"/>
              </w:rPr>
            </w:pPr>
            <w:r w:rsidRPr="00767D7E">
              <w:rPr>
                <w:rFonts w:ascii="Arial" w:hAnsi="Arial" w:cs="Arial"/>
                <w:b/>
                <w:sz w:val="18"/>
                <w:szCs w:val="18"/>
              </w:rPr>
              <w:t>ODGOVOR</w:t>
            </w:r>
          </w:p>
        </w:tc>
      </w:tr>
      <w:tr w:rsidR="00277903" w:rsidRPr="00767D7E" w:rsidTr="008568A7">
        <w:tc>
          <w:tcPr>
            <w:tcW w:w="557" w:type="dxa"/>
          </w:tcPr>
          <w:p w:rsidR="00277903" w:rsidRPr="00767D7E" w:rsidRDefault="00277903" w:rsidP="008568A7">
            <w:pPr>
              <w:rPr>
                <w:rFonts w:ascii="Arial" w:hAnsi="Arial" w:cs="Arial"/>
                <w:sz w:val="18"/>
                <w:szCs w:val="18"/>
              </w:rPr>
            </w:pPr>
            <w:r w:rsidRPr="00767D7E">
              <w:rPr>
                <w:rFonts w:ascii="Arial" w:hAnsi="Arial" w:cs="Arial"/>
                <w:sz w:val="18"/>
                <w:szCs w:val="18"/>
              </w:rPr>
              <w:t>1</w:t>
            </w:r>
          </w:p>
        </w:tc>
        <w:tc>
          <w:tcPr>
            <w:tcW w:w="1139" w:type="dxa"/>
          </w:tcPr>
          <w:p w:rsidR="00277903" w:rsidRPr="00767D7E" w:rsidRDefault="00277903" w:rsidP="008568A7">
            <w:pPr>
              <w:rPr>
                <w:rFonts w:ascii="Arial" w:hAnsi="Arial" w:cs="Arial"/>
                <w:sz w:val="18"/>
                <w:szCs w:val="18"/>
              </w:rPr>
            </w:pPr>
            <w:r>
              <w:rPr>
                <w:rFonts w:ascii="Arial" w:hAnsi="Arial" w:cs="Arial"/>
                <w:sz w:val="18"/>
                <w:szCs w:val="18"/>
              </w:rPr>
              <w:t>Dopis, z 21</w:t>
            </w:r>
            <w:r w:rsidRPr="00767D7E">
              <w:rPr>
                <w:rFonts w:ascii="Arial" w:hAnsi="Arial" w:cs="Arial"/>
                <w:sz w:val="18"/>
                <w:szCs w:val="18"/>
              </w:rPr>
              <w:t>.</w:t>
            </w:r>
            <w:r w:rsidR="006667C2">
              <w:rPr>
                <w:rFonts w:ascii="Arial" w:hAnsi="Arial" w:cs="Arial"/>
                <w:sz w:val="18"/>
                <w:szCs w:val="18"/>
              </w:rPr>
              <w:t> </w:t>
            </w:r>
            <w:r>
              <w:rPr>
                <w:rFonts w:ascii="Arial" w:hAnsi="Arial" w:cs="Arial"/>
                <w:sz w:val="18"/>
                <w:szCs w:val="18"/>
              </w:rPr>
              <w:t>6</w:t>
            </w:r>
            <w:r w:rsidRPr="00767D7E">
              <w:rPr>
                <w:rFonts w:ascii="Arial" w:hAnsi="Arial" w:cs="Arial"/>
                <w:sz w:val="18"/>
                <w:szCs w:val="18"/>
              </w:rPr>
              <w:t>.</w:t>
            </w:r>
            <w:r w:rsidR="006667C2">
              <w:rPr>
                <w:rFonts w:ascii="Arial" w:hAnsi="Arial" w:cs="Arial"/>
                <w:sz w:val="18"/>
                <w:szCs w:val="18"/>
              </w:rPr>
              <w:t> </w:t>
            </w:r>
            <w:r w:rsidRPr="00767D7E">
              <w:rPr>
                <w:rFonts w:ascii="Arial" w:hAnsi="Arial" w:cs="Arial"/>
                <w:sz w:val="18"/>
                <w:szCs w:val="18"/>
              </w:rPr>
              <w:t>2022</w:t>
            </w:r>
          </w:p>
        </w:tc>
        <w:tc>
          <w:tcPr>
            <w:tcW w:w="1418" w:type="dxa"/>
          </w:tcPr>
          <w:p w:rsidR="00277903" w:rsidRPr="00767D7E" w:rsidRDefault="00277903" w:rsidP="008568A7">
            <w:pPr>
              <w:rPr>
                <w:rFonts w:ascii="Arial" w:hAnsi="Arial" w:cs="Arial"/>
                <w:sz w:val="18"/>
                <w:szCs w:val="18"/>
              </w:rPr>
            </w:pPr>
            <w:r>
              <w:rPr>
                <w:rFonts w:ascii="Arial" w:hAnsi="Arial" w:cs="Arial"/>
                <w:sz w:val="18"/>
                <w:szCs w:val="18"/>
              </w:rPr>
              <w:t>Konfederacija Sindikatov javnega sektorja Slovenije</w:t>
            </w:r>
          </w:p>
        </w:tc>
        <w:tc>
          <w:tcPr>
            <w:tcW w:w="4394" w:type="dxa"/>
          </w:tcPr>
          <w:p w:rsidR="00277903" w:rsidRDefault="00277903" w:rsidP="008568A7">
            <w:pPr>
              <w:rPr>
                <w:rFonts w:ascii="Arial" w:hAnsi="Arial" w:cs="Arial"/>
                <w:sz w:val="18"/>
                <w:szCs w:val="18"/>
              </w:rPr>
            </w:pPr>
            <w:r>
              <w:rPr>
                <w:rFonts w:ascii="Arial" w:hAnsi="Arial" w:cs="Arial"/>
                <w:sz w:val="18"/>
                <w:szCs w:val="18"/>
              </w:rPr>
              <w:t>V zvezi z izvajanjem Uredbe 2017/458 evr</w:t>
            </w:r>
            <w:r w:rsidR="006667C2">
              <w:rPr>
                <w:rFonts w:ascii="Arial" w:hAnsi="Arial" w:cs="Arial"/>
                <w:sz w:val="18"/>
                <w:szCs w:val="18"/>
              </w:rPr>
              <w:t xml:space="preserve">opskega parlamenta in Sveta, </w:t>
            </w:r>
            <w:r>
              <w:rPr>
                <w:rFonts w:ascii="Arial" w:hAnsi="Arial" w:cs="Arial"/>
                <w:sz w:val="18"/>
                <w:szCs w:val="18"/>
              </w:rPr>
              <w:t>15.</w:t>
            </w:r>
            <w:r w:rsidR="006667C2">
              <w:rPr>
                <w:rFonts w:ascii="Arial" w:hAnsi="Arial" w:cs="Arial"/>
                <w:sz w:val="18"/>
                <w:szCs w:val="18"/>
              </w:rPr>
              <w:t> </w:t>
            </w:r>
            <w:r>
              <w:rPr>
                <w:rFonts w:ascii="Arial" w:hAnsi="Arial" w:cs="Arial"/>
                <w:sz w:val="18"/>
                <w:szCs w:val="18"/>
              </w:rPr>
              <w:t>3.</w:t>
            </w:r>
            <w:r w:rsidR="006667C2">
              <w:rPr>
                <w:rFonts w:ascii="Arial" w:hAnsi="Arial" w:cs="Arial"/>
                <w:sz w:val="18"/>
                <w:szCs w:val="18"/>
              </w:rPr>
              <w:t> </w:t>
            </w:r>
            <w:r>
              <w:rPr>
                <w:rFonts w:ascii="Arial" w:hAnsi="Arial" w:cs="Arial"/>
                <w:sz w:val="18"/>
                <w:szCs w:val="18"/>
              </w:rPr>
              <w:t>2017</w:t>
            </w:r>
            <w:r w:rsidR="006667C2">
              <w:rPr>
                <w:rFonts w:ascii="Arial" w:hAnsi="Arial" w:cs="Arial"/>
                <w:sz w:val="18"/>
                <w:szCs w:val="18"/>
              </w:rPr>
              <w:t>,</w:t>
            </w:r>
            <w:r>
              <w:rPr>
                <w:rFonts w:ascii="Arial" w:hAnsi="Arial" w:cs="Arial"/>
                <w:sz w:val="18"/>
                <w:szCs w:val="18"/>
              </w:rPr>
              <w:t xml:space="preserve"> opozarjamo, da je predmetna Uredba slovenskim policistkam in policistom naložila nove, dodatne naloge, ki jih pred tem niso bili dolžni izvajati.</w:t>
            </w:r>
          </w:p>
          <w:p w:rsidR="00277903" w:rsidRDefault="00277903" w:rsidP="008568A7">
            <w:pPr>
              <w:rPr>
                <w:rFonts w:ascii="Arial" w:hAnsi="Arial" w:cs="Arial"/>
                <w:sz w:val="18"/>
                <w:szCs w:val="18"/>
              </w:rPr>
            </w:pPr>
          </w:p>
          <w:p w:rsidR="00277903" w:rsidRDefault="00277903" w:rsidP="008568A7">
            <w:pPr>
              <w:rPr>
                <w:rFonts w:ascii="Arial" w:hAnsi="Arial" w:cs="Arial"/>
                <w:sz w:val="18"/>
                <w:szCs w:val="18"/>
              </w:rPr>
            </w:pPr>
            <w:r>
              <w:rPr>
                <w:rFonts w:ascii="Arial" w:hAnsi="Arial" w:cs="Arial"/>
                <w:sz w:val="18"/>
                <w:szCs w:val="18"/>
              </w:rPr>
              <w:t>Policijski sindikat Slovenije, ki je član KSJS, je v zadnjih letih večkrat pisno opozoril in zahteval, da je treba poleg reševanja kadrovske podhranjenosti Schengenskih mejnih prehodov, ki je dosegla alarmantno 70</w:t>
            </w:r>
            <w:r w:rsidR="006667C2">
              <w:rPr>
                <w:rFonts w:ascii="Arial" w:hAnsi="Arial" w:cs="Arial"/>
                <w:sz w:val="18"/>
                <w:szCs w:val="18"/>
              </w:rPr>
              <w:t> </w:t>
            </w:r>
            <w:r>
              <w:rPr>
                <w:rFonts w:ascii="Arial" w:hAnsi="Arial" w:cs="Arial"/>
                <w:sz w:val="18"/>
                <w:szCs w:val="18"/>
              </w:rPr>
              <w:t>% zasedenost, na nekaterih prehodih celo pod 50</w:t>
            </w:r>
            <w:r w:rsidR="006667C2">
              <w:rPr>
                <w:rFonts w:ascii="Arial" w:hAnsi="Arial" w:cs="Arial"/>
                <w:sz w:val="18"/>
                <w:szCs w:val="18"/>
              </w:rPr>
              <w:t> </w:t>
            </w:r>
            <w:r>
              <w:rPr>
                <w:rFonts w:ascii="Arial" w:hAnsi="Arial" w:cs="Arial"/>
                <w:sz w:val="18"/>
                <w:szCs w:val="18"/>
              </w:rPr>
              <w:t xml:space="preserve">%, novim razmeram nujno prilagoditi tudi infrastrukturo, tako na večjih mejnih prehodih, še zlasti pa na manjših prehodih (kateri so bili najprej namenjeni samo lokalnemu prebivalstvu po SOPS-u, kasneje pa je bil sproščen promet za vse državljane EU in državljane tretjih držav z izpeljano pravico družinskega člana), saj so ti za delo v </w:t>
            </w:r>
            <w:r>
              <w:rPr>
                <w:rFonts w:ascii="Arial" w:hAnsi="Arial" w:cs="Arial"/>
                <w:sz w:val="18"/>
                <w:szCs w:val="18"/>
              </w:rPr>
              <w:lastRenderedPageBreak/>
              <w:t xml:space="preserve">takšnem obsegu neprimerni za izvajanje mejne kontrole. Trenutno stanje na mejnih prehodih je v nasprotju s standardi na področju zagotavljanja varnosti in zdravja pri delu zaposlenih v skladu z določbami Zakona o varnosti in zdravju pri delu (ZVZD-1) in Direktive Sveta EU št. 89/391/EGS, z dne 12. junij 1989, o uvajanju ukrepov za spodbujanje izboljšav varnosti in zdravja delavcev pri delu (Ur. l. št. 183, z dne 29.6.1989), ki je bila spremenjena z Uredbo (ES) št. 1137/2008 Evropskega parlamenta in Sveta, </w:t>
            </w:r>
            <w:r w:rsidR="006667C2">
              <w:rPr>
                <w:rFonts w:ascii="Arial" w:hAnsi="Arial" w:cs="Arial"/>
                <w:sz w:val="18"/>
                <w:szCs w:val="18"/>
              </w:rPr>
              <w:t>22. 10. </w:t>
            </w:r>
            <w:r>
              <w:rPr>
                <w:rFonts w:ascii="Arial" w:hAnsi="Arial" w:cs="Arial"/>
                <w:sz w:val="18"/>
                <w:szCs w:val="18"/>
              </w:rPr>
              <w:t>2008, o prilagoditvi nekaterih aktov, za katere se uporablja postopek, določen v členu 251 pogodbe EU na tem področju.</w:t>
            </w:r>
          </w:p>
          <w:p w:rsidR="00277903" w:rsidRDefault="00277903" w:rsidP="008568A7">
            <w:pPr>
              <w:rPr>
                <w:rFonts w:ascii="Arial" w:hAnsi="Arial" w:cs="Arial"/>
                <w:sz w:val="18"/>
                <w:szCs w:val="18"/>
              </w:rPr>
            </w:pPr>
          </w:p>
          <w:p w:rsidR="00277903" w:rsidRDefault="00277903" w:rsidP="008568A7">
            <w:pPr>
              <w:rPr>
                <w:rFonts w:ascii="Arial" w:hAnsi="Arial" w:cs="Arial"/>
                <w:sz w:val="18"/>
                <w:szCs w:val="18"/>
              </w:rPr>
            </w:pPr>
            <w:r>
              <w:rPr>
                <w:rFonts w:ascii="Arial" w:hAnsi="Arial" w:cs="Arial"/>
                <w:sz w:val="18"/>
                <w:szCs w:val="18"/>
              </w:rPr>
              <w:t>Izvajanje mejne kontrole na mejnih prehodih, ki niso ustrezno infrastrukturno prilagojeni oziroma urejeni (nimajo kontrolnih kabin, nimajo ravnih površin in cest, dotrajana tehnična in osnovna sredstva, dotrajano sanitarno in začasno komunalno urejeno infrastrukturo, dotrajani nadstreški s pomanjkljivo osvetlitvijo, prehodi brez prostora za kontrole v drugi vrsti, brez ustreznih javnih sanitarij zaradi večurnih čakalnih dob</w:t>
            </w:r>
            <w:r w:rsidR="006667C2">
              <w:rPr>
                <w:rFonts w:ascii="Arial" w:hAnsi="Arial" w:cs="Arial"/>
                <w:sz w:val="18"/>
                <w:szCs w:val="18"/>
              </w:rPr>
              <w:t xml:space="preserve"> </w:t>
            </w:r>
            <w:bookmarkStart w:id="0" w:name="_GoBack"/>
            <w:bookmarkEnd w:id="0"/>
            <w:r>
              <w:rPr>
                <w:rFonts w:ascii="Arial" w:hAnsi="Arial" w:cs="Arial"/>
                <w:sz w:val="18"/>
                <w:szCs w:val="18"/>
              </w:rPr>
              <w:t>…) je postalo nevzdržno in zdravju nevarno za policiste, ki izvajajo mejno kontrolo, kot tudi za drugo osebje, ki se zadržuje na teh mejnih prehodih in v območju mejnih prehodov.</w:t>
            </w:r>
          </w:p>
          <w:p w:rsidR="00277903" w:rsidRDefault="00277903" w:rsidP="008568A7">
            <w:pPr>
              <w:rPr>
                <w:rFonts w:ascii="Arial" w:hAnsi="Arial" w:cs="Arial"/>
                <w:sz w:val="18"/>
                <w:szCs w:val="18"/>
              </w:rPr>
            </w:pPr>
          </w:p>
          <w:p w:rsidR="00277903" w:rsidRPr="00767D7E" w:rsidRDefault="00277903" w:rsidP="008568A7">
            <w:pPr>
              <w:rPr>
                <w:rFonts w:ascii="Arial" w:hAnsi="Arial" w:cs="Arial"/>
                <w:sz w:val="18"/>
                <w:szCs w:val="18"/>
              </w:rPr>
            </w:pPr>
            <w:r>
              <w:rPr>
                <w:rFonts w:ascii="Arial" w:hAnsi="Arial" w:cs="Arial"/>
                <w:sz w:val="18"/>
                <w:szCs w:val="18"/>
              </w:rPr>
              <w:lastRenderedPageBreak/>
              <w:t>V KSJS sicer pozdravljamo vsebino programa, vendar menimo, da mora program vsebovati tudi izrecno navedbo, da je potrebna nujna prilagoditev infrastrukture v smeri ustrezne prilagoditve vseh mejnih prehodov novim pogojem, ki jih določa Uredba 2017/458. V prvi vrsti je potrebno postaviti kabine za mejno kontrolo in prehode ustrezno infrastrukturno urediti. Nujna je tudi obnova vseh manjših mejnih prehodov na zunanji Schengenski meji, saj razmere ne zagotavljajo niti minimalnih standardov varnega ter zdravju neškodljivega dela policistov.</w:t>
            </w:r>
          </w:p>
        </w:tc>
        <w:tc>
          <w:tcPr>
            <w:tcW w:w="1276" w:type="dxa"/>
          </w:tcPr>
          <w:p w:rsidR="00277903" w:rsidRPr="00767D7E" w:rsidRDefault="00277903" w:rsidP="008568A7">
            <w:pPr>
              <w:rPr>
                <w:rFonts w:ascii="Arial" w:hAnsi="Arial" w:cs="Arial"/>
                <w:sz w:val="18"/>
                <w:szCs w:val="18"/>
              </w:rPr>
            </w:pPr>
            <w:r>
              <w:rPr>
                <w:rFonts w:ascii="Arial" w:hAnsi="Arial" w:cs="Arial"/>
                <w:sz w:val="18"/>
                <w:szCs w:val="18"/>
              </w:rPr>
              <w:lastRenderedPageBreak/>
              <w:t>splošno</w:t>
            </w:r>
          </w:p>
        </w:tc>
        <w:tc>
          <w:tcPr>
            <w:tcW w:w="5245" w:type="dxa"/>
          </w:tcPr>
          <w:p w:rsidR="00277903" w:rsidRPr="00277903" w:rsidRDefault="00277903" w:rsidP="008568A7">
            <w:pPr>
              <w:rPr>
                <w:rFonts w:ascii="Arial" w:hAnsi="Arial" w:cs="Arial"/>
                <w:sz w:val="18"/>
                <w:szCs w:val="18"/>
              </w:rPr>
            </w:pPr>
            <w:r w:rsidRPr="00277903">
              <w:rPr>
                <w:rFonts w:ascii="Arial" w:hAnsi="Arial" w:cs="Arial"/>
                <w:sz w:val="18"/>
                <w:szCs w:val="18"/>
              </w:rPr>
              <w:t>Pri pripravi programa za IUMV je bila v črpanje sredstev EU vključena tudi infrastruktura na mejnih prehodih na zunanji schengenski meji (meja s Hrvaško) ter je bila ta obravnavana kot kompleksen del programa. Glede na to, da gre za začasno zunanjo mejo, so po</w:t>
            </w:r>
            <w:r w:rsidRPr="00277903">
              <w:t xml:space="preserve"> </w:t>
            </w:r>
            <w:r w:rsidRPr="00277903">
              <w:rPr>
                <w:rFonts w:ascii="Arial" w:hAnsi="Arial" w:cs="Arial"/>
                <w:sz w:val="18"/>
                <w:szCs w:val="18"/>
              </w:rPr>
              <w:t>Uredbi 2021/1148/EU o vzpostavitvi Instrumenta za finančno podporo za upravljanje meja in vizumsko politiko v okviru Sklada za integrirano upravljanje meja upravičene le začasne rešitve, ki so bile tudi sprejete ter upoštevane pri pripravi programa.</w:t>
            </w:r>
          </w:p>
          <w:p w:rsidR="00277903" w:rsidRPr="00277903" w:rsidRDefault="00277903" w:rsidP="008568A7">
            <w:pPr>
              <w:rPr>
                <w:rFonts w:ascii="Arial" w:hAnsi="Arial" w:cs="Arial"/>
                <w:sz w:val="18"/>
                <w:szCs w:val="18"/>
              </w:rPr>
            </w:pPr>
          </w:p>
          <w:p w:rsidR="00277903" w:rsidRPr="00277903" w:rsidRDefault="00277903" w:rsidP="008568A7">
            <w:pPr>
              <w:rPr>
                <w:rFonts w:ascii="Arial" w:hAnsi="Arial" w:cs="Arial"/>
                <w:sz w:val="18"/>
                <w:szCs w:val="18"/>
              </w:rPr>
            </w:pPr>
            <w:r w:rsidRPr="00277903">
              <w:rPr>
                <w:rFonts w:ascii="Arial" w:hAnsi="Arial" w:cs="Arial"/>
                <w:sz w:val="18"/>
                <w:szCs w:val="18"/>
              </w:rPr>
              <w:t>Zaradi stalne uporabe objektov in migrantskega vala, je potrebna prenova objektov, nadgradnja in zamenjava opreme in njena prilagoditev. Notranja meja EU SI-HR je začasna zunanja schengenska meja in zahteva vzdrževanje in osnovne investicije za ohranjanje schengenskih standardov nadzora, zato financiranje temeljite prenove objektov iz IUMV ni upravičeno.</w:t>
            </w:r>
          </w:p>
          <w:p w:rsidR="00277903" w:rsidRPr="00277903" w:rsidRDefault="00277903" w:rsidP="008568A7">
            <w:pPr>
              <w:rPr>
                <w:rFonts w:ascii="Arial" w:hAnsi="Arial" w:cs="Arial"/>
                <w:sz w:val="18"/>
                <w:szCs w:val="18"/>
              </w:rPr>
            </w:pPr>
          </w:p>
          <w:p w:rsidR="00277903" w:rsidRPr="00277903" w:rsidRDefault="00277903" w:rsidP="008568A7">
            <w:pPr>
              <w:rPr>
                <w:rFonts w:ascii="Arial" w:hAnsi="Arial" w:cs="Arial"/>
                <w:sz w:val="18"/>
                <w:szCs w:val="18"/>
              </w:rPr>
            </w:pPr>
            <w:r w:rsidRPr="00277903">
              <w:rPr>
                <w:rFonts w:ascii="Arial" w:hAnsi="Arial" w:cs="Arial"/>
                <w:sz w:val="18"/>
                <w:szCs w:val="18"/>
              </w:rPr>
              <w:lastRenderedPageBreak/>
              <w:t>Po vstopu Hrvaške v schengensko območje bo upravičenost aktivnosti programa, povezane z mejo s Hrvaško, ponovno ocenjena. Iz sredstev IUMV bo upravičeno financiranje aktivnosti in opreme, povezane z delom na zračnih in morskih mejah ter izvajanjem potrebnih tehničnih in operativnih ukrepov mejnega nadzora znotraj schengenskega območja. Ostale aktivnosti iz IUMV ne bodo upravičene ter bo potrebno morebitne potrebne prilagoditve infrastrukture zagotoviti iz drugi virov.</w:t>
            </w:r>
          </w:p>
        </w:tc>
      </w:tr>
    </w:tbl>
    <w:p w:rsidR="00277903" w:rsidRDefault="00277903" w:rsidP="00277903"/>
    <w:p w:rsidR="00277903" w:rsidRDefault="00277903" w:rsidP="00277903"/>
    <w:p w:rsidR="00277903" w:rsidRDefault="00277903" w:rsidP="00277903"/>
    <w:p w:rsidR="00277903" w:rsidRDefault="00277903" w:rsidP="00277903"/>
    <w:p w:rsidR="00277903" w:rsidRDefault="00277903" w:rsidP="00277903"/>
    <w:p w:rsidR="00CF6D8F" w:rsidRPr="00277903" w:rsidRDefault="00CF6D8F" w:rsidP="00277903"/>
    <w:sectPr w:rsidR="00CF6D8F" w:rsidRPr="00277903" w:rsidSect="000F2C5A">
      <w:headerReference w:type="even" r:id="rId7"/>
      <w:headerReference w:type="default" r:id="rId8"/>
      <w:footerReference w:type="even" r:id="rId9"/>
      <w:footerReference w:type="default" r:id="rId10"/>
      <w:headerReference w:type="first" r:id="rId11"/>
      <w:footerReference w:type="first" r:id="rId12"/>
      <w:pgSz w:w="16840" w:h="11900" w:orient="landscape" w:code="9"/>
      <w:pgMar w:top="1701" w:right="1701" w:bottom="1701" w:left="1134" w:header="2243"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5A" w:rsidRDefault="000F2C5A">
      <w:r>
        <w:separator/>
      </w:r>
    </w:p>
  </w:endnote>
  <w:endnote w:type="continuationSeparator" w:id="0">
    <w:p w:rsidR="000F2C5A" w:rsidRDefault="000F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A8" w:rsidRDefault="005F74A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28748"/>
      <w:docPartObj>
        <w:docPartGallery w:val="Page Numbers (Bottom of Page)"/>
        <w:docPartUnique/>
      </w:docPartObj>
    </w:sdtPr>
    <w:sdtEndPr/>
    <w:sdtContent>
      <w:p w:rsidR="005B3178" w:rsidRDefault="005B3178">
        <w:pPr>
          <w:pStyle w:val="Noga"/>
          <w:jc w:val="center"/>
        </w:pPr>
        <w:r>
          <w:fldChar w:fldCharType="begin"/>
        </w:r>
        <w:r>
          <w:instrText>PAGE   \* MERGEFORMAT</w:instrText>
        </w:r>
        <w:r>
          <w:fldChar w:fldCharType="separate"/>
        </w:r>
        <w:r w:rsidR="006667C2">
          <w:rPr>
            <w:noProof/>
          </w:rPr>
          <w:t>2</w:t>
        </w:r>
        <w:r>
          <w:fldChar w:fldCharType="end"/>
        </w:r>
      </w:p>
    </w:sdtContent>
  </w:sdt>
  <w:p w:rsidR="005B3178" w:rsidRDefault="005B317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919306"/>
      <w:docPartObj>
        <w:docPartGallery w:val="Page Numbers (Bottom of Page)"/>
        <w:docPartUnique/>
      </w:docPartObj>
    </w:sdtPr>
    <w:sdtEndPr/>
    <w:sdtContent>
      <w:p w:rsidR="005B3178" w:rsidRDefault="005B3178">
        <w:pPr>
          <w:pStyle w:val="Noga"/>
          <w:jc w:val="center"/>
        </w:pPr>
        <w:r>
          <w:fldChar w:fldCharType="begin"/>
        </w:r>
        <w:r>
          <w:instrText>PAGE   \* MERGEFORMAT</w:instrText>
        </w:r>
        <w:r>
          <w:fldChar w:fldCharType="separate"/>
        </w:r>
        <w:r w:rsidR="006667C2">
          <w:rPr>
            <w:noProof/>
          </w:rPr>
          <w:t>1</w:t>
        </w:r>
        <w:r>
          <w:fldChar w:fldCharType="end"/>
        </w:r>
      </w:p>
    </w:sdtContent>
  </w:sdt>
  <w:p w:rsidR="005B3178" w:rsidRDefault="005B31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5A" w:rsidRDefault="000F2C5A">
      <w:r>
        <w:separator/>
      </w:r>
    </w:p>
  </w:footnote>
  <w:footnote w:type="continuationSeparator" w:id="0">
    <w:p w:rsidR="000F2C5A" w:rsidRDefault="000F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A8" w:rsidRDefault="005F74A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A8" w:rsidRDefault="005F74A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5F74A8" w:rsidP="000F2C5A">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2066D00" wp14:editId="3B9067C0">
          <wp:simplePos x="0" y="0"/>
          <wp:positionH relativeFrom="page">
            <wp:posOffset>7658100</wp:posOffset>
          </wp:positionH>
          <wp:positionV relativeFrom="page">
            <wp:posOffset>495300</wp:posOffset>
          </wp:positionV>
          <wp:extent cx="1826260" cy="532765"/>
          <wp:effectExtent l="0" t="0" r="2540" b="635"/>
          <wp:wrapNone/>
          <wp:docPr id="1" name="Slika 1" descr="Sekretariat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kretariat + logoEU SEU barvni H"/>
                  <pic:cNvPicPr>
                    <a:picLocks noChangeAspect="1" noChangeArrowheads="1"/>
                  </pic:cNvPicPr>
                </pic:nvPicPr>
                <pic:blipFill rotWithShape="1">
                  <a:blip r:embed="rId1">
                    <a:extLst>
                      <a:ext uri="{28A0092B-C50C-407E-A947-70E740481C1C}">
                        <a14:useLocalDpi xmlns:a14="http://schemas.microsoft.com/office/drawing/2010/main" val="0"/>
                      </a:ext>
                    </a:extLst>
                  </a:blip>
                  <a:srcRect l="69162"/>
                  <a:stretch/>
                </pic:blipFill>
                <pic:spPr bwMode="auto">
                  <a:xfrm>
                    <a:off x="0" y="0"/>
                    <a:ext cx="1826260" cy="53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1" locked="0" layoutInCell="1" allowOverlap="1">
          <wp:simplePos x="0" y="0"/>
          <wp:positionH relativeFrom="page">
            <wp:posOffset>609600</wp:posOffset>
          </wp:positionH>
          <wp:positionV relativeFrom="page">
            <wp:posOffset>647700</wp:posOffset>
          </wp:positionV>
          <wp:extent cx="2876550" cy="581025"/>
          <wp:effectExtent l="0" t="0" r="0" b="0"/>
          <wp:wrapNone/>
          <wp:docPr id="31" name="Slika 31" descr="Sekretariat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kretariat + logoEU SEU barvni H"/>
                  <pic:cNvPicPr>
                    <a:picLocks noChangeAspect="1" noChangeArrowheads="1"/>
                  </pic:cNvPicPr>
                </pic:nvPicPr>
                <pic:blipFill rotWithShape="1">
                  <a:blip r:embed="rId1">
                    <a:extLst>
                      <a:ext uri="{28A0092B-C50C-407E-A947-70E740481C1C}">
                        <a14:useLocalDpi xmlns:a14="http://schemas.microsoft.com/office/drawing/2010/main" val="0"/>
                      </a:ext>
                    </a:extLst>
                  </a:blip>
                  <a:srcRect r="51426" b="-9058"/>
                  <a:stretch/>
                </pic:blipFill>
                <pic:spPr bwMode="auto">
                  <a:xfrm>
                    <a:off x="0" y="0"/>
                    <a:ext cx="28765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0A6" w:rsidRPr="008F3500">
      <w:rPr>
        <w:rFonts w:cs="Arial"/>
        <w:sz w:val="16"/>
      </w:rPr>
      <w:tab/>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5A"/>
    <w:rsid w:val="00005681"/>
    <w:rsid w:val="00023A88"/>
    <w:rsid w:val="00077FFE"/>
    <w:rsid w:val="000A7238"/>
    <w:rsid w:val="000E0F7D"/>
    <w:rsid w:val="000E5C4F"/>
    <w:rsid w:val="000F2C5A"/>
    <w:rsid w:val="00116711"/>
    <w:rsid w:val="0012174D"/>
    <w:rsid w:val="001357B2"/>
    <w:rsid w:val="0017478F"/>
    <w:rsid w:val="00202A77"/>
    <w:rsid w:val="00271CE5"/>
    <w:rsid w:val="00277903"/>
    <w:rsid w:val="00282020"/>
    <w:rsid w:val="00291D3E"/>
    <w:rsid w:val="002A2B69"/>
    <w:rsid w:val="002A5BB6"/>
    <w:rsid w:val="002C5EFE"/>
    <w:rsid w:val="00315FAE"/>
    <w:rsid w:val="003544C4"/>
    <w:rsid w:val="003636BF"/>
    <w:rsid w:val="00371442"/>
    <w:rsid w:val="003845B4"/>
    <w:rsid w:val="00387B1A"/>
    <w:rsid w:val="003B6467"/>
    <w:rsid w:val="003C5EE5"/>
    <w:rsid w:val="003C7FC3"/>
    <w:rsid w:val="003E1C74"/>
    <w:rsid w:val="00444DFF"/>
    <w:rsid w:val="004657EE"/>
    <w:rsid w:val="004B4CDE"/>
    <w:rsid w:val="00526246"/>
    <w:rsid w:val="00536D1B"/>
    <w:rsid w:val="00567106"/>
    <w:rsid w:val="005B3178"/>
    <w:rsid w:val="005E1D3C"/>
    <w:rsid w:val="005E310F"/>
    <w:rsid w:val="005F74A8"/>
    <w:rsid w:val="00625AE6"/>
    <w:rsid w:val="00632253"/>
    <w:rsid w:val="00642714"/>
    <w:rsid w:val="006455CE"/>
    <w:rsid w:val="00655841"/>
    <w:rsid w:val="006667C2"/>
    <w:rsid w:val="00733017"/>
    <w:rsid w:val="00756F61"/>
    <w:rsid w:val="00783310"/>
    <w:rsid w:val="007A4A6D"/>
    <w:rsid w:val="007B245E"/>
    <w:rsid w:val="007D1BCF"/>
    <w:rsid w:val="007D75CF"/>
    <w:rsid w:val="007E0440"/>
    <w:rsid w:val="007E6DC5"/>
    <w:rsid w:val="0088043C"/>
    <w:rsid w:val="00882CE4"/>
    <w:rsid w:val="00884889"/>
    <w:rsid w:val="008906C9"/>
    <w:rsid w:val="008C5738"/>
    <w:rsid w:val="008D04F0"/>
    <w:rsid w:val="008F3500"/>
    <w:rsid w:val="00924E3C"/>
    <w:rsid w:val="009612BB"/>
    <w:rsid w:val="009A0F8F"/>
    <w:rsid w:val="009C740A"/>
    <w:rsid w:val="009D08CF"/>
    <w:rsid w:val="00A125C5"/>
    <w:rsid w:val="00A2451C"/>
    <w:rsid w:val="00A31F57"/>
    <w:rsid w:val="00A65EE7"/>
    <w:rsid w:val="00A70133"/>
    <w:rsid w:val="00A770A6"/>
    <w:rsid w:val="00A813B1"/>
    <w:rsid w:val="00AB36C4"/>
    <w:rsid w:val="00AB5AEE"/>
    <w:rsid w:val="00AC32B2"/>
    <w:rsid w:val="00AF5B1A"/>
    <w:rsid w:val="00B17141"/>
    <w:rsid w:val="00B2116B"/>
    <w:rsid w:val="00B31575"/>
    <w:rsid w:val="00B8547D"/>
    <w:rsid w:val="00BA1CC4"/>
    <w:rsid w:val="00C250D5"/>
    <w:rsid w:val="00C35666"/>
    <w:rsid w:val="00C372C9"/>
    <w:rsid w:val="00C56575"/>
    <w:rsid w:val="00C81189"/>
    <w:rsid w:val="00C92898"/>
    <w:rsid w:val="00CA4340"/>
    <w:rsid w:val="00CE1874"/>
    <w:rsid w:val="00CE44F4"/>
    <w:rsid w:val="00CE5238"/>
    <w:rsid w:val="00CE68D5"/>
    <w:rsid w:val="00CE7514"/>
    <w:rsid w:val="00CF6D8F"/>
    <w:rsid w:val="00D002C9"/>
    <w:rsid w:val="00D01BF8"/>
    <w:rsid w:val="00D248DE"/>
    <w:rsid w:val="00D8542D"/>
    <w:rsid w:val="00DC163D"/>
    <w:rsid w:val="00DC3EEE"/>
    <w:rsid w:val="00DC6A71"/>
    <w:rsid w:val="00E0357D"/>
    <w:rsid w:val="00E2240A"/>
    <w:rsid w:val="00E24244"/>
    <w:rsid w:val="00E57753"/>
    <w:rsid w:val="00E81AC6"/>
    <w:rsid w:val="00E93AE8"/>
    <w:rsid w:val="00E973DE"/>
    <w:rsid w:val="00EB0E5C"/>
    <w:rsid w:val="00ED1C3E"/>
    <w:rsid w:val="00F240BB"/>
    <w:rsid w:val="00F57FED"/>
    <w:rsid w:val="00F81753"/>
    <w:rsid w:val="00F864FF"/>
    <w:rsid w:val="00FA7F7F"/>
    <w:rsid w:val="00FD7F7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56AC4810"/>
  <w15:chartTrackingRefBased/>
  <w15:docId w15:val="{AA278885-ACD3-45E4-AABF-D4D126B6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2C5A"/>
    <w:pPr>
      <w:spacing w:line="260" w:lineRule="exact"/>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customStyle="1" w:styleId="Tabelamrea1">
    <w:name w:val="Tabela – mreža1"/>
    <w:basedOn w:val="Navadnatabela"/>
    <w:next w:val="Tabelamrea"/>
    <w:uiPriority w:val="39"/>
    <w:rsid w:val="000F2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5B31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661</Words>
  <Characters>3931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Grgasović</dc:creator>
  <cp:keywords/>
  <cp:lastModifiedBy>Maja Krušič</cp:lastModifiedBy>
  <cp:revision>5</cp:revision>
  <cp:lastPrinted>2010-12-16T12:15:00Z</cp:lastPrinted>
  <dcterms:created xsi:type="dcterms:W3CDTF">2022-12-23T09:36:00Z</dcterms:created>
  <dcterms:modified xsi:type="dcterms:W3CDTF">2022-12-29T11:08:00Z</dcterms:modified>
</cp:coreProperties>
</file>