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9F" w:rsidRPr="00442768" w:rsidRDefault="00DC229F" w:rsidP="00DC229F">
      <w:pPr>
        <w:spacing w:before="0" w:after="0" w:line="276" w:lineRule="auto"/>
        <w:jc w:val="left"/>
        <w:rPr>
          <w:rFonts w:asciiTheme="minorHAnsi" w:eastAsia="Calibri" w:hAnsiTheme="minorHAnsi" w:cstheme="minorHAnsi"/>
          <w:b/>
          <w:sz w:val="20"/>
          <w:szCs w:val="20"/>
        </w:rPr>
      </w:pPr>
      <w:r w:rsidRPr="00442768">
        <w:rPr>
          <w:rFonts w:asciiTheme="minorHAnsi" w:eastAsia="Calibri" w:hAnsiTheme="minorHAnsi" w:cstheme="minorHAnsi"/>
          <w:b/>
          <w:sz w:val="20"/>
          <w:szCs w:val="20"/>
        </w:rPr>
        <w:t>Priloga 2: Dodatno pojasnilo glede upoštevanja načela onesnaževalec plača</w:t>
      </w:r>
    </w:p>
    <w:p w:rsidR="00DC229F" w:rsidRPr="00442768" w:rsidRDefault="00DC229F" w:rsidP="00DC229F">
      <w:pPr>
        <w:spacing w:before="0" w:after="0" w:line="276" w:lineRule="auto"/>
        <w:jc w:val="left"/>
        <w:rPr>
          <w:rFonts w:asciiTheme="minorHAnsi" w:eastAsia="Calibri" w:hAnsiTheme="minorHAnsi" w:cstheme="minorHAnsi"/>
          <w:sz w:val="20"/>
          <w:szCs w:val="20"/>
        </w:rPr>
      </w:pPr>
    </w:p>
    <w:p w:rsidR="00DC229F" w:rsidRPr="00442768" w:rsidRDefault="00DC229F" w:rsidP="00DC229F">
      <w:pPr>
        <w:spacing w:before="0" w:after="0" w:line="276" w:lineRule="auto"/>
        <w:rPr>
          <w:rFonts w:ascii="Calibri" w:eastAsia="Calibri" w:hAnsi="Calibri" w:cs="Calibri"/>
          <w:sz w:val="22"/>
          <w:szCs w:val="22"/>
        </w:rPr>
      </w:pPr>
      <w:r w:rsidRPr="00442768">
        <w:rPr>
          <w:rFonts w:ascii="Calibri" w:eastAsia="Calibri" w:hAnsi="Calibri" w:cs="Calibri"/>
          <w:sz w:val="22"/>
          <w:szCs w:val="22"/>
        </w:rPr>
        <w:t xml:space="preserve">Načelo “onesnaževalec plača” je opredeljeno v Direktivi 2004/35/ES Evropskega parlamenta in sveta z dne 21. aprila 2004 o okoljski odgovornosti v zvezi s preprečevanjem in sanacijo okoljske škode (v nadaljevanju: direktiva). Slednja določa, da mora povzročitelj okoljske škode (onesnaževalec) povrniti povzročeno okoljsko škodo. Prav tako pa določa, da se direktiva ne uporablja v primerih škode na okolju, ki je nastala pred 30. 4. 2007, ali je nastala zaradi dejavnosti, ki je potekala z dovoljenjem, izdanim v skladu z državnimi in evropskimi predpisi. </w:t>
      </w:r>
    </w:p>
    <w:p w:rsidR="00DC229F" w:rsidRPr="00442768" w:rsidRDefault="00DC229F" w:rsidP="00DC229F">
      <w:pPr>
        <w:rPr>
          <w:rFonts w:asciiTheme="minorHAnsi" w:hAnsiTheme="minorHAnsi" w:cstheme="minorHAnsi"/>
          <w:b/>
          <w:sz w:val="22"/>
          <w:szCs w:val="22"/>
        </w:rPr>
      </w:pPr>
      <w:r w:rsidRPr="00442768">
        <w:rPr>
          <w:rFonts w:asciiTheme="minorHAnsi" w:hAnsiTheme="minorHAnsi" w:cstheme="minorHAnsi"/>
          <w:b/>
          <w:sz w:val="22"/>
          <w:szCs w:val="22"/>
        </w:rPr>
        <w:t>Izvedena dela v zvezi z ekološko in prostorsko sanacijo</w:t>
      </w:r>
    </w:p>
    <w:p w:rsidR="00DC229F" w:rsidRPr="00442768" w:rsidRDefault="00DC229F" w:rsidP="00DC229F">
      <w:pPr>
        <w:rPr>
          <w:rFonts w:asciiTheme="minorHAnsi" w:hAnsiTheme="minorHAnsi" w:cstheme="minorHAnsi"/>
          <w:sz w:val="22"/>
          <w:szCs w:val="22"/>
        </w:rPr>
      </w:pPr>
      <w:r w:rsidRPr="00442768">
        <w:rPr>
          <w:rFonts w:asciiTheme="minorHAnsi" w:hAnsiTheme="minorHAnsi" w:cstheme="minorHAnsi"/>
          <w:sz w:val="22"/>
          <w:szCs w:val="22"/>
        </w:rPr>
        <w:t xml:space="preserve">Zapiranje Rudnika Trbovlje-Hrastnik (RTH) se je pričelo v letu 2000. Odkopavanje tega dela zasavskega bazena je potekalo od vzhoda proti zahodu, temu so v grobem sledila tudi zapiranja jam in ekološko-prostorska sanacija površine. </w:t>
      </w:r>
    </w:p>
    <w:p w:rsidR="00DC229F" w:rsidRPr="00442768" w:rsidRDefault="00DC229F" w:rsidP="00DC229F">
      <w:pPr>
        <w:rPr>
          <w:rFonts w:asciiTheme="minorHAnsi" w:hAnsiTheme="minorHAnsi" w:cstheme="minorHAnsi"/>
          <w:sz w:val="22"/>
          <w:szCs w:val="22"/>
        </w:rPr>
      </w:pPr>
      <w:r w:rsidRPr="00442768">
        <w:rPr>
          <w:rFonts w:asciiTheme="minorHAnsi" w:hAnsiTheme="minorHAnsi" w:cstheme="minorHAnsi"/>
          <w:sz w:val="22"/>
          <w:szCs w:val="22"/>
        </w:rPr>
        <w:t>Dela v zvezi z ekološko in prostorsko sanacijo, izvedena v času zapiranja RTH, so skladna s »Programom postopnega zapiranja RTH I. faza (2000-2004)«, »Programom postopnega zapiranja Rudnika Trbovlje-Hrastnik II. faza (2005-2009)« in »Rudarskim projektom št. 2600 Zapiranje Rudnika Trbovlje Hrastnik - I. faza – projekt za opustitev izkoriščanja«. Do sedaj so bila izvedena sanacijska dela, stabilizacija plazovitih območij ter dela, povezana z urejanjem prekinjene in poškodovane infrastrukture.</w:t>
      </w:r>
    </w:p>
    <w:p w:rsidR="00DC229F" w:rsidRPr="00442768" w:rsidRDefault="00DC229F" w:rsidP="00DC229F">
      <w:pPr>
        <w:rPr>
          <w:rFonts w:asciiTheme="minorHAnsi" w:hAnsiTheme="minorHAnsi" w:cstheme="minorHAnsi"/>
          <w:sz w:val="22"/>
          <w:szCs w:val="22"/>
        </w:rPr>
      </w:pPr>
      <w:r w:rsidRPr="00442768">
        <w:rPr>
          <w:rFonts w:asciiTheme="minorHAnsi" w:hAnsiTheme="minorHAnsi" w:cstheme="minorHAnsi"/>
          <w:sz w:val="22"/>
          <w:szCs w:val="22"/>
        </w:rPr>
        <w:t>Izvedene vrste ukrepov ekološke in prostorske sanacija površine Rudnika Trbovlje-Hrastnik:</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dela v zvezi s sanacijo zaradi rudarjenja degradirane površine na lokacijah, kjer razmere (umiritev posedanja oz. vplivov rudarjenja) to dopuščajo;</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izvedbo dokončnih sanacijskih del na območjih, kjer razmere to dopuščajo;</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primarno sanacijo in vzdrževanje površine nad zaprtimi odkopi, kjer so vplivi odkopavanja tolikšni, da dokončna sanacija še ni mogoča (izravnavanje površin za zagotavljanje gravitacijskega odtekanja površinskih in meteornih vod, urejanje začasnih odvodnjavanjih sistemov;</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zagotovitev pogojev za stabilnost brežin po zaprtju posameznih odkopnih polj jam Trbovlje in Hrastnik;</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odstranitev nekaterih obratnih in infrastrukturnih objektov, ki se zaradi svoje namembnosti ne morejo vključiti v nove dejavnosti;</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pripravo saniranih površin za nove dejavnosti na območjih, kjer razmere to dopuščajo;</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monitoring stabilnostnih razmer posedanja površine in odvodnjevalnega sistema na celotni površini RTH;</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izgradnja nadomestne infrastrukture, ki je bila v preteklosti uničena zaradi rudarjenja;</w:t>
      </w:r>
    </w:p>
    <w:p w:rsidR="00DC229F" w:rsidRPr="00442768" w:rsidRDefault="00DC229F" w:rsidP="00DC229F">
      <w:pPr>
        <w:pStyle w:val="Odstavekseznama"/>
        <w:numPr>
          <w:ilvl w:val="0"/>
          <w:numId w:val="1"/>
        </w:numPr>
        <w:spacing w:after="160" w:line="259" w:lineRule="auto"/>
        <w:ind w:left="426"/>
        <w:jc w:val="both"/>
        <w:rPr>
          <w:rFonts w:cstheme="minorHAnsi"/>
        </w:rPr>
      </w:pPr>
      <w:r w:rsidRPr="00442768">
        <w:rPr>
          <w:rFonts w:cstheme="minorHAnsi"/>
        </w:rPr>
        <w:t xml:space="preserve"> izgradnja nekatere komunalne infrastrukture, katere ni bilo možno zgraditi v preteklosti zaradi intenzivnega posedanja površine.</w:t>
      </w:r>
    </w:p>
    <w:p w:rsidR="00DC229F" w:rsidRPr="00442768" w:rsidRDefault="00DC229F" w:rsidP="00DC229F">
      <w:pPr>
        <w:rPr>
          <w:rFonts w:asciiTheme="minorHAnsi" w:hAnsiTheme="minorHAnsi" w:cstheme="minorHAnsi"/>
          <w:b/>
          <w:sz w:val="22"/>
          <w:szCs w:val="22"/>
        </w:rPr>
      </w:pPr>
      <w:r w:rsidRPr="00442768">
        <w:rPr>
          <w:rFonts w:asciiTheme="minorHAnsi" w:hAnsiTheme="minorHAnsi" w:cstheme="minorHAnsi"/>
          <w:b/>
          <w:sz w:val="22"/>
          <w:szCs w:val="22"/>
        </w:rPr>
        <w:t>Površinski kop Lakonca</w:t>
      </w:r>
    </w:p>
    <w:p w:rsidR="00DC229F" w:rsidRPr="00442768" w:rsidRDefault="00DC229F" w:rsidP="00DC229F">
      <w:pPr>
        <w:spacing w:before="0" w:after="0" w:line="276" w:lineRule="auto"/>
        <w:rPr>
          <w:rFonts w:ascii="Calibri" w:eastAsia="Calibri" w:hAnsi="Calibri" w:cs="Calibri"/>
          <w:sz w:val="22"/>
          <w:szCs w:val="22"/>
        </w:rPr>
      </w:pPr>
      <w:r w:rsidRPr="00442768">
        <w:rPr>
          <w:rFonts w:ascii="Calibri" w:eastAsia="Calibri" w:hAnsi="Calibri" w:cs="Calibri"/>
          <w:sz w:val="22"/>
          <w:szCs w:val="22"/>
        </w:rPr>
        <w:t xml:space="preserve">Rudnik Trbovlje je leta 1983 pričel z odkopom rjavega premoga na površinskem kopu Lakonca. Odkop je v skladu z rudarsko koncesijo trajal do leta 1995, nato se je pričela sanacija in sprememba namembnosti območja Lakonce. Trenutno je območje v prostorskih načrtih Občine Trbovlje opredeljeno kot obrtno - industrijska cona, ki bo namenjeno izgradnji večjih industrijskih obratov. Iz navedenega izhaja, da so bili negativni vplivi na okolje povzročeni zaradi pridobivanja premoga, to je dejavnosti, ki se je izvajala v skladu z državnim dovoljenjem (rudarsko koncesijo). Ta dejavnost se je tudi zaključila  pred 30. 4. 2007, zato načelo “onesnaževalec plača” v primeru nadaljnje sanacije območja Lakonce ni relevantno. Posledično torej Republika Slovenija od pravnega naslednika Rudnika </w:t>
      </w:r>
      <w:r w:rsidRPr="00442768">
        <w:rPr>
          <w:rFonts w:ascii="Calibri" w:eastAsia="Calibri" w:hAnsi="Calibri" w:cs="Calibri"/>
          <w:sz w:val="22"/>
          <w:szCs w:val="22"/>
        </w:rPr>
        <w:lastRenderedPageBreak/>
        <w:t xml:space="preserve">Trbovlje, to je družbe RTH d.o.o. - v likvidaciji, na podlagi direktive nima pravne podlage zahtevati nadaljnje sanacije območja Lakonce. </w:t>
      </w:r>
    </w:p>
    <w:p w:rsidR="00DC229F" w:rsidRPr="00442768" w:rsidRDefault="00DC229F" w:rsidP="00DC229F">
      <w:pPr>
        <w:spacing w:before="240"/>
        <w:rPr>
          <w:rFonts w:asciiTheme="minorHAnsi" w:hAnsiTheme="minorHAnsi" w:cstheme="minorHAnsi"/>
          <w:sz w:val="20"/>
          <w:szCs w:val="20"/>
        </w:rPr>
      </w:pPr>
    </w:p>
    <w:p w:rsidR="00555208" w:rsidRDefault="00DC229F">
      <w:bookmarkStart w:id="0" w:name="_GoBack"/>
      <w:bookmarkEnd w:id="0"/>
    </w:p>
    <w:sectPr w:rsidR="00555208" w:rsidSect="00A20251">
      <w:pgSz w:w="11906" w:h="16838" w:code="9"/>
      <w:pgMar w:top="1417" w:right="1417" w:bottom="1702"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27306"/>
    <w:multiLevelType w:val="hybridMultilevel"/>
    <w:tmpl w:val="A2A40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9F"/>
    <w:rsid w:val="001970AB"/>
    <w:rsid w:val="003B2FA7"/>
    <w:rsid w:val="00744541"/>
    <w:rsid w:val="00924221"/>
    <w:rsid w:val="009F465B"/>
    <w:rsid w:val="00AB2AA0"/>
    <w:rsid w:val="00DC229F"/>
    <w:rsid w:val="00EF3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C6EDDFD-823D-4607-B65E-6F91BA13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29F"/>
    <w:pPr>
      <w:spacing w:before="120" w:after="120" w:line="24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DC229F"/>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DC229F"/>
    <w:pPr>
      <w:spacing w:before="0"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SVRK</cp:lastModifiedBy>
  <cp:revision>1</cp:revision>
  <dcterms:created xsi:type="dcterms:W3CDTF">2022-10-18T08:42:00Z</dcterms:created>
  <dcterms:modified xsi:type="dcterms:W3CDTF">2022-10-18T08:45:00Z</dcterms:modified>
</cp:coreProperties>
</file>