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E4" w:rsidRPr="00622CE4" w:rsidRDefault="00935574" w:rsidP="00622CE4">
      <w:pPr>
        <w:tabs>
          <w:tab w:val="left" w:pos="3686"/>
        </w:tabs>
        <w:spacing w:after="0" w:line="276" w:lineRule="auto"/>
        <w:jc w:val="both"/>
        <w:rPr>
          <w:rFonts w:ascii="Calibri" w:eastAsia="Calibri" w:hAnsi="Calibri" w:cs="Calibri"/>
          <w:b/>
          <w:smallCaps/>
          <w:lang w:eastAsia="sl-SI"/>
        </w:rPr>
      </w:pPr>
      <w:bookmarkStart w:id="0" w:name="_GoBack"/>
      <w:bookmarkEnd w:id="0"/>
      <w:r>
        <w:rPr>
          <w:rFonts w:ascii="Calibri" w:eastAsia="Calibri" w:hAnsi="Calibri" w:cs="Calibri"/>
          <w:b/>
          <w:smallCaps/>
          <w:lang w:eastAsia="sl-SI"/>
        </w:rPr>
        <w:t>ONPP ZASAVJE</w:t>
      </w:r>
    </w:p>
    <w:p w:rsidR="00622CE4" w:rsidRPr="00622CE4" w:rsidRDefault="00622CE4" w:rsidP="00622CE4">
      <w:pPr>
        <w:spacing w:after="0" w:line="276" w:lineRule="auto"/>
        <w:jc w:val="both"/>
        <w:rPr>
          <w:rFonts w:ascii="Calibri" w:eastAsia="Calibri" w:hAnsi="Calibri" w:cs="Calibri"/>
          <w:b/>
          <w:smallCaps/>
          <w:lang w:eastAsia="sl-SI"/>
        </w:rPr>
      </w:pPr>
    </w:p>
    <w:p w:rsidR="00622CE4" w:rsidRPr="00622CE4" w:rsidRDefault="00622CE4" w:rsidP="00622CE4">
      <w:pPr>
        <w:numPr>
          <w:ilvl w:val="0"/>
          <w:numId w:val="2"/>
        </w:numPr>
        <w:spacing w:before="120" w:after="0" w:line="276" w:lineRule="auto"/>
        <w:jc w:val="both"/>
        <w:rPr>
          <w:rFonts w:ascii="Calibri" w:eastAsia="Calibri" w:hAnsi="Calibri" w:cs="Calibri"/>
          <w:b/>
          <w:lang w:eastAsia="sl-SI"/>
        </w:rPr>
      </w:pPr>
      <w:r w:rsidRPr="00622CE4">
        <w:rPr>
          <w:rFonts w:ascii="Calibri" w:eastAsia="Calibri" w:hAnsi="Calibri" w:cs="Calibri"/>
          <w:b/>
          <w:lang w:eastAsia="sl-SI"/>
        </w:rPr>
        <w:t>Osnutek procesa prehoda in opredelitev najbolj prizadetih območij v državi članici</w:t>
      </w:r>
    </w:p>
    <w:sdt>
      <w:sdtPr>
        <w:rPr>
          <w:rFonts w:ascii="Times New Roman" w:eastAsia="Times New Roman" w:hAnsi="Times New Roman" w:cs="Times New Roman"/>
          <w:sz w:val="24"/>
          <w:szCs w:val="24"/>
          <w:lang w:eastAsia="sl-SI"/>
        </w:rPr>
        <w:tag w:val="goog_rdk_2"/>
        <w:id w:val="-1547526301"/>
      </w:sdtPr>
      <w:sdtEndPr/>
      <w:sdtContent>
        <w:p w:rsidR="00622CE4" w:rsidRPr="00622CE4" w:rsidRDefault="006210A0" w:rsidP="00622CE4">
          <w:pPr>
            <w:pBdr>
              <w:top w:val="nil"/>
              <w:left w:val="nil"/>
              <w:bottom w:val="nil"/>
              <w:right w:val="nil"/>
              <w:between w:val="nil"/>
            </w:pBdr>
            <w:spacing w:after="0" w:line="276" w:lineRule="auto"/>
            <w:rPr>
              <w:rFonts w:ascii="Calibri" w:eastAsia="Calibri" w:hAnsi="Calibri" w:cs="Calibri"/>
              <w:color w:val="000000"/>
              <w:lang w:eastAsia="sl-SI"/>
            </w:rPr>
          </w:pPr>
          <w:sdt>
            <w:sdtPr>
              <w:rPr>
                <w:rFonts w:ascii="Times New Roman" w:eastAsia="Times New Roman" w:hAnsi="Times New Roman" w:cs="Times New Roman"/>
                <w:sz w:val="24"/>
                <w:szCs w:val="24"/>
                <w:lang w:eastAsia="sl-SI"/>
              </w:rPr>
              <w:tag w:val="goog_rdk_1"/>
              <w:id w:val="-198866231"/>
              <w:showingPlcHdr/>
            </w:sdtPr>
            <w:sdtEndPr/>
            <w:sdtContent>
              <w:r w:rsidR="00622CE4">
                <w:rPr>
                  <w:rFonts w:ascii="Times New Roman" w:eastAsia="Times New Roman" w:hAnsi="Times New Roman" w:cs="Times New Roman"/>
                  <w:sz w:val="24"/>
                  <w:szCs w:val="24"/>
                  <w:lang w:eastAsia="sl-SI"/>
                </w:rPr>
                <w:t xml:space="preserve">     </w:t>
              </w:r>
            </w:sdtContent>
          </w:sdt>
        </w:p>
      </w:sdtContent>
    </w:sdt>
    <w:p w:rsidR="00622CE4" w:rsidRPr="00622CE4" w:rsidRDefault="00622CE4" w:rsidP="00622CE4">
      <w:pPr>
        <w:pStyle w:val="Odstavekseznama"/>
        <w:numPr>
          <w:ilvl w:val="1"/>
          <w:numId w:val="4"/>
        </w:numPr>
        <w:pBdr>
          <w:top w:val="nil"/>
          <w:left w:val="nil"/>
          <w:bottom w:val="nil"/>
          <w:right w:val="nil"/>
          <w:between w:val="nil"/>
        </w:pBdr>
        <w:spacing w:after="0" w:line="276" w:lineRule="auto"/>
        <w:jc w:val="both"/>
        <w:rPr>
          <w:rFonts w:ascii="Calibri" w:eastAsia="Calibri" w:hAnsi="Calibri" w:cs="Calibri"/>
          <w:b/>
          <w:color w:val="000000"/>
          <w:lang w:eastAsia="sl-SI"/>
        </w:rPr>
      </w:pPr>
      <w:r w:rsidRPr="00622CE4">
        <w:rPr>
          <w:rFonts w:ascii="Calibri" w:eastAsia="Calibri" w:hAnsi="Calibri" w:cs="Calibri"/>
          <w:b/>
          <w:color w:val="000000"/>
          <w:lang w:eastAsia="sl-SI"/>
        </w:rPr>
        <w:t xml:space="preserve">Osnutek pričakovanega prehoda na podnebno nevtralno gospodarstvo v skladu s cilji nacionalnih energetskih in podnebnih načrtov ter drugimi obstoječimi načrti za prehod s časovnico za prenehanje ali zmanjševanje dejavnosti, kot so rudarjenje premoga in lignita ali proizvodnja, ki uporablja električno energijo iz premoga. </w:t>
      </w:r>
    </w:p>
    <w:p w:rsidR="00622CE4" w:rsidRPr="00622CE4" w:rsidRDefault="00622CE4" w:rsidP="00622CE4">
      <w:pPr>
        <w:pStyle w:val="Odstavekseznama"/>
        <w:pBdr>
          <w:top w:val="nil"/>
          <w:left w:val="nil"/>
          <w:bottom w:val="nil"/>
          <w:right w:val="nil"/>
          <w:between w:val="nil"/>
        </w:pBdr>
        <w:spacing w:after="0" w:line="276" w:lineRule="auto"/>
        <w:ind w:left="390"/>
        <w:jc w:val="both"/>
        <w:rPr>
          <w:rFonts w:ascii="Calibri" w:eastAsia="Calibri" w:hAnsi="Calibri" w:cs="Calibri"/>
          <w:color w:val="000000"/>
          <w:lang w:eastAsia="sl-SI"/>
        </w:rPr>
      </w:pPr>
    </w:p>
    <w:p w:rsidR="00622CE4" w:rsidRPr="00622CE4" w:rsidRDefault="00622CE4" w:rsidP="00622CE4">
      <w:pPr>
        <w:pBdr>
          <w:top w:val="nil"/>
          <w:left w:val="nil"/>
          <w:bottom w:val="nil"/>
          <w:right w:val="nil"/>
          <w:between w:val="nil"/>
        </w:pBdr>
        <w:spacing w:after="0" w:line="276" w:lineRule="auto"/>
        <w:jc w:val="both"/>
        <w:rPr>
          <w:rFonts w:ascii="Calibri" w:eastAsia="Calibri" w:hAnsi="Calibri" w:cs="Calibri"/>
          <w:color w:val="000000"/>
          <w:lang w:eastAsia="sl-SI"/>
        </w:rPr>
      </w:pPr>
      <w:r w:rsidRPr="00622CE4">
        <w:rPr>
          <w:rFonts w:ascii="Calibri" w:eastAsia="Calibri" w:hAnsi="Calibri" w:cs="Calibri"/>
          <w:color w:val="000000"/>
          <w:lang w:eastAsia="sl-SI"/>
        </w:rPr>
        <w:t xml:space="preserve">Mejnike prehoda na podnebno nevtralno gospodarstvo postavljata </w:t>
      </w:r>
      <w:r w:rsidR="00557C72">
        <w:rPr>
          <w:rFonts w:ascii="Calibri" w:eastAsia="Calibri" w:hAnsi="Calibri" w:cs="Calibri"/>
          <w:b/>
          <w:color w:val="000000"/>
          <w:lang w:eastAsia="sl-SI"/>
        </w:rPr>
        <w:t>NEPN in NSPP (za vse kratice glej Priloga 7: Seznam kratic)</w:t>
      </w:r>
      <w:r w:rsidRPr="00622CE4">
        <w:rPr>
          <w:rFonts w:ascii="Calibri" w:eastAsia="Calibri" w:hAnsi="Calibri" w:cs="Calibri"/>
          <w:color w:val="000000"/>
          <w:lang w:eastAsia="sl-SI"/>
        </w:rPr>
        <w:t xml:space="preserve">. </w:t>
      </w:r>
      <w:r w:rsidRPr="00622CE4">
        <w:rPr>
          <w:rFonts w:ascii="Calibri" w:eastAsia="Calibri" w:hAnsi="Calibri" w:cs="Calibri"/>
          <w:b/>
          <w:color w:val="000000"/>
          <w:lang w:eastAsia="sl-SI"/>
        </w:rPr>
        <w:t>NEPN</w:t>
      </w:r>
      <w:r w:rsidRPr="00622CE4">
        <w:rPr>
          <w:rFonts w:ascii="Calibri" w:eastAsia="Calibri" w:hAnsi="Calibri" w:cs="Calibri"/>
          <w:color w:val="000000"/>
          <w:lang w:eastAsia="sl-SI"/>
        </w:rPr>
        <w:t xml:space="preserve"> določa, </w:t>
      </w:r>
    </w:p>
    <w:p w:rsidR="00557C72" w:rsidRPr="00557C72" w:rsidRDefault="00557C72" w:rsidP="00557C72">
      <w:pPr>
        <w:numPr>
          <w:ilvl w:val="0"/>
          <w:numId w:val="1"/>
        </w:numPr>
        <w:pBdr>
          <w:top w:val="nil"/>
          <w:left w:val="nil"/>
          <w:bottom w:val="nil"/>
          <w:right w:val="nil"/>
          <w:between w:val="nil"/>
        </w:pBdr>
        <w:spacing w:before="120" w:after="0" w:line="276" w:lineRule="auto"/>
        <w:jc w:val="both"/>
        <w:rPr>
          <w:rFonts w:ascii="Calibri" w:eastAsia="Calibri" w:hAnsi="Calibri" w:cs="Calibri"/>
          <w:color w:val="000000"/>
          <w:lang w:eastAsia="sl-SI"/>
        </w:rPr>
      </w:pPr>
      <w:r w:rsidRPr="00557C72">
        <w:rPr>
          <w:rFonts w:ascii="Calibri" w:eastAsia="Calibri" w:hAnsi="Calibri" w:cs="Calibri"/>
          <w:color w:val="000000"/>
          <w:lang w:eastAsia="sl-SI"/>
        </w:rPr>
        <w:t>da se zmanjša raba fosilnih virov energije in odvisnost od njihovega uvoza s postopnim opuščanjem rabe premoga: vsaj za 30 % do leta 2030 (NEPN, str. 21 in 31);</w:t>
      </w:r>
    </w:p>
    <w:p w:rsidR="00557C72" w:rsidRDefault="00557C72" w:rsidP="00557C72">
      <w:pPr>
        <w:numPr>
          <w:ilvl w:val="0"/>
          <w:numId w:val="1"/>
        </w:numPr>
        <w:pBdr>
          <w:top w:val="nil"/>
          <w:left w:val="nil"/>
          <w:bottom w:val="nil"/>
          <w:right w:val="nil"/>
          <w:between w:val="nil"/>
        </w:pBdr>
        <w:spacing w:before="120" w:after="0" w:line="276" w:lineRule="auto"/>
        <w:jc w:val="both"/>
        <w:rPr>
          <w:rFonts w:ascii="Calibri" w:eastAsia="Calibri" w:hAnsi="Calibri" w:cs="Calibri"/>
          <w:color w:val="000000"/>
          <w:lang w:eastAsia="sl-SI"/>
        </w:rPr>
      </w:pPr>
      <w:r w:rsidRPr="00557C72">
        <w:rPr>
          <w:rFonts w:ascii="Calibri" w:eastAsia="Calibri" w:hAnsi="Calibri" w:cs="Calibri"/>
          <w:color w:val="000000"/>
          <w:lang w:eastAsia="sl-SI"/>
        </w:rPr>
        <w:t>●do bo do leta 2030 z zaustavitvijo bloka 5 v TEŠ zmanjšan izkop lignita in opuščena raba uvoženega premoga za proizvodnjo električne energije v Energetiki Ljubljana, enota Termoelektrarna toplarna Ljubljana (NEPN, str. 57);</w:t>
      </w:r>
    </w:p>
    <w:p w:rsidR="00622CE4" w:rsidRPr="00622CE4" w:rsidRDefault="00557C72" w:rsidP="00622CE4">
      <w:pPr>
        <w:numPr>
          <w:ilvl w:val="0"/>
          <w:numId w:val="1"/>
        </w:numPr>
        <w:pBdr>
          <w:top w:val="nil"/>
          <w:left w:val="nil"/>
          <w:bottom w:val="nil"/>
          <w:right w:val="nil"/>
          <w:between w:val="nil"/>
        </w:pBdr>
        <w:spacing w:before="120" w:after="0" w:line="276" w:lineRule="auto"/>
        <w:jc w:val="both"/>
        <w:rPr>
          <w:rFonts w:ascii="Calibri" w:eastAsia="Calibri" w:hAnsi="Calibri" w:cs="Calibri"/>
          <w:color w:val="000000"/>
          <w:lang w:eastAsia="sl-SI"/>
        </w:rPr>
      </w:pPr>
      <w:r w:rsidRPr="00557C72">
        <w:rPr>
          <w:rFonts w:ascii="Calibri" w:eastAsia="Calibri" w:hAnsi="Calibri" w:cs="Calibri"/>
          <w:color w:val="000000"/>
          <w:lang w:eastAsia="sl-SI"/>
        </w:rPr>
        <w:t>da bo natančni časovni načrt opuščanja rabe premoga v Sloveniji določen s strategijo za opuščanje rabe premoga in prestrukturiranje premogovnih regij v skladu z načelom pravičnega prehod (NEPN, str. 31 in 34),</w:t>
      </w:r>
      <w:r w:rsidR="00622CE4" w:rsidRPr="00622CE4">
        <w:rPr>
          <w:rFonts w:ascii="Calibri" w:eastAsia="Calibri" w:hAnsi="Calibri" w:cs="Calibri"/>
          <w:color w:val="000000"/>
          <w:lang w:eastAsia="sl-SI"/>
        </w:rPr>
        <w:t xml:space="preserve">da v deležu primarnih virov za proizvodnjo električne energije zmanjšani rabi fosilnih goriv (35 % v letu 2017 na 25 % v letu 2030), ob upoštevanju izboljšane energetske učinkovitosti (35 % do 2030), sledi večja raba </w:t>
      </w:r>
      <w:r>
        <w:rPr>
          <w:rFonts w:ascii="Calibri" w:eastAsia="Calibri" w:hAnsi="Calibri" w:cs="Calibri"/>
          <w:color w:val="000000"/>
          <w:lang w:eastAsia="sl-SI"/>
        </w:rPr>
        <w:t>OVE</w:t>
      </w:r>
      <w:r w:rsidR="00622CE4" w:rsidRPr="00622CE4">
        <w:rPr>
          <w:rFonts w:ascii="Calibri" w:eastAsia="Calibri" w:hAnsi="Calibri" w:cs="Calibri"/>
          <w:color w:val="000000"/>
          <w:lang w:eastAsia="sl-SI"/>
        </w:rPr>
        <w:t xml:space="preserve"> (13 % v 2017 na 23 % v 2030), ohranja pa se delež jedrske energije;</w:t>
      </w:r>
    </w:p>
    <w:p w:rsidR="00622CE4" w:rsidRPr="00622CE4" w:rsidRDefault="00622CE4" w:rsidP="00622CE4">
      <w:pPr>
        <w:numPr>
          <w:ilvl w:val="0"/>
          <w:numId w:val="1"/>
        </w:numPr>
        <w:pBdr>
          <w:top w:val="nil"/>
          <w:left w:val="nil"/>
          <w:bottom w:val="nil"/>
          <w:right w:val="nil"/>
          <w:between w:val="nil"/>
        </w:pBdr>
        <w:spacing w:before="120" w:after="0" w:line="276" w:lineRule="auto"/>
        <w:jc w:val="both"/>
        <w:rPr>
          <w:rFonts w:ascii="Calibri" w:eastAsia="Calibri" w:hAnsi="Calibri" w:cs="Calibri"/>
          <w:color w:val="000000"/>
          <w:lang w:eastAsia="sl-SI"/>
        </w:rPr>
      </w:pPr>
      <w:r w:rsidRPr="00622CE4">
        <w:rPr>
          <w:rFonts w:ascii="Calibri" w:eastAsia="Calibri" w:hAnsi="Calibri" w:cs="Calibri"/>
          <w:color w:val="000000"/>
          <w:lang w:eastAsia="sl-SI"/>
        </w:rPr>
        <w:t xml:space="preserve">da se bo do 2030 proizvodnja električne energije z uporabo domačega premoga – lignita še ohranila. </w:t>
      </w:r>
    </w:p>
    <w:p w:rsidR="00622CE4" w:rsidRDefault="00622CE4" w:rsidP="00622CE4">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NSPP, ki je bila pripravljena na podlagi NEPN, je bila sprejeta januarja 2022 in določa letnico izstopa iz rabe premoga (najkasneje 2033) in ob tem opredeljuje skupno vizijo pravičnega prehoda. Pri pripravi strategije smo že sledili predlogu Evropske komisije (COM/2020/562 z dne 17.9.2020) in odločitvi Evropskega sveta z dne 11. 12.2020, da EU do leta 2030 doseže najmanj 55% znižanje emisij TGP v primerjavi z 1990. Strategija je tako med tremi opredeljenimi scenariji sprejela najbolj ambicioznega in predvidela izstop iz premoga, torej prenehanje obratovanja šestega bloka TEŠ in pridobivanja lignita v regiji SAŠA, najpozneje v letu 2033. NSPP in NEPN tudi določata, da bo ta cilj opuščanja rabe premoga v Sloveniji ustrezno upoštevan v posodobitvi NEPN leta 2024.</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Odločitev glede prenehanja rabe premoga tako pomeni, da bo najkasneje do leta 2033 uporaba premoga v Sloveniji popolnoma opuščena, kar velja tako za izkopavanje kot za njegovo uporabo. Dinamika opuščanja rabe premoga bo natančneje določa v programih opuščanja in zapiranja, ki bodo usklajeni z deležniki.</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Proces izstopa iz premoga se bo do leta 2033 izvrševal na dva načina, s postopnim zapiranjem proizvodnih kapacitet, ki koristijo premog in nameščanjem proizvodnih kapacitet iz OVE.</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lastRenderedPageBreak/>
        <w:t>Leta 2019 je lastnik Termoelektrarne-toplarne Ljubljana, javno podjetje Energetika Ljubljana, sklenil dogovor o nakupu dveh plinsko-parnih turbin električne moči 2x54 MW, v okviru projekta izgradnje plinsko-parne elektrarne. Slednja je trenutno v izgradnji in bo predvidoma končana v letu 2022. Dve plinsko-parni enoti bosta nadomestili dve od treh premogovnih enot in tako zmanjšali porabo premoga za 70%. Tretji premogovni blok bo ostal, ker je bil v letu 2008 predelan na sokurjenje premoga in lesnih sekancev. Slednji bodo predvidoma nadomestili premog po njegovi ukinitvi. V TEŠ je predvidena zaustavitev 345 MW bloka 5 do konca leta 2030 in 600 MW bloka 6 do konca leta 2033. Bloka 5 in 6 sta objekta nacionalnega pomena in nadomeščanje njunih kapacitet bo izvedeno na nacionalnem nivoju, regija SAŠA pa bo v okviru pravičnega prehoda prispevala pomemben delež.</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Sorazmerno z zapiranjem proizvodnih kapacitet, ki temeljijo na premogu, se bo zmanjševal tudi izkop premoga v PV, ki bo po letu 2033 popolnoma ustavljen. Od kar je proizvodnja premoga v PV odvisna predvsem od blokov 5 in 6 TEŠ, se le ta giblje okrog 3,5 mio ton letno (vir: PV). Z zaprtjem bloka 5 leta 2030 bo proizvodnja padla za približno tretjino in po letu 2033 popolnoma prenehala, ko bo predvidoma zaustavljen tudi blok 6. Na regionalnem nivoju SAŠA bo s preobrazbo daljinskega ogrevanja poraba premoga ukinjena, ko bo predvidoma po 2028 izvedena druga faza preobrazbe s prehodom na 100% OVE.</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Izpad proizvodnje zaradi prenehanja uporabe premoga bo nadomeščen z generacijo iz OVE, predvsem sončne energije, kjer ima Slovenija največji potencial. Konec leta 2021 je bilo v Sloveniji nameščenih 18.322 sončnih elektrarn v skupni moči 466,2 MW. V omenjenem letu je bilo nameščenih 6.307 elektrarn v skupni moči 95 MW. Velika večina novo postavljenih elektrarn je samooskrbnih. Podatki o instalirani moči novih sončnih elektrarn temeljijo na bazi Registra deklaracij za proizvodne naprave električne energije iz OVE (AGEN) in seznama elektrarn v samooskrbi (SODO).</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Predvideno letno zmanjšanje TGP kot posledica zaprtja obeh blokov znaša približno 740 – 800 kt ekvivalenta CO2 za blok 5 in 2.300 – 2.700 kt za blok 6.</w:t>
      </w:r>
    </w:p>
    <w:p w:rsidR="0096423A" w:rsidRPr="0096423A" w:rsidRDefault="0096423A" w:rsidP="0096423A">
      <w:pPr>
        <w:shd w:val="clear" w:color="auto" w:fill="FFFFFF" w:themeFill="background1"/>
        <w:spacing w:after="0" w:line="276" w:lineRule="auto"/>
        <w:jc w:val="both"/>
        <w:rPr>
          <w:rFonts w:cstheme="minorHAnsi"/>
        </w:rPr>
      </w:pPr>
    </w:p>
    <w:p w:rsidR="0096423A" w:rsidRPr="0096423A" w:rsidRDefault="0096423A" w:rsidP="0096423A">
      <w:pPr>
        <w:shd w:val="clear" w:color="auto" w:fill="FFFFFF" w:themeFill="background1"/>
        <w:spacing w:after="0" w:line="276" w:lineRule="auto"/>
        <w:jc w:val="both"/>
        <w:rPr>
          <w:rFonts w:cstheme="minorHAnsi"/>
        </w:rPr>
      </w:pPr>
      <w:r w:rsidRPr="0096423A">
        <w:rPr>
          <w:rFonts w:cstheme="minorHAnsi"/>
        </w:rPr>
        <w:tab/>
      </w:r>
      <w:r w:rsidRPr="0096423A">
        <w:rPr>
          <w:rFonts w:cstheme="minorHAnsi"/>
        </w:rPr>
        <w:tab/>
      </w:r>
      <w:r w:rsidRPr="0096423A">
        <w:rPr>
          <w:rFonts w:cstheme="minorHAnsi"/>
        </w:rPr>
        <w:tab/>
        <w:t>Ocenjene prihodnje emisije TGP v ekvivalentu CO</w:t>
      </w:r>
      <w:r w:rsidRPr="0096423A">
        <w:rPr>
          <w:rFonts w:cstheme="minorHAnsi"/>
          <w:vertAlign w:val="subscript"/>
        </w:rPr>
        <w:t>2</w:t>
      </w:r>
      <w:r w:rsidRPr="0096423A">
        <w:rPr>
          <w:rFonts w:cstheme="minorHAnsi"/>
        </w:rPr>
        <w:t xml:space="preserve"> v TEŠ </w:t>
      </w:r>
    </w:p>
    <w:tbl>
      <w:tblPr>
        <w:tblStyle w:val="Tabelamrea"/>
        <w:tblW w:w="7258" w:type="dxa"/>
        <w:tblInd w:w="963" w:type="dxa"/>
        <w:tblLayout w:type="fixed"/>
        <w:tblLook w:val="04A0" w:firstRow="1" w:lastRow="0" w:firstColumn="1" w:lastColumn="0" w:noHBand="0" w:noVBand="1"/>
      </w:tblPr>
      <w:tblGrid>
        <w:gridCol w:w="1304"/>
        <w:gridCol w:w="1134"/>
        <w:gridCol w:w="1134"/>
        <w:gridCol w:w="1134"/>
        <w:gridCol w:w="992"/>
        <w:gridCol w:w="1560"/>
      </w:tblGrid>
      <w:tr w:rsidR="0096423A" w:rsidRPr="0096423A" w:rsidTr="000C0B2F">
        <w:tc>
          <w:tcPr>
            <w:tcW w:w="130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CO2 kt/leto</w:t>
            </w:r>
          </w:p>
        </w:tc>
        <w:tc>
          <w:tcPr>
            <w:tcW w:w="113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2022</w:t>
            </w:r>
          </w:p>
        </w:tc>
        <w:tc>
          <w:tcPr>
            <w:tcW w:w="113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2027</w:t>
            </w:r>
          </w:p>
        </w:tc>
        <w:tc>
          <w:tcPr>
            <w:tcW w:w="113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2030</w:t>
            </w:r>
          </w:p>
        </w:tc>
        <w:tc>
          <w:tcPr>
            <w:tcW w:w="992"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2033</w:t>
            </w:r>
          </w:p>
        </w:tc>
        <w:tc>
          <w:tcPr>
            <w:tcW w:w="1560"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2034</w:t>
            </w:r>
          </w:p>
        </w:tc>
      </w:tr>
      <w:tr w:rsidR="0096423A" w:rsidRPr="0096423A" w:rsidTr="000C0B2F">
        <w:tc>
          <w:tcPr>
            <w:tcW w:w="130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Blok 5</w:t>
            </w:r>
          </w:p>
        </w:tc>
        <w:tc>
          <w:tcPr>
            <w:tcW w:w="113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783,5</w:t>
            </w:r>
          </w:p>
        </w:tc>
        <w:tc>
          <w:tcPr>
            <w:tcW w:w="113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746,0</w:t>
            </w:r>
          </w:p>
        </w:tc>
        <w:tc>
          <w:tcPr>
            <w:tcW w:w="113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0</w:t>
            </w:r>
          </w:p>
        </w:tc>
        <w:tc>
          <w:tcPr>
            <w:tcW w:w="992"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0</w:t>
            </w:r>
          </w:p>
        </w:tc>
        <w:tc>
          <w:tcPr>
            <w:tcW w:w="1560"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0,0</w:t>
            </w:r>
          </w:p>
        </w:tc>
      </w:tr>
      <w:tr w:rsidR="0096423A" w:rsidRPr="0096423A" w:rsidTr="000C0B2F">
        <w:tc>
          <w:tcPr>
            <w:tcW w:w="130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Blok 6</w:t>
            </w:r>
          </w:p>
        </w:tc>
        <w:tc>
          <w:tcPr>
            <w:tcW w:w="113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2.664,0</w:t>
            </w:r>
          </w:p>
        </w:tc>
        <w:tc>
          <w:tcPr>
            <w:tcW w:w="113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2.488,0</w:t>
            </w:r>
          </w:p>
        </w:tc>
        <w:tc>
          <w:tcPr>
            <w:tcW w:w="1134"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2.326,0</w:t>
            </w:r>
          </w:p>
        </w:tc>
        <w:tc>
          <w:tcPr>
            <w:tcW w:w="992"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2.326,0</w:t>
            </w:r>
          </w:p>
        </w:tc>
        <w:tc>
          <w:tcPr>
            <w:tcW w:w="1560" w:type="dxa"/>
          </w:tcPr>
          <w:p w:rsidR="0096423A" w:rsidRPr="0096423A" w:rsidRDefault="0096423A" w:rsidP="0096423A">
            <w:pPr>
              <w:shd w:val="clear" w:color="auto" w:fill="FFFFFF" w:themeFill="background1"/>
              <w:spacing w:line="276" w:lineRule="auto"/>
              <w:jc w:val="both"/>
              <w:rPr>
                <w:rFonts w:cstheme="minorHAnsi"/>
              </w:rPr>
            </w:pPr>
            <w:r w:rsidRPr="0096423A">
              <w:rPr>
                <w:rFonts w:cstheme="minorHAnsi"/>
              </w:rPr>
              <w:t>0,0</w:t>
            </w:r>
          </w:p>
        </w:tc>
      </w:tr>
    </w:tbl>
    <w:p w:rsidR="0096423A" w:rsidRPr="0096423A" w:rsidRDefault="0096423A" w:rsidP="0096423A">
      <w:pPr>
        <w:shd w:val="clear" w:color="auto" w:fill="FFFFFF" w:themeFill="background1"/>
        <w:spacing w:after="0" w:line="276" w:lineRule="auto"/>
        <w:jc w:val="both"/>
        <w:rPr>
          <w:rFonts w:cstheme="minorHAnsi"/>
        </w:rPr>
      </w:pPr>
      <w:r w:rsidRPr="0096423A">
        <w:rPr>
          <w:rFonts w:cstheme="minorHAnsi"/>
        </w:rPr>
        <w:tab/>
      </w:r>
      <w:r w:rsidRPr="0096423A">
        <w:rPr>
          <w:rFonts w:cstheme="minorHAnsi"/>
        </w:rPr>
        <w:tab/>
      </w:r>
      <w:r w:rsidRPr="0096423A">
        <w:rPr>
          <w:rFonts w:cstheme="minorHAnsi"/>
        </w:rPr>
        <w:tab/>
      </w:r>
      <w:r w:rsidRPr="0096423A">
        <w:rPr>
          <w:rFonts w:cstheme="minorHAnsi"/>
        </w:rPr>
        <w:tab/>
        <w:t xml:space="preserve">             Vir: Inštitut Jožef Štefan</w:t>
      </w:r>
    </w:p>
    <w:p w:rsidR="0096423A" w:rsidRPr="00547498" w:rsidRDefault="0096423A"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Načrtovana je tudi gradnja HE Mokrice kot zadnje izmed petih hidroelektrarn na Spodnji Savi moči 28 MW. Gradnja se še ni začela. Najverjetneje ne bo dokončana v tem desetletju, ker poteka na sodišču že tretji upravni spor, ki ga je sprožilo društvo za preučevanje rib Slovenije.</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V regiji SAŠA se v okviru pravičnega prehoda načrtuje na lokaciji TEŠ postavitev kogeneracije na biomaso moči 20-30 MW za zagotavljanje kapacitet daljinskega ogrevanja, velikih toplotnih črpalk za izkoriščanje toplote jezera moči 2x20MW ter plavajoče sončne elektrarne na Šoštanjskem jezeru moči 100 MW.</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lastRenderedPageBreak/>
        <w:t>Načrtovano torej je, da se v Sloveniji z usklajenim spodbujanjem iz različnih razvojnih virov naslovi najprej energetsko učinkovitost, ki bo rezultirala v zmanjšanju porabe energije v vseh sektorjih, ter se vzporedno pospešeno spodbudi prehod na obnovljive vire energije. Pomeni, da bodo pospešena vlaganja v sončno energijo, predvsem za proizvodnjo električne energije, deloma pa tudi toplote, v preobrazbo obstoječih sistemov daljinskih ogrevanj na OVE, izkoriščanje geotermalnega potenciala ipd., z namenom nadomeščanja obstoječih fosilnih virov energije (vsaj 100 MW instalirane dodatne nazivne moči OVE v vsakem letu). Seveda ob hkratnem zagotavljanju varnosti pri energetski oskrbi ter povečevanju odpornosti (preprečevanje nesorazmerne energetske odvisnosti).</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Delovna skupina za zapiranje Premogovnika Velenje je bila vzpostavljena 19.8.2022 s Sklepom o imenovanju delovne skupine za pripravo predloga novega Zakona o postopnem zapiranju Premogovnika Velenje. Ne glede na časovnico zmanjšanja izkopa in zaprtja Premogovnika Velenje bodo v tem desetletju izvajane aktivnosti za energetski prehod, pri čemer bo ključna preobrazba sistema daljinskega ogrevanja Šaleške doline, ki bopodrobno predstavljena v »Akcijskem načrtu preobrazbe sistema daljinskega ogrevanja Šaleške doline 2022-2030« daljinskega. K energetskemu prehodu bo prispevalo tudi prestrukturiranje objektov na lokaciji Blokov 1-4 TEŠ (toplotni črpalki 2x20 MW, kogeneracija na lesno biomaso in vodikove tehnologije - predvidoma 2023-2027), polnilnica za alternativna goriva (predvidoma 2022-2024) in postavitev plavajoče fotovoltaične elektrarne na Družmirskem in Šoštanjskem jezeru (predvidoma 2023-2025). Predvideva se namestitev dodatnih kapacitet OVE, kot je opredeljeno s kazalniki v okviru Programa EKP 21-27.</w:t>
      </w:r>
    </w:p>
    <w:p w:rsidR="00547498" w:rsidRP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BE0064" w:rsidRDefault="00547498" w:rsidP="00935574">
      <w:pPr>
        <w:pBdr>
          <w:top w:val="nil"/>
          <w:left w:val="nil"/>
          <w:bottom w:val="nil"/>
          <w:right w:val="nil"/>
          <w:between w:val="nil"/>
        </w:pBdr>
        <w:spacing w:after="0" w:line="276" w:lineRule="auto"/>
        <w:jc w:val="both"/>
        <w:rPr>
          <w:rFonts w:ascii="Calibri" w:eastAsia="Calibri" w:hAnsi="Calibri" w:cs="Calibri"/>
          <w:color w:val="000000"/>
          <w:lang w:eastAsia="sl-SI"/>
        </w:rPr>
      </w:pPr>
      <w:r w:rsidRPr="00547498">
        <w:rPr>
          <w:rFonts w:ascii="Calibri" w:eastAsia="Calibri" w:hAnsi="Calibri" w:cs="Calibri"/>
          <w:color w:val="000000"/>
          <w:lang w:eastAsia="sl-SI"/>
        </w:rPr>
        <w:t>Zmanjšanje emisij toplogrednih plinov kot posledica zaprtja Bloka 5 bo natančno ovrednoteno v prihajajočem programu zaprtja TEŠ, skladno s cilji NEPN in NSPP ter zasledujoč cilje zelenega dogovora na ravni EU za zmanjšanje emisij za 55% do leta 2030 glede na leto 1990. Projekcija zmanjšanja emisij CO2 zaradi zaprtja bloka 5 je sicer bila pripravljena v okviru energetskih bilanc, ki so bile pripravljene kot strokovna podlaga za NEPN. Prav tako je na podlagi energetskih bilanc za NEPN, ki sicer še niso upoštevale izstopa iz premoga najkasneje v letu 2033, mogoče oceniti projekcijo predvidenega zmanjšanja emisij zaradi zaprtja Bloka 6. Obe projekciji sta podani v tabeli na naslednji strani.</w:t>
      </w:r>
    </w:p>
    <w:p w:rsidR="00BE0064" w:rsidRDefault="00BE0064" w:rsidP="00935574">
      <w:pPr>
        <w:pBdr>
          <w:top w:val="nil"/>
          <w:left w:val="nil"/>
          <w:bottom w:val="nil"/>
          <w:right w:val="nil"/>
          <w:between w:val="nil"/>
        </w:pBdr>
        <w:spacing w:after="0" w:line="276" w:lineRule="auto"/>
        <w:jc w:val="both"/>
        <w:rPr>
          <w:rFonts w:ascii="Calibri" w:eastAsia="Calibri" w:hAnsi="Calibri" w:cs="Calibri"/>
          <w:color w:val="000000"/>
          <w:lang w:eastAsia="sl-SI"/>
        </w:rPr>
      </w:pPr>
    </w:p>
    <w:p w:rsidR="00BE0064" w:rsidRDefault="00BE0064" w:rsidP="006F1F47">
      <w:pPr>
        <w:pBdr>
          <w:top w:val="nil"/>
          <w:left w:val="nil"/>
          <w:bottom w:val="nil"/>
          <w:right w:val="nil"/>
          <w:between w:val="nil"/>
        </w:pBdr>
        <w:spacing w:after="0" w:line="276" w:lineRule="auto"/>
        <w:jc w:val="both"/>
        <w:rPr>
          <w:rFonts w:cstheme="minorHAnsi"/>
        </w:rPr>
        <w:sectPr w:rsidR="00BE0064" w:rsidSect="006F1F47">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pPr>
    </w:p>
    <w:p w:rsidR="006F1F47" w:rsidRPr="0096423A" w:rsidRDefault="006F1F47" w:rsidP="00935574">
      <w:pPr>
        <w:pBdr>
          <w:top w:val="nil"/>
          <w:left w:val="nil"/>
          <w:bottom w:val="nil"/>
          <w:right w:val="nil"/>
          <w:between w:val="nil"/>
        </w:pBdr>
        <w:spacing w:after="0" w:line="276" w:lineRule="auto"/>
        <w:jc w:val="both"/>
        <w:rPr>
          <w:rFonts w:cstheme="minorHAnsi"/>
        </w:rPr>
      </w:pPr>
      <w:r w:rsidRPr="0096423A">
        <w:rPr>
          <w:rFonts w:cstheme="minorHAnsi"/>
        </w:rPr>
        <w:lastRenderedPageBreak/>
        <w:t>Tabela: Predvidena ocena emisije CO</w:t>
      </w:r>
      <w:r w:rsidRPr="0096423A">
        <w:rPr>
          <w:rFonts w:cstheme="minorHAnsi"/>
          <w:vertAlign w:val="subscript"/>
        </w:rPr>
        <w:t>2</w:t>
      </w:r>
      <w:r w:rsidRPr="0096423A">
        <w:rPr>
          <w:rFonts w:cstheme="minorHAnsi"/>
        </w:rPr>
        <w:t xml:space="preserve"> (v kt) iz Bloka 5 in Bloka 6</w:t>
      </w:r>
    </w:p>
    <w:p w:rsidR="006F1F47" w:rsidRPr="0096423A" w:rsidRDefault="006F1F47" w:rsidP="006F1F47">
      <w:pPr>
        <w:shd w:val="clear" w:color="auto" w:fill="FFFFFF" w:themeFill="background1"/>
        <w:spacing w:after="0" w:line="276" w:lineRule="auto"/>
        <w:jc w:val="both"/>
        <w:rPr>
          <w:rFonts w:cstheme="minorHAnsi"/>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542"/>
        <w:gridCol w:w="960"/>
        <w:gridCol w:w="960"/>
        <w:gridCol w:w="960"/>
        <w:gridCol w:w="960"/>
        <w:gridCol w:w="960"/>
        <w:gridCol w:w="960"/>
        <w:gridCol w:w="960"/>
        <w:gridCol w:w="960"/>
        <w:gridCol w:w="960"/>
        <w:gridCol w:w="960"/>
        <w:gridCol w:w="960"/>
      </w:tblGrid>
      <w:tr w:rsidR="006F1F47" w:rsidRPr="0096423A" w:rsidTr="000C0B2F">
        <w:trPr>
          <w:trHeight w:val="288"/>
        </w:trPr>
        <w:tc>
          <w:tcPr>
            <w:tcW w:w="28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
                <w:lang w:eastAsia="sl-SI"/>
              </w:rPr>
            </w:pPr>
            <w:r w:rsidRPr="0096423A">
              <w:rPr>
                <w:rFonts w:ascii="Calibri" w:eastAsia="Times New Roman" w:hAnsi="Calibri" w:cs="Calibri"/>
                <w:b/>
                <w:lang w:eastAsia="sl-SI"/>
              </w:rPr>
              <w:t>Emisije CO</w:t>
            </w:r>
            <w:r w:rsidRPr="0096423A">
              <w:rPr>
                <w:rFonts w:ascii="Calibri" w:eastAsia="Times New Roman" w:hAnsi="Calibri" w:cs="Calibri"/>
                <w:b/>
                <w:vertAlign w:val="subscript"/>
                <w:lang w:eastAsia="sl-SI"/>
              </w:rPr>
              <w:t>2</w:t>
            </w: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
                <w:lang w:eastAsia="sl-SI"/>
              </w:rPr>
            </w:pP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2015</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2016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2017</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2018</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2019</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2021</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2022</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2023</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2024</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2025</w:t>
            </w:r>
          </w:p>
        </w:tc>
      </w:tr>
      <w:tr w:rsidR="006F1F47" w:rsidRPr="0096423A" w:rsidTr="000C0B2F">
        <w:trPr>
          <w:trHeight w:val="288"/>
        </w:trPr>
        <w:tc>
          <w:tcPr>
            <w:tcW w:w="28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lang w:eastAsia="sl-SI"/>
              </w:rPr>
            </w:pP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Times New Roman" w:eastAsia="Times New Roman" w:hAnsi="Times New Roman" w:cs="Times New Roman"/>
                <w:sz w:val="20"/>
                <w:szCs w:val="20"/>
                <w:lang w:eastAsia="sl-SI"/>
              </w:rPr>
            </w:pP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r>
      <w:tr w:rsidR="006F1F47" w:rsidRPr="0096423A" w:rsidTr="000C0B2F">
        <w:trPr>
          <w:trHeight w:val="288"/>
        </w:trPr>
        <w:tc>
          <w:tcPr>
            <w:tcW w:w="28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K_E-TES_5+Lignit</w:t>
            </w: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[kt]</w:t>
            </w:r>
          </w:p>
        </w:tc>
        <w:tc>
          <w:tcPr>
            <w:tcW w:w="960" w:type="dxa"/>
            <w:shd w:val="clear" w:color="000000" w:fill="FFFFFF"/>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1.342,3</w:t>
            </w:r>
          </w:p>
        </w:tc>
        <w:tc>
          <w:tcPr>
            <w:tcW w:w="960" w:type="dxa"/>
            <w:shd w:val="clear" w:color="000000" w:fill="FFFFFF"/>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559,0</w:t>
            </w:r>
          </w:p>
        </w:tc>
        <w:tc>
          <w:tcPr>
            <w:tcW w:w="960" w:type="dxa"/>
            <w:shd w:val="clear" w:color="000000" w:fill="FFFFFF"/>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988,7</w:t>
            </w:r>
          </w:p>
        </w:tc>
        <w:tc>
          <w:tcPr>
            <w:tcW w:w="960" w:type="dxa"/>
            <w:shd w:val="clear" w:color="000000" w:fill="FFFFFF"/>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974,4</w:t>
            </w:r>
          </w:p>
        </w:tc>
        <w:tc>
          <w:tcPr>
            <w:tcW w:w="960" w:type="dxa"/>
            <w:shd w:val="clear" w:color="000000" w:fill="FFFFFF"/>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960,1</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808,5</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796,0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783,5</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771,0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758,5</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746,0</w:t>
            </w:r>
          </w:p>
        </w:tc>
      </w:tr>
      <w:tr w:rsidR="006F1F47" w:rsidRPr="0096423A" w:rsidTr="000C0B2F">
        <w:trPr>
          <w:trHeight w:val="288"/>
        </w:trPr>
        <w:tc>
          <w:tcPr>
            <w:tcW w:w="28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K_E-TES_6+Lignit (brez CCU)</w:t>
            </w: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[kt]</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2346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3337</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2872</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2821</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2770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2710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2687</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2664</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2641</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2618</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2596</w:t>
            </w:r>
          </w:p>
        </w:tc>
      </w:tr>
      <w:tr w:rsidR="006F1F47" w:rsidRPr="0096423A" w:rsidTr="000C0B2F">
        <w:trPr>
          <w:trHeight w:val="576"/>
        </w:trPr>
        <w:tc>
          <w:tcPr>
            <w:tcW w:w="2860" w:type="dxa"/>
            <w:shd w:val="clear" w:color="auto" w:fill="auto"/>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K_E-TES_6+Lignit (brez CCU in z izstopom 2033)</w:t>
            </w: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[kt]</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2346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3337</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2872</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2821</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2770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2710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2687</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2664</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2641</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2618</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2596</w:t>
            </w:r>
          </w:p>
        </w:tc>
      </w:tr>
    </w:tbl>
    <w:p w:rsidR="006F1F47" w:rsidRPr="0096423A" w:rsidRDefault="006F1F47" w:rsidP="006F1F47">
      <w:pPr>
        <w:shd w:val="clear" w:color="auto" w:fill="FFFFFF" w:themeFill="background1"/>
        <w:spacing w:after="0" w:line="276" w:lineRule="auto"/>
        <w:jc w:val="both"/>
        <w:rPr>
          <w:rFonts w:cstheme="minorHAnsi"/>
        </w:rPr>
      </w:pPr>
    </w:p>
    <w:tbl>
      <w:tblPr>
        <w:tblW w:w="13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542"/>
        <w:gridCol w:w="960"/>
        <w:gridCol w:w="960"/>
        <w:gridCol w:w="960"/>
        <w:gridCol w:w="960"/>
        <w:gridCol w:w="960"/>
        <w:gridCol w:w="960"/>
        <w:gridCol w:w="960"/>
        <w:gridCol w:w="960"/>
        <w:gridCol w:w="960"/>
        <w:gridCol w:w="960"/>
      </w:tblGrid>
      <w:tr w:rsidR="006F1F47" w:rsidRPr="0096423A" w:rsidTr="000C0B2F">
        <w:trPr>
          <w:trHeight w:val="288"/>
        </w:trPr>
        <w:tc>
          <w:tcPr>
            <w:tcW w:w="28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
                <w:lang w:eastAsia="sl-SI"/>
              </w:rPr>
            </w:pPr>
            <w:r w:rsidRPr="0096423A">
              <w:rPr>
                <w:rFonts w:ascii="Calibri" w:eastAsia="Times New Roman" w:hAnsi="Calibri" w:cs="Calibri"/>
                <w:b/>
                <w:lang w:eastAsia="sl-SI"/>
              </w:rPr>
              <w:t>Emisije CO</w:t>
            </w:r>
            <w:r w:rsidRPr="0096423A">
              <w:rPr>
                <w:rFonts w:ascii="Calibri" w:eastAsia="Times New Roman" w:hAnsi="Calibri" w:cs="Calibri"/>
                <w:b/>
                <w:vertAlign w:val="subscript"/>
                <w:lang w:eastAsia="sl-SI"/>
              </w:rPr>
              <w:t>2</w:t>
            </w: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
                <w:lang w:eastAsia="sl-SI"/>
              </w:rPr>
            </w:pP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2027</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2028</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2029</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2031</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2032</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2033</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2034</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2035</w:t>
            </w:r>
          </w:p>
        </w:tc>
      </w:tr>
      <w:tr w:rsidR="006F1F47" w:rsidRPr="0096423A" w:rsidTr="000C0B2F">
        <w:trPr>
          <w:trHeight w:val="288"/>
        </w:trPr>
        <w:tc>
          <w:tcPr>
            <w:tcW w:w="28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lang w:eastAsia="sl-SI"/>
              </w:rPr>
            </w:pP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Times New Roman" w:eastAsia="Times New Roman" w:hAnsi="Times New Roman" w:cs="Times New Roman"/>
                <w:sz w:val="20"/>
                <w:szCs w:val="20"/>
                <w:lang w:eastAsia="sl-SI"/>
              </w:rPr>
            </w:pP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r>
      <w:tr w:rsidR="006F1F47" w:rsidRPr="0096423A" w:rsidTr="000C0B2F">
        <w:trPr>
          <w:trHeight w:val="288"/>
        </w:trPr>
        <w:tc>
          <w:tcPr>
            <w:tcW w:w="28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K_E-TES_5+Lignit</w:t>
            </w: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[kt]</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746,0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746,0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746,0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746,0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r>
      <w:tr w:rsidR="006F1F47" w:rsidRPr="0096423A" w:rsidTr="000C0B2F">
        <w:trPr>
          <w:trHeight w:val="288"/>
        </w:trPr>
        <w:tc>
          <w:tcPr>
            <w:tcW w:w="2860"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K_E-TES_6+Lignit (brez CCU)</w:t>
            </w: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[kt]</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2542</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2488</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2434</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2380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2247</w:t>
            </w:r>
          </w:p>
        </w:tc>
      </w:tr>
      <w:tr w:rsidR="006F1F47" w:rsidRPr="0096423A" w:rsidTr="000C0B2F">
        <w:trPr>
          <w:trHeight w:val="576"/>
        </w:trPr>
        <w:tc>
          <w:tcPr>
            <w:tcW w:w="2860" w:type="dxa"/>
            <w:shd w:val="clear" w:color="auto" w:fill="auto"/>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K_E-TES_6+Lignit (brez CCU in z izstopom 2033)</w:t>
            </w:r>
          </w:p>
        </w:tc>
        <w:tc>
          <w:tcPr>
            <w:tcW w:w="542"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[kt]</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2542</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2488</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2434</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2380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2326</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960"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r>
    </w:tbl>
    <w:p w:rsidR="006F1F47" w:rsidRPr="0096423A" w:rsidRDefault="006F1F47" w:rsidP="006F1F47">
      <w:pPr>
        <w:shd w:val="clear" w:color="auto" w:fill="FFFFFF" w:themeFill="background1"/>
        <w:spacing w:after="0" w:line="276" w:lineRule="auto"/>
        <w:jc w:val="both"/>
        <w:rPr>
          <w:rFonts w:cstheme="minorHAnsi"/>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465"/>
        <w:gridCol w:w="806"/>
        <w:gridCol w:w="709"/>
        <w:gridCol w:w="709"/>
        <w:gridCol w:w="708"/>
        <w:gridCol w:w="851"/>
        <w:gridCol w:w="709"/>
        <w:gridCol w:w="708"/>
        <w:gridCol w:w="709"/>
        <w:gridCol w:w="851"/>
        <w:gridCol w:w="708"/>
        <w:gridCol w:w="709"/>
        <w:gridCol w:w="709"/>
        <w:gridCol w:w="709"/>
        <w:gridCol w:w="708"/>
        <w:gridCol w:w="851"/>
      </w:tblGrid>
      <w:tr w:rsidR="006F1F47" w:rsidRPr="0096423A" w:rsidTr="000C0B2F">
        <w:trPr>
          <w:trHeight w:val="288"/>
        </w:trPr>
        <w:tc>
          <w:tcPr>
            <w:tcW w:w="2835"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
                <w:lang w:eastAsia="sl-SI"/>
              </w:rPr>
            </w:pPr>
            <w:r w:rsidRPr="0096423A">
              <w:rPr>
                <w:rFonts w:ascii="Calibri" w:eastAsia="Times New Roman" w:hAnsi="Calibri" w:cs="Calibri"/>
                <w:b/>
                <w:lang w:eastAsia="sl-SI"/>
              </w:rPr>
              <w:t>Emisije CO</w:t>
            </w:r>
            <w:r w:rsidRPr="0096423A">
              <w:rPr>
                <w:rFonts w:ascii="Calibri" w:eastAsia="Times New Roman" w:hAnsi="Calibri" w:cs="Calibri"/>
                <w:b/>
                <w:vertAlign w:val="subscript"/>
                <w:lang w:eastAsia="sl-SI"/>
              </w:rPr>
              <w:t>2</w:t>
            </w:r>
          </w:p>
        </w:tc>
        <w:tc>
          <w:tcPr>
            <w:tcW w:w="465"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
                <w:lang w:eastAsia="sl-SI"/>
              </w:rPr>
            </w:pPr>
          </w:p>
        </w:tc>
        <w:tc>
          <w:tcPr>
            <w:tcW w:w="806"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2036</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2037</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2038</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2039</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2041</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2042</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2043</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2044</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2045</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2046</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2047</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2048</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2049</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
                <w:lang w:eastAsia="sl-SI"/>
              </w:rPr>
            </w:pPr>
            <w:r w:rsidRPr="0096423A">
              <w:rPr>
                <w:rFonts w:ascii="Calibri" w:eastAsia="Times New Roman" w:hAnsi="Calibri" w:cs="Calibri"/>
                <w:b/>
                <w:lang w:eastAsia="sl-SI"/>
              </w:rPr>
              <w:t>2050</w:t>
            </w:r>
          </w:p>
        </w:tc>
      </w:tr>
      <w:tr w:rsidR="006F1F47" w:rsidRPr="0096423A" w:rsidTr="000C0B2F">
        <w:trPr>
          <w:trHeight w:val="288"/>
        </w:trPr>
        <w:tc>
          <w:tcPr>
            <w:tcW w:w="2835"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lang w:eastAsia="sl-SI"/>
              </w:rPr>
            </w:pPr>
          </w:p>
        </w:tc>
        <w:tc>
          <w:tcPr>
            <w:tcW w:w="465"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Times New Roman" w:eastAsia="Times New Roman" w:hAnsi="Times New Roman" w:cs="Times New Roman"/>
                <w:sz w:val="20"/>
                <w:szCs w:val="20"/>
                <w:lang w:eastAsia="sl-SI"/>
              </w:rPr>
            </w:pPr>
          </w:p>
        </w:tc>
        <w:tc>
          <w:tcPr>
            <w:tcW w:w="806"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lang w:eastAsia="sl-SI"/>
              </w:rPr>
            </w:pPr>
            <w:r w:rsidRPr="0096423A">
              <w:rPr>
                <w:rFonts w:ascii="Calibri" w:eastAsia="Times New Roman" w:hAnsi="Calibri" w:cs="Calibri"/>
                <w:lang w:eastAsia="sl-SI"/>
              </w:rPr>
              <w:t> </w:t>
            </w:r>
          </w:p>
        </w:tc>
      </w:tr>
      <w:tr w:rsidR="006F1F47" w:rsidRPr="0096423A" w:rsidTr="000C0B2F">
        <w:trPr>
          <w:trHeight w:val="288"/>
        </w:trPr>
        <w:tc>
          <w:tcPr>
            <w:tcW w:w="2835"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K_E-TES_5+Lignit</w:t>
            </w:r>
          </w:p>
        </w:tc>
        <w:tc>
          <w:tcPr>
            <w:tcW w:w="465"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[kt]</w:t>
            </w:r>
          </w:p>
        </w:tc>
        <w:tc>
          <w:tcPr>
            <w:tcW w:w="806"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0,0</w:t>
            </w:r>
          </w:p>
        </w:tc>
      </w:tr>
      <w:tr w:rsidR="006F1F47" w:rsidRPr="0096423A" w:rsidTr="000C0B2F">
        <w:trPr>
          <w:trHeight w:val="288"/>
        </w:trPr>
        <w:tc>
          <w:tcPr>
            <w:tcW w:w="2835"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K_E-TES_6+Lignit (brez CCU)</w:t>
            </w:r>
          </w:p>
        </w:tc>
        <w:tc>
          <w:tcPr>
            <w:tcW w:w="465"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[kt]</w:t>
            </w:r>
          </w:p>
        </w:tc>
        <w:tc>
          <w:tcPr>
            <w:tcW w:w="806"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2231</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2214</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2198</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2181</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2165</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2126</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2086</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2047</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2007</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1968</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1968</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1968</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1968</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r>
      <w:tr w:rsidR="006F1F47" w:rsidRPr="0096423A" w:rsidTr="000C0B2F">
        <w:trPr>
          <w:trHeight w:val="576"/>
        </w:trPr>
        <w:tc>
          <w:tcPr>
            <w:tcW w:w="2835" w:type="dxa"/>
            <w:shd w:val="clear" w:color="auto" w:fill="auto"/>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K_E-TES_6+Lignit (brez CCU in z izstopom 2033)</w:t>
            </w:r>
          </w:p>
        </w:tc>
        <w:tc>
          <w:tcPr>
            <w:tcW w:w="465" w:type="dxa"/>
            <w:shd w:val="clear" w:color="auto" w:fill="auto"/>
            <w:noWrap/>
            <w:vAlign w:val="bottom"/>
            <w:hideMark/>
          </w:tcPr>
          <w:p w:rsidR="006F1F47" w:rsidRPr="0096423A" w:rsidRDefault="006F1F47" w:rsidP="000C0B2F">
            <w:pPr>
              <w:shd w:val="clear" w:color="auto" w:fill="FFFFFF" w:themeFill="background1"/>
              <w:spacing w:after="0" w:line="240" w:lineRule="auto"/>
              <w:rPr>
                <w:rFonts w:ascii="Calibri" w:eastAsia="Times New Roman" w:hAnsi="Calibri" w:cs="Calibri"/>
                <w:bCs/>
                <w:lang w:eastAsia="sl-SI"/>
              </w:rPr>
            </w:pPr>
            <w:r w:rsidRPr="0096423A">
              <w:rPr>
                <w:rFonts w:ascii="Calibri" w:eastAsia="Times New Roman" w:hAnsi="Calibri" w:cs="Calibri"/>
                <w:bCs/>
                <w:lang w:eastAsia="sl-SI"/>
              </w:rPr>
              <w:t>[kt]</w:t>
            </w:r>
          </w:p>
        </w:tc>
        <w:tc>
          <w:tcPr>
            <w:tcW w:w="806"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9"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708"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c>
          <w:tcPr>
            <w:tcW w:w="851" w:type="dxa"/>
            <w:shd w:val="clear" w:color="auto" w:fill="auto"/>
            <w:noWrap/>
            <w:vAlign w:val="bottom"/>
            <w:hideMark/>
          </w:tcPr>
          <w:p w:rsidR="006F1F47" w:rsidRPr="0096423A" w:rsidRDefault="006F1F47" w:rsidP="000C0B2F">
            <w:pPr>
              <w:shd w:val="clear" w:color="auto" w:fill="FFFFFF" w:themeFill="background1"/>
              <w:spacing w:after="0" w:line="240" w:lineRule="auto"/>
              <w:jc w:val="right"/>
              <w:rPr>
                <w:rFonts w:ascii="Calibri" w:eastAsia="Times New Roman" w:hAnsi="Calibri" w:cs="Calibri"/>
                <w:bCs/>
                <w:lang w:eastAsia="sl-SI"/>
              </w:rPr>
            </w:pPr>
            <w:r w:rsidRPr="0096423A">
              <w:rPr>
                <w:rFonts w:ascii="Calibri" w:eastAsia="Times New Roman" w:hAnsi="Calibri" w:cs="Calibri"/>
                <w:bCs/>
                <w:lang w:eastAsia="sl-SI"/>
              </w:rPr>
              <w:t>0</w:t>
            </w:r>
          </w:p>
        </w:tc>
      </w:tr>
    </w:tbl>
    <w:p w:rsidR="006F1F47" w:rsidRDefault="006F1F47">
      <w:pPr>
        <w:rPr>
          <w:rFonts w:ascii="Calibri" w:eastAsia="Calibri" w:hAnsi="Calibri" w:cs="Calibri"/>
          <w:color w:val="000000"/>
          <w:lang w:eastAsia="sl-SI"/>
        </w:rPr>
      </w:pPr>
    </w:p>
    <w:p w:rsidR="00BE0064" w:rsidRDefault="00BE0064">
      <w:pPr>
        <w:rPr>
          <w:rFonts w:ascii="Calibri" w:eastAsia="Calibri" w:hAnsi="Calibri" w:cs="Calibri"/>
          <w:color w:val="000000"/>
          <w:lang w:eastAsia="sl-SI"/>
        </w:rPr>
        <w:sectPr w:rsidR="00BE0064" w:rsidSect="00BE0064">
          <w:pgSz w:w="16838" w:h="11906" w:orient="landscape" w:code="9"/>
          <w:pgMar w:top="1417" w:right="1417" w:bottom="1417" w:left="1417" w:header="709" w:footer="709" w:gutter="0"/>
          <w:cols w:space="708"/>
          <w:docGrid w:linePitch="360"/>
        </w:sectPr>
      </w:pPr>
    </w:p>
    <w:p w:rsidR="00547498" w:rsidRDefault="00547498" w:rsidP="00547498">
      <w:pPr>
        <w:pBdr>
          <w:top w:val="nil"/>
          <w:left w:val="nil"/>
          <w:bottom w:val="nil"/>
          <w:right w:val="nil"/>
          <w:between w:val="nil"/>
        </w:pBdr>
        <w:spacing w:after="0" w:line="276" w:lineRule="auto"/>
        <w:jc w:val="both"/>
        <w:rPr>
          <w:rFonts w:ascii="Calibri" w:eastAsia="Calibri" w:hAnsi="Calibri" w:cs="Calibri"/>
          <w:color w:val="000000"/>
          <w:lang w:eastAsia="sl-SI"/>
        </w:rPr>
      </w:pPr>
    </w:p>
    <w:p w:rsidR="00622CE4" w:rsidRPr="00622CE4" w:rsidRDefault="00622CE4" w:rsidP="00935574">
      <w:pPr>
        <w:pBdr>
          <w:top w:val="nil"/>
          <w:left w:val="nil"/>
          <w:bottom w:val="nil"/>
          <w:right w:val="nil"/>
          <w:between w:val="nil"/>
        </w:pBdr>
        <w:spacing w:after="0" w:line="276" w:lineRule="auto"/>
        <w:jc w:val="both"/>
        <w:rPr>
          <w:rFonts w:ascii="Calibri" w:eastAsia="Calibri" w:hAnsi="Calibri" w:cs="Calibri"/>
          <w:color w:val="000000"/>
          <w:lang w:eastAsia="sl-SI"/>
        </w:rPr>
      </w:pPr>
    </w:p>
    <w:p w:rsidR="00622CE4" w:rsidRPr="00622CE4" w:rsidRDefault="00622CE4" w:rsidP="00622CE4">
      <w:pPr>
        <w:pStyle w:val="Odstavekseznama"/>
        <w:numPr>
          <w:ilvl w:val="1"/>
          <w:numId w:val="4"/>
        </w:numPr>
        <w:spacing w:after="0" w:line="276" w:lineRule="auto"/>
        <w:jc w:val="both"/>
        <w:rPr>
          <w:rFonts w:ascii="Calibri" w:eastAsia="Calibri" w:hAnsi="Calibri" w:cs="Calibri"/>
          <w:b/>
          <w:lang w:eastAsia="sl-SI"/>
        </w:rPr>
      </w:pPr>
      <w:r w:rsidRPr="00622CE4">
        <w:rPr>
          <w:rFonts w:ascii="Calibri" w:eastAsia="Calibri" w:hAnsi="Calibri" w:cs="Calibri"/>
          <w:b/>
          <w:lang w:eastAsia="sl-SI"/>
        </w:rPr>
        <w:t>Opredelitev območij, za katera se pričakuje, da bodo najbolj prizadeta, in utemeljitev te opredelitve z ustrezno oceno gospodarskih in zaposlitvenih učinkov na podlagi osnutka oddelka 1.1.</w:t>
      </w:r>
    </w:p>
    <w:p w:rsidR="00622CE4" w:rsidRPr="00622CE4" w:rsidRDefault="00622CE4" w:rsidP="00622CE4">
      <w:pPr>
        <w:pStyle w:val="Odstavekseznama"/>
        <w:spacing w:after="0" w:line="276" w:lineRule="auto"/>
        <w:ind w:left="390"/>
        <w:jc w:val="both"/>
        <w:rPr>
          <w:rFonts w:ascii="Calibri" w:eastAsia="Calibri" w:hAnsi="Calibri" w:cs="Calibri"/>
          <w:lang w:eastAsia="sl-SI"/>
        </w:rPr>
      </w:pPr>
    </w:p>
    <w:p w:rsidR="00622CE4" w:rsidRPr="00622CE4" w:rsidRDefault="00622CE4" w:rsidP="00622CE4">
      <w:pPr>
        <w:spacing w:after="0" w:line="276" w:lineRule="auto"/>
        <w:jc w:val="both"/>
        <w:rPr>
          <w:rFonts w:eastAsia="Times New Roman" w:cs="Times New Roman"/>
          <w:szCs w:val="24"/>
          <w:lang w:eastAsia="sl-SI"/>
        </w:rPr>
      </w:pPr>
      <w:r w:rsidRPr="00622CE4">
        <w:rPr>
          <w:rFonts w:ascii="Calibri" w:eastAsia="Calibri" w:hAnsi="Calibri" w:cs="Calibri"/>
          <w:color w:val="000000"/>
          <w:lang w:eastAsia="sl-SI"/>
        </w:rPr>
        <w:t xml:space="preserve">V okviru Poročila o semestru 2020 je Evropska komisija opredelila približno 100 regij ali območij, ki so upravičena do "pravičnega prehoda". Razlog predstavlja odvisnost območja in pričakovano prilagajanje delavcev ali izgube delovnih mest v proizvodnji in uporabi fosilnih goriv ali proizvodnji z največjo intenzivnostjo toplogrednih plinov. Med temi regijami sta bili opredeljeni dve slovenski premogovni regiji, Zasavska in Savinjsko-Šaleška. </w:t>
      </w:r>
      <w:r w:rsidRPr="00622CE4">
        <w:rPr>
          <w:rFonts w:eastAsia="Times New Roman" w:cstheme="minorHAnsi"/>
          <w:szCs w:val="24"/>
          <w:lang w:eastAsia="sl-SI"/>
        </w:rPr>
        <w:t xml:space="preserve">Nacionalna strategija za izstop iz premoga in prestrukturiranje premogovnih regij, ki je bila sprejeta 13. januarja 2022 prepoznava Zasavje in Savinjsko Šaleško regijo kot dve premogovni regiji, ki ju je treba prestrukturirati v skladu z načeli pravičnega prehoda. </w:t>
      </w:r>
      <w:r w:rsidRPr="00622CE4">
        <w:rPr>
          <w:rFonts w:ascii="Calibri" w:eastAsia="Calibri" w:hAnsi="Calibri" w:cs="Calibri"/>
          <w:color w:val="000000"/>
          <w:lang w:eastAsia="sl-SI"/>
        </w:rPr>
        <w:t xml:space="preserve">NSPP ugotavlja, da je tradicija izkopavanja premoga in proizvodnja električne energije iz tega fosilnega goriva, v preteklosti močno vplivala na regijo, saj pri predhodnem opuščanju premogovne dejavnosti v Zasavju, nismo ustrezno sledili načelom pravičnega prehoda. </w:t>
      </w:r>
    </w:p>
    <w:p w:rsidR="00622CE4" w:rsidRPr="00622CE4" w:rsidRDefault="00622CE4" w:rsidP="00622CE4">
      <w:pPr>
        <w:pBdr>
          <w:top w:val="nil"/>
          <w:left w:val="nil"/>
          <w:bottom w:val="nil"/>
          <w:right w:val="nil"/>
          <w:between w:val="nil"/>
        </w:pBdr>
        <w:spacing w:after="0" w:line="276" w:lineRule="auto"/>
        <w:jc w:val="both"/>
        <w:rPr>
          <w:rFonts w:ascii="Calibri" w:eastAsia="Calibri" w:hAnsi="Calibri" w:cs="Calibri"/>
          <w:color w:val="000000"/>
          <w:lang w:eastAsia="sl-SI"/>
        </w:rPr>
      </w:pPr>
    </w:p>
    <w:p w:rsidR="00622CE4" w:rsidRPr="00622CE4" w:rsidRDefault="00622CE4" w:rsidP="00622CE4">
      <w:pPr>
        <w:spacing w:after="0" w:line="276" w:lineRule="auto"/>
        <w:jc w:val="both"/>
        <w:rPr>
          <w:rFonts w:ascii="Calibri" w:eastAsia="Calibri" w:hAnsi="Calibri" w:cs="Calibri"/>
          <w:lang w:eastAsia="sl-SI"/>
        </w:rPr>
      </w:pPr>
      <w:r w:rsidRPr="00622CE4">
        <w:rPr>
          <w:rFonts w:ascii="Calibri" w:eastAsia="Calibri" w:hAnsi="Calibri" w:cs="Calibri"/>
          <w:lang w:eastAsia="sl-SI"/>
        </w:rPr>
        <w:t xml:space="preserve">Zasavska statistična regija vključuje štiri občine, Hrastnik, Litijo, Trbovlje in Zagorje ob Savi, in po podatkih Statističnega urada RS za leto 2020 šteje 57.148 prebivalcev. Hrastnik, Trbovlje in Zagorje ob Savi so splošno prepoznane kot rudarska okolja z bogato tradicijo rudarjenja. </w:t>
      </w:r>
      <w:sdt>
        <w:sdtPr>
          <w:rPr>
            <w:rFonts w:ascii="Times New Roman" w:eastAsia="Times New Roman" w:hAnsi="Times New Roman" w:cs="Times New Roman"/>
            <w:sz w:val="24"/>
            <w:szCs w:val="24"/>
            <w:lang w:eastAsia="sl-SI"/>
          </w:rPr>
          <w:tag w:val="goog_rdk_6"/>
          <w:id w:val="-361447481"/>
        </w:sdtPr>
        <w:sdtEndPr/>
        <w:sdtContent/>
      </w:sdt>
      <w:r w:rsidRPr="00622CE4">
        <w:rPr>
          <w:rFonts w:ascii="Calibri" w:eastAsia="Calibri" w:hAnsi="Calibri" w:cs="Calibri"/>
          <w:lang w:eastAsia="sl-SI"/>
        </w:rPr>
        <w:t>Zaradi zrelosti faze procesa izstopa iz premoga v regiji je vplivno območje premogovniške industrije na območju teh treh občin jasno prepoznano, zato ga opredeljujemo kot ožje območje pravičnega prehoda. V širše vplivno območje je uvrščena tudi občina Litija, saj spada v statistično regijo Zasavje. Ključni strateški cilji ter nadaljnji ukrepi pravičnega prehoda so zasnovani tako, da bodo primarno usmerjeni v ustvarjanje pozitivnih vplivov na ožje vplivno območje, pri čemer pa se ti vplivi lahko dosegajo z izvajanjem ukrepov znotraj celotne regije Zasavje.</w:t>
      </w:r>
    </w:p>
    <w:p w:rsidR="00622CE4" w:rsidRPr="00622CE4" w:rsidRDefault="00622CE4" w:rsidP="00622CE4">
      <w:pPr>
        <w:pBdr>
          <w:top w:val="nil"/>
          <w:left w:val="nil"/>
          <w:bottom w:val="nil"/>
          <w:right w:val="nil"/>
          <w:between w:val="nil"/>
        </w:pBdr>
        <w:spacing w:after="0" w:line="276" w:lineRule="auto"/>
        <w:jc w:val="both"/>
        <w:rPr>
          <w:rFonts w:ascii="Calibri" w:eastAsia="Calibri" w:hAnsi="Calibri" w:cs="Calibri"/>
          <w:color w:val="000000"/>
          <w:lang w:eastAsia="sl-SI"/>
        </w:rPr>
      </w:pPr>
    </w:p>
    <w:p w:rsidR="00622CE4" w:rsidRPr="00622CE4" w:rsidRDefault="00622CE4" w:rsidP="00622CE4">
      <w:pPr>
        <w:pBdr>
          <w:top w:val="nil"/>
          <w:left w:val="nil"/>
          <w:bottom w:val="nil"/>
          <w:right w:val="nil"/>
          <w:between w:val="nil"/>
        </w:pBdr>
        <w:spacing w:after="0" w:line="276" w:lineRule="auto"/>
        <w:jc w:val="both"/>
        <w:rPr>
          <w:rFonts w:ascii="Calibri" w:eastAsia="Calibri" w:hAnsi="Calibri" w:cs="Calibri"/>
          <w:color w:val="000000"/>
          <w:lang w:eastAsia="sl-SI"/>
        </w:rPr>
      </w:pPr>
      <w:r w:rsidRPr="00622CE4">
        <w:rPr>
          <w:rFonts w:ascii="Calibri" w:eastAsia="Calibri" w:hAnsi="Calibri" w:cs="Calibri"/>
          <w:color w:val="000000"/>
          <w:lang w:eastAsia="sl-SI"/>
        </w:rPr>
        <w:t xml:space="preserve">V </w:t>
      </w:r>
      <w:r w:rsidRPr="00622CE4">
        <w:rPr>
          <w:rFonts w:ascii="Calibri" w:eastAsia="Calibri" w:hAnsi="Calibri" w:cs="Calibri"/>
          <w:b/>
          <w:color w:val="000000"/>
          <w:lang w:eastAsia="sl-SI"/>
        </w:rPr>
        <w:t>Zasavski premogovni regiji</w:t>
      </w:r>
      <w:r w:rsidRPr="00622CE4">
        <w:rPr>
          <w:rFonts w:ascii="Calibri" w:eastAsia="Calibri" w:hAnsi="Calibri" w:cs="Calibri"/>
          <w:color w:val="000000"/>
          <w:lang w:eastAsia="sl-SI"/>
        </w:rPr>
        <w:t xml:space="preserve"> se je izstop iz premoga začel leta 1999, ko rezultati referenduma niso podprli gradnje tretjega bloka Termoelektrarne Trbovlje (v nadaljevanju TET). Ker je bilo poslovanje bližnjega premogovnika Trbovlje-Hrastnik (v nadaljevanju: RTH) tesno povezano s TET, je bila sprejeta tudi odločitev o zaprtju rudnika. Vodstvo RTH je na zahtevo Vlade RS objavilo študijo, ki je ocenila stroške zapiranja RTH do konca leta 2015. Ocena je temeljila na idejnih zasnovah obstoječih načinov zapiranja rudnika ter ekološke in prostorske sanacije površine. Leta 2000 je bil sprejet (in pozneje spremenjen) Zakon o ureditvi postopnega zapiranja Rudnika Trbovlje-Hrastnik in gospodarskega prestrukturiranja regije. Leta 2005 so se začela zapiralna dela, v letu 2013 pa so se rudarske dejavnosti zaustavile, v letu 2014 je z delovanjem prenehala tudi TET. V letu 2020 so bila izvedena vsa potrebna zapiralna in sanacijska dela. Ker je obseg del in stroškov presegel načrtovano v srednjeročnem programu, je ostalo še nekaj manj potrebnih zapiralnih in sanacijskih del – predvsem na področju obnove infrastrukture. Datum dokončne sanacije je odvisen od razpoložljivih sredstev, upravnih postopkov ali tehničnih pregledov. </w:t>
      </w:r>
      <w:sdt>
        <w:sdtPr>
          <w:rPr>
            <w:rFonts w:ascii="Times New Roman" w:eastAsia="Times New Roman" w:hAnsi="Times New Roman" w:cs="Times New Roman"/>
            <w:sz w:val="24"/>
            <w:szCs w:val="24"/>
            <w:lang w:eastAsia="sl-SI"/>
          </w:rPr>
          <w:tag w:val="goog_rdk_3"/>
          <w:id w:val="-1263996383"/>
        </w:sdtPr>
        <w:sdtEndPr/>
        <w:sdtContent/>
      </w:sdt>
      <w:r w:rsidRPr="00622CE4">
        <w:rPr>
          <w:rFonts w:ascii="Calibri" w:eastAsia="Calibri" w:hAnsi="Calibri" w:cs="Calibri"/>
          <w:color w:val="000000"/>
          <w:lang w:eastAsia="sl-SI"/>
        </w:rPr>
        <w:t>Realno bi lahko sanacijska dela izvedli do konca leta 2022; tehnične preglede in odpravo pomanjkljivosti v letu 2023 ter zaključek upravnih postopkov in izbris iz registra do konca leta 2024.</w:t>
      </w:r>
    </w:p>
    <w:p w:rsidR="00622CE4" w:rsidRPr="00622CE4" w:rsidRDefault="00622CE4" w:rsidP="00622CE4">
      <w:pPr>
        <w:pBdr>
          <w:top w:val="nil"/>
          <w:left w:val="nil"/>
          <w:bottom w:val="nil"/>
          <w:right w:val="nil"/>
          <w:between w:val="nil"/>
        </w:pBdr>
        <w:spacing w:after="0" w:line="276" w:lineRule="auto"/>
        <w:jc w:val="both"/>
        <w:rPr>
          <w:rFonts w:ascii="Calibri" w:eastAsia="Calibri" w:hAnsi="Calibri" w:cs="Calibri"/>
          <w:color w:val="000000"/>
          <w:lang w:eastAsia="sl-SI"/>
        </w:rPr>
      </w:pPr>
    </w:p>
    <w:p w:rsidR="00622CE4" w:rsidRPr="00622CE4" w:rsidRDefault="00622CE4" w:rsidP="00622CE4">
      <w:pPr>
        <w:spacing w:after="120" w:line="276" w:lineRule="auto"/>
        <w:jc w:val="both"/>
        <w:rPr>
          <w:rFonts w:ascii="Calibri" w:eastAsia="Calibri" w:hAnsi="Calibri" w:cs="Calibri"/>
          <w:lang w:eastAsia="sl-SI"/>
        </w:rPr>
      </w:pPr>
      <w:r w:rsidRPr="00622CE4">
        <w:rPr>
          <w:rFonts w:ascii="Calibri" w:eastAsia="Calibri" w:hAnsi="Calibri" w:cs="Calibri"/>
          <w:lang w:eastAsia="sl-SI"/>
        </w:rPr>
        <w:t>Kljub temu, da so v regiji že opustili rabo premoga, so, zaradi delujočih ključnih gospodarskih dejavnosti, emisije CO</w:t>
      </w:r>
      <w:r w:rsidRPr="00622CE4">
        <w:rPr>
          <w:rFonts w:ascii="Calibri" w:eastAsia="Calibri" w:hAnsi="Calibri" w:cs="Calibri"/>
          <w:vertAlign w:val="subscript"/>
          <w:lang w:eastAsia="sl-SI"/>
        </w:rPr>
        <w:t>2e</w:t>
      </w:r>
      <w:r w:rsidRPr="00622CE4">
        <w:rPr>
          <w:rFonts w:ascii="Calibri" w:eastAsia="Calibri" w:hAnsi="Calibri" w:cs="Calibri"/>
          <w:lang w:eastAsia="sl-SI"/>
        </w:rPr>
        <w:t xml:space="preserve"> še vedno precejšnje, sploh glede na njeno velikost. Velika CO</w:t>
      </w:r>
      <w:r w:rsidRPr="00622CE4">
        <w:rPr>
          <w:rFonts w:ascii="Calibri" w:eastAsia="Calibri" w:hAnsi="Calibri" w:cs="Calibri"/>
          <w:vertAlign w:val="subscript"/>
          <w:lang w:eastAsia="sl-SI"/>
        </w:rPr>
        <w:t>2e</w:t>
      </w:r>
      <w:r w:rsidRPr="00622CE4">
        <w:rPr>
          <w:rFonts w:ascii="Calibri" w:eastAsia="Calibri" w:hAnsi="Calibri" w:cs="Calibri"/>
          <w:lang w:eastAsia="sl-SI"/>
        </w:rPr>
        <w:t xml:space="preserve"> obremenitev </w:t>
      </w:r>
      <w:r w:rsidRPr="00622CE4">
        <w:rPr>
          <w:rFonts w:ascii="Calibri" w:eastAsia="Calibri" w:hAnsi="Calibri" w:cs="Calibri"/>
          <w:lang w:eastAsia="sl-SI"/>
        </w:rPr>
        <w:lastRenderedPageBreak/>
        <w:t>izhaja deloma iz večjega obsega dnevnega prometa, saj se večina zaposlenih vozi na delo v druge kraje Slovenije. K temu pripomore tudi konfiguracija terena, ki zahteva velike CO</w:t>
      </w:r>
      <w:r w:rsidRPr="00622CE4">
        <w:rPr>
          <w:rFonts w:ascii="Calibri" w:eastAsia="Calibri" w:hAnsi="Calibri" w:cs="Calibri"/>
          <w:vertAlign w:val="subscript"/>
          <w:lang w:eastAsia="sl-SI"/>
        </w:rPr>
        <w:t>2e</w:t>
      </w:r>
      <w:r w:rsidRPr="00622CE4">
        <w:rPr>
          <w:rFonts w:ascii="Calibri" w:eastAsia="Calibri" w:hAnsi="Calibri" w:cs="Calibri"/>
          <w:lang w:eastAsia="sl-SI"/>
        </w:rPr>
        <w:t xml:space="preserve"> obremenitve zaradi številnih prehodov preko zaprtih zasavskih dolin. Poleg tega pa je še vedno nekaj podjetij, zaposlovalcev v regiji, ki imajo CO</w:t>
      </w:r>
      <w:r w:rsidRPr="00622CE4">
        <w:rPr>
          <w:rFonts w:ascii="Calibri" w:eastAsia="Calibri" w:hAnsi="Calibri" w:cs="Calibri"/>
          <w:vertAlign w:val="subscript"/>
          <w:lang w:eastAsia="sl-SI"/>
        </w:rPr>
        <w:t>2e</w:t>
      </w:r>
      <w:r w:rsidRPr="00622CE4">
        <w:rPr>
          <w:rFonts w:ascii="Calibri" w:eastAsia="Calibri" w:hAnsi="Calibri" w:cs="Calibri"/>
          <w:lang w:eastAsia="sl-SI"/>
        </w:rPr>
        <w:t xml:space="preserve"> intenzivno proizvodnjo – če omenimo nekatere – Steklarna Hrastnik – Special d.o.o., Steklarna Hrastnik – Vitrum d.o.o., IGM Zagorje, Komunala Trbovlje, TKI Hrastnik. </w:t>
      </w:r>
    </w:p>
    <w:p w:rsidR="00622CE4" w:rsidRPr="00622CE4" w:rsidRDefault="00622CE4" w:rsidP="00622CE4">
      <w:pPr>
        <w:spacing w:after="120" w:line="276" w:lineRule="auto"/>
        <w:jc w:val="both"/>
        <w:rPr>
          <w:rFonts w:ascii="Calibri" w:eastAsia="Calibri" w:hAnsi="Calibri" w:cs="Calibri"/>
          <w:lang w:eastAsia="sl-SI"/>
        </w:rPr>
      </w:pPr>
      <w:r w:rsidRPr="00622CE4">
        <w:rPr>
          <w:rFonts w:ascii="Calibri" w:eastAsia="Calibri" w:hAnsi="Calibri" w:cs="Calibri"/>
          <w:lang w:eastAsia="sl-SI"/>
        </w:rPr>
        <w:t>Poročilo o izpolnitvi obveznosti upravljalcev štirih naprav v Sloveniji za 2021 navaja, da so skupne emisije v regiji 130.598 ton CO</w:t>
      </w:r>
      <w:r w:rsidRPr="00622CE4">
        <w:rPr>
          <w:rFonts w:ascii="Calibri" w:eastAsia="Calibri" w:hAnsi="Calibri" w:cs="Calibri"/>
          <w:vertAlign w:val="subscript"/>
          <w:lang w:eastAsia="sl-SI"/>
        </w:rPr>
        <w:t>2e</w:t>
      </w:r>
      <w:r w:rsidRPr="00622CE4">
        <w:rPr>
          <w:rFonts w:ascii="Calibri" w:eastAsia="Calibri" w:hAnsi="Calibri" w:cs="Calibri"/>
          <w:lang w:eastAsia="sl-SI"/>
        </w:rPr>
        <w:t>.</w:t>
      </w:r>
    </w:p>
    <w:p w:rsidR="00622CE4" w:rsidRPr="00622CE4" w:rsidRDefault="00622CE4" w:rsidP="00622CE4">
      <w:pPr>
        <w:pBdr>
          <w:top w:val="nil"/>
          <w:left w:val="nil"/>
          <w:bottom w:val="nil"/>
          <w:right w:val="nil"/>
          <w:between w:val="nil"/>
        </w:pBdr>
        <w:spacing w:after="0" w:line="276" w:lineRule="auto"/>
        <w:jc w:val="both"/>
        <w:rPr>
          <w:rFonts w:ascii="Calibri" w:eastAsia="Calibri" w:hAnsi="Calibri" w:cs="Calibri"/>
          <w:color w:val="000000"/>
          <w:lang w:eastAsia="sl-SI"/>
        </w:rPr>
      </w:pPr>
      <w:r w:rsidRPr="00622CE4">
        <w:rPr>
          <w:rFonts w:eastAsia="Calibri" w:cstheme="minorHAnsi"/>
          <w:lang w:eastAsia="sl-SI"/>
        </w:rPr>
        <w:t xml:space="preserve">Regija se še vedno sooča s strukturnimi problemi, značilnimi za regije, kjer sta se izkoriščanje in raba premoga zaključili. Problemi so, kot že omenjeno, posledica dejstva, da se pri prestrukturiranju načela pravičnega prehoda niso ustrezno upoštevala – niti pri zapiranju premogovnika niti pri zagotavljanju novih delovnih mest in diverzifikaciji regijskega gospodarstva. </w:t>
      </w:r>
      <w:r w:rsidRPr="00622CE4">
        <w:rPr>
          <w:rFonts w:ascii="Calibri" w:eastAsia="Calibri" w:hAnsi="Calibri" w:cs="Calibri"/>
          <w:lang w:eastAsia="sl-SI"/>
        </w:rPr>
        <w:t>Od začetka zapiralnih del do leta 2021 je regija namreč izgubila več kot 20 % delovnih mest in utrpela tudi 11 % depopulacijo. Poleg aktivnosti, ki so bile ozko usmerjene v postopke zapiranja</w:t>
      </w:r>
      <w:r w:rsidRPr="00622CE4">
        <w:rPr>
          <w:rFonts w:ascii="Calibri" w:eastAsia="Calibri" w:hAnsi="Calibri" w:cs="Calibri"/>
          <w:color w:val="000000"/>
          <w:lang w:eastAsia="sl-SI"/>
        </w:rPr>
        <w:t xml:space="preserve"> rudnikov in omilitev izzivov, povezanih s socialnim statusom presežnih delavcev, so se sicer izvajali tudi ukrepi gospodarskega prestrukturiranja, ki pa niso zagotovili ustreznega gospodarskega okrevanja regije. Tako so socialno-ekonomski vidiki tranzicije ostali nerešeni</w:t>
      </w:r>
      <w:r w:rsidRPr="00622CE4">
        <w:rPr>
          <w:rFonts w:ascii="Calibri" w:eastAsia="Calibri" w:hAnsi="Calibri" w:cs="Calibri"/>
          <w:color w:val="000000"/>
          <w:vertAlign w:val="superscript"/>
          <w:lang w:eastAsia="sl-SI"/>
        </w:rPr>
        <w:footnoteReference w:id="1"/>
      </w:r>
      <w:r w:rsidRPr="00622CE4">
        <w:rPr>
          <w:rFonts w:ascii="Calibri" w:eastAsia="Calibri" w:hAnsi="Calibri" w:cs="Calibri"/>
          <w:color w:val="000000"/>
          <w:lang w:eastAsia="sl-SI"/>
        </w:rPr>
        <w:t>.</w:t>
      </w:r>
    </w:p>
    <w:p w:rsidR="00622CE4" w:rsidRPr="00622CE4" w:rsidRDefault="00622CE4" w:rsidP="00622CE4">
      <w:pPr>
        <w:pBdr>
          <w:top w:val="nil"/>
          <w:left w:val="nil"/>
          <w:bottom w:val="nil"/>
          <w:right w:val="nil"/>
          <w:between w:val="nil"/>
        </w:pBdr>
        <w:spacing w:after="0" w:line="276" w:lineRule="auto"/>
        <w:jc w:val="both"/>
        <w:rPr>
          <w:rFonts w:eastAsia="Calibri" w:cstheme="minorHAnsi"/>
          <w:lang w:eastAsia="sl-SI"/>
        </w:rPr>
      </w:pPr>
    </w:p>
    <w:p w:rsidR="00622CE4" w:rsidRPr="00622CE4" w:rsidRDefault="00622CE4" w:rsidP="00622CE4">
      <w:pPr>
        <w:pBdr>
          <w:top w:val="nil"/>
          <w:left w:val="nil"/>
          <w:bottom w:val="nil"/>
          <w:right w:val="nil"/>
          <w:between w:val="nil"/>
        </w:pBdr>
        <w:spacing w:after="0" w:line="276" w:lineRule="auto"/>
        <w:jc w:val="both"/>
        <w:rPr>
          <w:rFonts w:eastAsia="Calibri" w:cstheme="minorHAnsi"/>
          <w:lang w:eastAsia="sl-SI"/>
        </w:rPr>
      </w:pPr>
      <w:r w:rsidRPr="00622CE4">
        <w:rPr>
          <w:rFonts w:eastAsia="Calibri" w:cstheme="minorHAnsi"/>
          <w:lang w:eastAsia="sl-SI"/>
        </w:rPr>
        <w:t>Posledice se kažejo na področju zaposlovanja, dolgotrajne brezposelnosti, BDP in odliva možganov iz regije in so podrobneje opredeljene v nadaljevanju.</w:t>
      </w:r>
    </w:p>
    <w:p w:rsidR="00622CE4" w:rsidRPr="00622CE4" w:rsidRDefault="00622CE4" w:rsidP="00622CE4">
      <w:pPr>
        <w:pBdr>
          <w:top w:val="nil"/>
          <w:left w:val="nil"/>
          <w:bottom w:val="nil"/>
          <w:right w:val="nil"/>
          <w:between w:val="nil"/>
        </w:pBdr>
        <w:spacing w:after="0" w:line="276" w:lineRule="auto"/>
        <w:jc w:val="both"/>
        <w:rPr>
          <w:rFonts w:ascii="Calibri" w:eastAsia="Calibri" w:hAnsi="Calibri" w:cs="Calibri"/>
          <w:lang w:eastAsia="sl-SI"/>
        </w:rPr>
      </w:pPr>
    </w:p>
    <w:p w:rsidR="00622CE4" w:rsidRPr="00622CE4" w:rsidRDefault="00622CE4" w:rsidP="00622CE4">
      <w:pPr>
        <w:pBdr>
          <w:top w:val="nil"/>
          <w:left w:val="nil"/>
          <w:bottom w:val="nil"/>
          <w:right w:val="nil"/>
          <w:between w:val="nil"/>
        </w:pBdr>
        <w:spacing w:after="0" w:line="276" w:lineRule="auto"/>
        <w:jc w:val="both"/>
        <w:rPr>
          <w:rFonts w:ascii="Calibri" w:eastAsia="Calibri" w:hAnsi="Calibri" w:cs="Calibri"/>
          <w:lang w:eastAsia="sl-SI"/>
        </w:rPr>
      </w:pPr>
      <w:r w:rsidRPr="00622CE4">
        <w:rPr>
          <w:rFonts w:ascii="Calibri" w:eastAsia="Calibri" w:hAnsi="Calibri" w:cs="Calibri"/>
          <w:lang w:eastAsia="sl-SI"/>
        </w:rPr>
        <w:t xml:space="preserve">Tako se je BDP v regiji znižal, zato ima sedaj regija najnižji BDP med slovenskimi regijami. Če vrednosti BDP v Zasavju primerjamo tudi mednarodno je treba izpostaviti, da </w:t>
      </w:r>
      <w:r w:rsidRPr="00622CE4">
        <w:rPr>
          <w:rFonts w:eastAsia="Times New Roman" w:cstheme="minorHAnsi"/>
          <w:lang w:eastAsia="sl-SI"/>
        </w:rPr>
        <w:t>med vsemi razvojnimi regijami v Sloveniji najbolj zaostaja za povprečjem EU po BDP na prebivalca, saj je v letu 2018 dosegla le 46 % povprečne razvitosti EU, kar jo uvršča med evropsko manj razvite regije. Zaostaja tudi za povprečno razvitostjo sosednjih NUTS 3 regij v Sloveniji, Avstriji, na Madžarskem in Hrvaškem.</w:t>
      </w:r>
      <w:r w:rsidRPr="00622CE4">
        <w:rPr>
          <w:rFonts w:eastAsia="Times New Roman" w:cstheme="minorHAnsi"/>
          <w:vertAlign w:val="superscript"/>
          <w:lang w:eastAsia="sl-SI"/>
        </w:rPr>
        <w:t xml:space="preserve"> </w:t>
      </w:r>
      <w:r w:rsidRPr="00622CE4">
        <w:rPr>
          <w:rFonts w:ascii="Calibri" w:eastAsia="Calibri" w:hAnsi="Calibri" w:cs="Calibri"/>
          <w:lang w:eastAsia="sl-SI"/>
        </w:rPr>
        <w:t xml:space="preserve"> </w:t>
      </w:r>
      <w:r w:rsidRPr="00622CE4">
        <w:rPr>
          <w:rFonts w:eastAsia="Calibri" w:cstheme="minorHAnsi"/>
          <w:lang w:eastAsia="sl-SI"/>
        </w:rPr>
        <w:t xml:space="preserve">Zato ne preseneča, da je </w:t>
      </w:r>
      <w:r w:rsidRPr="00622CE4">
        <w:rPr>
          <w:rFonts w:eastAsia="Times New Roman" w:cstheme="minorHAnsi"/>
          <w:lang w:eastAsia="sl-SI"/>
        </w:rPr>
        <w:t>po kazalnikih kakovosti življenja večinoma pod slovenskim povprečjem.</w:t>
      </w:r>
      <w:r w:rsidRPr="00622CE4">
        <w:rPr>
          <w:rFonts w:ascii="Times New Roman" w:eastAsia="Times New Roman" w:hAnsi="Times New Roman" w:cs="Times New Roman"/>
          <w:sz w:val="24"/>
          <w:szCs w:val="24"/>
          <w:lang w:eastAsia="sl-SI"/>
        </w:rPr>
        <w:t xml:space="preserve"> </w:t>
      </w:r>
      <w:r w:rsidRPr="00622CE4">
        <w:rPr>
          <w:rFonts w:eastAsia="Times New Roman" w:cstheme="minorHAnsi"/>
          <w:vertAlign w:val="superscript"/>
          <w:lang w:eastAsia="sl-SI"/>
        </w:rPr>
        <w:footnoteReference w:id="2"/>
      </w:r>
    </w:p>
    <w:p w:rsidR="00622CE4" w:rsidRPr="00622CE4" w:rsidRDefault="00622CE4" w:rsidP="00622CE4">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sl-SI"/>
        </w:rPr>
      </w:pPr>
    </w:p>
    <w:p w:rsidR="00622CE4" w:rsidRPr="00622CE4" w:rsidRDefault="00622CE4" w:rsidP="00622CE4">
      <w:p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sl-SI"/>
        </w:rPr>
      </w:pPr>
      <w:r w:rsidRPr="00622CE4">
        <w:rPr>
          <w:rFonts w:ascii="Times New Roman" w:eastAsia="Times New Roman" w:hAnsi="Times New Roman" w:cs="Times New Roman"/>
          <w:noProof/>
          <w:sz w:val="24"/>
          <w:szCs w:val="24"/>
          <w:lang w:eastAsia="sl-SI"/>
        </w:rPr>
        <w:drawing>
          <wp:inline distT="0" distB="0" distL="0" distR="0" wp14:anchorId="17704DB2" wp14:editId="4A615A7D">
            <wp:extent cx="5486400" cy="2457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2457450"/>
                    </a:xfrm>
                    <a:prstGeom prst="rect">
                      <a:avLst/>
                    </a:prstGeom>
                  </pic:spPr>
                </pic:pic>
              </a:graphicData>
            </a:graphic>
          </wp:inline>
        </w:drawing>
      </w:r>
    </w:p>
    <w:p w:rsidR="00622CE4" w:rsidRPr="00622CE4" w:rsidRDefault="00622CE4" w:rsidP="00622CE4">
      <w:pPr>
        <w:pBdr>
          <w:top w:val="nil"/>
          <w:left w:val="nil"/>
          <w:bottom w:val="nil"/>
          <w:right w:val="nil"/>
          <w:between w:val="nil"/>
        </w:pBdr>
        <w:spacing w:after="0" w:line="276" w:lineRule="auto"/>
        <w:jc w:val="both"/>
        <w:rPr>
          <w:rFonts w:ascii="Calibri" w:eastAsia="Calibri" w:hAnsi="Calibri" w:cs="Calibri"/>
          <w:lang w:eastAsia="sl-SI"/>
        </w:rPr>
      </w:pPr>
    </w:p>
    <w:p w:rsidR="00547498" w:rsidRDefault="00547498" w:rsidP="00547498"/>
    <w:p w:rsidR="00547498" w:rsidRDefault="00547498" w:rsidP="00935574">
      <w:pPr>
        <w:jc w:val="both"/>
      </w:pPr>
      <w:r>
        <w:lastRenderedPageBreak/>
        <w:t xml:space="preserve">V </w:t>
      </w:r>
      <w:r w:rsidRPr="00935574">
        <w:rPr>
          <w:b/>
        </w:rPr>
        <w:t>SAŠA premogovni regiji</w:t>
      </w:r>
      <w:r>
        <w:t xml:space="preserve"> premogovnik in termoelektrarna še obratujeta. Njuna vloga je pomembna tako z vidika zagotavljanja delovnih mest kot zanesljive oskrbe z električno energijo. NSPP ugotavlja, da ima proizvodnja energije v TEŠ pomembno vlogo v nacionalni mešanici energetskih virov, saj v povprečju proizvede okrog 35 % električne energije v državi, v sušnih obdobjih pa preko polovico porabe. Proizvodnja rudnika, ki je odvisna predvsem od porabe termoelektrarne se giblje okrog 3,5 milijona ton lignita letno. </w:t>
      </w:r>
    </w:p>
    <w:p w:rsidR="00547498" w:rsidRDefault="00547498" w:rsidP="00935574">
      <w:pPr>
        <w:jc w:val="both"/>
      </w:pPr>
    </w:p>
    <w:p w:rsidR="00547498" w:rsidRDefault="00547498" w:rsidP="00935574">
      <w:pPr>
        <w:jc w:val="both"/>
      </w:pPr>
      <w:r>
        <w:t xml:space="preserve">Pri analiziranju neposrednega vpliva na zaposlitveno strukturo je bil predmet primerjave število zaposlenih v premogovniški industriji kot absolutno število na občino in kot relativno število (odstotek aktivne delovne sile na občino). Skupino Premogovnik Velenje, sestavljajo štiri povezana podjetja, ki so sredi leta zaposlovala 1.895 oseb, večina od njih je imela registrirano stalno prebivališče v občinah (Velenje, Šoštanj, Mislinja, Šmartno ob Paki).  Od tega je bilo 1.691 zaposlenih samo iz občinah Velenje in Šoštanj. Glede na odstotek delovno aktivnih prebivalcev, zaposlenih v premogovništvu, izstopajo 3 občine (Velenje, Šoštanj in Šmartno ob Paki), kjer ta sektor neposredno zaposluje med 7 % in 12,5 % delovno aktivnega prebivalstva. Leta 2018 so prebivalci teh treh občin predstavljali kar 78 % vseh neposredno zaposlenih v lokalni premogovniški in energetski industriji.  </w:t>
      </w:r>
    </w:p>
    <w:p w:rsidR="00547498" w:rsidRDefault="00547498" w:rsidP="00935574">
      <w:pPr>
        <w:jc w:val="both"/>
      </w:pPr>
    </w:p>
    <w:p w:rsidR="00547498" w:rsidRDefault="00547498" w:rsidP="00935574">
      <w:pPr>
        <w:jc w:val="both"/>
      </w:pPr>
      <w:r>
        <w:t xml:space="preserve">Drug pomemben vidik vpliva premogovniške industrije na regijo in občine je gospodarski. Analiza kumulativnega obsega transakcij med subjekti premogovništva (PV in TEŠ) in podjetji iz lokalnega poslovnega okolja, pokaže da je po absolutni kumulativna vrednost transakcij med subjekti premogovniške industrije in lokalnimi podjetji (na občino in 3 letno povprečje; 2017-2019) izstopata občini Velenje in Šoštanj. Relativna odvisnost lokalnega poslovnega okolja pa je velika v občinah Velenje, Šoštanj in Šmartno ob Paki (1,1 do 11,8 % celotnega prihodka vseh gospodarskih družb v občini v letu 2018 predstavlja prihodek od premogovne industrije). Poslovno okolje Mislinje ima le manjše neposredne poslovne vezi s premogovno industrijo. </w:t>
      </w:r>
    </w:p>
    <w:p w:rsidR="00547498" w:rsidRDefault="00547498" w:rsidP="00935574">
      <w:pPr>
        <w:jc w:val="both"/>
      </w:pPr>
    </w:p>
    <w:p w:rsidR="00547498" w:rsidRDefault="00547498" w:rsidP="00935574">
      <w:pPr>
        <w:jc w:val="both"/>
      </w:pPr>
      <w:r>
        <w:t>Za opredelitev območja vpliva premogovniške industrije je bil v analizi, izvedeni ob pripravi akcijskega načrta  upoštevan gospodarski vpliv na strukturo zaposlovanja in na podporo poslovnemu okolju. Območje treh občin Velenje, Šoštanj in Šmartno ob Paki je bilo, je in bo tudi v prihodnje najbolj izpostavljeno spremembam okolja in s tem povezanim tveganjem. V tem območju je leta 2020 živelo 17,4 % oziroma 45.799 prebivalcev celotne Savinjske regije. Glede na zgodovinsko povezanost predstavljajo te tri občine celovito enoto, zato to območje opredeljujemo kot ožje vplivno območje. Celotna SAŠA premogovna regija pa vključuje zaokroženo celoto desetih občin (občine Gornji Grad, Ljubno, Luče, Mozirje, Nazarje, Rečica ob Savinji, Solčava, Šmartno ob Paki, Šoštanj in Mestna občina Velenje in je opredeljena kot širše vplivno območje) v katerih je leta 2020 živelo kar 25,5 % oziroma 67.172 prebivalcev celotne Savinjske regije. Na tem širšem vplivnem območju so se vzpostavile močne zgodovinske, gospodarske in kulturne vezi, ki se dnevno prepletajo na številnih ravneh javnega in zasebnega življenja. Ključni strateški cilji ter nadaljnji ukrepi pravičnega prehoda so usmerjeni v ustvarjanje pozitivnih vplivov na ožje vplivno območje, pri čemer se ti vplivi lahko dosegajo z izvajanjem ukrepov znotraj celotne SAŠA premogovne regije.</w:t>
      </w:r>
    </w:p>
    <w:p w:rsidR="00547498" w:rsidRDefault="00547498" w:rsidP="00935574">
      <w:pPr>
        <w:jc w:val="both"/>
      </w:pPr>
    </w:p>
    <w:p w:rsidR="00547498" w:rsidRDefault="00547498" w:rsidP="00935574">
      <w:pPr>
        <w:jc w:val="both"/>
      </w:pPr>
      <w:r>
        <w:t xml:space="preserve">Dolga rudarska tradicija je poleg gospodarske odvisnosti pomembno vplivala tudi na lokalno družbo in vedenjske vzorce lokalnega prebivalstva, ki nima izrazite podjetniške miselnosti  in ni pripravljeno </w:t>
      </w:r>
      <w:r>
        <w:lastRenderedPageBreak/>
        <w:t xml:space="preserve">spreminjati kariernih poti. Premogovništvo je v regiji pustilo tudi negativne okoljske vplive. Med drugim so kot posledica posedanja terena v regiji nastala tri umetna jezera. Nasip med Velenjskim in Družmirskim jezerom, ki je še vedno zelo izpostavljeno ugrezanju, zato je njegova dokončna podoba še v nastajanju. Pregrada, ki meri 80 ha, ima pomembno vlogo pri zagotavljanju poplavne varnosti, ker preprečuje zlitje Družmirskega in razlitje Velenjskega jezera. Območje pregrade ni stabilno, saj se ta nahaja nad odkopno jamo Preloge (ta bo postopno zaprta do leta 2025) je del območja sanacije rudniških ugreznin, kjer je nastalo tudi odlagališče elektrofiltrskega pepela, ki leži nad odkopnim območjem PV. Kljub nenehnemu saniranju in odpravljanju posledic ugrezanja, kar je v preteklosti financiral Premogovnik Velenje, prihaja do pogrezanja in premikov pregrade, kar predstavlja potencialno poplavno nevarnost.  </w:t>
      </w:r>
    </w:p>
    <w:p w:rsidR="00547498" w:rsidRDefault="00547498" w:rsidP="00935574">
      <w:pPr>
        <w:jc w:val="both"/>
      </w:pPr>
    </w:p>
    <w:p w:rsidR="00555208" w:rsidRDefault="00547498" w:rsidP="00935574">
      <w:pPr>
        <w:jc w:val="both"/>
      </w:pPr>
      <w:r>
        <w:t>Vplivi odvisnosti od premoga so v lokalnem okolju torej izraziti, zato bomo k pravičnemu izstopu regije iz premoga, prispevali tudi s sprejemom zakonov o gospodarskem prestrukturiranju regije in zapiranju premogovnika, kot je predvideno v Celovitem nacionalnem energetskem in podnebnem načrtu (NEPN).</w:t>
      </w:r>
    </w:p>
    <w:sectPr w:rsidR="00555208" w:rsidSect="00BE006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E4" w:rsidRDefault="00622CE4" w:rsidP="00622CE4">
      <w:pPr>
        <w:spacing w:after="0" w:line="240" w:lineRule="auto"/>
      </w:pPr>
      <w:r>
        <w:separator/>
      </w:r>
    </w:p>
  </w:endnote>
  <w:endnote w:type="continuationSeparator" w:id="0">
    <w:p w:rsidR="00622CE4" w:rsidRDefault="00622CE4" w:rsidP="0062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74" w:rsidRDefault="009355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468119"/>
      <w:docPartObj>
        <w:docPartGallery w:val="Page Numbers (Bottom of Page)"/>
        <w:docPartUnique/>
      </w:docPartObj>
    </w:sdtPr>
    <w:sdtEndPr/>
    <w:sdtContent>
      <w:p w:rsidR="00935574" w:rsidRDefault="00935574">
        <w:pPr>
          <w:pStyle w:val="Noga"/>
          <w:jc w:val="center"/>
        </w:pPr>
        <w:r>
          <w:fldChar w:fldCharType="begin"/>
        </w:r>
        <w:r>
          <w:instrText>PAGE   \* MERGEFORMAT</w:instrText>
        </w:r>
        <w:r>
          <w:fldChar w:fldCharType="separate"/>
        </w:r>
        <w:r w:rsidR="006210A0">
          <w:rPr>
            <w:noProof/>
          </w:rPr>
          <w:t>8</w:t>
        </w:r>
        <w:r>
          <w:fldChar w:fldCharType="end"/>
        </w:r>
      </w:p>
    </w:sdtContent>
  </w:sdt>
  <w:p w:rsidR="00935574" w:rsidRDefault="0093557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74" w:rsidRDefault="009355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E4" w:rsidRDefault="00622CE4" w:rsidP="00622CE4">
      <w:pPr>
        <w:spacing w:after="0" w:line="240" w:lineRule="auto"/>
      </w:pPr>
      <w:r>
        <w:separator/>
      </w:r>
    </w:p>
  </w:footnote>
  <w:footnote w:type="continuationSeparator" w:id="0">
    <w:p w:rsidR="00622CE4" w:rsidRDefault="00622CE4" w:rsidP="00622CE4">
      <w:pPr>
        <w:spacing w:after="0" w:line="240" w:lineRule="auto"/>
      </w:pPr>
      <w:r>
        <w:continuationSeparator/>
      </w:r>
    </w:p>
  </w:footnote>
  <w:footnote w:id="1">
    <w:p w:rsidR="00622CE4" w:rsidRPr="004A634B" w:rsidRDefault="00622CE4" w:rsidP="00622CE4">
      <w:pPr>
        <w:pBdr>
          <w:top w:val="nil"/>
          <w:left w:val="nil"/>
          <w:bottom w:val="nil"/>
          <w:right w:val="nil"/>
          <w:between w:val="nil"/>
        </w:pBdr>
        <w:spacing w:after="0"/>
        <w:rPr>
          <w:rFonts w:eastAsia="Calibri" w:cstheme="minorHAnsi"/>
          <w:color w:val="000000"/>
          <w:sz w:val="16"/>
          <w:szCs w:val="16"/>
        </w:rPr>
      </w:pPr>
      <w:r w:rsidRPr="004A634B">
        <w:rPr>
          <w:rFonts w:cstheme="minorHAnsi"/>
          <w:sz w:val="16"/>
          <w:szCs w:val="16"/>
          <w:vertAlign w:val="superscript"/>
        </w:rPr>
        <w:footnoteRef/>
      </w:r>
      <w:r w:rsidRPr="004A634B">
        <w:rPr>
          <w:rFonts w:eastAsia="Calibri" w:cstheme="minorHAnsi"/>
          <w:color w:val="000000"/>
          <w:sz w:val="16"/>
          <w:szCs w:val="16"/>
        </w:rPr>
        <w:t xml:space="preserve"> Nacionalna strategija za izstop iz premoga in prestrukturiranje premogovnih regij v skladu z načeli pravičnega prehoda</w:t>
      </w:r>
    </w:p>
  </w:footnote>
  <w:footnote w:id="2">
    <w:p w:rsidR="00622CE4" w:rsidRPr="0089239B" w:rsidRDefault="00622CE4" w:rsidP="00622CE4">
      <w:pPr>
        <w:pStyle w:val="Sprotnaopomba-besedilo"/>
      </w:pPr>
      <w:r w:rsidRPr="004A634B">
        <w:rPr>
          <w:rStyle w:val="Sprotnaopomba-sklic"/>
          <w:rFonts w:cstheme="minorHAnsi"/>
          <w:sz w:val="16"/>
          <w:szCs w:val="16"/>
        </w:rPr>
        <w:footnoteRef/>
      </w:r>
      <w:r w:rsidRPr="00222DDC">
        <w:rPr>
          <w:rFonts w:cstheme="minorHAnsi"/>
          <w:sz w:val="16"/>
          <w:szCs w:val="16"/>
        </w:rPr>
        <w:t xml:space="preserve"> https://www.umar.gov.si/fileadmin/user_upload/publikacije/dz/2020/DZ3_2020.pdf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74" w:rsidRDefault="0093557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74" w:rsidRDefault="0093557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74" w:rsidRDefault="0093557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117"/>
    <w:multiLevelType w:val="multilevel"/>
    <w:tmpl w:val="ADBC792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6378C8"/>
    <w:multiLevelType w:val="multilevel"/>
    <w:tmpl w:val="B11E7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3319B4"/>
    <w:multiLevelType w:val="multilevel"/>
    <w:tmpl w:val="A28C6F8A"/>
    <w:lvl w:ilvl="0">
      <w:start w:val="1"/>
      <w:numFmt w:val="decimal"/>
      <w:lvlText w:val="%1."/>
      <w:lvlJc w:val="left"/>
      <w:pPr>
        <w:ind w:left="502" w:hanging="360"/>
      </w:pPr>
      <w:rPr>
        <w:i w:val="0"/>
      </w:rPr>
    </w:lvl>
    <w:lvl w:ilvl="1">
      <w:start w:val="1"/>
      <w:numFmt w:val="lowerLetter"/>
      <w:lvlText w:val="%2."/>
      <w:lvlJc w:val="left"/>
      <w:pPr>
        <w:ind w:left="1440" w:hanging="360"/>
      </w:pPr>
    </w:lvl>
    <w:lvl w:ilvl="2">
      <w:start w:val="239"/>
      <w:numFmt w:val="bullet"/>
      <w:lvlText w:val="-"/>
      <w:lvlJc w:val="left"/>
      <w:pPr>
        <w:ind w:left="2160" w:hanging="18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F9792F"/>
    <w:multiLevelType w:val="multilevel"/>
    <w:tmpl w:val="BCF0E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E4"/>
    <w:rsid w:val="001970AB"/>
    <w:rsid w:val="003B2FA7"/>
    <w:rsid w:val="00547498"/>
    <w:rsid w:val="00557C72"/>
    <w:rsid w:val="006210A0"/>
    <w:rsid w:val="00622CE4"/>
    <w:rsid w:val="006F1F47"/>
    <w:rsid w:val="00744541"/>
    <w:rsid w:val="00805D08"/>
    <w:rsid w:val="00924221"/>
    <w:rsid w:val="00935574"/>
    <w:rsid w:val="0096423A"/>
    <w:rsid w:val="00976796"/>
    <w:rsid w:val="009F465B"/>
    <w:rsid w:val="00AB2AA0"/>
    <w:rsid w:val="00BE0064"/>
    <w:rsid w:val="00EF3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F29A4-D991-42B7-AF70-8471C817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622CE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22CE4"/>
    <w:rPr>
      <w:sz w:val="20"/>
      <w:szCs w:val="20"/>
    </w:rPr>
  </w:style>
  <w:style w:type="character" w:styleId="Sprotnaopomba-sklic">
    <w:name w:val="footnote reference"/>
    <w:aliases w:val="BVI fnr,Footnote Reference Number,Footnote Reference_LVL6,Footnote Reference_LVL61,Footnote Reference_LVL62,Footnote Reference_LVL63,Footnote Reference_LVL64,fr,Ref,de nota al pie,Ref1,de nota al pie1,Ref2,de nota al pie2,Ref11"/>
    <w:basedOn w:val="Privzetapisavaodstavka"/>
    <w:uiPriority w:val="99"/>
    <w:unhideWhenUsed/>
    <w:qFormat/>
    <w:rsid w:val="00622CE4"/>
    <w:rPr>
      <w:vertAlign w:val="superscript"/>
    </w:rPr>
  </w:style>
  <w:style w:type="table" w:customStyle="1" w:styleId="22">
    <w:name w:val="22"/>
    <w:basedOn w:val="Navadnatabela"/>
    <w:rsid w:val="00622CE4"/>
    <w:pPr>
      <w:spacing w:before="120" w:after="0" w:line="240" w:lineRule="auto"/>
      <w:jc w:val="both"/>
    </w:pPr>
    <w:rPr>
      <w:rFonts w:ascii="Times New Roman" w:eastAsia="Times New Roman" w:hAnsi="Times New Roman" w:cs="Times New Roman"/>
      <w:sz w:val="24"/>
      <w:szCs w:val="24"/>
      <w:lang w:eastAsia="sl-SI"/>
    </w:rPr>
    <w:tblPr>
      <w:tblStyleRowBandSize w:val="1"/>
      <w:tblStyleColBandSize w:val="1"/>
      <w:tblInd w:w="0" w:type="nil"/>
    </w:tblPr>
  </w:style>
  <w:style w:type="table" w:customStyle="1" w:styleId="21">
    <w:name w:val="21"/>
    <w:basedOn w:val="Navadnatabela"/>
    <w:rsid w:val="00622CE4"/>
    <w:pPr>
      <w:spacing w:before="120" w:after="0" w:line="240" w:lineRule="auto"/>
      <w:jc w:val="both"/>
    </w:pPr>
    <w:rPr>
      <w:rFonts w:ascii="Times New Roman" w:eastAsia="Times New Roman" w:hAnsi="Times New Roman" w:cs="Times New Roman"/>
      <w:sz w:val="24"/>
      <w:szCs w:val="24"/>
      <w:lang w:eastAsia="sl-SI"/>
    </w:rPr>
    <w:tblPr>
      <w:tblStyleRowBandSize w:val="1"/>
      <w:tblStyleColBandSize w:val="1"/>
      <w:tblInd w:w="0" w:type="nil"/>
    </w:tblPr>
  </w:style>
  <w:style w:type="table" w:customStyle="1" w:styleId="20">
    <w:name w:val="20"/>
    <w:basedOn w:val="Navadnatabela"/>
    <w:rsid w:val="00622CE4"/>
    <w:pPr>
      <w:spacing w:before="120" w:after="0" w:line="240" w:lineRule="auto"/>
      <w:jc w:val="both"/>
    </w:pPr>
    <w:rPr>
      <w:rFonts w:ascii="Times New Roman" w:eastAsia="Times New Roman" w:hAnsi="Times New Roman" w:cs="Times New Roman"/>
      <w:sz w:val="24"/>
      <w:szCs w:val="24"/>
      <w:lang w:eastAsia="sl-SI"/>
    </w:rPr>
    <w:tblPr>
      <w:tblStyleRowBandSize w:val="1"/>
      <w:tblStyleColBandSize w:val="1"/>
      <w:tblInd w:w="0" w:type="nil"/>
    </w:tblPr>
  </w:style>
  <w:style w:type="paragraph" w:styleId="Odstavekseznama">
    <w:name w:val="List Paragraph"/>
    <w:basedOn w:val="Navaden"/>
    <w:uiPriority w:val="34"/>
    <w:qFormat/>
    <w:rsid w:val="00622CE4"/>
    <w:pPr>
      <w:ind w:left="720"/>
      <w:contextualSpacing/>
    </w:pPr>
  </w:style>
  <w:style w:type="paragraph" w:styleId="Besedilooblaka">
    <w:name w:val="Balloon Text"/>
    <w:basedOn w:val="Navaden"/>
    <w:link w:val="BesedilooblakaZnak"/>
    <w:uiPriority w:val="99"/>
    <w:semiHidden/>
    <w:unhideWhenUsed/>
    <w:rsid w:val="00805D0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5D08"/>
    <w:rPr>
      <w:rFonts w:ascii="Segoe UI" w:hAnsi="Segoe UI" w:cs="Segoe UI"/>
      <w:sz w:val="18"/>
      <w:szCs w:val="18"/>
    </w:rPr>
  </w:style>
  <w:style w:type="table" w:styleId="Tabelamrea">
    <w:name w:val="Table Grid"/>
    <w:basedOn w:val="Navadnatabela"/>
    <w:uiPriority w:val="39"/>
    <w:rsid w:val="009642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35574"/>
    <w:pPr>
      <w:tabs>
        <w:tab w:val="center" w:pos="4536"/>
        <w:tab w:val="right" w:pos="9072"/>
      </w:tabs>
      <w:spacing w:after="0" w:line="240" w:lineRule="auto"/>
    </w:pPr>
  </w:style>
  <w:style w:type="character" w:customStyle="1" w:styleId="GlavaZnak">
    <w:name w:val="Glava Znak"/>
    <w:basedOn w:val="Privzetapisavaodstavka"/>
    <w:link w:val="Glava"/>
    <w:uiPriority w:val="99"/>
    <w:rsid w:val="00935574"/>
  </w:style>
  <w:style w:type="paragraph" w:styleId="Noga">
    <w:name w:val="footer"/>
    <w:basedOn w:val="Navaden"/>
    <w:link w:val="NogaZnak"/>
    <w:uiPriority w:val="99"/>
    <w:unhideWhenUsed/>
    <w:rsid w:val="00935574"/>
    <w:pPr>
      <w:tabs>
        <w:tab w:val="center" w:pos="4536"/>
        <w:tab w:val="right" w:pos="9072"/>
      </w:tabs>
      <w:spacing w:after="0" w:line="240" w:lineRule="auto"/>
    </w:pPr>
  </w:style>
  <w:style w:type="character" w:customStyle="1" w:styleId="NogaZnak">
    <w:name w:val="Noga Znak"/>
    <w:basedOn w:val="Privzetapisavaodstavka"/>
    <w:link w:val="Noga"/>
    <w:uiPriority w:val="99"/>
    <w:rsid w:val="0093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3021</Words>
  <Characters>17225</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SVRK</cp:lastModifiedBy>
  <cp:revision>2</cp:revision>
  <dcterms:created xsi:type="dcterms:W3CDTF">2022-11-29T09:25:00Z</dcterms:created>
  <dcterms:modified xsi:type="dcterms:W3CDTF">2022-11-29T09:25:00Z</dcterms:modified>
</cp:coreProperties>
</file>