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DA1F2" w14:textId="77777777" w:rsidR="00555224" w:rsidRPr="007E720F" w:rsidRDefault="00555224" w:rsidP="001E3DE5">
      <w:pPr>
        <w:pStyle w:val="Pagedecouverture"/>
        <w:rPr>
          <w:noProof/>
          <w:sz w:val="22"/>
        </w:rPr>
      </w:pPr>
    </w:p>
    <w:p w14:paraId="66EAB98C" w14:textId="77777777" w:rsidR="0087657F" w:rsidRPr="007E720F" w:rsidRDefault="001A17F5" w:rsidP="001E3DE5">
      <w:pPr>
        <w:pStyle w:val="Annexetitre"/>
        <w:jc w:val="both"/>
        <w:rPr>
          <w:noProof/>
          <w:sz w:val="22"/>
        </w:rPr>
      </w:pPr>
      <w:r w:rsidRPr="007E720F">
        <w:rPr>
          <w:noProof/>
          <w:sz w:val="22"/>
        </w:rPr>
        <w:t>L</w:t>
      </w:r>
      <w:r w:rsidR="001F5240" w:rsidRPr="007E720F">
        <w:rPr>
          <w:noProof/>
          <w:sz w:val="22"/>
        </w:rPr>
        <w:t xml:space="preserve">etno poročilo o smotrnosti Sklada za azil, migracije in vključevanje iz </w:t>
      </w:r>
      <w:r w:rsidRPr="007E720F">
        <w:rPr>
          <w:noProof/>
          <w:sz w:val="22"/>
        </w:rPr>
        <w:t>člena 35 Uredbe (EU) 2021/1147</w:t>
      </w:r>
    </w:p>
    <w:p w14:paraId="55DD1AC8" w14:textId="77777777" w:rsidR="0087657F" w:rsidRPr="007E720F" w:rsidRDefault="0087657F" w:rsidP="001E3DE5">
      <w:pPr>
        <w:rPr>
          <w:noProof/>
          <w:sz w:val="22"/>
        </w:rPr>
      </w:pPr>
    </w:p>
    <w:p w14:paraId="1E594C37" w14:textId="77777777" w:rsidR="0087657F" w:rsidRPr="007E720F" w:rsidRDefault="0087657F" w:rsidP="001E3DE5">
      <w:pPr>
        <w:pStyle w:val="ManualHeading1"/>
        <w:rPr>
          <w:noProof/>
          <w:sz w:val="22"/>
        </w:rPr>
      </w:pPr>
      <w:r w:rsidRPr="007E720F">
        <w:rPr>
          <w:noProof/>
          <w:sz w:val="22"/>
        </w:rPr>
        <w:t>OPREDELITEV</w:t>
      </w:r>
    </w:p>
    <w:tbl>
      <w:tblPr>
        <w:tblStyle w:val="Tabelasvetlamrea"/>
        <w:tblW w:w="9289" w:type="dxa"/>
        <w:tblLook w:val="04A0" w:firstRow="1" w:lastRow="0" w:firstColumn="1" w:lastColumn="0" w:noHBand="0" w:noVBand="1"/>
      </w:tblPr>
      <w:tblGrid>
        <w:gridCol w:w="4644"/>
        <w:gridCol w:w="4645"/>
      </w:tblGrid>
      <w:tr w:rsidR="007E720F" w:rsidRPr="007E720F" w14:paraId="67D00EF7" w14:textId="77777777" w:rsidTr="00D01BC5">
        <w:tc>
          <w:tcPr>
            <w:tcW w:w="4644" w:type="dxa"/>
          </w:tcPr>
          <w:p w14:paraId="62CDA07C" w14:textId="77777777" w:rsidR="00D01BC5" w:rsidRPr="007E720F" w:rsidRDefault="00D01BC5" w:rsidP="001E3DE5">
            <w:pPr>
              <w:pStyle w:val="Personnequisigne"/>
              <w:jc w:val="both"/>
              <w:rPr>
                <w:i w:val="0"/>
                <w:noProof/>
                <w:sz w:val="22"/>
              </w:rPr>
            </w:pPr>
            <w:r w:rsidRPr="007E720F">
              <w:rPr>
                <w:i w:val="0"/>
                <w:noProof/>
                <w:sz w:val="22"/>
              </w:rPr>
              <w:t>CCI</w:t>
            </w:r>
          </w:p>
        </w:tc>
        <w:tc>
          <w:tcPr>
            <w:tcW w:w="4645" w:type="dxa"/>
          </w:tcPr>
          <w:p w14:paraId="0592B255" w14:textId="77777777" w:rsidR="00D01BC5" w:rsidRPr="007E720F" w:rsidRDefault="00D01BC5" w:rsidP="001E3DE5">
            <w:pPr>
              <w:pStyle w:val="Personnequisigne"/>
              <w:jc w:val="both"/>
              <w:rPr>
                <w:i w:val="0"/>
                <w:noProof/>
                <w:sz w:val="22"/>
              </w:rPr>
            </w:pPr>
            <w:r w:rsidRPr="007E720F">
              <w:rPr>
                <w:i w:val="0"/>
                <w:noProof/>
                <w:sz w:val="22"/>
              </w:rPr>
              <w:t>2021SI65AMPR001</w:t>
            </w:r>
          </w:p>
        </w:tc>
      </w:tr>
      <w:tr w:rsidR="007E720F" w:rsidRPr="007E720F" w14:paraId="7986388E" w14:textId="77777777" w:rsidTr="00D01BC5">
        <w:tc>
          <w:tcPr>
            <w:tcW w:w="4644" w:type="dxa"/>
          </w:tcPr>
          <w:p w14:paraId="33DAFA64" w14:textId="77777777" w:rsidR="00D01BC5" w:rsidRPr="007E720F" w:rsidRDefault="00D01BC5" w:rsidP="001E3DE5">
            <w:pPr>
              <w:pStyle w:val="Personnequisigne"/>
              <w:jc w:val="both"/>
              <w:rPr>
                <w:i w:val="0"/>
                <w:noProof/>
                <w:sz w:val="22"/>
              </w:rPr>
            </w:pPr>
            <w:r w:rsidRPr="007E720F">
              <w:rPr>
                <w:i w:val="0"/>
                <w:noProof/>
                <w:sz w:val="22"/>
              </w:rPr>
              <w:t>Naslov</w:t>
            </w:r>
          </w:p>
        </w:tc>
        <w:tc>
          <w:tcPr>
            <w:tcW w:w="4645" w:type="dxa"/>
          </w:tcPr>
          <w:p w14:paraId="72C48DF1" w14:textId="77777777" w:rsidR="00D01BC5" w:rsidRPr="007E720F" w:rsidRDefault="00D01BC5" w:rsidP="001E3DE5">
            <w:pPr>
              <w:pStyle w:val="Personnequisigne"/>
              <w:jc w:val="both"/>
              <w:rPr>
                <w:i w:val="0"/>
                <w:noProof/>
                <w:sz w:val="22"/>
              </w:rPr>
            </w:pPr>
            <w:r w:rsidRPr="007E720F">
              <w:rPr>
                <w:i w:val="0"/>
                <w:noProof/>
                <w:sz w:val="22"/>
              </w:rPr>
              <w:t>Programme Slovenia-AMIF</w:t>
            </w:r>
          </w:p>
        </w:tc>
      </w:tr>
      <w:tr w:rsidR="007E720F" w:rsidRPr="007E720F" w14:paraId="05875388" w14:textId="77777777" w:rsidTr="00D01BC5">
        <w:tc>
          <w:tcPr>
            <w:tcW w:w="4644" w:type="dxa"/>
          </w:tcPr>
          <w:p w14:paraId="2D348FE8" w14:textId="77777777" w:rsidR="00D01BC5" w:rsidRPr="007E720F" w:rsidRDefault="00D01BC5" w:rsidP="001E3DE5">
            <w:pPr>
              <w:pStyle w:val="Personnequisigne"/>
              <w:jc w:val="both"/>
              <w:rPr>
                <w:i w:val="0"/>
                <w:noProof/>
                <w:sz w:val="22"/>
              </w:rPr>
            </w:pPr>
            <w:r w:rsidRPr="007E720F">
              <w:rPr>
                <w:i w:val="0"/>
                <w:noProof/>
                <w:sz w:val="22"/>
              </w:rPr>
              <w:t>Različica</w:t>
            </w:r>
          </w:p>
        </w:tc>
        <w:tc>
          <w:tcPr>
            <w:tcW w:w="4645" w:type="dxa"/>
          </w:tcPr>
          <w:p w14:paraId="5481758C" w14:textId="1776E2D3" w:rsidR="00D01BC5" w:rsidRPr="007E720F" w:rsidRDefault="00C4669D" w:rsidP="001E3DE5">
            <w:pPr>
              <w:pStyle w:val="Personnequisigne"/>
              <w:jc w:val="both"/>
              <w:rPr>
                <w:i w:val="0"/>
                <w:noProof/>
                <w:sz w:val="22"/>
              </w:rPr>
            </w:pPr>
            <w:r w:rsidRPr="007E720F">
              <w:rPr>
                <w:i w:val="0"/>
                <w:noProof/>
                <w:sz w:val="22"/>
              </w:rPr>
              <w:t>1</w:t>
            </w:r>
            <w:r w:rsidR="00D01BC5" w:rsidRPr="007E720F">
              <w:rPr>
                <w:i w:val="0"/>
                <w:noProof/>
                <w:sz w:val="22"/>
              </w:rPr>
              <w:t>.0</w:t>
            </w:r>
          </w:p>
        </w:tc>
      </w:tr>
      <w:tr w:rsidR="007E720F" w:rsidRPr="007E720F" w14:paraId="53A9AA37" w14:textId="77777777" w:rsidTr="00D01BC5">
        <w:tc>
          <w:tcPr>
            <w:tcW w:w="4644" w:type="dxa"/>
          </w:tcPr>
          <w:p w14:paraId="339C2973" w14:textId="77777777" w:rsidR="00D01BC5" w:rsidRPr="007E720F" w:rsidRDefault="00D01BC5" w:rsidP="001E3DE5">
            <w:pPr>
              <w:pStyle w:val="Personnequisigne"/>
              <w:jc w:val="both"/>
              <w:rPr>
                <w:i w:val="0"/>
                <w:noProof/>
                <w:sz w:val="22"/>
              </w:rPr>
            </w:pPr>
            <w:r w:rsidRPr="007E720F">
              <w:rPr>
                <w:i w:val="0"/>
                <w:noProof/>
                <w:sz w:val="22"/>
              </w:rPr>
              <w:t>Obračunsko leto</w:t>
            </w:r>
          </w:p>
        </w:tc>
        <w:tc>
          <w:tcPr>
            <w:tcW w:w="4645" w:type="dxa"/>
          </w:tcPr>
          <w:p w14:paraId="08EEFE97" w14:textId="775DED81" w:rsidR="00D01BC5" w:rsidRPr="007E720F" w:rsidRDefault="00C4669D" w:rsidP="001E3DE5">
            <w:pPr>
              <w:pStyle w:val="Personnequisigne"/>
              <w:jc w:val="both"/>
              <w:rPr>
                <w:i w:val="0"/>
                <w:noProof/>
                <w:sz w:val="22"/>
              </w:rPr>
            </w:pPr>
            <w:r w:rsidRPr="007E720F">
              <w:rPr>
                <w:i w:val="0"/>
                <w:noProof/>
                <w:sz w:val="22"/>
              </w:rPr>
              <w:t>1.7.2023-30.6.2024</w:t>
            </w:r>
          </w:p>
        </w:tc>
      </w:tr>
      <w:tr w:rsidR="007E720F" w:rsidRPr="007E720F" w14:paraId="6451123F" w14:textId="77777777" w:rsidTr="00D01BC5">
        <w:tc>
          <w:tcPr>
            <w:tcW w:w="4644" w:type="dxa"/>
          </w:tcPr>
          <w:p w14:paraId="2EF3E523" w14:textId="77777777" w:rsidR="00D01BC5" w:rsidRPr="007E720F" w:rsidRDefault="00D01BC5" w:rsidP="001E3DE5">
            <w:pPr>
              <w:pStyle w:val="Personnequisigne"/>
              <w:jc w:val="both"/>
              <w:rPr>
                <w:i w:val="0"/>
                <w:noProof/>
                <w:sz w:val="22"/>
              </w:rPr>
            </w:pPr>
            <w:r w:rsidRPr="007E720F">
              <w:rPr>
                <w:i w:val="0"/>
                <w:noProof/>
                <w:sz w:val="22"/>
              </w:rPr>
              <w:t>Datum potrditve poročila s strani odbora za spremljanje</w:t>
            </w:r>
          </w:p>
        </w:tc>
        <w:tc>
          <w:tcPr>
            <w:tcW w:w="4645" w:type="dxa"/>
          </w:tcPr>
          <w:p w14:paraId="5DAA2B6E" w14:textId="46B04D9E" w:rsidR="00D01BC5" w:rsidRPr="007E720F" w:rsidRDefault="00A33F16" w:rsidP="001E3DE5">
            <w:pPr>
              <w:pStyle w:val="Personnequisigne"/>
              <w:jc w:val="both"/>
              <w:rPr>
                <w:i w:val="0"/>
                <w:noProof/>
                <w:sz w:val="22"/>
              </w:rPr>
            </w:pPr>
            <w:r>
              <w:rPr>
                <w:i w:val="0"/>
                <w:noProof/>
                <w:sz w:val="22"/>
              </w:rPr>
              <w:t>23. 1. 2025</w:t>
            </w:r>
            <w:bookmarkStart w:id="0" w:name="_GoBack"/>
            <w:bookmarkEnd w:id="0"/>
          </w:p>
        </w:tc>
      </w:tr>
    </w:tbl>
    <w:p w14:paraId="1535DB53" w14:textId="77777777" w:rsidR="0087657F" w:rsidRPr="007E720F" w:rsidRDefault="00CF7D3B" w:rsidP="001E3DE5">
      <w:pPr>
        <w:pStyle w:val="ManualHeading1"/>
        <w:rPr>
          <w:noProof/>
          <w:sz w:val="22"/>
        </w:rPr>
      </w:pPr>
      <w:r w:rsidRPr="007E720F">
        <w:rPr>
          <w:sz w:val="22"/>
        </w:rPr>
        <w:t>1.</w:t>
      </w:r>
      <w:r w:rsidRPr="007E720F">
        <w:rPr>
          <w:sz w:val="22"/>
        </w:rPr>
        <w:tab/>
      </w:r>
      <w:r w:rsidR="0087657F" w:rsidRPr="007E720F">
        <w:rPr>
          <w:noProof/>
          <w:sz w:val="22"/>
        </w:rPr>
        <w:t>Smotrnost</w:t>
      </w:r>
    </w:p>
    <w:p w14:paraId="4E2BA9DC" w14:textId="77777777" w:rsidR="0087657F" w:rsidRPr="007E720F" w:rsidRDefault="00CF7D3B" w:rsidP="001E3DE5">
      <w:pPr>
        <w:pStyle w:val="ManualHeading2"/>
        <w:rPr>
          <w:noProof/>
          <w:sz w:val="22"/>
        </w:rPr>
      </w:pPr>
      <w:r w:rsidRPr="007E720F">
        <w:rPr>
          <w:sz w:val="22"/>
        </w:rPr>
        <w:t>1.1.</w:t>
      </w:r>
      <w:r w:rsidRPr="007E720F">
        <w:rPr>
          <w:sz w:val="22"/>
        </w:rPr>
        <w:tab/>
      </w:r>
      <w:r w:rsidR="0087657F" w:rsidRPr="007E720F">
        <w:rPr>
          <w:noProof/>
          <w:sz w:val="22"/>
        </w:rPr>
        <w:t>Napredek pri izvajanju – člen 35(2), točka (a), Uredbe (EU) 2021/1147</w:t>
      </w:r>
    </w:p>
    <w:p w14:paraId="7C204B4A" w14:textId="77777777" w:rsidR="0087657F" w:rsidRPr="007E720F" w:rsidRDefault="0087657F" w:rsidP="001E3DE5">
      <w:pPr>
        <w:rPr>
          <w:noProof/>
          <w:sz w:val="22"/>
        </w:rPr>
      </w:pPr>
      <w:r w:rsidRPr="007E720F">
        <w:rPr>
          <w:noProof/>
          <w:sz w:val="22"/>
        </w:rPr>
        <w:t>Za vsak specifični cilj poročajte o napredku pri izvajanju programa ter doseganju mejnikov in ciljev iz programa, pri čemer upoštevajte najnovejše podatke za obračunsko leto, kot zahteva člen 42 Uredbe (EU) 2021/1060. To se nanaša na kumulativne podatke, predložene do 31. julija v letu pred letom predložitve poročila.</w:t>
      </w:r>
    </w:p>
    <w:p w14:paraId="7DF54513" w14:textId="77777777" w:rsidR="0087657F" w:rsidRPr="007E720F" w:rsidRDefault="0087657F" w:rsidP="001E3DE5">
      <w:pPr>
        <w:rPr>
          <w:noProof/>
          <w:sz w:val="22"/>
        </w:rPr>
      </w:pPr>
      <w:r w:rsidRPr="007E720F">
        <w:rPr>
          <w:noProof/>
          <w:sz w:val="22"/>
        </w:rPr>
        <w:t xml:space="preserve">V okviru vsakega specifičnega cilja bi morale biti informacije o napredku po možnosti strukturirane po izvedbenih ukrepih, okvirnih ukrepih in želenih rezultatih, opredeljenih v programu. </w:t>
      </w:r>
    </w:p>
    <w:p w14:paraId="4567D905" w14:textId="77777777" w:rsidR="0087657F" w:rsidRPr="007E720F" w:rsidRDefault="00A002B3" w:rsidP="001E3DE5">
      <w:pPr>
        <w:rPr>
          <w:noProof/>
          <w:sz w:val="22"/>
        </w:rPr>
      </w:pPr>
      <w:r w:rsidRPr="007E720F">
        <w:rPr>
          <w:noProof/>
          <w:sz w:val="22"/>
        </w:rPr>
        <w:t>Opišite tudi vse sprejete ukrepe in zadevne dejavnosti v zvezi z izvajanjem partnerstva v skladu s členom 8(2) Uredbe (EU) 2021/1060.</w:t>
      </w:r>
    </w:p>
    <w:tbl>
      <w:tblPr>
        <w:tblStyle w:val="Tabelamrea"/>
        <w:tblW w:w="0" w:type="auto"/>
        <w:tblLook w:val="04A0" w:firstRow="1" w:lastRow="0" w:firstColumn="1" w:lastColumn="0" w:noHBand="0" w:noVBand="1"/>
      </w:tblPr>
      <w:tblGrid>
        <w:gridCol w:w="9063"/>
      </w:tblGrid>
      <w:tr w:rsidR="007E720F" w:rsidRPr="007E720F" w14:paraId="07F1E399" w14:textId="77777777" w:rsidTr="00595FD6">
        <w:tc>
          <w:tcPr>
            <w:tcW w:w="9289" w:type="dxa"/>
          </w:tcPr>
          <w:p w14:paraId="59D1969F" w14:textId="3BA5EF85" w:rsidR="00231978" w:rsidRPr="007E720F" w:rsidRDefault="00605394" w:rsidP="001E3DE5">
            <w:pPr>
              <w:pStyle w:val="Personnequisigne"/>
              <w:jc w:val="both"/>
              <w:rPr>
                <w:i w:val="0"/>
                <w:noProof/>
                <w:sz w:val="22"/>
              </w:rPr>
            </w:pPr>
            <w:r w:rsidRPr="007E720F">
              <w:rPr>
                <w:i w:val="0"/>
                <w:sz w:val="22"/>
              </w:rPr>
              <w:t xml:space="preserve">Slovenija </w:t>
            </w:r>
            <w:r w:rsidR="00A668EA" w:rsidRPr="007E720F">
              <w:rPr>
                <w:i w:val="0"/>
                <w:sz w:val="22"/>
              </w:rPr>
              <w:t xml:space="preserve">je </w:t>
            </w:r>
            <w:r w:rsidRPr="007E720F">
              <w:rPr>
                <w:i w:val="0"/>
                <w:sz w:val="22"/>
              </w:rPr>
              <w:t>v obračunskem obdobju poročanja, t.j. od 1.</w:t>
            </w:r>
            <w:r w:rsidR="00AF3F3C" w:rsidRPr="007E720F">
              <w:rPr>
                <w:i w:val="0"/>
                <w:sz w:val="22"/>
              </w:rPr>
              <w:t> </w:t>
            </w:r>
            <w:r w:rsidRPr="007E720F">
              <w:rPr>
                <w:i w:val="0"/>
                <w:sz w:val="22"/>
              </w:rPr>
              <w:t>7.</w:t>
            </w:r>
            <w:r w:rsidR="00AF3F3C" w:rsidRPr="007E720F">
              <w:rPr>
                <w:i w:val="0"/>
                <w:sz w:val="22"/>
              </w:rPr>
              <w:t> </w:t>
            </w:r>
            <w:r w:rsidR="00A668EA" w:rsidRPr="007E720F">
              <w:rPr>
                <w:i w:val="0"/>
                <w:sz w:val="22"/>
              </w:rPr>
              <w:t>2023</w:t>
            </w:r>
            <w:r w:rsidRPr="007E720F">
              <w:rPr>
                <w:i w:val="0"/>
                <w:sz w:val="22"/>
              </w:rPr>
              <w:t xml:space="preserve"> do 30.</w:t>
            </w:r>
            <w:r w:rsidR="00AF3F3C" w:rsidRPr="007E720F">
              <w:rPr>
                <w:i w:val="0"/>
                <w:sz w:val="22"/>
              </w:rPr>
              <w:t> </w:t>
            </w:r>
            <w:r w:rsidRPr="007E720F">
              <w:rPr>
                <w:i w:val="0"/>
                <w:sz w:val="22"/>
              </w:rPr>
              <w:t>6.</w:t>
            </w:r>
            <w:r w:rsidR="00AF3F3C" w:rsidRPr="007E720F">
              <w:rPr>
                <w:i w:val="0"/>
                <w:sz w:val="22"/>
              </w:rPr>
              <w:t> </w:t>
            </w:r>
            <w:r w:rsidRPr="007E720F">
              <w:rPr>
                <w:i w:val="0"/>
                <w:sz w:val="22"/>
              </w:rPr>
              <w:t>202</w:t>
            </w:r>
            <w:r w:rsidR="00A668EA" w:rsidRPr="007E720F">
              <w:rPr>
                <w:i w:val="0"/>
                <w:sz w:val="22"/>
              </w:rPr>
              <w:t>4</w:t>
            </w:r>
            <w:r w:rsidR="00231978" w:rsidRPr="007E720F">
              <w:rPr>
                <w:i w:val="0"/>
                <w:sz w:val="22"/>
              </w:rPr>
              <w:t xml:space="preserve">, </w:t>
            </w:r>
            <w:r w:rsidR="00231978" w:rsidRPr="007E720F">
              <w:rPr>
                <w:i w:val="0"/>
                <w:noProof/>
                <w:sz w:val="22"/>
              </w:rPr>
              <w:t>izvajala aktivnosti vezano na program AMIF.</w:t>
            </w:r>
          </w:p>
          <w:p w14:paraId="588C308B" w14:textId="77777777" w:rsidR="00231978" w:rsidRPr="007E720F" w:rsidRDefault="00231978" w:rsidP="001E3DE5">
            <w:pPr>
              <w:pStyle w:val="Personnequisigne"/>
              <w:jc w:val="both"/>
              <w:rPr>
                <w:i w:val="0"/>
                <w:sz w:val="22"/>
              </w:rPr>
            </w:pPr>
          </w:p>
          <w:p w14:paraId="152F3C16" w14:textId="77777777" w:rsidR="00231978" w:rsidRPr="007E720F" w:rsidRDefault="00231978" w:rsidP="001E3DE5">
            <w:pPr>
              <w:pStyle w:val="Personnequisigne"/>
              <w:jc w:val="both"/>
              <w:rPr>
                <w:i w:val="0"/>
                <w:sz w:val="22"/>
              </w:rPr>
            </w:pPr>
            <w:r w:rsidRPr="007E720F">
              <w:rPr>
                <w:i w:val="0"/>
                <w:sz w:val="22"/>
              </w:rPr>
              <w:t>OU je vzpostavil informacijski sistem MIGRA III, preko katerega poteka izmenjava informacij med OU in upravičenci, t.j. oddaja prijav operacij, poročanje o izvajanju operacij (zahtevki za povračilo). IT sistem se redno nadgrajuje, posodablja glede na potrebe uporabnikov ter se odpravlja morebitne napake.</w:t>
            </w:r>
          </w:p>
          <w:p w14:paraId="5020C792" w14:textId="77777777" w:rsidR="00231978" w:rsidRPr="007E720F" w:rsidRDefault="00231978" w:rsidP="001E3DE5">
            <w:pPr>
              <w:pStyle w:val="Personnequisigne"/>
              <w:jc w:val="both"/>
              <w:rPr>
                <w:sz w:val="22"/>
              </w:rPr>
            </w:pPr>
          </w:p>
          <w:p w14:paraId="16A9E1CA" w14:textId="0BED1316" w:rsidR="00605394" w:rsidRPr="007E720F" w:rsidRDefault="00605394" w:rsidP="001E3DE5">
            <w:pPr>
              <w:pStyle w:val="Personnequisigne"/>
              <w:jc w:val="both"/>
              <w:rPr>
                <w:i w:val="0"/>
                <w:sz w:val="22"/>
              </w:rPr>
            </w:pPr>
            <w:r w:rsidRPr="007E720F">
              <w:rPr>
                <w:i w:val="0"/>
                <w:sz w:val="22"/>
              </w:rPr>
              <w:t xml:space="preserve">V </w:t>
            </w:r>
            <w:r w:rsidR="00A668EA" w:rsidRPr="007E720F">
              <w:rPr>
                <w:i w:val="0"/>
                <w:sz w:val="22"/>
              </w:rPr>
              <w:t xml:space="preserve">tem </w:t>
            </w:r>
            <w:r w:rsidRPr="007E720F">
              <w:rPr>
                <w:i w:val="0"/>
                <w:sz w:val="22"/>
              </w:rPr>
              <w:t xml:space="preserve">obdobju je organ upravljanja (OU) </w:t>
            </w:r>
            <w:r w:rsidR="00A668EA" w:rsidRPr="007E720F">
              <w:rPr>
                <w:i w:val="0"/>
                <w:sz w:val="22"/>
              </w:rPr>
              <w:t xml:space="preserve">v skladu z </w:t>
            </w:r>
            <w:r w:rsidRPr="007E720F">
              <w:rPr>
                <w:i w:val="0"/>
                <w:sz w:val="22"/>
              </w:rPr>
              <w:t>Akcijski</w:t>
            </w:r>
            <w:r w:rsidR="00A668EA" w:rsidRPr="007E720F">
              <w:rPr>
                <w:i w:val="0"/>
                <w:sz w:val="22"/>
              </w:rPr>
              <w:t>m</w:t>
            </w:r>
            <w:r w:rsidRPr="007E720F">
              <w:rPr>
                <w:i w:val="0"/>
                <w:sz w:val="22"/>
              </w:rPr>
              <w:t xml:space="preserve"> načrt</w:t>
            </w:r>
            <w:r w:rsidR="00A668EA" w:rsidRPr="007E720F">
              <w:rPr>
                <w:i w:val="0"/>
                <w:sz w:val="22"/>
              </w:rPr>
              <w:t>om</w:t>
            </w:r>
            <w:r w:rsidRPr="007E720F">
              <w:rPr>
                <w:i w:val="0"/>
                <w:sz w:val="22"/>
              </w:rPr>
              <w:t xml:space="preserve"> za program AMIF (Akcijski načrt AMIF)</w:t>
            </w:r>
            <w:r w:rsidR="00A668EA" w:rsidRPr="007E720F">
              <w:rPr>
                <w:i w:val="0"/>
                <w:sz w:val="22"/>
              </w:rPr>
              <w:t xml:space="preserve"> -</w:t>
            </w:r>
            <w:r w:rsidRPr="007E720F">
              <w:rPr>
                <w:i w:val="0"/>
                <w:sz w:val="22"/>
              </w:rPr>
              <w:t xml:space="preserve"> ki predstavlja razdelitev/dodelitev vseh finančnih sredstev upravičenem</w:t>
            </w:r>
            <w:r w:rsidR="00A668EA" w:rsidRPr="007E720F">
              <w:rPr>
                <w:i w:val="0"/>
                <w:sz w:val="22"/>
              </w:rPr>
              <w:t xml:space="preserve"> in d</w:t>
            </w:r>
            <w:r w:rsidRPr="007E720F">
              <w:rPr>
                <w:i w:val="0"/>
                <w:sz w:val="22"/>
              </w:rPr>
              <w:t>oloča način dodelitve (javni razpis ali neposredna dodelitev)</w:t>
            </w:r>
            <w:r w:rsidR="00A668EA" w:rsidRPr="007E720F">
              <w:rPr>
                <w:i w:val="0"/>
                <w:sz w:val="22"/>
              </w:rPr>
              <w:t xml:space="preserve"> – nadaljeval </w:t>
            </w:r>
            <w:r w:rsidR="00AF346F" w:rsidRPr="007E720F">
              <w:rPr>
                <w:i w:val="0"/>
                <w:sz w:val="22"/>
              </w:rPr>
              <w:t>z o</w:t>
            </w:r>
            <w:r w:rsidR="00A668EA" w:rsidRPr="007E720F">
              <w:rPr>
                <w:i w:val="0"/>
                <w:sz w:val="22"/>
              </w:rPr>
              <w:t>d</w:t>
            </w:r>
            <w:r w:rsidR="00AF346F" w:rsidRPr="007E720F">
              <w:rPr>
                <w:i w:val="0"/>
                <w:sz w:val="22"/>
              </w:rPr>
              <w:t>ob</w:t>
            </w:r>
            <w:r w:rsidR="00A668EA" w:rsidRPr="007E720F">
              <w:rPr>
                <w:i w:val="0"/>
                <w:sz w:val="22"/>
              </w:rPr>
              <w:t xml:space="preserve">ritvijo operacij. </w:t>
            </w:r>
            <w:r w:rsidR="00AF346F" w:rsidRPr="007E720F">
              <w:rPr>
                <w:i w:val="0"/>
                <w:sz w:val="22"/>
              </w:rPr>
              <w:t xml:space="preserve">Izvajalo se je </w:t>
            </w:r>
            <w:r w:rsidR="00AF346F" w:rsidRPr="007E720F">
              <w:rPr>
                <w:i w:val="0"/>
                <w:noProof/>
                <w:sz w:val="22"/>
              </w:rPr>
              <w:t xml:space="preserve">27 od načrtovanih </w:t>
            </w:r>
            <w:r w:rsidRPr="007E720F">
              <w:rPr>
                <w:i w:val="0"/>
                <w:noProof/>
                <w:sz w:val="22"/>
              </w:rPr>
              <w:t xml:space="preserve">44 operacij (od tega </w:t>
            </w:r>
            <w:r w:rsidR="003F566A" w:rsidRPr="007E720F">
              <w:rPr>
                <w:i w:val="0"/>
                <w:noProof/>
                <w:sz w:val="22"/>
              </w:rPr>
              <w:t xml:space="preserve">23 od </w:t>
            </w:r>
            <w:r w:rsidRPr="007E720F">
              <w:rPr>
                <w:i w:val="0"/>
                <w:noProof/>
                <w:sz w:val="22"/>
              </w:rPr>
              <w:t xml:space="preserve">28 </w:t>
            </w:r>
            <w:r w:rsidR="003F566A" w:rsidRPr="007E720F">
              <w:rPr>
                <w:i w:val="0"/>
                <w:noProof/>
                <w:sz w:val="22"/>
              </w:rPr>
              <w:t xml:space="preserve">operacij </w:t>
            </w:r>
            <w:r w:rsidRPr="007E720F">
              <w:rPr>
                <w:i w:val="0"/>
                <w:noProof/>
                <w:sz w:val="22"/>
              </w:rPr>
              <w:t>neposredn</w:t>
            </w:r>
            <w:r w:rsidR="00AF346F" w:rsidRPr="007E720F">
              <w:rPr>
                <w:i w:val="0"/>
                <w:noProof/>
                <w:sz w:val="22"/>
              </w:rPr>
              <w:t xml:space="preserve">e dodelitve in </w:t>
            </w:r>
            <w:r w:rsidR="003F566A" w:rsidRPr="007E720F">
              <w:rPr>
                <w:i w:val="0"/>
                <w:noProof/>
                <w:sz w:val="22"/>
              </w:rPr>
              <w:t xml:space="preserve">4 od 16 javnih </w:t>
            </w:r>
            <w:r w:rsidR="00AF346F" w:rsidRPr="007E720F">
              <w:rPr>
                <w:i w:val="0"/>
                <w:noProof/>
                <w:sz w:val="22"/>
              </w:rPr>
              <w:t>razpis</w:t>
            </w:r>
            <w:r w:rsidR="003F566A" w:rsidRPr="007E720F">
              <w:rPr>
                <w:i w:val="0"/>
                <w:noProof/>
                <w:sz w:val="22"/>
              </w:rPr>
              <w:t>ov).</w:t>
            </w:r>
          </w:p>
          <w:p w14:paraId="1E537476" w14:textId="0891AFAC" w:rsidR="00605394" w:rsidRPr="007E720F" w:rsidRDefault="00605394" w:rsidP="001E3DE5">
            <w:pPr>
              <w:pStyle w:val="Personnequisigne"/>
              <w:jc w:val="both"/>
              <w:rPr>
                <w:b/>
                <w:i w:val="0"/>
                <w:sz w:val="22"/>
              </w:rPr>
            </w:pPr>
          </w:p>
          <w:p w14:paraId="494F5A80" w14:textId="17DCA006" w:rsidR="00682BB6" w:rsidRPr="007E720F" w:rsidRDefault="00231978" w:rsidP="001E3DE5">
            <w:pPr>
              <w:pStyle w:val="Personnequisigne"/>
              <w:jc w:val="both"/>
              <w:rPr>
                <w:i w:val="0"/>
                <w:sz w:val="22"/>
              </w:rPr>
            </w:pPr>
            <w:r w:rsidRPr="007E720F">
              <w:rPr>
                <w:i w:val="0"/>
                <w:sz w:val="22"/>
              </w:rPr>
              <w:t>V okviru</w:t>
            </w:r>
            <w:r w:rsidRPr="007E720F">
              <w:rPr>
                <w:b/>
                <w:i w:val="0"/>
                <w:sz w:val="22"/>
              </w:rPr>
              <w:t xml:space="preserve"> Specifičnega cilja 1 </w:t>
            </w:r>
            <w:r w:rsidR="00EC38CF" w:rsidRPr="007E720F">
              <w:rPr>
                <w:i w:val="0"/>
                <w:sz w:val="22"/>
              </w:rPr>
              <w:t xml:space="preserve">so se izvajale ali je bil odobren začetek izvajanja operacij </w:t>
            </w:r>
            <w:r w:rsidRPr="007E720F">
              <w:rPr>
                <w:i w:val="0"/>
                <w:sz w:val="22"/>
              </w:rPr>
              <w:t xml:space="preserve">(po izvedbenih ukrepih): </w:t>
            </w:r>
            <w:r w:rsidR="00906F83" w:rsidRPr="007E720F">
              <w:rPr>
                <w:i w:val="0"/>
                <w:sz w:val="22"/>
              </w:rPr>
              <w:t>Zdravstveni pregledi in materialna oskrba prosilcev; Usposabljanje zakonitih zastopnikov, študijski obiski in supervizija; Pravno svetovanje in druga podpora v postopkih mednarodne zaščite; Prevajanje in tolmačenje; Spremstva pri predaji/prevzemu tujcev; Usposabljanje javnih uslužbencev in drugih deležnikov v postopkih mednarodne zaščite; Opismenjevanje, učna pomoč in tečaji slovenskega jezika za prosilce; Psihiatrična in psihoterapevtska podpora ter finančna pomoč za prosilce; Preprečevanje trgovine z ljudmi, spolnega nasilja in podpora ženskam; Podpora v postopku priznanja mednarodne zaščite; Zagotovitev nastanitve in oskrbe mladoletnikov brez spremstva; Psihosocialna pomoč in prostočasne aktivnosti in mlad</w:t>
            </w:r>
            <w:r w:rsidR="00EC38CF" w:rsidRPr="007E720F">
              <w:rPr>
                <w:i w:val="0"/>
                <w:sz w:val="22"/>
              </w:rPr>
              <w:t xml:space="preserve">oletnikov brez spremstva; </w:t>
            </w:r>
            <w:r w:rsidR="00906F83" w:rsidRPr="007E720F">
              <w:rPr>
                <w:i w:val="0"/>
                <w:sz w:val="22"/>
              </w:rPr>
              <w:t>Stroški vzdrževanja opreme, infrastrukture in stroški plač zaposlenih</w:t>
            </w:r>
            <w:r w:rsidR="00906F83" w:rsidRPr="007E720F">
              <w:rPr>
                <w:i w:val="0"/>
                <w:iCs/>
                <w:sz w:val="22"/>
              </w:rPr>
              <w:t>.</w:t>
            </w:r>
            <w:r w:rsidR="00682BB6" w:rsidRPr="007E720F">
              <w:rPr>
                <w:i w:val="0"/>
                <w:iCs/>
                <w:sz w:val="22"/>
              </w:rPr>
              <w:t xml:space="preserve"> </w:t>
            </w:r>
          </w:p>
          <w:p w14:paraId="1880BCC3" w14:textId="5ABEEA74" w:rsidR="00E12882" w:rsidRPr="007E720F" w:rsidRDefault="00E12882" w:rsidP="001E3DE5">
            <w:pPr>
              <w:pStyle w:val="Personnequisigne"/>
              <w:jc w:val="both"/>
              <w:rPr>
                <w:i w:val="0"/>
                <w:sz w:val="22"/>
                <w:u w:val="single"/>
              </w:rPr>
            </w:pPr>
          </w:p>
          <w:p w14:paraId="4CE2DBB2" w14:textId="22AB163C" w:rsidR="004510E5" w:rsidRPr="007E720F" w:rsidRDefault="004510E5" w:rsidP="001E3DE5">
            <w:pPr>
              <w:pStyle w:val="Personnequisigne"/>
              <w:jc w:val="both"/>
              <w:rPr>
                <w:i w:val="0"/>
                <w:sz w:val="22"/>
              </w:rPr>
            </w:pPr>
            <w:r w:rsidRPr="007E720F">
              <w:rPr>
                <w:i w:val="0"/>
                <w:sz w:val="22"/>
                <w:u w:val="single"/>
              </w:rPr>
              <w:t>Izvedbeni ukrep 1a:</w:t>
            </w:r>
          </w:p>
          <w:p w14:paraId="2F309381" w14:textId="7B1778F0" w:rsidR="00AA493F" w:rsidRPr="007E720F" w:rsidRDefault="004510E5" w:rsidP="001E3DE5">
            <w:pPr>
              <w:pStyle w:val="Personnequisigne"/>
              <w:jc w:val="both"/>
              <w:rPr>
                <w:i w:val="0"/>
                <w:sz w:val="22"/>
              </w:rPr>
            </w:pPr>
            <w:r w:rsidRPr="007E720F">
              <w:rPr>
                <w:i w:val="0"/>
                <w:sz w:val="22"/>
              </w:rPr>
              <w:lastRenderedPageBreak/>
              <w:t xml:space="preserve">Vsi </w:t>
            </w:r>
            <w:r w:rsidR="00DD7597" w:rsidRPr="007E720F">
              <w:rPr>
                <w:i w:val="0"/>
                <w:sz w:val="22"/>
              </w:rPr>
              <w:t xml:space="preserve">si vlagatelji namere za podajo prošnje za </w:t>
            </w:r>
            <w:r w:rsidR="00906F83" w:rsidRPr="007E720F">
              <w:rPr>
                <w:i w:val="0"/>
                <w:sz w:val="22"/>
              </w:rPr>
              <w:t>mednarodno zaščito (</w:t>
            </w:r>
            <w:r w:rsidR="00DD7597" w:rsidRPr="007E720F">
              <w:rPr>
                <w:i w:val="0"/>
                <w:sz w:val="22"/>
              </w:rPr>
              <w:t>MZ</w:t>
            </w:r>
            <w:r w:rsidR="00906F83" w:rsidRPr="007E720F">
              <w:rPr>
                <w:i w:val="0"/>
                <w:sz w:val="22"/>
              </w:rPr>
              <w:t>)</w:t>
            </w:r>
            <w:r w:rsidR="00DD7597" w:rsidRPr="007E720F">
              <w:rPr>
                <w:i w:val="0"/>
                <w:sz w:val="22"/>
              </w:rPr>
              <w:t xml:space="preserve"> so bili </w:t>
            </w:r>
            <w:r w:rsidR="00AA493F" w:rsidRPr="007E720F">
              <w:rPr>
                <w:i w:val="0"/>
                <w:sz w:val="22"/>
              </w:rPr>
              <w:t>ustrezno informirani o pravicah in dolžnostih ter pravilih bivanja v AD.</w:t>
            </w:r>
            <w:r w:rsidR="00E6421B" w:rsidRPr="007E720F">
              <w:rPr>
                <w:i w:val="0"/>
                <w:sz w:val="22"/>
              </w:rPr>
              <w:t xml:space="preserve"> Postopki MZ so potekali v jeziku, ki ga prosilec razume</w:t>
            </w:r>
            <w:r w:rsidR="00032A7B" w:rsidRPr="007E720F">
              <w:rPr>
                <w:i w:val="0"/>
                <w:sz w:val="22"/>
              </w:rPr>
              <w:t xml:space="preserve"> in v katerem lahko aktivno sodeluje</w:t>
            </w:r>
            <w:r w:rsidR="00E6421B" w:rsidRPr="007E720F">
              <w:rPr>
                <w:i w:val="0"/>
                <w:sz w:val="22"/>
              </w:rPr>
              <w:t>. To velja tudi za postopke vračanja v državo izvora</w:t>
            </w:r>
            <w:r w:rsidR="00AA493F" w:rsidRPr="007E720F">
              <w:rPr>
                <w:i w:val="0"/>
                <w:sz w:val="22"/>
              </w:rPr>
              <w:t xml:space="preserve"> ali državo pristojno za obravnavo prošnje (t.i. dublinski postopki)</w:t>
            </w:r>
            <w:r w:rsidR="00E6421B" w:rsidRPr="007E720F">
              <w:rPr>
                <w:i w:val="0"/>
                <w:sz w:val="22"/>
              </w:rPr>
              <w:t>. Prosilcem je bila v postopkih pred sodišči zagotovljena brezplačna pravna pomoč oz. zastopanje. Mladoletni prosilci so imeli zagotovljene zakonite zastopnike, ki</w:t>
            </w:r>
            <w:r w:rsidR="00AA493F" w:rsidRPr="007E720F">
              <w:rPr>
                <w:i w:val="0"/>
                <w:sz w:val="22"/>
              </w:rPr>
              <w:t xml:space="preserve"> so izvajali vse vrste podpore tekom postopka </w:t>
            </w:r>
            <w:r w:rsidR="00E6421B" w:rsidRPr="007E720F">
              <w:rPr>
                <w:i w:val="0"/>
                <w:sz w:val="22"/>
              </w:rPr>
              <w:t>MZ</w:t>
            </w:r>
            <w:r w:rsidR="00AA493F" w:rsidRPr="007E720F">
              <w:rPr>
                <w:i w:val="0"/>
                <w:sz w:val="22"/>
              </w:rPr>
              <w:t xml:space="preserve"> (vključno z zdravstvom, </w:t>
            </w:r>
            <w:r w:rsidR="00387BB7" w:rsidRPr="007E720F">
              <w:rPr>
                <w:i w:val="0"/>
                <w:sz w:val="22"/>
              </w:rPr>
              <w:t xml:space="preserve">šolstvom, </w:t>
            </w:r>
            <w:r w:rsidR="00AA493F" w:rsidRPr="007E720F">
              <w:rPr>
                <w:i w:val="0"/>
                <w:sz w:val="22"/>
              </w:rPr>
              <w:t>nastanitvijo, ipd.). Osebam v postopku po Ur</w:t>
            </w:r>
            <w:r w:rsidR="00032A7B" w:rsidRPr="007E720F">
              <w:rPr>
                <w:i w:val="0"/>
                <w:sz w:val="22"/>
              </w:rPr>
              <w:t>edbi</w:t>
            </w:r>
            <w:r w:rsidR="00906F83" w:rsidRPr="007E720F">
              <w:rPr>
                <w:i w:val="0"/>
                <w:sz w:val="22"/>
              </w:rPr>
              <w:t xml:space="preserve"> </w:t>
            </w:r>
            <w:r w:rsidR="00AA493F" w:rsidRPr="007E720F">
              <w:rPr>
                <w:i w:val="0"/>
                <w:sz w:val="22"/>
              </w:rPr>
              <w:t>604/2013</w:t>
            </w:r>
            <w:r w:rsidR="00906F83" w:rsidRPr="007E720F">
              <w:rPr>
                <w:i w:val="0"/>
                <w:sz w:val="22"/>
              </w:rPr>
              <w:t>/EU</w:t>
            </w:r>
            <w:r w:rsidR="00032A7B" w:rsidRPr="007E720F">
              <w:rPr>
                <w:i w:val="0"/>
                <w:sz w:val="22"/>
              </w:rPr>
              <w:t xml:space="preserve"> in osebam v postopku vračanja je bilo v času predaje zagotovljeno ustrezno spremstvo.</w:t>
            </w:r>
          </w:p>
          <w:p w14:paraId="51064BE6" w14:textId="379A94D0" w:rsidR="00AA493F" w:rsidRPr="007E720F" w:rsidRDefault="00AA493F" w:rsidP="001E3DE5">
            <w:pPr>
              <w:pStyle w:val="Personnequisigne"/>
              <w:jc w:val="both"/>
              <w:rPr>
                <w:i w:val="0"/>
                <w:sz w:val="22"/>
              </w:rPr>
            </w:pPr>
          </w:p>
          <w:p w14:paraId="404BC249" w14:textId="6DF0D92A" w:rsidR="004D5420" w:rsidRPr="007E720F" w:rsidRDefault="004D5420" w:rsidP="001E3DE5">
            <w:pPr>
              <w:pStyle w:val="Pripombabesedilo"/>
              <w:rPr>
                <w:sz w:val="22"/>
                <w:szCs w:val="22"/>
              </w:rPr>
            </w:pPr>
            <w:r w:rsidRPr="007E720F">
              <w:rPr>
                <w:sz w:val="22"/>
                <w:szCs w:val="22"/>
              </w:rPr>
              <w:t>Aktivnosti na operaciji usposabljanje javnih uslužbencev in drugih deležnikov v postopkih mednarodne zaščite, se še niso začele izvajati. Aktivnosti se bodo sprožile v luči implementacije Pakta o migracijah in azilu.</w:t>
            </w:r>
          </w:p>
          <w:p w14:paraId="2730D2CD" w14:textId="78AD07CC" w:rsidR="00906F83" w:rsidRPr="007E720F" w:rsidRDefault="00906F83" w:rsidP="001E3DE5">
            <w:pPr>
              <w:pStyle w:val="Personnequisigne"/>
              <w:jc w:val="both"/>
              <w:rPr>
                <w:i w:val="0"/>
                <w:sz w:val="22"/>
              </w:rPr>
            </w:pPr>
            <w:r w:rsidRPr="007E720F">
              <w:rPr>
                <w:i w:val="0"/>
                <w:sz w:val="22"/>
                <w:u w:val="single"/>
              </w:rPr>
              <w:t>Izvedbeni ukrep 1b:</w:t>
            </w:r>
          </w:p>
          <w:p w14:paraId="76F44555" w14:textId="77777777" w:rsidR="00906F83" w:rsidRPr="007E720F" w:rsidRDefault="00906F83" w:rsidP="001E3DE5">
            <w:pPr>
              <w:pStyle w:val="Personnequisigne"/>
              <w:jc w:val="both"/>
              <w:rPr>
                <w:sz w:val="22"/>
              </w:rPr>
            </w:pPr>
          </w:p>
          <w:p w14:paraId="7235FE9D" w14:textId="32A17438" w:rsidR="00DD7597" w:rsidRPr="007E720F" w:rsidRDefault="00DD7597" w:rsidP="001E3DE5">
            <w:pPr>
              <w:pStyle w:val="Personnequisigne"/>
              <w:jc w:val="both"/>
              <w:rPr>
                <w:i w:val="0"/>
                <w:sz w:val="22"/>
              </w:rPr>
            </w:pPr>
            <w:r w:rsidRPr="007E720F">
              <w:rPr>
                <w:i w:val="0"/>
                <w:sz w:val="22"/>
              </w:rPr>
              <w:t>Redno so se izvajali zdravstveni pregledi vlagateljev namere (po potrebi tudi med vikendom in v večernih urah).</w:t>
            </w:r>
            <w:r w:rsidR="00E6421B" w:rsidRPr="007E720F">
              <w:rPr>
                <w:i w:val="0"/>
                <w:sz w:val="22"/>
              </w:rPr>
              <w:t xml:space="preserve"> Zagotovljeno je bilo izplačevanje žepnin, nagrad za opravljanje vzdrževalnih del. P</w:t>
            </w:r>
            <w:r w:rsidR="00991395" w:rsidRPr="007E720F">
              <w:rPr>
                <w:i w:val="0"/>
                <w:sz w:val="22"/>
              </w:rPr>
              <w:t>rosilcem</w:t>
            </w:r>
            <w:r w:rsidR="00E6421B" w:rsidRPr="007E720F">
              <w:rPr>
                <w:i w:val="0"/>
                <w:sz w:val="22"/>
              </w:rPr>
              <w:t xml:space="preserve"> je bilo omogočeno tudi tolmačenje </w:t>
            </w:r>
            <w:r w:rsidR="00991395" w:rsidRPr="007E720F">
              <w:rPr>
                <w:i w:val="0"/>
                <w:sz w:val="22"/>
              </w:rPr>
              <w:t>tekom</w:t>
            </w:r>
            <w:r w:rsidR="00E6421B" w:rsidRPr="007E720F">
              <w:rPr>
                <w:i w:val="0"/>
                <w:sz w:val="22"/>
              </w:rPr>
              <w:t xml:space="preserve"> zdravstvenih in psihosocialnih pregledov.</w:t>
            </w:r>
          </w:p>
          <w:p w14:paraId="0D76D8CF" w14:textId="77777777" w:rsidR="00906F83" w:rsidRPr="007E720F" w:rsidRDefault="00906F83" w:rsidP="001E3DE5">
            <w:pPr>
              <w:pStyle w:val="Personnequisigne"/>
              <w:jc w:val="both"/>
              <w:rPr>
                <w:i w:val="0"/>
                <w:sz w:val="22"/>
              </w:rPr>
            </w:pPr>
          </w:p>
          <w:p w14:paraId="5EBB1BA9" w14:textId="2C71D1ED" w:rsidR="00906F83" w:rsidRPr="007E720F" w:rsidRDefault="00906F83" w:rsidP="001E3DE5">
            <w:pPr>
              <w:pStyle w:val="Personnequisigne"/>
              <w:jc w:val="both"/>
              <w:rPr>
                <w:i w:val="0"/>
                <w:sz w:val="22"/>
                <w:u w:val="single"/>
              </w:rPr>
            </w:pPr>
            <w:r w:rsidRPr="007E720F">
              <w:rPr>
                <w:i w:val="0"/>
                <w:sz w:val="22"/>
              </w:rPr>
              <w:t xml:space="preserve">V okviru </w:t>
            </w:r>
            <w:r w:rsidR="00605394" w:rsidRPr="007E720F">
              <w:rPr>
                <w:b/>
                <w:i w:val="0"/>
                <w:sz w:val="22"/>
              </w:rPr>
              <w:t>S</w:t>
            </w:r>
            <w:r w:rsidRPr="007E720F">
              <w:rPr>
                <w:b/>
                <w:i w:val="0"/>
                <w:sz w:val="22"/>
              </w:rPr>
              <w:t xml:space="preserve">pecifičnega </w:t>
            </w:r>
            <w:r w:rsidR="00605394" w:rsidRPr="007E720F">
              <w:rPr>
                <w:b/>
                <w:i w:val="0"/>
                <w:sz w:val="22"/>
              </w:rPr>
              <w:t>cilj</w:t>
            </w:r>
            <w:r w:rsidRPr="007E720F">
              <w:rPr>
                <w:b/>
                <w:i w:val="0"/>
                <w:sz w:val="22"/>
              </w:rPr>
              <w:t>a</w:t>
            </w:r>
            <w:r w:rsidR="00605394" w:rsidRPr="007E720F">
              <w:rPr>
                <w:b/>
                <w:i w:val="0"/>
                <w:sz w:val="22"/>
              </w:rPr>
              <w:t xml:space="preserve"> 2</w:t>
            </w:r>
            <w:r w:rsidRPr="007E720F">
              <w:rPr>
                <w:i w:val="0"/>
                <w:sz w:val="22"/>
              </w:rPr>
              <w:t xml:space="preserve"> so se izvajale </w:t>
            </w:r>
            <w:r w:rsidR="00225281" w:rsidRPr="007E720F">
              <w:rPr>
                <w:i w:val="0"/>
                <w:sz w:val="22"/>
              </w:rPr>
              <w:t>ali je bil odobren začetek izvajanja operacij</w:t>
            </w:r>
            <w:r w:rsidRPr="007E720F">
              <w:rPr>
                <w:i w:val="0"/>
                <w:sz w:val="22"/>
              </w:rPr>
              <w:t xml:space="preserve"> (po izvedbenih ukrepih): Tečaji in izpiti iz slovenskega jezika; Zagotavljanje denarnih nadomestil za nastanitev na zasebnem naslovu; Študijski obiski zaposlenih z namenom prenosa dobrih praks vključevanja in supervizija; Pomoč pri integr</w:t>
            </w:r>
            <w:r w:rsidR="00225281" w:rsidRPr="007E720F">
              <w:rPr>
                <w:i w:val="0"/>
                <w:sz w:val="22"/>
              </w:rPr>
              <w:t xml:space="preserve">aciji oseb z mednarodno zaščito; </w:t>
            </w:r>
            <w:r w:rsidRPr="007E720F">
              <w:rPr>
                <w:i w:val="0"/>
                <w:sz w:val="22"/>
              </w:rPr>
              <w:t>Stroški plač zaposlenih, vzdrževanja prostorov in opreme.</w:t>
            </w:r>
            <w:r w:rsidR="00682BB6" w:rsidRPr="007E720F">
              <w:rPr>
                <w:i w:val="0"/>
                <w:sz w:val="22"/>
              </w:rPr>
              <w:t xml:space="preserve"> </w:t>
            </w:r>
          </w:p>
          <w:p w14:paraId="2FBE8FF5" w14:textId="77777777" w:rsidR="00E12882" w:rsidRPr="007E720F" w:rsidRDefault="00E12882" w:rsidP="001E3DE5">
            <w:pPr>
              <w:pStyle w:val="Personnequisigne"/>
              <w:jc w:val="both"/>
              <w:rPr>
                <w:i w:val="0"/>
                <w:sz w:val="22"/>
                <w:u w:val="single"/>
              </w:rPr>
            </w:pPr>
          </w:p>
          <w:p w14:paraId="44E5AA57" w14:textId="6C270382" w:rsidR="00906F83" w:rsidRPr="007E720F" w:rsidRDefault="00906F83" w:rsidP="001E3DE5">
            <w:pPr>
              <w:pStyle w:val="Personnequisigne"/>
              <w:jc w:val="both"/>
              <w:rPr>
                <w:i w:val="0"/>
                <w:sz w:val="22"/>
              </w:rPr>
            </w:pPr>
            <w:r w:rsidRPr="007E720F">
              <w:rPr>
                <w:i w:val="0"/>
                <w:sz w:val="22"/>
                <w:u w:val="single"/>
              </w:rPr>
              <w:t>Izvedbeni ukrep 2d:</w:t>
            </w:r>
          </w:p>
          <w:p w14:paraId="6AECC457" w14:textId="77777777" w:rsidR="00906F83" w:rsidRPr="007E720F" w:rsidRDefault="00906F83" w:rsidP="001E3DE5">
            <w:pPr>
              <w:pStyle w:val="Personnequisigne"/>
              <w:jc w:val="both"/>
              <w:rPr>
                <w:sz w:val="22"/>
              </w:rPr>
            </w:pPr>
          </w:p>
          <w:p w14:paraId="601F9BAA" w14:textId="654C97D8" w:rsidR="003F3767" w:rsidRPr="007E720F" w:rsidRDefault="00906F83" w:rsidP="001E3DE5">
            <w:pPr>
              <w:pStyle w:val="Personnequisigne"/>
              <w:jc w:val="both"/>
              <w:rPr>
                <w:i w:val="0"/>
                <w:sz w:val="22"/>
              </w:rPr>
            </w:pPr>
            <w:r w:rsidRPr="007E720F">
              <w:rPr>
                <w:i w:val="0"/>
                <w:sz w:val="22"/>
              </w:rPr>
              <w:t xml:space="preserve">Na </w:t>
            </w:r>
            <w:r w:rsidR="0069682E" w:rsidRPr="007E720F">
              <w:rPr>
                <w:i w:val="0"/>
                <w:sz w:val="22"/>
              </w:rPr>
              <w:t xml:space="preserve">področju celotne Slovenije se je izvajal program </w:t>
            </w:r>
            <w:r w:rsidR="0069682E" w:rsidRPr="007E720F">
              <w:rPr>
                <w:i w:val="0"/>
                <w:sz w:val="22"/>
                <w:shd w:val="clear" w:color="auto" w:fill="FFFFFF"/>
              </w:rPr>
              <w:t xml:space="preserve">Začetne integracije priseljencev </w:t>
            </w:r>
            <w:r w:rsidR="003F3767" w:rsidRPr="007E720F">
              <w:rPr>
                <w:i w:val="0"/>
                <w:sz w:val="22"/>
                <w:shd w:val="clear" w:color="auto" w:fill="FFFFFF"/>
              </w:rPr>
              <w:t>(</w:t>
            </w:r>
            <w:r w:rsidR="00387BD4" w:rsidRPr="007E720F">
              <w:rPr>
                <w:i w:val="0"/>
                <w:sz w:val="22"/>
                <w:shd w:val="clear" w:color="auto" w:fill="FFFFFF"/>
              </w:rPr>
              <w:t>ZIP</w:t>
            </w:r>
            <w:r w:rsidR="003F3767" w:rsidRPr="007E720F">
              <w:rPr>
                <w:i w:val="0"/>
                <w:sz w:val="22"/>
                <w:shd w:val="clear" w:color="auto" w:fill="FFFFFF"/>
              </w:rPr>
              <w:t>)</w:t>
            </w:r>
            <w:r w:rsidR="00387BD4" w:rsidRPr="007E720F">
              <w:rPr>
                <w:i w:val="0"/>
                <w:sz w:val="22"/>
                <w:shd w:val="clear" w:color="auto" w:fill="FFFFFF"/>
              </w:rPr>
              <w:t>, ki predstavlja enega od najpomembnejših ukrepov vključevanja.</w:t>
            </w:r>
            <w:r w:rsidR="00585BE9" w:rsidRPr="007E720F">
              <w:rPr>
                <w:i w:val="0"/>
                <w:sz w:val="22"/>
                <w:shd w:val="clear" w:color="auto" w:fill="FFFFFF"/>
              </w:rPr>
              <w:t xml:space="preserve"> </w:t>
            </w:r>
            <w:r w:rsidR="00387BD4" w:rsidRPr="007E720F">
              <w:rPr>
                <w:i w:val="0"/>
                <w:sz w:val="22"/>
                <w:shd w:val="clear" w:color="auto" w:fill="FFFFFF"/>
              </w:rPr>
              <w:t>ZIP</w:t>
            </w:r>
            <w:r w:rsidR="00585BE9" w:rsidRPr="007E720F">
              <w:rPr>
                <w:i w:val="0"/>
                <w:sz w:val="22"/>
                <w:shd w:val="clear" w:color="auto" w:fill="FFFFFF"/>
              </w:rPr>
              <w:t xml:space="preserve"> je namenjen osebam z mednarodno in začasno zaščito ter državljanom tretjih držav.</w:t>
            </w:r>
            <w:r w:rsidR="00585BE9" w:rsidRPr="007E720F">
              <w:rPr>
                <w:i w:val="0"/>
                <w:sz w:val="22"/>
              </w:rPr>
              <w:t xml:space="preserve"> Po končanem programu je udeležencem omogočeno opravljanje izpita iz slovenskega jezika.</w:t>
            </w:r>
            <w:r w:rsidR="00387BD4" w:rsidRPr="007E720F">
              <w:rPr>
                <w:i w:val="0"/>
                <w:sz w:val="22"/>
              </w:rPr>
              <w:t xml:space="preserve"> </w:t>
            </w:r>
            <w:r w:rsidR="00FF5B79" w:rsidRPr="007E720F">
              <w:rPr>
                <w:i w:val="0"/>
                <w:sz w:val="22"/>
              </w:rPr>
              <w:t xml:space="preserve">Prav tako se izvajajo tečaji </w:t>
            </w:r>
            <w:r w:rsidR="00C90671" w:rsidRPr="007E720F">
              <w:rPr>
                <w:i w:val="0"/>
                <w:sz w:val="22"/>
              </w:rPr>
              <w:t xml:space="preserve">in izpiti iz </w:t>
            </w:r>
            <w:r w:rsidR="00FF5B79" w:rsidRPr="007E720F">
              <w:rPr>
                <w:i w:val="0"/>
                <w:sz w:val="22"/>
              </w:rPr>
              <w:t>slovenskega jezika za</w:t>
            </w:r>
            <w:r w:rsidR="00C90671" w:rsidRPr="007E720F">
              <w:rPr>
                <w:i w:val="0"/>
                <w:sz w:val="22"/>
              </w:rPr>
              <w:t xml:space="preserve"> osebe z mednarodno zaščito.</w:t>
            </w:r>
            <w:r w:rsidR="00FF5B79" w:rsidRPr="007E720F">
              <w:rPr>
                <w:i w:val="0"/>
                <w:sz w:val="22"/>
              </w:rPr>
              <w:t xml:space="preserve"> </w:t>
            </w:r>
          </w:p>
          <w:p w14:paraId="64639B1B" w14:textId="77777777" w:rsidR="003F3767" w:rsidRPr="007E720F" w:rsidRDefault="003F3767" w:rsidP="001E3DE5">
            <w:pPr>
              <w:pStyle w:val="Personnequisigne"/>
              <w:jc w:val="both"/>
              <w:rPr>
                <w:i w:val="0"/>
                <w:sz w:val="22"/>
              </w:rPr>
            </w:pPr>
          </w:p>
          <w:p w14:paraId="444C583A" w14:textId="0481032D" w:rsidR="0069682E" w:rsidRPr="007E720F" w:rsidRDefault="00D241FA" w:rsidP="001E3DE5">
            <w:pPr>
              <w:pStyle w:val="Personnequisigne"/>
              <w:jc w:val="both"/>
              <w:rPr>
                <w:i w:val="0"/>
                <w:sz w:val="22"/>
              </w:rPr>
            </w:pPr>
            <w:r w:rsidRPr="007E720F">
              <w:rPr>
                <w:i w:val="0"/>
                <w:sz w:val="22"/>
              </w:rPr>
              <w:t xml:space="preserve">Osebe s statusom MZ so prejele denarno nadomestilo za zasebno namestitev, </w:t>
            </w:r>
            <w:r w:rsidRPr="007E720F">
              <w:rPr>
                <w:i w:val="0"/>
                <w:sz w:val="22"/>
                <w:shd w:val="clear" w:color="auto" w:fill="FFFFFF"/>
              </w:rPr>
              <w:t xml:space="preserve">ustrezno informiranje v jeziku, ki ga razumejo ter tolmačenje v postopku združevanja z družino. Poleg tega so jim bili omogočeni tudi prevodi spričeval in dokazil o izobrazbi ter v primeru rednega šolanja </w:t>
            </w:r>
            <w:r w:rsidRPr="007E720F">
              <w:rPr>
                <w:i w:val="0"/>
                <w:sz w:val="22"/>
              </w:rPr>
              <w:t>tudi</w:t>
            </w:r>
            <w:r w:rsidR="00387BD4" w:rsidRPr="007E720F">
              <w:rPr>
                <w:i w:val="0"/>
                <w:sz w:val="22"/>
              </w:rPr>
              <w:t xml:space="preserve"> </w:t>
            </w:r>
            <w:r w:rsidRPr="007E720F">
              <w:rPr>
                <w:i w:val="0"/>
                <w:sz w:val="22"/>
              </w:rPr>
              <w:t xml:space="preserve">plačilo </w:t>
            </w:r>
            <w:r w:rsidR="00387BD4" w:rsidRPr="007E720F">
              <w:rPr>
                <w:i w:val="0"/>
                <w:sz w:val="22"/>
              </w:rPr>
              <w:t>stroškov povez</w:t>
            </w:r>
            <w:r w:rsidRPr="007E720F">
              <w:rPr>
                <w:i w:val="0"/>
                <w:sz w:val="22"/>
              </w:rPr>
              <w:t>anih z šolanjem</w:t>
            </w:r>
            <w:r w:rsidR="00387BD4" w:rsidRPr="007E720F">
              <w:rPr>
                <w:i w:val="0"/>
                <w:sz w:val="22"/>
              </w:rPr>
              <w:t xml:space="preserve"> (npr. delovni zvezki</w:t>
            </w:r>
            <w:r w:rsidRPr="007E720F">
              <w:rPr>
                <w:i w:val="0"/>
                <w:sz w:val="22"/>
              </w:rPr>
              <w:t>, ekskurzije, udeležba na prireditvah</w:t>
            </w:r>
            <w:r w:rsidR="00387BD4" w:rsidRPr="007E720F">
              <w:rPr>
                <w:i w:val="0"/>
                <w:sz w:val="22"/>
              </w:rPr>
              <w:t>).</w:t>
            </w:r>
            <w:r w:rsidRPr="007E720F">
              <w:rPr>
                <w:i w:val="0"/>
                <w:sz w:val="22"/>
              </w:rPr>
              <w:t xml:space="preserve"> </w:t>
            </w:r>
            <w:r w:rsidR="00387BD4" w:rsidRPr="007E720F">
              <w:rPr>
                <w:i w:val="0"/>
                <w:sz w:val="22"/>
              </w:rPr>
              <w:t xml:space="preserve"> </w:t>
            </w:r>
          </w:p>
          <w:p w14:paraId="50982F78" w14:textId="09FF2E93" w:rsidR="0069682E" w:rsidRPr="007E720F" w:rsidRDefault="0069682E" w:rsidP="001E3DE5">
            <w:pPr>
              <w:pStyle w:val="Personnequisigne"/>
              <w:jc w:val="both"/>
              <w:rPr>
                <w:i w:val="0"/>
                <w:sz w:val="22"/>
              </w:rPr>
            </w:pPr>
          </w:p>
          <w:p w14:paraId="1019B929" w14:textId="1E9EE045" w:rsidR="00166A4F" w:rsidRPr="007E720F" w:rsidRDefault="00166A4F" w:rsidP="001E3DE5">
            <w:pPr>
              <w:pStyle w:val="Personnequisigne"/>
              <w:jc w:val="both"/>
              <w:rPr>
                <w:i w:val="0"/>
                <w:sz w:val="22"/>
              </w:rPr>
            </w:pPr>
          </w:p>
          <w:p w14:paraId="5B2EACBC" w14:textId="64156CDB" w:rsidR="00906F83" w:rsidRPr="007E720F" w:rsidRDefault="003F3767" w:rsidP="001E3DE5">
            <w:pPr>
              <w:pStyle w:val="Personnequisigne"/>
              <w:jc w:val="both"/>
              <w:rPr>
                <w:i w:val="0"/>
                <w:sz w:val="22"/>
              </w:rPr>
            </w:pPr>
            <w:r w:rsidRPr="007E720F">
              <w:rPr>
                <w:i w:val="0"/>
                <w:sz w:val="22"/>
              </w:rPr>
              <w:t xml:space="preserve">V okviru </w:t>
            </w:r>
            <w:r w:rsidRPr="007E720F">
              <w:rPr>
                <w:b/>
                <w:i w:val="0"/>
                <w:sz w:val="22"/>
              </w:rPr>
              <w:t xml:space="preserve">Specifičnega cilja </w:t>
            </w:r>
            <w:r w:rsidR="00166A4F" w:rsidRPr="007E720F">
              <w:rPr>
                <w:b/>
                <w:i w:val="0"/>
                <w:sz w:val="22"/>
              </w:rPr>
              <w:t>3</w:t>
            </w:r>
            <w:r w:rsidRPr="007E720F">
              <w:rPr>
                <w:i w:val="0"/>
                <w:sz w:val="22"/>
              </w:rPr>
              <w:t xml:space="preserve"> </w:t>
            </w:r>
            <w:r w:rsidR="00B400BB" w:rsidRPr="007E720F">
              <w:rPr>
                <w:i w:val="0"/>
                <w:sz w:val="22"/>
              </w:rPr>
              <w:t xml:space="preserve">so se izvajale ali je bil odobren začetek izvajanja operacij </w:t>
            </w:r>
            <w:r w:rsidRPr="007E720F">
              <w:rPr>
                <w:i w:val="0"/>
                <w:sz w:val="22"/>
              </w:rPr>
              <w:t>(po izvedbenih ukrepih):</w:t>
            </w:r>
            <w:r w:rsidR="00166A4F" w:rsidRPr="007E720F">
              <w:rPr>
                <w:i w:val="0"/>
                <w:sz w:val="22"/>
              </w:rPr>
              <w:t xml:space="preserve"> Tekoči stroški/osnovna oskrba; Zdravniška oskrba in psihosocialna oskrba; Nacionalna vračanja; Prevajalske storitve v času nastanitve in priprav za vračanje; Investicije v infrastrukturo; Recamas; Nacionalna vračanja; Pomoč pri prostovoljnem vračanju.</w:t>
            </w:r>
          </w:p>
          <w:p w14:paraId="72C97D12" w14:textId="77777777" w:rsidR="00605394" w:rsidRPr="007E720F" w:rsidRDefault="00605394" w:rsidP="001E3DE5">
            <w:pPr>
              <w:pStyle w:val="Personnequisigne"/>
              <w:jc w:val="both"/>
              <w:rPr>
                <w:i w:val="0"/>
                <w:sz w:val="22"/>
                <w:shd w:val="clear" w:color="auto" w:fill="FFFFFF"/>
              </w:rPr>
            </w:pPr>
          </w:p>
          <w:p w14:paraId="106E6344" w14:textId="77777777" w:rsidR="00166A4F" w:rsidRPr="007E720F" w:rsidRDefault="00166A4F" w:rsidP="001E3DE5">
            <w:pPr>
              <w:pStyle w:val="Personnequisigne"/>
              <w:jc w:val="both"/>
              <w:rPr>
                <w:i w:val="0"/>
                <w:sz w:val="22"/>
                <w:u w:val="single"/>
              </w:rPr>
            </w:pPr>
            <w:r w:rsidRPr="007E720F">
              <w:rPr>
                <w:i w:val="0"/>
                <w:sz w:val="22"/>
                <w:u w:val="single"/>
              </w:rPr>
              <w:t>Izvedbeni ukrep 3a:</w:t>
            </w:r>
          </w:p>
          <w:p w14:paraId="6D556E88" w14:textId="77777777" w:rsidR="00166A4F" w:rsidRPr="007E720F" w:rsidRDefault="00166A4F" w:rsidP="001E3DE5">
            <w:pPr>
              <w:pStyle w:val="Personnequisigne"/>
              <w:jc w:val="both"/>
              <w:rPr>
                <w:i w:val="0"/>
                <w:sz w:val="22"/>
                <w:u w:val="single"/>
              </w:rPr>
            </w:pPr>
          </w:p>
          <w:p w14:paraId="66F8DC98" w14:textId="0DAEABB3" w:rsidR="006825A7" w:rsidRPr="007E720F" w:rsidRDefault="00281722" w:rsidP="001E3DE5">
            <w:pPr>
              <w:pStyle w:val="Personnequisigne"/>
              <w:jc w:val="both"/>
              <w:rPr>
                <w:i w:val="0"/>
                <w:sz w:val="22"/>
              </w:rPr>
            </w:pPr>
            <w:r w:rsidRPr="007E720F">
              <w:rPr>
                <w:i w:val="0"/>
                <w:sz w:val="22"/>
              </w:rPr>
              <w:t xml:space="preserve">Tujcem v </w:t>
            </w:r>
            <w:r w:rsidR="009935EF" w:rsidRPr="007E720F">
              <w:rPr>
                <w:i w:val="0"/>
                <w:sz w:val="22"/>
              </w:rPr>
              <w:t>Centru za tujce (</w:t>
            </w:r>
            <w:r w:rsidRPr="007E720F">
              <w:rPr>
                <w:i w:val="0"/>
                <w:sz w:val="22"/>
              </w:rPr>
              <w:t>CT</w:t>
            </w:r>
            <w:r w:rsidR="009935EF" w:rsidRPr="007E720F">
              <w:rPr>
                <w:i w:val="0"/>
                <w:sz w:val="22"/>
              </w:rPr>
              <w:t>)</w:t>
            </w:r>
            <w:r w:rsidRPr="007E720F">
              <w:rPr>
                <w:i w:val="0"/>
                <w:sz w:val="22"/>
              </w:rPr>
              <w:t xml:space="preserve"> je bila zagotovljena oskrba skladna z zahtevanimi standardi in </w:t>
            </w:r>
            <w:r w:rsidR="00D51FE6" w:rsidRPr="007E720F">
              <w:rPr>
                <w:i w:val="0"/>
                <w:sz w:val="22"/>
              </w:rPr>
              <w:t>dobro prakso. S tem namenom so bili nabavljeni tudi novi</w:t>
            </w:r>
            <w:r w:rsidRPr="007E720F">
              <w:rPr>
                <w:i w:val="0"/>
                <w:sz w:val="22"/>
              </w:rPr>
              <w:t xml:space="preserve"> tel</w:t>
            </w:r>
            <w:r w:rsidR="00D51FE6" w:rsidRPr="007E720F">
              <w:rPr>
                <w:i w:val="0"/>
                <w:sz w:val="22"/>
              </w:rPr>
              <w:t>efonskimi aparati, higienske potrebščin</w:t>
            </w:r>
            <w:r w:rsidR="00041891" w:rsidRPr="007E720F">
              <w:rPr>
                <w:i w:val="0"/>
                <w:sz w:val="22"/>
              </w:rPr>
              <w:t>e</w:t>
            </w:r>
            <w:r w:rsidR="00D51FE6" w:rsidRPr="007E720F">
              <w:rPr>
                <w:i w:val="0"/>
                <w:sz w:val="22"/>
              </w:rPr>
              <w:t xml:space="preserve"> in oprema</w:t>
            </w:r>
            <w:r w:rsidRPr="007E720F">
              <w:rPr>
                <w:i w:val="0"/>
                <w:sz w:val="22"/>
              </w:rPr>
              <w:t xml:space="preserve"> za prostočasne aktivnosti.</w:t>
            </w:r>
            <w:r w:rsidR="00D51FE6" w:rsidRPr="007E720F">
              <w:rPr>
                <w:i w:val="0"/>
                <w:sz w:val="22"/>
              </w:rPr>
              <w:t xml:space="preserve"> Vse to je pozitivno vplivalo na bivalne pogoje. Poleg stroškov oskrbe so bila zagotovljena tudi sredstva za tekoče stroške. </w:t>
            </w:r>
          </w:p>
          <w:p w14:paraId="33BB36EA" w14:textId="77777777" w:rsidR="00041891" w:rsidRPr="007E720F" w:rsidRDefault="00041891" w:rsidP="001E3DE5">
            <w:pPr>
              <w:pStyle w:val="Personnequisigne"/>
              <w:jc w:val="both"/>
              <w:rPr>
                <w:i w:val="0"/>
                <w:sz w:val="22"/>
                <w:u w:val="single"/>
              </w:rPr>
            </w:pPr>
          </w:p>
          <w:p w14:paraId="45066D8A" w14:textId="6ABEC5E8" w:rsidR="00166A4F" w:rsidRPr="007E720F" w:rsidRDefault="00166A4F" w:rsidP="001E3DE5">
            <w:pPr>
              <w:pStyle w:val="Personnequisigne"/>
              <w:jc w:val="both"/>
              <w:rPr>
                <w:i w:val="0"/>
                <w:sz w:val="22"/>
                <w:u w:val="single"/>
              </w:rPr>
            </w:pPr>
            <w:r w:rsidRPr="007E720F">
              <w:rPr>
                <w:i w:val="0"/>
                <w:sz w:val="22"/>
                <w:u w:val="single"/>
              </w:rPr>
              <w:t>Izvedbeni ukrep 3b:</w:t>
            </w:r>
          </w:p>
          <w:p w14:paraId="05105FFA" w14:textId="77777777" w:rsidR="00166A4F" w:rsidRPr="007E720F" w:rsidRDefault="00166A4F" w:rsidP="001E3DE5">
            <w:pPr>
              <w:pStyle w:val="Personnequisigne"/>
              <w:jc w:val="both"/>
              <w:rPr>
                <w:i w:val="0"/>
                <w:sz w:val="22"/>
                <w:u w:val="single"/>
              </w:rPr>
            </w:pPr>
          </w:p>
          <w:p w14:paraId="5D817054" w14:textId="29E889FD" w:rsidR="000714FD" w:rsidRPr="007E720F" w:rsidRDefault="006825A7" w:rsidP="001E3DE5">
            <w:pPr>
              <w:pStyle w:val="Personnequisigne"/>
              <w:jc w:val="both"/>
              <w:rPr>
                <w:i w:val="0"/>
                <w:sz w:val="22"/>
                <w:shd w:val="clear" w:color="auto" w:fill="FFFFFF"/>
              </w:rPr>
            </w:pPr>
            <w:r w:rsidRPr="007E720F">
              <w:rPr>
                <w:i w:val="0"/>
                <w:sz w:val="22"/>
              </w:rPr>
              <w:t xml:space="preserve">S sredstvi projekta so se izvajala vračanja po kopnem, v kolikor je bila odstranitev izvedena z letalom, je letalske karte zagotovil Frontex </w:t>
            </w:r>
            <w:r w:rsidR="00041891" w:rsidRPr="007E720F">
              <w:rPr>
                <w:i w:val="0"/>
                <w:sz w:val="22"/>
              </w:rPr>
              <w:t xml:space="preserve">preko sistema (aplikacije) </w:t>
            </w:r>
            <w:r w:rsidRPr="007E720F">
              <w:rPr>
                <w:i w:val="0"/>
                <w:sz w:val="22"/>
              </w:rPr>
              <w:t xml:space="preserve">FAR. </w:t>
            </w:r>
            <w:r w:rsidR="00D51FE6" w:rsidRPr="007E720F">
              <w:rPr>
                <w:i w:val="0"/>
                <w:sz w:val="22"/>
              </w:rPr>
              <w:t xml:space="preserve">Tujcem </w:t>
            </w:r>
            <w:r w:rsidR="0096054E" w:rsidRPr="007E720F">
              <w:rPr>
                <w:i w:val="0"/>
                <w:sz w:val="22"/>
              </w:rPr>
              <w:t xml:space="preserve">v postopku vračanja je </w:t>
            </w:r>
            <w:r w:rsidR="0096054E" w:rsidRPr="007E720F">
              <w:rPr>
                <w:i w:val="0"/>
                <w:sz w:val="22"/>
              </w:rPr>
              <w:lastRenderedPageBreak/>
              <w:t>bila zagotovljena</w:t>
            </w:r>
            <w:r w:rsidR="00D51FE6" w:rsidRPr="007E720F">
              <w:rPr>
                <w:i w:val="0"/>
                <w:sz w:val="22"/>
              </w:rPr>
              <w:t xml:space="preserve"> </w:t>
            </w:r>
            <w:r w:rsidR="0096054E" w:rsidRPr="007E720F">
              <w:rPr>
                <w:i w:val="0"/>
                <w:sz w:val="22"/>
              </w:rPr>
              <w:t xml:space="preserve">zdravstvena in psihosocialna oskrba. Po potrebi je </w:t>
            </w:r>
            <w:r w:rsidRPr="007E720F">
              <w:rPr>
                <w:i w:val="0"/>
                <w:sz w:val="22"/>
              </w:rPr>
              <w:t xml:space="preserve">bilo </w:t>
            </w:r>
            <w:r w:rsidR="0096054E" w:rsidRPr="007E720F">
              <w:rPr>
                <w:i w:val="0"/>
                <w:sz w:val="22"/>
              </w:rPr>
              <w:t>tujcem omogočeno tudi prevajanje</w:t>
            </w:r>
            <w:r w:rsidRPr="007E720F">
              <w:rPr>
                <w:i w:val="0"/>
                <w:sz w:val="22"/>
              </w:rPr>
              <w:t xml:space="preserve"> (v obdobju poročanja ni bilo potrebe) in izdelava dokumentov za identifikacijo. </w:t>
            </w:r>
            <w:r w:rsidR="0096054E" w:rsidRPr="007E720F">
              <w:rPr>
                <w:i w:val="0"/>
                <w:sz w:val="22"/>
              </w:rPr>
              <w:t xml:space="preserve">Zaradi učinkovite izvedbe postopkov vračanja je bilo vzpostavljeno tako sodelovanje s konzularnimi predstavništvi tretjih držav kot tudi sodelovanje s Frontexom in EMN. Izvajala so se usposabljanja policistov na področjih migracij, človekovih pravic, pooblastil, ipd. </w:t>
            </w:r>
            <w:r w:rsidRPr="007E720F">
              <w:rPr>
                <w:i w:val="0"/>
                <w:sz w:val="22"/>
              </w:rPr>
              <w:t xml:space="preserve">Predstavnica CT se je udeležila tudi </w:t>
            </w:r>
            <w:r w:rsidRPr="007E720F">
              <w:rPr>
                <w:i w:val="0"/>
                <w:sz w:val="22"/>
                <w:shd w:val="clear" w:color="auto" w:fill="FFFFFF"/>
              </w:rPr>
              <w:t>sestanka Schengenske skupine za evalvacijo.</w:t>
            </w:r>
          </w:p>
          <w:p w14:paraId="2EA57B60" w14:textId="77777777" w:rsidR="00166A4F" w:rsidRPr="007E720F" w:rsidRDefault="00166A4F" w:rsidP="001E3DE5">
            <w:pPr>
              <w:pStyle w:val="Personnequisigne"/>
              <w:jc w:val="both"/>
              <w:rPr>
                <w:i w:val="0"/>
                <w:sz w:val="22"/>
                <w:u w:val="single"/>
              </w:rPr>
            </w:pPr>
          </w:p>
          <w:p w14:paraId="6E81D657" w14:textId="77777777" w:rsidR="00166A4F" w:rsidRPr="007E720F" w:rsidRDefault="00166A4F" w:rsidP="001E3DE5">
            <w:pPr>
              <w:pStyle w:val="Personnequisigne"/>
              <w:jc w:val="both"/>
              <w:rPr>
                <w:i w:val="0"/>
                <w:sz w:val="22"/>
                <w:u w:val="single"/>
              </w:rPr>
            </w:pPr>
            <w:r w:rsidRPr="007E720F">
              <w:rPr>
                <w:i w:val="0"/>
                <w:sz w:val="22"/>
                <w:u w:val="single"/>
              </w:rPr>
              <w:t>Izvedbeni ukrep 3c:</w:t>
            </w:r>
          </w:p>
          <w:p w14:paraId="1A38B14E" w14:textId="41BC65A7" w:rsidR="00A53378" w:rsidRPr="007E720F" w:rsidRDefault="006825A7" w:rsidP="001E3DE5">
            <w:pPr>
              <w:pStyle w:val="Personnequisigne"/>
              <w:jc w:val="both"/>
              <w:rPr>
                <w:i w:val="0"/>
                <w:sz w:val="22"/>
                <w:u w:val="single"/>
              </w:rPr>
            </w:pPr>
            <w:r w:rsidRPr="007E720F">
              <w:rPr>
                <w:i w:val="0"/>
                <w:sz w:val="22"/>
              </w:rPr>
              <w:t>Pomoč pri prostovoljnem vračanju</w:t>
            </w:r>
            <w:r w:rsidR="000714FD" w:rsidRPr="007E720F">
              <w:rPr>
                <w:i w:val="0"/>
                <w:sz w:val="22"/>
              </w:rPr>
              <w:t>: sredstva za izvajanje operacije so bila odobrena</w:t>
            </w:r>
            <w:r w:rsidR="00C90671" w:rsidRPr="007E720F">
              <w:rPr>
                <w:i w:val="0"/>
                <w:sz w:val="22"/>
              </w:rPr>
              <w:t xml:space="preserve">. V prvem četrtletju leta 2024 se je izvedla vrnitev ene družine </w:t>
            </w:r>
            <w:r w:rsidR="00503155" w:rsidRPr="007E720F">
              <w:rPr>
                <w:i w:val="0"/>
                <w:sz w:val="22"/>
              </w:rPr>
              <w:t>(</w:t>
            </w:r>
            <w:r w:rsidR="00C90671" w:rsidRPr="007E720F">
              <w:rPr>
                <w:i w:val="0"/>
                <w:sz w:val="22"/>
              </w:rPr>
              <w:t>8 oseb</w:t>
            </w:r>
            <w:r w:rsidR="00503155" w:rsidRPr="007E720F">
              <w:rPr>
                <w:i w:val="0"/>
                <w:sz w:val="22"/>
              </w:rPr>
              <w:t>)</w:t>
            </w:r>
            <w:r w:rsidR="00C90671" w:rsidRPr="007E720F">
              <w:rPr>
                <w:i w:val="0"/>
                <w:sz w:val="22"/>
              </w:rPr>
              <w:t xml:space="preserve"> v državo izvora, na dan 15. 1. 2024. </w:t>
            </w:r>
            <w:r w:rsidR="000117F8" w:rsidRPr="007E720F">
              <w:rPr>
                <w:i w:val="0"/>
                <w:sz w:val="22"/>
              </w:rPr>
              <w:t>V letu 2025 načrtujemo povečano informiranost oseb o možnosti kritja stroškov za prostovoljno vračanje v izvorno državo in posledično pričakujemo večje zanimanje in povečano koriščenje sredstev iz te operacije.</w:t>
            </w:r>
          </w:p>
          <w:p w14:paraId="0451B224" w14:textId="0C643132" w:rsidR="00605394" w:rsidRPr="007E720F" w:rsidRDefault="00605394" w:rsidP="001E3DE5">
            <w:pPr>
              <w:pStyle w:val="Personnequisigne"/>
              <w:jc w:val="both"/>
              <w:rPr>
                <w:i w:val="0"/>
                <w:sz w:val="22"/>
              </w:rPr>
            </w:pPr>
          </w:p>
          <w:p w14:paraId="212186CA" w14:textId="1A62BB54" w:rsidR="00605394" w:rsidRPr="007E720F" w:rsidRDefault="00605394" w:rsidP="001E3DE5">
            <w:pPr>
              <w:pStyle w:val="Personnequisigne"/>
              <w:jc w:val="both"/>
              <w:rPr>
                <w:b/>
                <w:i w:val="0"/>
                <w:noProof/>
                <w:sz w:val="22"/>
              </w:rPr>
            </w:pPr>
            <w:r w:rsidRPr="007E720F">
              <w:rPr>
                <w:b/>
                <w:i w:val="0"/>
                <w:sz w:val="22"/>
              </w:rPr>
              <w:t>Specifični cilj 4</w:t>
            </w:r>
            <w:r w:rsidRPr="007E720F">
              <w:rPr>
                <w:i w:val="0"/>
                <w:sz w:val="22"/>
              </w:rPr>
              <w:t>:</w:t>
            </w:r>
            <w:r w:rsidR="001E3DE5" w:rsidRPr="007E720F">
              <w:rPr>
                <w:i w:val="0"/>
                <w:noProof/>
                <w:sz w:val="22"/>
              </w:rPr>
              <w:t xml:space="preserve"> </w:t>
            </w:r>
            <w:r w:rsidR="00E443B0" w:rsidRPr="007E720F">
              <w:rPr>
                <w:i w:val="0"/>
                <w:sz w:val="22"/>
              </w:rPr>
              <w:t>Slovenija je vzpostavila svoje prednostne cilje in zakonski okvir s sprejetjem Zakona o mednarodni zaščiti in podzakonskih predpisov</w:t>
            </w:r>
            <w:r w:rsidRPr="007E720F">
              <w:rPr>
                <w:i w:val="0"/>
                <w:sz w:val="22"/>
              </w:rPr>
              <w:t>. Skladno s tem se bodo izvajali ukrepi 4a in 4b iz Priloge II. V letu 2021 smo izvedl</w:t>
            </w:r>
            <w:r w:rsidR="000714FD" w:rsidRPr="007E720F">
              <w:rPr>
                <w:i w:val="0"/>
                <w:sz w:val="22"/>
              </w:rPr>
              <w:t>i premestitev 5 oseb iz Italije. Poleg tega je bilo v letu 2023 trajno preseljenih 23 oseb iz Turčije in v letu 2024 še 27 oseb (skupno 50 trajno preseljenih oseb).</w:t>
            </w:r>
          </w:p>
          <w:p w14:paraId="3C363DE9" w14:textId="77777777" w:rsidR="005D6B96" w:rsidRPr="007E720F" w:rsidRDefault="005D6B96" w:rsidP="001E3DE5">
            <w:pPr>
              <w:pStyle w:val="Personnequisigne"/>
              <w:jc w:val="both"/>
              <w:rPr>
                <w:i w:val="0"/>
                <w:sz w:val="22"/>
              </w:rPr>
            </w:pPr>
          </w:p>
        </w:tc>
      </w:tr>
    </w:tbl>
    <w:p w14:paraId="65B510CA" w14:textId="77777777" w:rsidR="0087657F" w:rsidRPr="007E720F" w:rsidRDefault="00CF7D3B" w:rsidP="001E3DE5">
      <w:pPr>
        <w:pStyle w:val="ManualHeading2"/>
        <w:rPr>
          <w:noProof/>
          <w:sz w:val="22"/>
        </w:rPr>
      </w:pPr>
      <w:r w:rsidRPr="007E720F">
        <w:rPr>
          <w:sz w:val="22"/>
        </w:rPr>
        <w:lastRenderedPageBreak/>
        <w:t>1.2.</w:t>
      </w:r>
      <w:r w:rsidRPr="007E720F">
        <w:rPr>
          <w:sz w:val="22"/>
        </w:rPr>
        <w:tab/>
      </w:r>
      <w:r w:rsidR="0087657F" w:rsidRPr="007E720F">
        <w:rPr>
          <w:noProof/>
          <w:sz w:val="22"/>
        </w:rPr>
        <w:t>Vprašanja, ki vplivajo na smotrnost – člen 35(2), točka (b), Uredbe (EU) 2021/1147</w:t>
      </w:r>
    </w:p>
    <w:p w14:paraId="6E51F5AA" w14:textId="77777777" w:rsidR="0087657F" w:rsidRPr="007E720F" w:rsidRDefault="0087657F" w:rsidP="001E3DE5">
      <w:pPr>
        <w:rPr>
          <w:noProof/>
          <w:sz w:val="22"/>
        </w:rPr>
      </w:pPr>
      <w:r w:rsidRPr="007E720F">
        <w:rPr>
          <w:noProof/>
          <w:sz w:val="22"/>
        </w:rPr>
        <w:t xml:space="preserve">Za vsak specifični cilj opišite morebitna vprašanja, ki vplivajo na smotrnost programa med obračunskim letom, in morebitne ukrepe, sprejete za njihovo obravnavo. </w:t>
      </w:r>
    </w:p>
    <w:p w14:paraId="594A6441" w14:textId="77777777" w:rsidR="0087657F" w:rsidRPr="007E720F" w:rsidRDefault="0087657F" w:rsidP="001E3DE5">
      <w:pPr>
        <w:rPr>
          <w:noProof/>
          <w:sz w:val="22"/>
        </w:rPr>
      </w:pPr>
      <w:r w:rsidRPr="007E720F">
        <w:rPr>
          <w:noProof/>
          <w:sz w:val="22"/>
        </w:rPr>
        <w:t>Kadar koli je to mogoče in ustrezno, razlikujte med vprašanji, povezanimi z:</w:t>
      </w:r>
    </w:p>
    <w:p w14:paraId="15F5083A" w14:textId="77777777" w:rsidR="0087657F" w:rsidRPr="007E720F" w:rsidRDefault="0087657F" w:rsidP="001E3DE5">
      <w:pPr>
        <w:pStyle w:val="Tiret0"/>
        <w:numPr>
          <w:ilvl w:val="0"/>
          <w:numId w:val="10"/>
        </w:numPr>
        <w:rPr>
          <w:noProof/>
          <w:sz w:val="22"/>
        </w:rPr>
      </w:pPr>
      <w:r w:rsidRPr="007E720F">
        <w:rPr>
          <w:noProof/>
          <w:sz w:val="22"/>
        </w:rPr>
        <w:t>nezadostnim poročanjem o dosežkih</w:t>
      </w:r>
      <w:r w:rsidRPr="007E720F">
        <w:rPr>
          <w:rStyle w:val="Sprotnaopomba-sklic"/>
          <w:noProof/>
          <w:sz w:val="22"/>
        </w:rPr>
        <w:footnoteReference w:id="2"/>
      </w:r>
      <w:r w:rsidRPr="007E720F">
        <w:rPr>
          <w:noProof/>
          <w:sz w:val="22"/>
        </w:rPr>
        <w:t>,</w:t>
      </w:r>
    </w:p>
    <w:p w14:paraId="74496126" w14:textId="77777777" w:rsidR="0087657F" w:rsidRPr="007E720F" w:rsidRDefault="0087657F" w:rsidP="001E3DE5">
      <w:pPr>
        <w:pStyle w:val="Tiret0"/>
        <w:rPr>
          <w:noProof/>
          <w:sz w:val="22"/>
        </w:rPr>
      </w:pPr>
      <w:r w:rsidRPr="007E720F">
        <w:rPr>
          <w:noProof/>
          <w:sz w:val="22"/>
        </w:rPr>
        <w:t>določanjem ciljev</w:t>
      </w:r>
      <w:r w:rsidRPr="007E720F">
        <w:rPr>
          <w:rStyle w:val="Sprotnaopomba-sklic"/>
          <w:noProof/>
          <w:sz w:val="22"/>
        </w:rPr>
        <w:footnoteReference w:id="3"/>
      </w:r>
      <w:r w:rsidRPr="007E720F">
        <w:rPr>
          <w:noProof/>
          <w:sz w:val="22"/>
        </w:rPr>
        <w:t>,</w:t>
      </w:r>
    </w:p>
    <w:p w14:paraId="3E20E4F8" w14:textId="77777777" w:rsidR="0087657F" w:rsidRPr="007E720F" w:rsidRDefault="0087657F" w:rsidP="001E3DE5">
      <w:pPr>
        <w:pStyle w:val="Tiret0"/>
        <w:rPr>
          <w:noProof/>
          <w:sz w:val="22"/>
        </w:rPr>
      </w:pPr>
      <w:r w:rsidRPr="007E720F">
        <w:rPr>
          <w:noProof/>
          <w:sz w:val="22"/>
        </w:rPr>
        <w:t>postopkovnimi zamudami in upravnimi zmogljivostmi</w:t>
      </w:r>
      <w:r w:rsidRPr="007E720F">
        <w:rPr>
          <w:rStyle w:val="Sprotnaopomba-sklic"/>
          <w:noProof/>
          <w:sz w:val="22"/>
        </w:rPr>
        <w:footnoteReference w:id="4"/>
      </w:r>
      <w:r w:rsidRPr="007E720F">
        <w:rPr>
          <w:noProof/>
          <w:sz w:val="22"/>
        </w:rPr>
        <w:t>,</w:t>
      </w:r>
    </w:p>
    <w:p w14:paraId="0EFCC2CE" w14:textId="77777777" w:rsidR="00515026" w:rsidRPr="007E720F" w:rsidRDefault="0087657F" w:rsidP="001E3DE5">
      <w:pPr>
        <w:pStyle w:val="Tiret0"/>
        <w:rPr>
          <w:noProof/>
          <w:sz w:val="22"/>
        </w:rPr>
      </w:pPr>
      <w:r w:rsidRPr="007E720F">
        <w:rPr>
          <w:noProof/>
          <w:sz w:val="22"/>
        </w:rPr>
        <w:t>kontekstualnimi spremembami</w:t>
      </w:r>
      <w:r w:rsidRPr="007E720F">
        <w:rPr>
          <w:rStyle w:val="Sprotnaopomba-sklic"/>
          <w:noProof/>
          <w:sz w:val="22"/>
        </w:rPr>
        <w:footnoteReference w:id="5"/>
      </w:r>
      <w:r w:rsidRPr="007E720F">
        <w:rPr>
          <w:noProof/>
          <w:sz w:val="22"/>
        </w:rPr>
        <w:t>,</w:t>
      </w:r>
    </w:p>
    <w:p w14:paraId="11CA21F8" w14:textId="77777777" w:rsidR="0087657F" w:rsidRPr="007E720F" w:rsidRDefault="0087657F" w:rsidP="001E3DE5">
      <w:pPr>
        <w:pStyle w:val="Tiret0"/>
        <w:rPr>
          <w:noProof/>
          <w:sz w:val="22"/>
        </w:rPr>
      </w:pPr>
      <w:r w:rsidRPr="007E720F">
        <w:rPr>
          <w:noProof/>
          <w:sz w:val="22"/>
        </w:rPr>
        <w:t>zasnovo in/ali izvajanjem operacij</w:t>
      </w:r>
      <w:r w:rsidRPr="007E720F">
        <w:rPr>
          <w:rStyle w:val="Sprotnaopomba-sklic"/>
          <w:noProof/>
          <w:sz w:val="22"/>
        </w:rPr>
        <w:footnoteReference w:id="6"/>
      </w:r>
      <w:r w:rsidRPr="007E720F">
        <w:rPr>
          <w:noProof/>
          <w:sz w:val="22"/>
        </w:rPr>
        <w:t xml:space="preserve">, </w:t>
      </w:r>
    </w:p>
    <w:p w14:paraId="1285E55D" w14:textId="77777777" w:rsidR="0087657F" w:rsidRPr="007E720F" w:rsidRDefault="0087657F" w:rsidP="001E3DE5">
      <w:pPr>
        <w:pStyle w:val="Tiret0"/>
        <w:rPr>
          <w:noProof/>
          <w:sz w:val="22"/>
        </w:rPr>
      </w:pPr>
      <w:r w:rsidRPr="007E720F">
        <w:rPr>
          <w:noProof/>
          <w:sz w:val="22"/>
        </w:rPr>
        <w:t xml:space="preserve">katero koli drugo zadevo. </w:t>
      </w:r>
    </w:p>
    <w:p w14:paraId="35BCD217" w14:textId="77777777" w:rsidR="0087657F" w:rsidRPr="007E720F" w:rsidRDefault="00A002B3" w:rsidP="001E3DE5">
      <w:pPr>
        <w:rPr>
          <w:noProof/>
          <w:sz w:val="22"/>
        </w:rPr>
      </w:pPr>
      <w:r w:rsidRPr="007E720F">
        <w:rPr>
          <w:noProof/>
          <w:sz w:val="22"/>
        </w:rPr>
        <w:t>Opišite kakršne koli spremembe strategije ali nacionalnih ciljev ali kakršne koli dejavnike, ki bi lahko privedli do sprememb v prihodnosti, ter prilagoditve, ki so jih navedene spremembe povzročile v ciljih, ocenjenih v skladu z metodologijo za vzpostavitev okvira smotrnosti.</w:t>
      </w:r>
    </w:p>
    <w:p w14:paraId="27D483C4" w14:textId="77777777" w:rsidR="0087657F" w:rsidRPr="007E720F" w:rsidRDefault="00A002B3" w:rsidP="001E3DE5">
      <w:pPr>
        <w:rPr>
          <w:noProof/>
          <w:sz w:val="22"/>
        </w:rPr>
      </w:pPr>
      <w:r w:rsidRPr="007E720F">
        <w:rPr>
          <w:noProof/>
          <w:sz w:val="22"/>
        </w:rPr>
        <w:t>Vključite informacije o vseh obrazloženih mnenjih Komisije v zvezi s postopki za ugotavljanje kršitev na podlagi člena 258 Pogodbe o delovanju Evropske unije (PDEU), ki so povezana z izvajanjem Sklada.</w:t>
      </w:r>
    </w:p>
    <w:tbl>
      <w:tblPr>
        <w:tblStyle w:val="Tabelamrea"/>
        <w:tblW w:w="0" w:type="auto"/>
        <w:tblLook w:val="04A0" w:firstRow="1" w:lastRow="0" w:firstColumn="1" w:lastColumn="0" w:noHBand="0" w:noVBand="1"/>
      </w:tblPr>
      <w:tblGrid>
        <w:gridCol w:w="9063"/>
      </w:tblGrid>
      <w:tr w:rsidR="0087657F" w:rsidRPr="007E720F" w14:paraId="63A7AD21" w14:textId="77777777" w:rsidTr="00E45665">
        <w:tc>
          <w:tcPr>
            <w:tcW w:w="9289" w:type="dxa"/>
          </w:tcPr>
          <w:p w14:paraId="2596C7D7" w14:textId="77777777" w:rsidR="00CF44A9" w:rsidRPr="007E720F" w:rsidRDefault="00CF44A9" w:rsidP="001E3DE5">
            <w:pPr>
              <w:pStyle w:val="Personnequisigne"/>
              <w:jc w:val="both"/>
              <w:rPr>
                <w:i w:val="0"/>
                <w:sz w:val="22"/>
              </w:rPr>
            </w:pPr>
            <w:r w:rsidRPr="007E720F">
              <w:rPr>
                <w:i w:val="0"/>
                <w:sz w:val="22"/>
              </w:rPr>
              <w:t xml:space="preserve">Zaradi poznejše potrditve programa AMIF in posledično začetka izvajanja operacij pričakujemo, da bodo v nekaterih primerih zastavljeni cilji (2029) doseženi v nižjem obsegu oz. v drugih primerih v </w:t>
            </w:r>
            <w:r w:rsidRPr="007E720F">
              <w:rPr>
                <w:i w:val="0"/>
                <w:sz w:val="22"/>
              </w:rPr>
              <w:lastRenderedPageBreak/>
              <w:t xml:space="preserve">višjem obsegu. Razlog je, da so se nekatere aktivnosti izvedle z uporabo drugih virov financiranja ali pa se so se v tem času spremenile potrebe upravičenca. </w:t>
            </w:r>
          </w:p>
          <w:p w14:paraId="21B95E27" w14:textId="77777777" w:rsidR="00225281" w:rsidRPr="007E720F" w:rsidRDefault="00225281" w:rsidP="001E3DE5">
            <w:pPr>
              <w:pStyle w:val="Personnequisigne"/>
              <w:jc w:val="both"/>
              <w:rPr>
                <w:i w:val="0"/>
                <w:sz w:val="22"/>
              </w:rPr>
            </w:pPr>
          </w:p>
          <w:p w14:paraId="6A96A027" w14:textId="579709E3" w:rsidR="00CF44A9" w:rsidRPr="007E720F" w:rsidRDefault="00CF44A9" w:rsidP="001E3DE5">
            <w:pPr>
              <w:pStyle w:val="Personnequisigne"/>
              <w:jc w:val="both"/>
              <w:rPr>
                <w:i w:val="0"/>
                <w:sz w:val="22"/>
              </w:rPr>
            </w:pPr>
            <w:r w:rsidRPr="007E720F">
              <w:rPr>
                <w:i w:val="0"/>
                <w:sz w:val="22"/>
              </w:rPr>
              <w:t xml:space="preserve">V splošnem velja, da med izvajanjem operacij prihaja do zamud, ker so upravičenci šele konec 2023 in v začetku 2024 pričeli z izvedbo nekaterih postopkov za izpeljavo javnih </w:t>
            </w:r>
            <w:r w:rsidR="001904CD" w:rsidRPr="007E720F">
              <w:rPr>
                <w:i w:val="0"/>
                <w:sz w:val="22"/>
              </w:rPr>
              <w:t>postopkov</w:t>
            </w:r>
            <w:r w:rsidRPr="007E720F">
              <w:rPr>
                <w:i w:val="0"/>
                <w:sz w:val="22"/>
              </w:rPr>
              <w:t xml:space="preserve"> (dobava blaga in storitve</w:t>
            </w:r>
            <w:r w:rsidR="001904CD" w:rsidRPr="007E720F">
              <w:rPr>
                <w:i w:val="0"/>
                <w:sz w:val="22"/>
              </w:rPr>
              <w:t xml:space="preserve"> ali zaposlitev oseb</w:t>
            </w:r>
            <w:r w:rsidRPr="007E720F">
              <w:rPr>
                <w:i w:val="0"/>
                <w:sz w:val="22"/>
              </w:rPr>
              <w:t>) in/ali s pripravo dokumentacije za pozive za javne razpise, zato bodo pogodbe podpisane šele konec 2024 ali v začetku 2025. Poleg tega pa se je do konca 2023 koristilo še neporabljena sredstva v okviru programa AMIF 14-20.</w:t>
            </w:r>
            <w:r w:rsidR="001904CD" w:rsidRPr="007E720F">
              <w:rPr>
                <w:i w:val="0"/>
                <w:sz w:val="22"/>
              </w:rPr>
              <w:t xml:space="preserve"> Do zamud izvajanja nekaterih aktivnosti prihaja tudi, zaradi implementacije Pakta o migracijah in azilu.</w:t>
            </w:r>
          </w:p>
          <w:p w14:paraId="2F8ADDC6" w14:textId="77777777" w:rsidR="00CF44A9" w:rsidRPr="007E720F" w:rsidRDefault="00CF44A9" w:rsidP="001E3DE5">
            <w:pPr>
              <w:pStyle w:val="Personnequisigne"/>
              <w:jc w:val="both"/>
              <w:rPr>
                <w:sz w:val="22"/>
              </w:rPr>
            </w:pPr>
          </w:p>
          <w:p w14:paraId="2B2EBA16" w14:textId="33FBCF02" w:rsidR="00CF44A9" w:rsidRPr="007E720F" w:rsidRDefault="00CF44A9" w:rsidP="001E3DE5">
            <w:pPr>
              <w:rPr>
                <w:sz w:val="22"/>
              </w:rPr>
            </w:pPr>
            <w:r w:rsidRPr="007E720F">
              <w:rPr>
                <w:sz w:val="22"/>
              </w:rPr>
              <w:t>V obračunskem obdobju poročanja OU glede na prejete zahtevke za povračilo, kjer upravičenci poročajo o  vsebinskem in finančnem napredku, o morebitnih vprašanjih, ki vplivajo na smotrnost programa, spremembah strategije ali nacionalnih ciljev ali dejavnikov, ki bi privedli do sprememb, ter povezanih prilagoditev, ocenjuje, da bodo določene vrednosti kazalnikov presežene ali zaradi povečanih potreb (O.2.3.1) ali zaradi napačnega načrtovanja (O.1.1, O.1.1.1, O.1.1.2, O.1.1.3). Vrednosti nekaterih kazalnikov, ki so vezane predvsem na operacije, ki se dodelijo na podlagi javnih razpisov, pa bodo dosežene z zamudo (O.2.7, O.2.3.3, O.2.</w:t>
            </w:r>
            <w:r w:rsidR="00BF3BA9" w:rsidRPr="007E720F">
              <w:rPr>
                <w:sz w:val="22"/>
              </w:rPr>
              <w:t>3.2, O.2.2) ali pa bodo sredstva</w:t>
            </w:r>
            <w:r w:rsidR="00E44770" w:rsidRPr="007E720F">
              <w:rPr>
                <w:sz w:val="22"/>
              </w:rPr>
              <w:t xml:space="preserve"> usmerjena v aktivnosti s povečanimi potrebami.</w:t>
            </w:r>
          </w:p>
          <w:p w14:paraId="112F6E50" w14:textId="7D8B5770" w:rsidR="0087657F" w:rsidRPr="007E720F" w:rsidRDefault="00CF44A9" w:rsidP="001E3DE5">
            <w:pPr>
              <w:rPr>
                <w:noProof/>
                <w:sz w:val="22"/>
              </w:rPr>
            </w:pPr>
            <w:r w:rsidRPr="007E720F">
              <w:rPr>
                <w:sz w:val="22"/>
              </w:rPr>
              <w:t xml:space="preserve">OU ne razpolaga z informacijami </w:t>
            </w:r>
            <w:r w:rsidRPr="007E720F">
              <w:rPr>
                <w:noProof/>
                <w:sz w:val="22"/>
              </w:rPr>
              <w:t>v zvezi s postopki za ugotavljanje kršitev na podlagi 258. člena Pogodbe o delovanju Evropske unije (PDEU), v povezavi z izvajanjem programa SNV.</w:t>
            </w:r>
          </w:p>
        </w:tc>
      </w:tr>
    </w:tbl>
    <w:p w14:paraId="32A9C26D" w14:textId="77777777" w:rsidR="00AB5468" w:rsidRPr="007E720F" w:rsidRDefault="00AB5468" w:rsidP="001E3DE5">
      <w:pPr>
        <w:pStyle w:val="ManualHeading2"/>
        <w:rPr>
          <w:sz w:val="22"/>
        </w:rPr>
      </w:pPr>
    </w:p>
    <w:p w14:paraId="3594979B" w14:textId="77777777" w:rsidR="0087657F" w:rsidRPr="007E720F" w:rsidRDefault="00CF7D3B" w:rsidP="001E3DE5">
      <w:pPr>
        <w:pStyle w:val="ManualHeading2"/>
        <w:rPr>
          <w:noProof/>
          <w:sz w:val="22"/>
        </w:rPr>
      </w:pPr>
      <w:r w:rsidRPr="007E720F">
        <w:rPr>
          <w:sz w:val="22"/>
        </w:rPr>
        <w:t>1.3.</w:t>
      </w:r>
      <w:r w:rsidRPr="007E720F">
        <w:rPr>
          <w:sz w:val="22"/>
        </w:rPr>
        <w:tab/>
      </w:r>
      <w:r w:rsidR="0087657F" w:rsidRPr="007E720F">
        <w:rPr>
          <w:noProof/>
          <w:sz w:val="22"/>
        </w:rPr>
        <w:t>Posebni blažilni ukrepi</w:t>
      </w:r>
    </w:p>
    <w:p w14:paraId="2088DE24" w14:textId="77777777" w:rsidR="0087657F" w:rsidRPr="007E720F" w:rsidRDefault="0087657F" w:rsidP="001E3DE5">
      <w:pPr>
        <w:pStyle w:val="Titrearticle"/>
        <w:spacing w:before="120"/>
        <w:jc w:val="both"/>
        <w:rPr>
          <w:i w:val="0"/>
          <w:noProof/>
          <w:sz w:val="22"/>
        </w:rPr>
      </w:pPr>
      <w:r w:rsidRPr="007E720F">
        <w:rPr>
          <w:b/>
          <w:i w:val="0"/>
          <w:noProof/>
          <w:sz w:val="22"/>
        </w:rPr>
        <w:t>Če je ustrezno</w:t>
      </w:r>
      <w:r w:rsidRPr="007E720F">
        <w:rPr>
          <w:i w:val="0"/>
          <w:noProof/>
          <w:sz w:val="22"/>
        </w:rPr>
        <w:t xml:space="preserve">, na kratko opišite, kako so dejavnosti programa prispevale k ublažitvi učinkov morebitnih nenadnih sprememb migracijskega pritiska, ki so posledica kakršnega koli nepredvidenega poslabšanja socialno-ekonomskih ali političnih razmer v zadevnih tretjih državah. Kadar koli je mogoče, navedite obseg sredstev, prerazporejenih v ta namen, ter s tem povezane dosežene učinke in rezultate. </w:t>
      </w:r>
    </w:p>
    <w:p w14:paraId="3DBED3D5" w14:textId="77777777" w:rsidR="0087657F" w:rsidRPr="007E720F" w:rsidRDefault="00A002B3" w:rsidP="001E3DE5">
      <w:pPr>
        <w:pStyle w:val="Titrearticle"/>
        <w:spacing w:before="120"/>
        <w:jc w:val="both"/>
        <w:rPr>
          <w:i w:val="0"/>
          <w:noProof/>
          <w:sz w:val="22"/>
        </w:rPr>
      </w:pPr>
      <w:r w:rsidRPr="007E720F">
        <w:rPr>
          <w:i w:val="0"/>
          <w:noProof/>
          <w:sz w:val="22"/>
        </w:rPr>
        <w:t xml:space="preserve">Posebno pozornost namenite dejavnostim, ki se izvajajo za ublažitev učinkov takih nenadnih sprememb in katerih dosežki morda ne bodo v celoti zajeti s skupnimi kazalniki učinka in rezultatov. </w:t>
      </w:r>
    </w:p>
    <w:tbl>
      <w:tblPr>
        <w:tblStyle w:val="Tabelamrea"/>
        <w:tblW w:w="0" w:type="auto"/>
        <w:tblLook w:val="04A0" w:firstRow="1" w:lastRow="0" w:firstColumn="1" w:lastColumn="0" w:noHBand="0" w:noVBand="1"/>
      </w:tblPr>
      <w:tblGrid>
        <w:gridCol w:w="9063"/>
      </w:tblGrid>
      <w:tr w:rsidR="007E720F" w:rsidRPr="007E720F" w14:paraId="6B567950" w14:textId="77777777" w:rsidTr="00E45665">
        <w:tc>
          <w:tcPr>
            <w:tcW w:w="9289" w:type="dxa"/>
          </w:tcPr>
          <w:p w14:paraId="5CD17A87" w14:textId="7FE347A1" w:rsidR="0087657F" w:rsidRPr="007E720F" w:rsidRDefault="00A61AB5" w:rsidP="001E3DE5">
            <w:pPr>
              <w:pStyle w:val="Personnequisigne"/>
              <w:jc w:val="both"/>
              <w:rPr>
                <w:i w:val="0"/>
                <w:noProof/>
                <w:sz w:val="22"/>
              </w:rPr>
            </w:pPr>
            <w:r w:rsidRPr="007E720F">
              <w:rPr>
                <w:i w:val="0"/>
                <w:noProof/>
                <w:sz w:val="22"/>
              </w:rPr>
              <w:t>Ocenjujemo, da so aktivnosti programa AMIF v obračunskem obdobju poročanja posredno vplivale k ublažitvi učinkov morebitnih nenadnih sprememb migracijskega pritiska, ki so posledica kakršnega koli nepredvidenega poslabšanja socialno-ekonomskih ali političnih razmer v zadevnih tretjih državah (npr. zaradi razmer na Bližnjem vzhodu, v Afganistanu, Siriji, Ukrajini), vendar za ta namen niso bila prerazporejena sredstva</w:t>
            </w:r>
            <w:r w:rsidRPr="007E720F">
              <w:rPr>
                <w:noProof/>
                <w:sz w:val="22"/>
              </w:rPr>
              <w:t>.</w:t>
            </w:r>
            <w:r w:rsidR="0047012F" w:rsidRPr="007E720F">
              <w:rPr>
                <w:i w:val="0"/>
                <w:noProof/>
                <w:sz w:val="22"/>
              </w:rPr>
              <w:t xml:space="preserve"> </w:t>
            </w:r>
          </w:p>
        </w:tc>
      </w:tr>
    </w:tbl>
    <w:p w14:paraId="6F78DDF5" w14:textId="77777777" w:rsidR="0087657F" w:rsidRPr="007E720F" w:rsidRDefault="00CF7D3B" w:rsidP="001E3DE5">
      <w:pPr>
        <w:pStyle w:val="ManualHeading2"/>
        <w:rPr>
          <w:noProof/>
          <w:sz w:val="22"/>
        </w:rPr>
      </w:pPr>
      <w:r w:rsidRPr="007E720F">
        <w:rPr>
          <w:sz w:val="22"/>
        </w:rPr>
        <w:t>1.4.</w:t>
      </w:r>
      <w:r w:rsidRPr="007E720F">
        <w:rPr>
          <w:sz w:val="22"/>
        </w:rPr>
        <w:tab/>
      </w:r>
      <w:r w:rsidR="0087657F" w:rsidRPr="007E720F">
        <w:rPr>
          <w:noProof/>
          <w:sz w:val="22"/>
        </w:rPr>
        <w:t>Operativna podpora – člen 21(3) Uredbe (EU) 2021/1147</w:t>
      </w:r>
    </w:p>
    <w:p w14:paraId="0AE7EF6D" w14:textId="77777777" w:rsidR="0087657F" w:rsidRPr="007E720F" w:rsidRDefault="00C62604" w:rsidP="001E3DE5">
      <w:pPr>
        <w:pStyle w:val="Titrearticle"/>
        <w:spacing w:before="120"/>
        <w:jc w:val="both"/>
        <w:rPr>
          <w:i w:val="0"/>
          <w:noProof/>
          <w:sz w:val="22"/>
        </w:rPr>
      </w:pPr>
      <w:r w:rsidRPr="007E720F">
        <w:rPr>
          <w:i w:val="0"/>
          <w:noProof/>
          <w:sz w:val="22"/>
        </w:rPr>
        <w:t>Če je bila med obračunskim letom uporabljena operativna podpora, opišite, kako je prispevala k doseganju ciljev Sklada</w:t>
      </w:r>
      <w:r w:rsidRPr="007E720F">
        <w:rPr>
          <w:rStyle w:val="Sprotnaopomba-sklic"/>
          <w:i w:val="0"/>
          <w:noProof/>
          <w:sz w:val="22"/>
        </w:rPr>
        <w:footnoteReference w:id="7"/>
      </w:r>
      <w:r w:rsidRPr="007E720F">
        <w:rPr>
          <w:i w:val="0"/>
          <w:noProof/>
          <w:sz w:val="22"/>
        </w:rPr>
        <w:t xml:space="preserve">. </w:t>
      </w:r>
    </w:p>
    <w:p w14:paraId="7ED8DFF7" w14:textId="77777777" w:rsidR="0087657F" w:rsidRPr="007E720F" w:rsidRDefault="0048297F" w:rsidP="001E3DE5">
      <w:pPr>
        <w:pStyle w:val="Titrearticle"/>
        <w:spacing w:before="120"/>
        <w:jc w:val="both"/>
        <w:rPr>
          <w:i w:val="0"/>
          <w:noProof/>
          <w:sz w:val="22"/>
        </w:rPr>
      </w:pPr>
      <w:r w:rsidRPr="007E720F">
        <w:rPr>
          <w:i w:val="0"/>
          <w:noProof/>
          <w:sz w:val="22"/>
        </w:rPr>
        <w:t xml:space="preserve">Če skupni kumulativni upravičeni stroški operativne podpore za operacije, izbrane za podporo, ob koncu obračunskega leta presegajo 15 % skupnih sredstev, dodeljenih programu, pojasnite razloge za to. Če </w:t>
      </w:r>
      <w:r w:rsidRPr="007E720F">
        <w:rPr>
          <w:i w:val="0"/>
          <w:noProof/>
          <w:sz w:val="22"/>
        </w:rPr>
        <w:lastRenderedPageBreak/>
        <w:t xml:space="preserve">obstaja tveganje, da bo prag do konca programskega obdobja presežen, opišite predvidene ukrepe za zmanjšanje tveganja. </w:t>
      </w:r>
    </w:p>
    <w:tbl>
      <w:tblPr>
        <w:tblStyle w:val="Tabelamrea"/>
        <w:tblW w:w="0" w:type="auto"/>
        <w:tblLook w:val="04A0" w:firstRow="1" w:lastRow="0" w:firstColumn="1" w:lastColumn="0" w:noHBand="0" w:noVBand="1"/>
      </w:tblPr>
      <w:tblGrid>
        <w:gridCol w:w="9063"/>
      </w:tblGrid>
      <w:tr w:rsidR="007E720F" w:rsidRPr="007E720F" w14:paraId="000DE143" w14:textId="77777777" w:rsidTr="00E45665">
        <w:tc>
          <w:tcPr>
            <w:tcW w:w="9289" w:type="dxa"/>
          </w:tcPr>
          <w:p w14:paraId="21D2EC4F" w14:textId="4F1811AA" w:rsidR="007D31D4" w:rsidRPr="007E720F" w:rsidRDefault="005F7784" w:rsidP="001E3DE5">
            <w:pPr>
              <w:pStyle w:val="Personnequisigne"/>
              <w:jc w:val="both"/>
              <w:rPr>
                <w:i w:val="0"/>
                <w:noProof/>
                <w:sz w:val="22"/>
              </w:rPr>
            </w:pPr>
            <w:r w:rsidRPr="007E720F">
              <w:rPr>
                <w:i w:val="0"/>
                <w:noProof/>
                <w:sz w:val="22"/>
              </w:rPr>
              <w:t xml:space="preserve">Slovenija v obračunskem obdobju, </w:t>
            </w:r>
            <w:r w:rsidR="00C3629B" w:rsidRPr="007E720F">
              <w:rPr>
                <w:i w:val="0"/>
                <w:noProof/>
                <w:sz w:val="22"/>
              </w:rPr>
              <w:t>skladno z A</w:t>
            </w:r>
            <w:r w:rsidR="007D31D4" w:rsidRPr="007E720F">
              <w:rPr>
                <w:i w:val="0"/>
                <w:noProof/>
                <w:sz w:val="22"/>
              </w:rPr>
              <w:t>kcijskim</w:t>
            </w:r>
            <w:r w:rsidR="00C3629B" w:rsidRPr="007E720F">
              <w:rPr>
                <w:i w:val="0"/>
                <w:noProof/>
                <w:sz w:val="22"/>
              </w:rPr>
              <w:t xml:space="preserve"> načrtom AMIF</w:t>
            </w:r>
            <w:r w:rsidRPr="007E720F">
              <w:rPr>
                <w:i w:val="0"/>
                <w:noProof/>
                <w:sz w:val="22"/>
              </w:rPr>
              <w:t xml:space="preserve">, načrtuje </w:t>
            </w:r>
            <w:r w:rsidR="007D31D4" w:rsidRPr="007E720F">
              <w:rPr>
                <w:i w:val="0"/>
                <w:noProof/>
                <w:sz w:val="22"/>
              </w:rPr>
              <w:t>izvedbo treh operacij</w:t>
            </w:r>
            <w:r w:rsidRPr="007E720F">
              <w:rPr>
                <w:i w:val="0"/>
                <w:noProof/>
                <w:sz w:val="22"/>
              </w:rPr>
              <w:t xml:space="preserve"> operativne podpore (dve operaciji </w:t>
            </w:r>
            <w:r w:rsidR="007D31D4" w:rsidRPr="007E720F">
              <w:rPr>
                <w:i w:val="0"/>
                <w:noProof/>
                <w:sz w:val="22"/>
              </w:rPr>
              <w:t>iz</w:t>
            </w:r>
            <w:r w:rsidRPr="007E720F">
              <w:rPr>
                <w:i w:val="0"/>
                <w:noProof/>
                <w:sz w:val="22"/>
              </w:rPr>
              <w:t xml:space="preserve"> SO</w:t>
            </w:r>
            <w:r w:rsidR="007D31D4" w:rsidRPr="007E720F">
              <w:rPr>
                <w:i w:val="0"/>
                <w:noProof/>
                <w:sz w:val="22"/>
              </w:rPr>
              <w:t>1 in eno iz</w:t>
            </w:r>
            <w:r w:rsidRPr="007E720F">
              <w:rPr>
                <w:i w:val="0"/>
                <w:noProof/>
                <w:sz w:val="22"/>
              </w:rPr>
              <w:t xml:space="preserve"> SO2). V </w:t>
            </w:r>
            <w:r w:rsidR="007D31D4" w:rsidRPr="007E720F">
              <w:rPr>
                <w:i w:val="0"/>
                <w:noProof/>
                <w:sz w:val="22"/>
              </w:rPr>
              <w:t xml:space="preserve">tem </w:t>
            </w:r>
            <w:r w:rsidRPr="007E720F">
              <w:rPr>
                <w:i w:val="0"/>
                <w:noProof/>
                <w:sz w:val="22"/>
              </w:rPr>
              <w:t>o</w:t>
            </w:r>
            <w:r w:rsidR="007D31D4" w:rsidRPr="007E720F">
              <w:rPr>
                <w:i w:val="0"/>
                <w:noProof/>
                <w:sz w:val="22"/>
              </w:rPr>
              <w:t>bdobju</w:t>
            </w:r>
            <w:r w:rsidRPr="007E720F">
              <w:rPr>
                <w:i w:val="0"/>
                <w:noProof/>
                <w:sz w:val="22"/>
              </w:rPr>
              <w:t xml:space="preserve"> je OU</w:t>
            </w:r>
            <w:r w:rsidR="00921283" w:rsidRPr="007E720F">
              <w:rPr>
                <w:i w:val="0"/>
                <w:noProof/>
                <w:sz w:val="22"/>
              </w:rPr>
              <w:t xml:space="preserve"> potrdil</w:t>
            </w:r>
            <w:r w:rsidR="007D31D4" w:rsidRPr="007E720F">
              <w:rPr>
                <w:i w:val="0"/>
                <w:noProof/>
                <w:sz w:val="22"/>
              </w:rPr>
              <w:t xml:space="preserve"> začetek izvajanja</w:t>
            </w:r>
            <w:r w:rsidR="00921283" w:rsidRPr="007E720F">
              <w:rPr>
                <w:i w:val="0"/>
                <w:noProof/>
                <w:sz w:val="22"/>
              </w:rPr>
              <w:t xml:space="preserve"> 2 operaci</w:t>
            </w:r>
            <w:r w:rsidR="007D31D4" w:rsidRPr="007E720F">
              <w:rPr>
                <w:i w:val="0"/>
                <w:noProof/>
                <w:sz w:val="22"/>
              </w:rPr>
              <w:t>j, tretja je v pripravi.</w:t>
            </w:r>
          </w:p>
          <w:p w14:paraId="1C96D824" w14:textId="77777777" w:rsidR="007D31D4" w:rsidRPr="007E720F" w:rsidRDefault="007D31D4" w:rsidP="001E3DE5">
            <w:pPr>
              <w:pStyle w:val="Personnequisigne"/>
              <w:jc w:val="both"/>
              <w:rPr>
                <w:i w:val="0"/>
                <w:noProof/>
                <w:sz w:val="22"/>
              </w:rPr>
            </w:pPr>
          </w:p>
          <w:p w14:paraId="4B9FB263" w14:textId="77777777" w:rsidR="00C35BBC" w:rsidRPr="007E720F" w:rsidRDefault="007D31D4" w:rsidP="001E3DE5">
            <w:pPr>
              <w:pStyle w:val="Personnequisigne"/>
              <w:jc w:val="both"/>
              <w:rPr>
                <w:i w:val="0"/>
                <w:noProof/>
                <w:sz w:val="22"/>
              </w:rPr>
            </w:pPr>
            <w:r w:rsidRPr="007E720F">
              <w:rPr>
                <w:i w:val="0"/>
                <w:noProof/>
                <w:sz w:val="22"/>
              </w:rPr>
              <w:t>O uporabi operativne podpore ali njenem prispevku k doseganju ciljev programa AMIF za sedaj ne moremo poročati, saj niso še bili posredovani zahtevki za povračilo, tako da se operativna podpora še ni koristila. Trenutna načrtovana višina</w:t>
            </w:r>
            <w:r w:rsidR="00234954" w:rsidRPr="007E720F">
              <w:rPr>
                <w:i w:val="0"/>
                <w:noProof/>
                <w:sz w:val="22"/>
              </w:rPr>
              <w:t xml:space="preserve"> operativne podpore</w:t>
            </w:r>
            <w:r w:rsidRPr="007E720F">
              <w:rPr>
                <w:i w:val="0"/>
                <w:noProof/>
                <w:sz w:val="22"/>
              </w:rPr>
              <w:t xml:space="preserve"> je nižja od 15% skupnih sredstev, dodeljenih programu </w:t>
            </w:r>
            <w:r w:rsidR="00234954" w:rsidRPr="007E720F">
              <w:rPr>
                <w:i w:val="0"/>
                <w:noProof/>
                <w:sz w:val="22"/>
              </w:rPr>
              <w:t>AMI</w:t>
            </w:r>
            <w:r w:rsidR="00CC05A8" w:rsidRPr="007E720F">
              <w:rPr>
                <w:i w:val="0"/>
                <w:noProof/>
                <w:sz w:val="22"/>
              </w:rPr>
              <w:t>F</w:t>
            </w:r>
            <w:r w:rsidR="00234954" w:rsidRPr="007E720F">
              <w:rPr>
                <w:i w:val="0"/>
                <w:noProof/>
                <w:sz w:val="22"/>
              </w:rPr>
              <w:t>, zato ni tveganja, da bi bila do konca programskega obdobja presežena.</w:t>
            </w:r>
            <w:r w:rsidR="002379DB" w:rsidRPr="007E720F">
              <w:rPr>
                <w:i w:val="0"/>
                <w:noProof/>
                <w:sz w:val="22"/>
              </w:rPr>
              <w:t xml:space="preserve"> </w:t>
            </w:r>
          </w:p>
          <w:p w14:paraId="73367FAA" w14:textId="77777777" w:rsidR="00C35BBC" w:rsidRPr="007E720F" w:rsidRDefault="00C35BBC" w:rsidP="001E3DE5">
            <w:pPr>
              <w:pStyle w:val="Personnequisigne"/>
              <w:jc w:val="both"/>
              <w:rPr>
                <w:i w:val="0"/>
                <w:noProof/>
                <w:sz w:val="22"/>
              </w:rPr>
            </w:pPr>
          </w:p>
          <w:p w14:paraId="575249CD" w14:textId="77777777" w:rsidR="005D5204" w:rsidRPr="007E720F" w:rsidRDefault="005D5204" w:rsidP="001E3DE5">
            <w:pPr>
              <w:pStyle w:val="Personnequisigne"/>
              <w:jc w:val="both"/>
              <w:rPr>
                <w:i w:val="0"/>
                <w:iCs/>
                <w:sz w:val="22"/>
              </w:rPr>
            </w:pPr>
            <w:r w:rsidRPr="007E720F">
              <w:rPr>
                <w:i w:val="0"/>
                <w:iCs/>
                <w:sz w:val="22"/>
              </w:rPr>
              <w:t>UIOM aktivnosti operativne</w:t>
            </w:r>
            <w:r w:rsidR="002379DB" w:rsidRPr="007E720F">
              <w:rPr>
                <w:i w:val="0"/>
                <w:iCs/>
                <w:sz w:val="22"/>
              </w:rPr>
              <w:t xml:space="preserve"> podpora trenutno še ne izvaja. </w:t>
            </w:r>
            <w:r w:rsidRPr="007E720F">
              <w:rPr>
                <w:i w:val="0"/>
                <w:iCs/>
                <w:sz w:val="22"/>
              </w:rPr>
              <w:t>Postopke za zaposlitev</w:t>
            </w:r>
            <w:r w:rsidR="002379DB" w:rsidRPr="007E720F">
              <w:rPr>
                <w:i w:val="0"/>
                <w:iCs/>
                <w:sz w:val="22"/>
              </w:rPr>
              <w:t xml:space="preserve"> so se večkrat ponovili, </w:t>
            </w:r>
            <w:r w:rsidRPr="007E720F">
              <w:rPr>
                <w:i w:val="0"/>
                <w:iCs/>
                <w:sz w:val="22"/>
              </w:rPr>
              <w:t>a žal neuspešno. Ponovno bo ponovljen</w:t>
            </w:r>
            <w:r w:rsidR="002379DB" w:rsidRPr="007E720F">
              <w:rPr>
                <w:i w:val="0"/>
                <w:iCs/>
                <w:sz w:val="22"/>
              </w:rPr>
              <w:t xml:space="preserve"> razpis za to delovno mesto v letu </w:t>
            </w:r>
            <w:r w:rsidR="002C3B55" w:rsidRPr="007E720F">
              <w:rPr>
                <w:i w:val="0"/>
                <w:iCs/>
                <w:sz w:val="22"/>
              </w:rPr>
              <w:t>2025 in pričakujemo, da bo izbrana primerna oseba in se bo</w:t>
            </w:r>
            <w:r w:rsidR="005B4754" w:rsidRPr="007E720F">
              <w:rPr>
                <w:i w:val="0"/>
                <w:iCs/>
                <w:sz w:val="22"/>
              </w:rPr>
              <w:t xml:space="preserve">do sredstva </w:t>
            </w:r>
            <w:r w:rsidR="002C3B55" w:rsidRPr="007E720F">
              <w:rPr>
                <w:i w:val="0"/>
                <w:iCs/>
                <w:sz w:val="22"/>
              </w:rPr>
              <w:t>operacij lahko začel</w:t>
            </w:r>
            <w:r w:rsidR="005B4754" w:rsidRPr="007E720F">
              <w:rPr>
                <w:i w:val="0"/>
                <w:iCs/>
                <w:sz w:val="22"/>
              </w:rPr>
              <w:t>a</w:t>
            </w:r>
            <w:r w:rsidR="002C3B55" w:rsidRPr="007E720F">
              <w:rPr>
                <w:i w:val="0"/>
                <w:iCs/>
                <w:sz w:val="22"/>
              </w:rPr>
              <w:t xml:space="preserve"> koristiti.</w:t>
            </w:r>
          </w:p>
          <w:p w14:paraId="4B65ADE6" w14:textId="77777777" w:rsidR="005D5204" w:rsidRPr="007E720F" w:rsidRDefault="005D5204" w:rsidP="001E3DE5">
            <w:pPr>
              <w:pStyle w:val="Personnequisigne"/>
              <w:jc w:val="both"/>
              <w:rPr>
                <w:i w:val="0"/>
                <w:iCs/>
                <w:sz w:val="22"/>
              </w:rPr>
            </w:pPr>
          </w:p>
          <w:p w14:paraId="61150FD9" w14:textId="75EE8939" w:rsidR="005D5204" w:rsidRPr="007E720F" w:rsidRDefault="005D5204" w:rsidP="001E3DE5">
            <w:pPr>
              <w:pStyle w:val="Personnequisigne"/>
              <w:jc w:val="both"/>
              <w:rPr>
                <w:i w:val="0"/>
                <w:iCs/>
                <w:sz w:val="22"/>
              </w:rPr>
            </w:pPr>
            <w:r w:rsidRPr="007E720F">
              <w:rPr>
                <w:i w:val="0"/>
                <w:sz w:val="22"/>
              </w:rPr>
              <w:t>Ministrstvo za notranje zadeve, Direktorat za migracije, načrtuje, da se bodo aktivnosti v zvezi z operativno pomočjo začele izvajati z implementacijo Pakta</w:t>
            </w:r>
            <w:r w:rsidR="0025250A" w:rsidRPr="007E720F">
              <w:rPr>
                <w:i w:val="0"/>
                <w:sz w:val="22"/>
              </w:rPr>
              <w:t xml:space="preserve"> o migracijah </w:t>
            </w:r>
            <w:r w:rsidR="005637B0" w:rsidRPr="007E720F">
              <w:rPr>
                <w:i w:val="0"/>
                <w:sz w:val="22"/>
              </w:rPr>
              <w:t xml:space="preserve">in azilu </w:t>
            </w:r>
            <w:r w:rsidR="0025250A" w:rsidRPr="007E720F">
              <w:rPr>
                <w:i w:val="0"/>
                <w:sz w:val="22"/>
              </w:rPr>
              <w:t>- kadrovska in infrastrukturna podpora.</w:t>
            </w:r>
          </w:p>
        </w:tc>
      </w:tr>
    </w:tbl>
    <w:p w14:paraId="2F876A42" w14:textId="77777777" w:rsidR="0087657F" w:rsidRPr="007E720F" w:rsidRDefault="00CF7D3B" w:rsidP="001E3DE5">
      <w:pPr>
        <w:pStyle w:val="ManualHeading2"/>
        <w:rPr>
          <w:noProof/>
          <w:sz w:val="22"/>
        </w:rPr>
      </w:pPr>
      <w:r w:rsidRPr="007E720F">
        <w:rPr>
          <w:sz w:val="22"/>
        </w:rPr>
        <w:t>1.5.</w:t>
      </w:r>
      <w:r w:rsidRPr="007E720F">
        <w:rPr>
          <w:sz w:val="22"/>
        </w:rPr>
        <w:tab/>
      </w:r>
      <w:r w:rsidR="0087657F" w:rsidRPr="007E720F">
        <w:rPr>
          <w:noProof/>
          <w:sz w:val="22"/>
        </w:rPr>
        <w:t>Posebni ukrepi</w:t>
      </w:r>
      <w:r w:rsidR="0087657F" w:rsidRPr="007E720F">
        <w:rPr>
          <w:rStyle w:val="Sprotnaopomba-sklic"/>
          <w:noProof/>
          <w:sz w:val="22"/>
        </w:rPr>
        <w:footnoteReference w:id="8"/>
      </w:r>
      <w:r w:rsidR="0087657F" w:rsidRPr="007E720F">
        <w:rPr>
          <w:noProof/>
          <w:sz w:val="22"/>
        </w:rPr>
        <w:t xml:space="preserve"> </w:t>
      </w:r>
    </w:p>
    <w:p w14:paraId="7904322D" w14:textId="77777777" w:rsidR="0087657F" w:rsidRPr="007E720F" w:rsidRDefault="00804283" w:rsidP="001E3DE5">
      <w:pPr>
        <w:pStyle w:val="Titrearticle"/>
        <w:spacing w:before="120"/>
        <w:jc w:val="both"/>
        <w:rPr>
          <w:i w:val="0"/>
          <w:noProof/>
          <w:sz w:val="22"/>
        </w:rPr>
      </w:pPr>
      <w:r w:rsidRPr="007E720F">
        <w:rPr>
          <w:i w:val="0"/>
          <w:noProof/>
          <w:sz w:val="22"/>
        </w:rPr>
        <w:t>Opišite glavne dosežke vseh posebnih ukrepov, izvedenih med obračunskim letom, ter kako so ti ukrepi prispevali k doseganju ciljev programa in ustvarjanju dodane vrednosti Unije</w:t>
      </w:r>
      <w:r w:rsidRPr="007E720F">
        <w:rPr>
          <w:rStyle w:val="Sprotnaopomba-sklic"/>
          <w:i w:val="0"/>
          <w:noProof/>
          <w:sz w:val="22"/>
        </w:rPr>
        <w:footnoteReference w:id="9"/>
      </w:r>
      <w:r w:rsidRPr="007E720F">
        <w:rPr>
          <w:i w:val="0"/>
          <w:noProof/>
          <w:sz w:val="22"/>
        </w:rPr>
        <w:t xml:space="preserve">. </w:t>
      </w:r>
    </w:p>
    <w:p w14:paraId="3105EBC6" w14:textId="77777777" w:rsidR="00CD67EB" w:rsidRPr="007E720F" w:rsidRDefault="00804283" w:rsidP="001E3DE5">
      <w:pPr>
        <w:pStyle w:val="Titrearticle"/>
        <w:spacing w:before="120"/>
        <w:jc w:val="both"/>
        <w:rPr>
          <w:i w:val="0"/>
          <w:noProof/>
          <w:sz w:val="22"/>
        </w:rPr>
      </w:pPr>
      <w:r w:rsidRPr="007E720F">
        <w:rPr>
          <w:i w:val="0"/>
          <w:noProof/>
          <w:sz w:val="22"/>
        </w:rPr>
        <w:t>Opišite, kako so posamezni ukrepi napredovali, tako postopkovno</w:t>
      </w:r>
      <w:r w:rsidRPr="007E720F">
        <w:rPr>
          <w:rStyle w:val="Sprotnaopomba-sklic"/>
          <w:i w:val="0"/>
          <w:noProof/>
          <w:sz w:val="22"/>
        </w:rPr>
        <w:footnoteReference w:id="10"/>
      </w:r>
      <w:r w:rsidRPr="007E720F">
        <w:rPr>
          <w:i w:val="0"/>
          <w:noProof/>
          <w:sz w:val="22"/>
        </w:rPr>
        <w:t xml:space="preserve"> kot operativno</w:t>
      </w:r>
      <w:r w:rsidRPr="007E720F">
        <w:rPr>
          <w:rStyle w:val="Sprotnaopomba-sklic"/>
          <w:i w:val="0"/>
          <w:noProof/>
          <w:sz w:val="22"/>
        </w:rPr>
        <w:footnoteReference w:id="11"/>
      </w:r>
      <w:r w:rsidRPr="007E720F">
        <w:rPr>
          <w:i w:val="0"/>
          <w:noProof/>
          <w:sz w:val="22"/>
        </w:rPr>
        <w:t xml:space="preserve">, in izpostavite morebitna vprašanja, ki vplivajo na njihovo uspešnost, zlasti morebitno tveganje premajhne porabe. </w:t>
      </w:r>
    </w:p>
    <w:p w14:paraId="4B32D57C" w14:textId="77777777" w:rsidR="0087657F" w:rsidRPr="007E720F" w:rsidRDefault="0087657F" w:rsidP="001E3DE5">
      <w:pPr>
        <w:pStyle w:val="Titrearticle"/>
        <w:spacing w:before="120"/>
        <w:jc w:val="both"/>
        <w:rPr>
          <w:i w:val="0"/>
          <w:noProof/>
          <w:sz w:val="22"/>
        </w:rPr>
      </w:pPr>
      <w:r w:rsidRPr="007E720F">
        <w:rPr>
          <w:i w:val="0"/>
          <w:noProof/>
          <w:sz w:val="22"/>
        </w:rPr>
        <w:t>Če je ustrezno, te informacije razčlenite na raven projektov. Če se pričakuje kakršno koli odstopanje od prvotnega načrtovanja, pojasnite razloge za to, opišite morebitne sprejete blažilne ukrepe in predložite spremenjeni časovni razpored.</w:t>
      </w:r>
    </w:p>
    <w:tbl>
      <w:tblPr>
        <w:tblStyle w:val="Tabelamrea"/>
        <w:tblW w:w="0" w:type="auto"/>
        <w:tblLook w:val="04A0" w:firstRow="1" w:lastRow="0" w:firstColumn="1" w:lastColumn="0" w:noHBand="0" w:noVBand="1"/>
      </w:tblPr>
      <w:tblGrid>
        <w:gridCol w:w="9063"/>
      </w:tblGrid>
      <w:tr w:rsidR="007E720F" w:rsidRPr="007E720F" w14:paraId="1B8E3ADB" w14:textId="77777777" w:rsidTr="00E45665">
        <w:tc>
          <w:tcPr>
            <w:tcW w:w="9289" w:type="dxa"/>
          </w:tcPr>
          <w:p w14:paraId="7834C59E" w14:textId="77777777" w:rsidR="0087657F" w:rsidRPr="007E720F" w:rsidRDefault="00B511F2" w:rsidP="001E3DE5">
            <w:pPr>
              <w:pStyle w:val="Personnequisigne"/>
              <w:jc w:val="both"/>
              <w:rPr>
                <w:i w:val="0"/>
                <w:noProof/>
                <w:sz w:val="22"/>
              </w:rPr>
            </w:pPr>
            <w:r w:rsidRPr="007E720F">
              <w:rPr>
                <w:i w:val="0"/>
                <w:noProof/>
                <w:sz w:val="22"/>
              </w:rPr>
              <w:t xml:space="preserve">Slovenija </w:t>
            </w:r>
            <w:r w:rsidR="00F533D5" w:rsidRPr="007E720F">
              <w:rPr>
                <w:i w:val="0"/>
                <w:noProof/>
                <w:sz w:val="22"/>
              </w:rPr>
              <w:t xml:space="preserve">v obračunskem obdobju poročanja </w:t>
            </w:r>
            <w:r w:rsidR="009A6F1F" w:rsidRPr="007E720F">
              <w:rPr>
                <w:i w:val="0"/>
                <w:noProof/>
                <w:sz w:val="22"/>
              </w:rPr>
              <w:t xml:space="preserve">v program AMIF </w:t>
            </w:r>
            <w:r w:rsidRPr="007E720F">
              <w:rPr>
                <w:i w:val="0"/>
                <w:noProof/>
                <w:sz w:val="22"/>
              </w:rPr>
              <w:t>ni</w:t>
            </w:r>
            <w:r w:rsidR="00D91A8B" w:rsidRPr="007E720F">
              <w:rPr>
                <w:i w:val="0"/>
                <w:noProof/>
                <w:sz w:val="22"/>
              </w:rPr>
              <w:t xml:space="preserve"> </w:t>
            </w:r>
            <w:r w:rsidRPr="007E720F">
              <w:rPr>
                <w:i w:val="0"/>
                <w:noProof/>
                <w:sz w:val="22"/>
              </w:rPr>
              <w:t>vključila p</w:t>
            </w:r>
            <w:r w:rsidR="00D91A8B" w:rsidRPr="007E720F">
              <w:rPr>
                <w:i w:val="0"/>
                <w:noProof/>
                <w:sz w:val="22"/>
              </w:rPr>
              <w:t>osebni</w:t>
            </w:r>
            <w:r w:rsidRPr="007E720F">
              <w:rPr>
                <w:i w:val="0"/>
                <w:noProof/>
                <w:sz w:val="22"/>
              </w:rPr>
              <w:t xml:space="preserve">h </w:t>
            </w:r>
            <w:r w:rsidR="00D91A8B" w:rsidRPr="007E720F">
              <w:rPr>
                <w:i w:val="0"/>
                <w:noProof/>
                <w:sz w:val="22"/>
              </w:rPr>
              <w:t>u</w:t>
            </w:r>
            <w:r w:rsidRPr="007E720F">
              <w:rPr>
                <w:i w:val="0"/>
                <w:noProof/>
                <w:sz w:val="22"/>
              </w:rPr>
              <w:t>krepov.</w:t>
            </w:r>
          </w:p>
        </w:tc>
      </w:tr>
    </w:tbl>
    <w:p w14:paraId="3A74B229" w14:textId="77777777" w:rsidR="0087657F" w:rsidRPr="007E720F" w:rsidRDefault="0060652B" w:rsidP="001E3DE5">
      <w:pPr>
        <w:keepNext/>
        <w:rPr>
          <w:noProof/>
          <w:sz w:val="22"/>
        </w:rPr>
      </w:pPr>
      <w:r w:rsidRPr="007E720F">
        <w:rPr>
          <w:noProof/>
          <w:sz w:val="22"/>
        </w:rPr>
        <w:lastRenderedPageBreak/>
        <w:t>V spodnjo preglednico vpišite podrobnosti o vseh posebnih nacionalnih ukrepih, ki se izvajajo v okviru programa. Poročanje o posebnih nadnacionalnih ukrepih bi moralo biti skladno z izbrano možnostjo poročanja</w:t>
      </w:r>
      <w:r w:rsidRPr="007E720F">
        <w:rPr>
          <w:rStyle w:val="Sprotnaopomba-sklic"/>
          <w:noProof/>
          <w:sz w:val="22"/>
        </w:rPr>
        <w:footnoteReference w:id="12"/>
      </w:r>
      <w:r w:rsidRPr="007E720F">
        <w:rPr>
          <w:noProof/>
          <w:sz w:val="22"/>
        </w:rPr>
        <w:t>.</w:t>
      </w:r>
    </w:p>
    <w:tbl>
      <w:tblPr>
        <w:tblStyle w:val="Tabelamrea"/>
        <w:tblW w:w="9242" w:type="dxa"/>
        <w:tblLayout w:type="fixed"/>
        <w:tblCellMar>
          <w:left w:w="28" w:type="dxa"/>
          <w:right w:w="28" w:type="dxa"/>
        </w:tblCellMar>
        <w:tblLook w:val="04A0" w:firstRow="1" w:lastRow="0" w:firstColumn="1" w:lastColumn="0" w:noHBand="0" w:noVBand="1"/>
      </w:tblPr>
      <w:tblGrid>
        <w:gridCol w:w="879"/>
        <w:gridCol w:w="1134"/>
        <w:gridCol w:w="1243"/>
        <w:gridCol w:w="1025"/>
        <w:gridCol w:w="992"/>
        <w:gridCol w:w="992"/>
        <w:gridCol w:w="1364"/>
        <w:gridCol w:w="1613"/>
      </w:tblGrid>
      <w:tr w:rsidR="007E720F" w:rsidRPr="007E720F" w14:paraId="1D4E2BC6" w14:textId="77777777" w:rsidTr="00CB5B10">
        <w:trPr>
          <w:trHeight w:val="431"/>
        </w:trPr>
        <w:tc>
          <w:tcPr>
            <w:tcW w:w="879" w:type="dxa"/>
            <w:vMerge w:val="restart"/>
            <w:vAlign w:val="center"/>
          </w:tcPr>
          <w:p w14:paraId="29E39721" w14:textId="77777777" w:rsidR="0087657F" w:rsidRPr="007E720F" w:rsidRDefault="0087657F" w:rsidP="001E3DE5">
            <w:pPr>
              <w:pStyle w:val="Institutionquisigne"/>
              <w:spacing w:before="0"/>
              <w:rPr>
                <w:i w:val="0"/>
                <w:noProof/>
                <w:sz w:val="22"/>
              </w:rPr>
            </w:pPr>
            <w:r w:rsidRPr="007E720F">
              <w:rPr>
                <w:i w:val="0"/>
                <w:noProof/>
                <w:sz w:val="22"/>
              </w:rPr>
              <w:t>Specifični cilj</w:t>
            </w:r>
          </w:p>
        </w:tc>
        <w:tc>
          <w:tcPr>
            <w:tcW w:w="1134" w:type="dxa"/>
            <w:vMerge w:val="restart"/>
            <w:vAlign w:val="center"/>
          </w:tcPr>
          <w:p w14:paraId="1B29845D" w14:textId="77777777" w:rsidR="0087657F" w:rsidRPr="007E720F" w:rsidRDefault="0087657F" w:rsidP="001E3DE5">
            <w:pPr>
              <w:rPr>
                <w:noProof/>
                <w:sz w:val="22"/>
              </w:rPr>
            </w:pPr>
            <w:r w:rsidRPr="007E720F">
              <w:rPr>
                <w:noProof/>
                <w:sz w:val="22"/>
              </w:rPr>
              <w:t>Ime / referenčna številka ukrepa</w:t>
            </w:r>
          </w:p>
        </w:tc>
        <w:tc>
          <w:tcPr>
            <w:tcW w:w="1243" w:type="dxa"/>
            <w:vMerge w:val="restart"/>
            <w:vAlign w:val="center"/>
          </w:tcPr>
          <w:p w14:paraId="22C7A02E" w14:textId="77777777" w:rsidR="0087657F" w:rsidRPr="007E720F" w:rsidRDefault="0087657F" w:rsidP="001E3DE5">
            <w:pPr>
              <w:pStyle w:val="Institutionquisigne"/>
              <w:spacing w:before="0"/>
              <w:rPr>
                <w:i w:val="0"/>
                <w:noProof/>
                <w:sz w:val="22"/>
              </w:rPr>
            </w:pPr>
            <w:r w:rsidRPr="007E720F">
              <w:rPr>
                <w:i w:val="0"/>
                <w:noProof/>
                <w:sz w:val="22"/>
              </w:rPr>
              <w:t>Upravičenec</w:t>
            </w:r>
          </w:p>
        </w:tc>
        <w:tc>
          <w:tcPr>
            <w:tcW w:w="1025" w:type="dxa"/>
            <w:vMerge w:val="restart"/>
            <w:vAlign w:val="center"/>
          </w:tcPr>
          <w:p w14:paraId="5F58C79F" w14:textId="77777777" w:rsidR="0087657F" w:rsidRPr="007E720F" w:rsidRDefault="0087657F" w:rsidP="001E3DE5">
            <w:pPr>
              <w:pStyle w:val="Institutionquisigne"/>
              <w:spacing w:before="0"/>
              <w:rPr>
                <w:i w:val="0"/>
                <w:noProof/>
                <w:sz w:val="22"/>
              </w:rPr>
            </w:pPr>
            <w:r w:rsidRPr="007E720F">
              <w:rPr>
                <w:i w:val="0"/>
                <w:noProof/>
                <w:sz w:val="22"/>
              </w:rPr>
              <w:t>Obdobje izvajanja</w:t>
            </w:r>
          </w:p>
        </w:tc>
        <w:tc>
          <w:tcPr>
            <w:tcW w:w="992" w:type="dxa"/>
            <w:vMerge w:val="restart"/>
            <w:vAlign w:val="center"/>
          </w:tcPr>
          <w:p w14:paraId="6BEF0077" w14:textId="77777777" w:rsidR="0087657F" w:rsidRPr="007E720F" w:rsidRDefault="0087657F" w:rsidP="001E3DE5">
            <w:pPr>
              <w:pStyle w:val="Institutionquisigne"/>
              <w:spacing w:before="0"/>
              <w:rPr>
                <w:i w:val="0"/>
                <w:noProof/>
                <w:sz w:val="22"/>
              </w:rPr>
            </w:pPr>
            <w:r w:rsidRPr="007E720F">
              <w:rPr>
                <w:i w:val="0"/>
                <w:noProof/>
                <w:sz w:val="22"/>
              </w:rPr>
              <w:t>Upravičeni stroški</w:t>
            </w:r>
            <w:r w:rsidRPr="007E720F">
              <w:rPr>
                <w:rStyle w:val="Sprotnaopomba-sklic"/>
                <w:i w:val="0"/>
                <w:noProof/>
                <w:sz w:val="22"/>
              </w:rPr>
              <w:footnoteReference w:id="13"/>
            </w:r>
          </w:p>
        </w:tc>
        <w:tc>
          <w:tcPr>
            <w:tcW w:w="992" w:type="dxa"/>
            <w:vMerge w:val="restart"/>
            <w:vAlign w:val="center"/>
          </w:tcPr>
          <w:p w14:paraId="4AF1D00A" w14:textId="77777777" w:rsidR="0087657F" w:rsidRPr="007E720F" w:rsidRDefault="0087657F" w:rsidP="001E3DE5">
            <w:pPr>
              <w:pStyle w:val="Institutionquisigne"/>
              <w:spacing w:before="0"/>
              <w:rPr>
                <w:i w:val="0"/>
                <w:noProof/>
                <w:sz w:val="22"/>
              </w:rPr>
            </w:pPr>
            <w:r w:rsidRPr="007E720F">
              <w:rPr>
                <w:i w:val="0"/>
                <w:noProof/>
                <w:sz w:val="22"/>
              </w:rPr>
              <w:t>Upravičeni izdatki</w:t>
            </w:r>
            <w:r w:rsidRPr="007E720F">
              <w:rPr>
                <w:rStyle w:val="Sprotnaopomba-sklic"/>
                <w:i w:val="0"/>
                <w:noProof/>
                <w:sz w:val="22"/>
              </w:rPr>
              <w:footnoteReference w:id="14"/>
            </w:r>
          </w:p>
        </w:tc>
        <w:tc>
          <w:tcPr>
            <w:tcW w:w="2977" w:type="dxa"/>
            <w:gridSpan w:val="2"/>
            <w:vAlign w:val="center"/>
          </w:tcPr>
          <w:p w14:paraId="39C6DE62" w14:textId="77777777" w:rsidR="0087657F" w:rsidRPr="007E720F" w:rsidRDefault="0087657F" w:rsidP="001E3DE5">
            <w:pPr>
              <w:rPr>
                <w:noProof/>
                <w:sz w:val="22"/>
              </w:rPr>
            </w:pPr>
            <w:r w:rsidRPr="007E720F">
              <w:rPr>
                <w:noProof/>
                <w:sz w:val="22"/>
              </w:rPr>
              <w:t>Napredek pri ustreznih skupnih kazalnikih in/ali kazalnikih za posamezne programe</w:t>
            </w:r>
            <w:r w:rsidRPr="007E720F">
              <w:rPr>
                <w:rStyle w:val="Sprotnaopomba-sklic"/>
                <w:noProof/>
                <w:sz w:val="22"/>
              </w:rPr>
              <w:footnoteReference w:id="15"/>
            </w:r>
          </w:p>
        </w:tc>
      </w:tr>
      <w:tr w:rsidR="007E720F" w:rsidRPr="007E720F" w14:paraId="45922DA6" w14:textId="77777777" w:rsidTr="00CB5B10">
        <w:tc>
          <w:tcPr>
            <w:tcW w:w="879" w:type="dxa"/>
            <w:vMerge/>
            <w:vAlign w:val="center"/>
          </w:tcPr>
          <w:p w14:paraId="5AF1FA0F" w14:textId="77777777" w:rsidR="0087657F" w:rsidRPr="007E720F" w:rsidRDefault="0087657F" w:rsidP="001E3DE5">
            <w:pPr>
              <w:pStyle w:val="Institutionquisigne"/>
              <w:spacing w:before="0"/>
              <w:rPr>
                <w:i w:val="0"/>
                <w:noProof/>
                <w:sz w:val="22"/>
              </w:rPr>
            </w:pPr>
          </w:p>
        </w:tc>
        <w:tc>
          <w:tcPr>
            <w:tcW w:w="1134" w:type="dxa"/>
            <w:vMerge/>
            <w:vAlign w:val="center"/>
          </w:tcPr>
          <w:p w14:paraId="1012F4F5" w14:textId="77777777" w:rsidR="0087657F" w:rsidRPr="007E720F" w:rsidRDefault="0087657F" w:rsidP="001E3DE5">
            <w:pPr>
              <w:pStyle w:val="Institutionquisigne"/>
              <w:spacing w:before="0"/>
              <w:rPr>
                <w:i w:val="0"/>
                <w:noProof/>
                <w:sz w:val="22"/>
              </w:rPr>
            </w:pPr>
          </w:p>
        </w:tc>
        <w:tc>
          <w:tcPr>
            <w:tcW w:w="1243" w:type="dxa"/>
            <w:vMerge/>
            <w:vAlign w:val="center"/>
          </w:tcPr>
          <w:p w14:paraId="424C16DF" w14:textId="77777777" w:rsidR="0087657F" w:rsidRPr="007E720F" w:rsidRDefault="0087657F" w:rsidP="001E3DE5">
            <w:pPr>
              <w:pStyle w:val="Institutionquisigne"/>
              <w:spacing w:before="0"/>
              <w:rPr>
                <w:i w:val="0"/>
                <w:noProof/>
                <w:sz w:val="22"/>
              </w:rPr>
            </w:pPr>
          </w:p>
        </w:tc>
        <w:tc>
          <w:tcPr>
            <w:tcW w:w="1025" w:type="dxa"/>
            <w:vMerge/>
            <w:vAlign w:val="center"/>
          </w:tcPr>
          <w:p w14:paraId="7C1647DE" w14:textId="77777777" w:rsidR="0087657F" w:rsidRPr="007E720F" w:rsidRDefault="0087657F" w:rsidP="001E3DE5">
            <w:pPr>
              <w:pStyle w:val="Institutionquisigne"/>
              <w:spacing w:before="0"/>
              <w:rPr>
                <w:i w:val="0"/>
                <w:noProof/>
                <w:sz w:val="22"/>
              </w:rPr>
            </w:pPr>
          </w:p>
        </w:tc>
        <w:tc>
          <w:tcPr>
            <w:tcW w:w="992" w:type="dxa"/>
            <w:vMerge/>
            <w:vAlign w:val="center"/>
          </w:tcPr>
          <w:p w14:paraId="7DD00E33" w14:textId="77777777" w:rsidR="0087657F" w:rsidRPr="007E720F" w:rsidRDefault="0087657F" w:rsidP="001E3DE5">
            <w:pPr>
              <w:pStyle w:val="Institutionquisigne"/>
              <w:spacing w:before="0"/>
              <w:rPr>
                <w:i w:val="0"/>
                <w:noProof/>
                <w:sz w:val="22"/>
              </w:rPr>
            </w:pPr>
          </w:p>
        </w:tc>
        <w:tc>
          <w:tcPr>
            <w:tcW w:w="992" w:type="dxa"/>
            <w:vMerge/>
            <w:vAlign w:val="center"/>
          </w:tcPr>
          <w:p w14:paraId="31BDB2CA" w14:textId="77777777" w:rsidR="0087657F" w:rsidRPr="007E720F" w:rsidRDefault="0087657F" w:rsidP="001E3DE5">
            <w:pPr>
              <w:pStyle w:val="Institutionquisigne"/>
              <w:spacing w:before="0"/>
              <w:rPr>
                <w:i w:val="0"/>
                <w:noProof/>
                <w:sz w:val="22"/>
              </w:rPr>
            </w:pPr>
          </w:p>
        </w:tc>
        <w:tc>
          <w:tcPr>
            <w:tcW w:w="1364" w:type="dxa"/>
            <w:vAlign w:val="center"/>
          </w:tcPr>
          <w:p w14:paraId="5580B763" w14:textId="77777777" w:rsidR="0087657F" w:rsidRPr="007E720F" w:rsidRDefault="0087657F" w:rsidP="001E3DE5">
            <w:pPr>
              <w:pStyle w:val="Institutionquisigne"/>
              <w:spacing w:before="0"/>
              <w:rPr>
                <w:i w:val="0"/>
                <w:noProof/>
                <w:sz w:val="22"/>
              </w:rPr>
            </w:pPr>
            <w:r w:rsidRPr="007E720F">
              <w:rPr>
                <w:i w:val="0"/>
                <w:noProof/>
                <w:sz w:val="22"/>
              </w:rPr>
              <w:t>kazalniki učinka</w:t>
            </w:r>
          </w:p>
        </w:tc>
        <w:tc>
          <w:tcPr>
            <w:tcW w:w="1613" w:type="dxa"/>
            <w:vAlign w:val="center"/>
          </w:tcPr>
          <w:p w14:paraId="46084029" w14:textId="77777777" w:rsidR="0087657F" w:rsidRPr="007E720F" w:rsidRDefault="0087657F" w:rsidP="001E3DE5">
            <w:pPr>
              <w:pStyle w:val="Institutionquisigne"/>
              <w:spacing w:before="0"/>
              <w:rPr>
                <w:i w:val="0"/>
                <w:noProof/>
                <w:sz w:val="22"/>
              </w:rPr>
            </w:pPr>
            <w:r w:rsidRPr="007E720F">
              <w:rPr>
                <w:i w:val="0"/>
                <w:noProof/>
                <w:sz w:val="22"/>
              </w:rPr>
              <w:t>kazalniki rezultatov</w:t>
            </w:r>
          </w:p>
        </w:tc>
      </w:tr>
      <w:tr w:rsidR="0087657F" w:rsidRPr="007E720F" w14:paraId="27187A15" w14:textId="77777777" w:rsidTr="00CB5B10">
        <w:tc>
          <w:tcPr>
            <w:tcW w:w="879" w:type="dxa"/>
            <w:vAlign w:val="center"/>
          </w:tcPr>
          <w:p w14:paraId="13EE2175" w14:textId="77777777" w:rsidR="0087657F" w:rsidRPr="007E720F" w:rsidRDefault="00BE5FCA" w:rsidP="001E3DE5">
            <w:pPr>
              <w:pStyle w:val="Institutionquisigne"/>
              <w:spacing w:before="0"/>
              <w:rPr>
                <w:i w:val="0"/>
                <w:noProof/>
                <w:sz w:val="22"/>
              </w:rPr>
            </w:pPr>
            <w:r w:rsidRPr="007E720F">
              <w:rPr>
                <w:i w:val="0"/>
                <w:noProof/>
                <w:sz w:val="22"/>
              </w:rPr>
              <w:t>/</w:t>
            </w:r>
          </w:p>
        </w:tc>
        <w:tc>
          <w:tcPr>
            <w:tcW w:w="1134" w:type="dxa"/>
            <w:vAlign w:val="center"/>
          </w:tcPr>
          <w:p w14:paraId="31864B6A" w14:textId="77777777" w:rsidR="0087657F" w:rsidRPr="007E720F" w:rsidRDefault="00BE5FCA" w:rsidP="001E3DE5">
            <w:pPr>
              <w:pStyle w:val="Institutionquisigne"/>
              <w:spacing w:before="0"/>
              <w:rPr>
                <w:i w:val="0"/>
                <w:noProof/>
                <w:sz w:val="22"/>
              </w:rPr>
            </w:pPr>
            <w:r w:rsidRPr="007E720F">
              <w:rPr>
                <w:i w:val="0"/>
                <w:noProof/>
                <w:sz w:val="22"/>
              </w:rPr>
              <w:t>/</w:t>
            </w:r>
          </w:p>
        </w:tc>
        <w:tc>
          <w:tcPr>
            <w:tcW w:w="1243" w:type="dxa"/>
          </w:tcPr>
          <w:p w14:paraId="0807E70C" w14:textId="77777777" w:rsidR="0087657F" w:rsidRPr="007E720F" w:rsidRDefault="00BE5FCA" w:rsidP="001E3DE5">
            <w:pPr>
              <w:pStyle w:val="Institutionquisigne"/>
              <w:spacing w:before="0"/>
              <w:rPr>
                <w:i w:val="0"/>
                <w:noProof/>
                <w:sz w:val="22"/>
              </w:rPr>
            </w:pPr>
            <w:r w:rsidRPr="007E720F">
              <w:rPr>
                <w:i w:val="0"/>
                <w:noProof/>
                <w:sz w:val="22"/>
              </w:rPr>
              <w:t>/</w:t>
            </w:r>
          </w:p>
        </w:tc>
        <w:tc>
          <w:tcPr>
            <w:tcW w:w="1025" w:type="dxa"/>
          </w:tcPr>
          <w:p w14:paraId="32375A0D" w14:textId="77777777" w:rsidR="0087657F" w:rsidRPr="007E720F" w:rsidRDefault="00BE5FCA" w:rsidP="001E3DE5">
            <w:pPr>
              <w:pStyle w:val="Institutionquisigne"/>
              <w:spacing w:before="0"/>
              <w:rPr>
                <w:i w:val="0"/>
                <w:noProof/>
                <w:sz w:val="22"/>
              </w:rPr>
            </w:pPr>
            <w:r w:rsidRPr="007E720F">
              <w:rPr>
                <w:i w:val="0"/>
                <w:noProof/>
                <w:sz w:val="22"/>
              </w:rPr>
              <w:t>/</w:t>
            </w:r>
          </w:p>
        </w:tc>
        <w:tc>
          <w:tcPr>
            <w:tcW w:w="992" w:type="dxa"/>
          </w:tcPr>
          <w:p w14:paraId="10868263" w14:textId="77777777" w:rsidR="0087657F" w:rsidRPr="007E720F" w:rsidRDefault="00BE5FCA" w:rsidP="001E3DE5">
            <w:pPr>
              <w:pStyle w:val="Institutionquisigne"/>
              <w:spacing w:before="0"/>
              <w:rPr>
                <w:i w:val="0"/>
                <w:noProof/>
                <w:sz w:val="22"/>
              </w:rPr>
            </w:pPr>
            <w:r w:rsidRPr="007E720F">
              <w:rPr>
                <w:i w:val="0"/>
                <w:noProof/>
                <w:sz w:val="22"/>
              </w:rPr>
              <w:t>/</w:t>
            </w:r>
          </w:p>
        </w:tc>
        <w:tc>
          <w:tcPr>
            <w:tcW w:w="992" w:type="dxa"/>
          </w:tcPr>
          <w:p w14:paraId="1344C564" w14:textId="77777777" w:rsidR="0087657F" w:rsidRPr="007E720F" w:rsidRDefault="00BE5FCA" w:rsidP="001E3DE5">
            <w:pPr>
              <w:pStyle w:val="Institutionquisigne"/>
              <w:spacing w:before="0"/>
              <w:rPr>
                <w:i w:val="0"/>
                <w:noProof/>
                <w:sz w:val="22"/>
              </w:rPr>
            </w:pPr>
            <w:r w:rsidRPr="007E720F">
              <w:rPr>
                <w:i w:val="0"/>
                <w:noProof/>
                <w:sz w:val="22"/>
              </w:rPr>
              <w:t>/</w:t>
            </w:r>
          </w:p>
        </w:tc>
        <w:tc>
          <w:tcPr>
            <w:tcW w:w="1364" w:type="dxa"/>
          </w:tcPr>
          <w:p w14:paraId="5055545C" w14:textId="77777777" w:rsidR="0087657F" w:rsidRPr="007E720F" w:rsidRDefault="00BE5FCA" w:rsidP="001E3DE5">
            <w:pPr>
              <w:pStyle w:val="Institutionquisigne"/>
              <w:spacing w:before="0"/>
              <w:rPr>
                <w:i w:val="0"/>
                <w:noProof/>
                <w:sz w:val="22"/>
              </w:rPr>
            </w:pPr>
            <w:r w:rsidRPr="007E720F">
              <w:rPr>
                <w:i w:val="0"/>
                <w:noProof/>
                <w:sz w:val="22"/>
              </w:rPr>
              <w:t>/</w:t>
            </w:r>
          </w:p>
        </w:tc>
        <w:tc>
          <w:tcPr>
            <w:tcW w:w="1613" w:type="dxa"/>
          </w:tcPr>
          <w:p w14:paraId="74922EC0" w14:textId="77777777" w:rsidR="0087657F" w:rsidRPr="007E720F" w:rsidRDefault="00BE5FCA" w:rsidP="001E3DE5">
            <w:pPr>
              <w:pStyle w:val="Institutionquisigne"/>
              <w:spacing w:before="0"/>
              <w:rPr>
                <w:i w:val="0"/>
                <w:noProof/>
                <w:sz w:val="22"/>
              </w:rPr>
            </w:pPr>
            <w:r w:rsidRPr="007E720F">
              <w:rPr>
                <w:i w:val="0"/>
                <w:noProof/>
                <w:sz w:val="22"/>
              </w:rPr>
              <w:t>/</w:t>
            </w:r>
          </w:p>
        </w:tc>
      </w:tr>
    </w:tbl>
    <w:p w14:paraId="711034B1" w14:textId="77777777" w:rsidR="0087657F" w:rsidRPr="007E720F" w:rsidRDefault="0087657F" w:rsidP="001E3DE5">
      <w:pPr>
        <w:pStyle w:val="Personnequisigne"/>
        <w:jc w:val="both"/>
        <w:rPr>
          <w:i w:val="0"/>
          <w:noProof/>
          <w:sz w:val="22"/>
        </w:rPr>
      </w:pPr>
    </w:p>
    <w:p w14:paraId="15C26BEE" w14:textId="77777777" w:rsidR="0087657F" w:rsidRPr="007E720F" w:rsidRDefault="00CF7D3B" w:rsidP="001E3DE5">
      <w:pPr>
        <w:pStyle w:val="ManualHeading2"/>
        <w:rPr>
          <w:noProof/>
          <w:sz w:val="22"/>
        </w:rPr>
      </w:pPr>
      <w:r w:rsidRPr="007E720F">
        <w:rPr>
          <w:sz w:val="22"/>
        </w:rPr>
        <w:t>1.6.</w:t>
      </w:r>
      <w:r w:rsidRPr="007E720F">
        <w:rPr>
          <w:sz w:val="22"/>
        </w:rPr>
        <w:tab/>
      </w:r>
      <w:r w:rsidR="0087657F" w:rsidRPr="007E720F">
        <w:rPr>
          <w:noProof/>
          <w:sz w:val="22"/>
        </w:rPr>
        <w:t>Preselitev in premestitev – člen 35(2), točki (g) in (h), Uredbe (EU) 2021/1147</w:t>
      </w:r>
    </w:p>
    <w:p w14:paraId="5EB3463A" w14:textId="03E51E3F" w:rsidR="000D1693" w:rsidRPr="007E720F" w:rsidRDefault="0060652B" w:rsidP="001E3DE5">
      <w:pPr>
        <w:pStyle w:val="Personnequisigne"/>
        <w:jc w:val="both"/>
        <w:rPr>
          <w:b/>
          <w:i w:val="0"/>
          <w:noProof/>
          <w:sz w:val="22"/>
        </w:rPr>
      </w:pPr>
      <w:r w:rsidRPr="007E720F">
        <w:rPr>
          <w:i w:val="0"/>
          <w:noProof/>
          <w:sz w:val="22"/>
        </w:rPr>
        <w:t>V spodnji preglednici navedite konsolidirane podatke za obračunsko leto.</w:t>
      </w:r>
      <w:r w:rsidR="009A4191" w:rsidRPr="007E720F">
        <w:rPr>
          <w:i w:val="0"/>
          <w:noProof/>
          <w:sz w:val="22"/>
        </w:rPr>
        <w:t xml:space="preserve"> </w:t>
      </w:r>
    </w:p>
    <w:tbl>
      <w:tblPr>
        <w:tblStyle w:val="Tabelamrea"/>
        <w:tblW w:w="0" w:type="auto"/>
        <w:tblLook w:val="04A0" w:firstRow="1" w:lastRow="0" w:firstColumn="1" w:lastColumn="0" w:noHBand="0" w:noVBand="1"/>
      </w:tblPr>
      <w:tblGrid>
        <w:gridCol w:w="6746"/>
        <w:gridCol w:w="2317"/>
      </w:tblGrid>
      <w:tr w:rsidR="007E720F" w:rsidRPr="007E720F" w14:paraId="4A0FC56E" w14:textId="77777777" w:rsidTr="004629B2">
        <w:trPr>
          <w:trHeight w:val="347"/>
        </w:trPr>
        <w:tc>
          <w:tcPr>
            <w:tcW w:w="6911" w:type="dxa"/>
            <w:vAlign w:val="center"/>
          </w:tcPr>
          <w:p w14:paraId="1E9A04D3" w14:textId="77777777" w:rsidR="0087657F" w:rsidRPr="007E720F" w:rsidRDefault="0087657F" w:rsidP="001E3DE5">
            <w:pPr>
              <w:spacing w:before="0" w:after="0"/>
              <w:rPr>
                <w:noProof/>
                <w:sz w:val="22"/>
              </w:rPr>
            </w:pPr>
            <w:r w:rsidRPr="007E720F">
              <w:rPr>
                <w:noProof/>
                <w:sz w:val="22"/>
              </w:rPr>
              <w:t xml:space="preserve">Število oseb, sprejetih v okviru preselitve </w:t>
            </w:r>
          </w:p>
        </w:tc>
        <w:tc>
          <w:tcPr>
            <w:tcW w:w="2376" w:type="dxa"/>
          </w:tcPr>
          <w:p w14:paraId="15B7DFC2" w14:textId="3D4553CB" w:rsidR="0087657F" w:rsidRPr="007E720F" w:rsidRDefault="0087657F" w:rsidP="001E3DE5">
            <w:pPr>
              <w:pStyle w:val="Institutionquisigne"/>
              <w:spacing w:before="0"/>
              <w:rPr>
                <w:i w:val="0"/>
                <w:noProof/>
                <w:sz w:val="22"/>
              </w:rPr>
            </w:pPr>
          </w:p>
        </w:tc>
      </w:tr>
      <w:tr w:rsidR="007E720F" w:rsidRPr="007E720F" w14:paraId="13940ED7" w14:textId="77777777" w:rsidTr="004629B2">
        <w:trPr>
          <w:trHeight w:val="658"/>
        </w:trPr>
        <w:tc>
          <w:tcPr>
            <w:tcW w:w="6911" w:type="dxa"/>
            <w:vAlign w:val="center"/>
          </w:tcPr>
          <w:p w14:paraId="5A15F064" w14:textId="77777777" w:rsidR="0087657F" w:rsidRPr="007E720F" w:rsidRDefault="0087657F" w:rsidP="001E3DE5">
            <w:pPr>
              <w:spacing w:before="0" w:after="0"/>
              <w:rPr>
                <w:noProof/>
                <w:sz w:val="22"/>
              </w:rPr>
            </w:pPr>
            <w:r w:rsidRPr="007E720F">
              <w:rPr>
                <w:noProof/>
                <w:sz w:val="22"/>
              </w:rPr>
              <w:t>Število oseb, sprejetih v okviru humanitarnega sprejema v skladu s členom 19(2) Uredbe (EU) 2021/1147</w:t>
            </w:r>
          </w:p>
        </w:tc>
        <w:tc>
          <w:tcPr>
            <w:tcW w:w="2376" w:type="dxa"/>
          </w:tcPr>
          <w:p w14:paraId="16B40798" w14:textId="5F50F497" w:rsidR="0087657F" w:rsidRPr="007E720F" w:rsidRDefault="004E1A2B" w:rsidP="001E3DE5">
            <w:pPr>
              <w:pStyle w:val="Institutionquisigne"/>
              <w:spacing w:before="0"/>
              <w:rPr>
                <w:i w:val="0"/>
                <w:noProof/>
                <w:sz w:val="22"/>
              </w:rPr>
            </w:pPr>
            <w:r w:rsidRPr="007E720F">
              <w:rPr>
                <w:i w:val="0"/>
                <w:noProof/>
                <w:sz w:val="22"/>
              </w:rPr>
              <w:t>50</w:t>
            </w:r>
          </w:p>
        </w:tc>
      </w:tr>
      <w:tr w:rsidR="007E720F" w:rsidRPr="007E720F" w14:paraId="7898A0D0" w14:textId="77777777" w:rsidTr="004629B2">
        <w:trPr>
          <w:trHeight w:val="650"/>
        </w:trPr>
        <w:tc>
          <w:tcPr>
            <w:tcW w:w="6911" w:type="dxa"/>
            <w:tcBorders>
              <w:bottom w:val="single" w:sz="4" w:space="0" w:color="auto"/>
            </w:tcBorders>
            <w:vAlign w:val="center"/>
          </w:tcPr>
          <w:p w14:paraId="3209FF8F" w14:textId="77777777" w:rsidR="0087657F" w:rsidRPr="007E720F" w:rsidRDefault="0087657F" w:rsidP="001E3DE5">
            <w:pPr>
              <w:spacing w:before="0" w:after="0"/>
              <w:rPr>
                <w:noProof/>
                <w:sz w:val="22"/>
              </w:rPr>
            </w:pPr>
            <w:r w:rsidRPr="007E720F">
              <w:rPr>
                <w:noProof/>
                <w:sz w:val="22"/>
              </w:rPr>
              <w:t>Število ranljivih oseb, sprejetih v okviru humanitarnega sprejema v skladu s členom 19(3) Uredbe (EU) 2021/1147</w:t>
            </w:r>
          </w:p>
        </w:tc>
        <w:tc>
          <w:tcPr>
            <w:tcW w:w="2376" w:type="dxa"/>
            <w:tcBorders>
              <w:bottom w:val="single" w:sz="4" w:space="0" w:color="auto"/>
            </w:tcBorders>
          </w:tcPr>
          <w:p w14:paraId="449DE64B" w14:textId="4FB29DD8" w:rsidR="0087657F" w:rsidRPr="007E720F" w:rsidRDefault="004E1A2B" w:rsidP="001E3DE5">
            <w:pPr>
              <w:pStyle w:val="Institutionquisigne"/>
              <w:spacing w:before="0"/>
              <w:rPr>
                <w:i w:val="0"/>
                <w:noProof/>
                <w:sz w:val="22"/>
              </w:rPr>
            </w:pPr>
            <w:r w:rsidRPr="007E720F">
              <w:rPr>
                <w:i w:val="0"/>
                <w:noProof/>
                <w:sz w:val="22"/>
              </w:rPr>
              <w:t>50</w:t>
            </w:r>
          </w:p>
        </w:tc>
      </w:tr>
      <w:tr w:rsidR="007E720F" w:rsidRPr="007E720F" w14:paraId="4F48A958" w14:textId="77777777" w:rsidTr="00462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6911" w:type="dxa"/>
            <w:tcBorders>
              <w:top w:val="single" w:sz="4" w:space="0" w:color="auto"/>
              <w:left w:val="single" w:sz="4" w:space="0" w:color="auto"/>
              <w:bottom w:val="single" w:sz="4" w:space="0" w:color="auto"/>
              <w:right w:val="single" w:sz="4" w:space="0" w:color="auto"/>
            </w:tcBorders>
            <w:vAlign w:val="center"/>
          </w:tcPr>
          <w:p w14:paraId="125E360A" w14:textId="77777777" w:rsidR="0087657F" w:rsidRPr="007E720F" w:rsidRDefault="0087657F" w:rsidP="001E3DE5">
            <w:pPr>
              <w:spacing w:before="0" w:after="0"/>
              <w:rPr>
                <w:noProof/>
                <w:sz w:val="22"/>
              </w:rPr>
            </w:pPr>
            <w:r w:rsidRPr="007E720F">
              <w:rPr>
                <w:noProof/>
                <w:sz w:val="22"/>
              </w:rPr>
              <w:t xml:space="preserve">Število prosilcev za mednarodno zaščito ali upravičencev do mednarodne zaščite, premeščenih v državo članico </w:t>
            </w:r>
          </w:p>
        </w:tc>
        <w:tc>
          <w:tcPr>
            <w:tcW w:w="2376" w:type="dxa"/>
            <w:tcBorders>
              <w:top w:val="single" w:sz="4" w:space="0" w:color="auto"/>
              <w:left w:val="single" w:sz="4" w:space="0" w:color="auto"/>
              <w:bottom w:val="single" w:sz="4" w:space="0" w:color="auto"/>
              <w:right w:val="single" w:sz="4" w:space="0" w:color="auto"/>
            </w:tcBorders>
          </w:tcPr>
          <w:p w14:paraId="434BD574" w14:textId="23EDDC86" w:rsidR="0087657F" w:rsidRPr="007E720F" w:rsidRDefault="0087657F" w:rsidP="001E3DE5">
            <w:pPr>
              <w:pStyle w:val="Institutionquisigne"/>
              <w:spacing w:before="0"/>
              <w:rPr>
                <w:i w:val="0"/>
                <w:noProof/>
                <w:sz w:val="22"/>
              </w:rPr>
            </w:pPr>
          </w:p>
        </w:tc>
      </w:tr>
      <w:tr w:rsidR="007E720F" w:rsidRPr="007E720F" w14:paraId="644D15F5" w14:textId="77777777" w:rsidTr="004629B2">
        <w:trPr>
          <w:trHeight w:val="650"/>
        </w:trPr>
        <w:tc>
          <w:tcPr>
            <w:tcW w:w="6911" w:type="dxa"/>
            <w:tcBorders>
              <w:top w:val="single" w:sz="4" w:space="0" w:color="auto"/>
            </w:tcBorders>
            <w:vAlign w:val="center"/>
          </w:tcPr>
          <w:p w14:paraId="31956585" w14:textId="77777777" w:rsidR="0087657F" w:rsidRPr="007E720F" w:rsidRDefault="0087657F" w:rsidP="001E3DE5">
            <w:pPr>
              <w:spacing w:before="0" w:after="0"/>
              <w:rPr>
                <w:noProof/>
                <w:sz w:val="22"/>
              </w:rPr>
            </w:pPr>
            <w:r w:rsidRPr="007E720F">
              <w:rPr>
                <w:noProof/>
                <w:sz w:val="22"/>
              </w:rPr>
              <w:t>Število prosilcev za mednarodno zaščito ali upravičencev do mednarodne zaščite, premeščenih iz države članice</w:t>
            </w:r>
          </w:p>
        </w:tc>
        <w:tc>
          <w:tcPr>
            <w:tcW w:w="2376" w:type="dxa"/>
            <w:tcBorders>
              <w:top w:val="single" w:sz="4" w:space="0" w:color="auto"/>
            </w:tcBorders>
          </w:tcPr>
          <w:p w14:paraId="4B645CE8" w14:textId="33C4722C" w:rsidR="0087657F" w:rsidRPr="007E720F" w:rsidRDefault="0087657F" w:rsidP="001E3DE5">
            <w:pPr>
              <w:pStyle w:val="Institutionquisigne"/>
              <w:spacing w:before="0"/>
              <w:rPr>
                <w:i w:val="0"/>
                <w:noProof/>
                <w:sz w:val="22"/>
              </w:rPr>
            </w:pPr>
          </w:p>
        </w:tc>
      </w:tr>
    </w:tbl>
    <w:p w14:paraId="7C50447F" w14:textId="77777777" w:rsidR="0087657F" w:rsidRPr="007E720F" w:rsidRDefault="0087657F" w:rsidP="001E3DE5">
      <w:pPr>
        <w:rPr>
          <w:noProof/>
          <w:sz w:val="22"/>
        </w:rPr>
      </w:pPr>
      <w:r w:rsidRPr="007E720F">
        <w:rPr>
          <w:noProof/>
          <w:sz w:val="22"/>
        </w:rPr>
        <w:t xml:space="preserve">Če je ustrezno, opišite morebitne popravke ali spremembe vrednosti, poslanih dvakrat letno prek modula za prenos podatkov v sistemu za upravljanje skladov v Evropski uniji (SFC), ki so prikazane v zgornji preglednici v konsolidiranih podatkih za obračunsko leto. </w:t>
      </w:r>
    </w:p>
    <w:tbl>
      <w:tblPr>
        <w:tblStyle w:val="Tabelamrea"/>
        <w:tblW w:w="0" w:type="auto"/>
        <w:tblLook w:val="04A0" w:firstRow="1" w:lastRow="0" w:firstColumn="1" w:lastColumn="0" w:noHBand="0" w:noVBand="1"/>
      </w:tblPr>
      <w:tblGrid>
        <w:gridCol w:w="9063"/>
      </w:tblGrid>
      <w:tr w:rsidR="007E720F" w:rsidRPr="007E720F" w14:paraId="503D2651" w14:textId="77777777" w:rsidTr="00BE5FCA">
        <w:trPr>
          <w:trHeight w:val="47"/>
        </w:trPr>
        <w:tc>
          <w:tcPr>
            <w:tcW w:w="9289" w:type="dxa"/>
          </w:tcPr>
          <w:p w14:paraId="3DF3D949" w14:textId="7A22172C" w:rsidR="009A4191" w:rsidRPr="007E720F" w:rsidRDefault="009A4191" w:rsidP="001E3DE5">
            <w:pPr>
              <w:pStyle w:val="Personnequisigne"/>
              <w:jc w:val="both"/>
              <w:rPr>
                <w:i w:val="0"/>
                <w:noProof/>
                <w:sz w:val="22"/>
              </w:rPr>
            </w:pPr>
            <w:r w:rsidRPr="007E720F">
              <w:rPr>
                <w:i w:val="0"/>
                <w:noProof/>
                <w:sz w:val="22"/>
              </w:rPr>
              <w:t>Vlada Republike Slovenije je 1. decembra 2022 sprejela sklep, s katerim je med drugim odločila, da Republika Slovenija iz Turčije sprejme 50 državljanov Sirije ali Afganistana, ki se jim lahko prizna status begunca. Sledila je priprava izvedbenega načrta, v katerem so bile kot prednostne kategorije določene družine, matere samohranilke, samske ženske in do pet mladoletnikov brez spremstva, predvsem žrtve potresa v Turčiji.</w:t>
            </w:r>
          </w:p>
          <w:p w14:paraId="4EE38848" w14:textId="77777777" w:rsidR="009A4191" w:rsidRPr="007E720F" w:rsidRDefault="009A4191" w:rsidP="001E3DE5">
            <w:pPr>
              <w:pStyle w:val="Personnequisigne"/>
              <w:jc w:val="both"/>
              <w:rPr>
                <w:i w:val="0"/>
                <w:noProof/>
                <w:sz w:val="22"/>
              </w:rPr>
            </w:pPr>
          </w:p>
          <w:p w14:paraId="09F005EE" w14:textId="77777777" w:rsidR="009A4191" w:rsidRPr="007E720F" w:rsidRDefault="009A4191" w:rsidP="001E3DE5">
            <w:pPr>
              <w:pStyle w:val="Personnequisigne"/>
              <w:jc w:val="both"/>
              <w:rPr>
                <w:i w:val="0"/>
                <w:noProof/>
                <w:sz w:val="22"/>
              </w:rPr>
            </w:pPr>
            <w:r w:rsidRPr="007E720F">
              <w:rPr>
                <w:i w:val="0"/>
                <w:noProof/>
                <w:sz w:val="22"/>
              </w:rPr>
              <w:t xml:space="preserve">V projektu je Ministrstvo za notranje zadeve Republike Slovenije sodelovalo z Visokim komisariatom Združenih narodov za begunce ter na podlagi njihove dokumentacije opravilo pogovore z begunci v Turčiji o izpolnjevanju pogojev za priznanje statusa begunca v Sloveniji ter varnostno preverjanje. Na tej podlagi je bil nato pripravljen končni izbor 50 oseb, ki izpolnjujejo vse predpisane pogoje in jim bo ob prihodu v Republiko Slovenijo takoj priznan status begunca.  </w:t>
            </w:r>
          </w:p>
          <w:p w14:paraId="6CCBD5A5" w14:textId="77777777" w:rsidR="00C3629B" w:rsidRPr="007E720F" w:rsidRDefault="00C3629B" w:rsidP="001E3DE5">
            <w:pPr>
              <w:pStyle w:val="Personnequisigne"/>
              <w:jc w:val="both"/>
              <w:rPr>
                <w:i w:val="0"/>
                <w:noProof/>
                <w:sz w:val="22"/>
              </w:rPr>
            </w:pPr>
          </w:p>
          <w:p w14:paraId="2E60BCF1" w14:textId="320B0BAE" w:rsidR="0087657F" w:rsidRPr="007E720F" w:rsidRDefault="009A4191" w:rsidP="001E3DE5">
            <w:pPr>
              <w:pStyle w:val="Personnequisigne"/>
              <w:jc w:val="both"/>
              <w:rPr>
                <w:i w:val="0"/>
                <w:noProof/>
                <w:sz w:val="22"/>
              </w:rPr>
            </w:pPr>
            <w:r w:rsidRPr="007E720F">
              <w:rPr>
                <w:i w:val="0"/>
                <w:noProof/>
                <w:sz w:val="22"/>
              </w:rPr>
              <w:t>Prva skupina 23 državljanov Sirije (štiri družine in en posameznik) je 14. decembra 2023 prispela v Slovenijo. Konec januarja 2024 je prišla druga skupina s 27 državljani Afganistana ter bila nastanjena v kapacitetah Urada Vlade Republike Slovenije za oskrbo in integracijo migrantov.</w:t>
            </w:r>
          </w:p>
        </w:tc>
      </w:tr>
    </w:tbl>
    <w:p w14:paraId="54F3D72D" w14:textId="77777777" w:rsidR="0087657F" w:rsidRPr="007E720F" w:rsidRDefault="00CF7D3B" w:rsidP="001E3DE5">
      <w:pPr>
        <w:pStyle w:val="ManualHeading2"/>
        <w:rPr>
          <w:noProof/>
          <w:sz w:val="22"/>
        </w:rPr>
      </w:pPr>
      <w:r w:rsidRPr="007E720F">
        <w:rPr>
          <w:sz w:val="22"/>
        </w:rPr>
        <w:t>1.7.</w:t>
      </w:r>
      <w:r w:rsidRPr="007E720F">
        <w:rPr>
          <w:sz w:val="22"/>
        </w:rPr>
        <w:tab/>
      </w:r>
      <w:r w:rsidR="0087657F" w:rsidRPr="007E720F">
        <w:rPr>
          <w:noProof/>
          <w:sz w:val="22"/>
        </w:rPr>
        <w:t>Samo v letu 2024: nadaljevanje projektov – člen 39(4), točka (e), Uredbe (EU) 2021/1147</w:t>
      </w:r>
    </w:p>
    <w:p w14:paraId="2992CCD0" w14:textId="77777777" w:rsidR="0087657F" w:rsidRPr="007E720F" w:rsidRDefault="0060652B" w:rsidP="001E3DE5">
      <w:pPr>
        <w:rPr>
          <w:noProof/>
          <w:sz w:val="22"/>
        </w:rPr>
      </w:pPr>
      <w:r w:rsidRPr="007E720F">
        <w:rPr>
          <w:noProof/>
          <w:sz w:val="22"/>
        </w:rPr>
        <w:t>Poročajte o vseh projektih, ki so se nadaljevali po 1. januarju 2021 ter so bili izbrani in začeti na podlagi Uredbe (EU) št. 516/2014 Evropskega parlamenta in Sveta</w:t>
      </w:r>
      <w:r w:rsidRPr="007E720F">
        <w:rPr>
          <w:rStyle w:val="Sprotnaopomba-sklic"/>
          <w:noProof/>
          <w:sz w:val="22"/>
        </w:rPr>
        <w:footnoteReference w:id="16"/>
      </w:r>
      <w:r w:rsidRPr="007E720F">
        <w:rPr>
          <w:noProof/>
          <w:sz w:val="22"/>
        </w:rPr>
        <w:t>, v skladu z Uredbo (EU) št. 514/2014 Evropskega parlamenta in Sveta</w:t>
      </w:r>
      <w:r w:rsidRPr="007E720F">
        <w:rPr>
          <w:rStyle w:val="Sprotnaopomba-sklic"/>
          <w:noProof/>
          <w:sz w:val="22"/>
        </w:rPr>
        <w:footnoteReference w:id="17"/>
      </w:r>
      <w:r w:rsidRPr="007E720F">
        <w:rPr>
          <w:noProof/>
          <w:sz w:val="22"/>
        </w:rPr>
        <w:t>.</w:t>
      </w:r>
    </w:p>
    <w:tbl>
      <w:tblPr>
        <w:tblStyle w:val="Tabelamrea"/>
        <w:tblW w:w="0" w:type="auto"/>
        <w:tblLook w:val="04A0" w:firstRow="1" w:lastRow="0" w:firstColumn="1" w:lastColumn="0" w:noHBand="0" w:noVBand="1"/>
      </w:tblPr>
      <w:tblGrid>
        <w:gridCol w:w="9063"/>
      </w:tblGrid>
      <w:tr w:rsidR="007E720F" w:rsidRPr="007E720F" w14:paraId="3B2F242B" w14:textId="77777777" w:rsidTr="00B511F2">
        <w:trPr>
          <w:trHeight w:val="307"/>
        </w:trPr>
        <w:tc>
          <w:tcPr>
            <w:tcW w:w="9289" w:type="dxa"/>
          </w:tcPr>
          <w:p w14:paraId="7FC81DE0" w14:textId="77777777" w:rsidR="0087657F" w:rsidRPr="007E720F" w:rsidRDefault="003F73EF" w:rsidP="001E3DE5">
            <w:pPr>
              <w:pStyle w:val="Personnequisigne"/>
              <w:jc w:val="both"/>
              <w:rPr>
                <w:i w:val="0"/>
                <w:noProof/>
                <w:sz w:val="22"/>
              </w:rPr>
            </w:pPr>
            <w:r w:rsidRPr="007E720F">
              <w:rPr>
                <w:i w:val="0"/>
                <w:noProof/>
                <w:sz w:val="22"/>
              </w:rPr>
              <w:t>Slovenija v obračunskem obdobju v skladu z 39(4) točko (e) Uredbe 2021/1147/EU ni nadaljevala s projekti iz preteklega programskega obdobja.</w:t>
            </w:r>
          </w:p>
        </w:tc>
      </w:tr>
    </w:tbl>
    <w:p w14:paraId="1A8B60F6" w14:textId="77777777" w:rsidR="0087657F" w:rsidRPr="007E720F" w:rsidRDefault="00CF7D3B" w:rsidP="001E3DE5">
      <w:pPr>
        <w:pStyle w:val="ManualHeading1"/>
        <w:rPr>
          <w:noProof/>
          <w:sz w:val="22"/>
        </w:rPr>
      </w:pPr>
      <w:r w:rsidRPr="007E720F">
        <w:rPr>
          <w:sz w:val="22"/>
        </w:rPr>
        <w:t>2.</w:t>
      </w:r>
      <w:r w:rsidRPr="007E720F">
        <w:rPr>
          <w:sz w:val="22"/>
        </w:rPr>
        <w:tab/>
      </w:r>
      <w:r w:rsidR="0087657F" w:rsidRPr="007E720F">
        <w:rPr>
          <w:noProof/>
          <w:sz w:val="22"/>
        </w:rPr>
        <w:t>Dopolnjevanje – člen 35(2), točka (c), Uredbe (EU) 2021/1147</w:t>
      </w:r>
    </w:p>
    <w:p w14:paraId="0DD98A80" w14:textId="2E10E6E3" w:rsidR="002379DB" w:rsidRPr="007E720F" w:rsidRDefault="0060652B" w:rsidP="001E3DE5">
      <w:pPr>
        <w:pStyle w:val="Titrearticle"/>
        <w:spacing w:before="240"/>
        <w:jc w:val="both"/>
        <w:rPr>
          <w:i w:val="0"/>
          <w:noProof/>
          <w:sz w:val="22"/>
        </w:rPr>
      </w:pPr>
      <w:r w:rsidRPr="007E720F">
        <w:rPr>
          <w:i w:val="0"/>
          <w:noProof/>
          <w:sz w:val="22"/>
        </w:rPr>
        <w:t>Opišite dopolnjevanje in, če je ustrezno, sinergije, dosežene med obračunskim letom, med ukrepi, ki so podprti v okviru Sklada, in podporo iz drugih skladov Unije, zlasti instrumentov za zunanje financiranje</w:t>
      </w:r>
      <w:r w:rsidRPr="007E720F">
        <w:rPr>
          <w:rStyle w:val="Sprotnaopomba-sklic"/>
          <w:i w:val="0"/>
          <w:noProof/>
          <w:sz w:val="22"/>
        </w:rPr>
        <w:footnoteReference w:id="18"/>
      </w:r>
      <w:r w:rsidRPr="007E720F">
        <w:rPr>
          <w:i w:val="0"/>
          <w:noProof/>
          <w:sz w:val="22"/>
        </w:rPr>
        <w:t>, Evropskega socialnega sklada + (ESS+) ali njegovih predhodnikov, Evropskega sklada za regionalni razvoj (ESRR) – v okviru cilja „naložbe za delovna mesta in rast“ ali cilja „evropsko teritorialno sodelovanje“ –, Sklada za notranjo varnost (ISF) ter Instrumenta za finančno podporo za upravljanje meja in vizumsko politiko</w:t>
      </w:r>
      <w:r w:rsidRPr="007E720F">
        <w:rPr>
          <w:rStyle w:val="Sprotnaopomba-sklic"/>
          <w:i w:val="0"/>
          <w:noProof/>
          <w:sz w:val="22"/>
        </w:rPr>
        <w:footnoteReference w:id="19"/>
      </w:r>
      <w:r w:rsidRPr="007E720F">
        <w:rPr>
          <w:i w:val="0"/>
          <w:noProof/>
          <w:sz w:val="22"/>
        </w:rPr>
        <w:t xml:space="preserve">. </w:t>
      </w:r>
    </w:p>
    <w:p w14:paraId="3746E456" w14:textId="77777777" w:rsidR="0087657F" w:rsidRPr="007E720F" w:rsidRDefault="0060652B" w:rsidP="001E3DE5">
      <w:pPr>
        <w:pStyle w:val="Titrearticle"/>
        <w:spacing w:before="240"/>
        <w:jc w:val="both"/>
        <w:rPr>
          <w:i w:val="0"/>
          <w:noProof/>
          <w:sz w:val="22"/>
        </w:rPr>
      </w:pPr>
      <w:r w:rsidRPr="007E720F">
        <w:rPr>
          <w:i w:val="0"/>
          <w:noProof/>
          <w:sz w:val="22"/>
        </w:rPr>
        <w:t>Posebno pozornost namenite:</w:t>
      </w:r>
    </w:p>
    <w:p w14:paraId="35B28D09" w14:textId="77777777" w:rsidR="0087657F" w:rsidRPr="007E720F" w:rsidRDefault="0087657F" w:rsidP="001E3DE5">
      <w:pPr>
        <w:pStyle w:val="Tiret0"/>
        <w:numPr>
          <w:ilvl w:val="0"/>
          <w:numId w:val="9"/>
        </w:numPr>
        <w:rPr>
          <w:noProof/>
          <w:sz w:val="22"/>
        </w:rPr>
      </w:pPr>
      <w:r w:rsidRPr="007E720F">
        <w:rPr>
          <w:noProof/>
          <w:sz w:val="22"/>
        </w:rPr>
        <w:t>dopolnjevanju z instrumenti Unije za zunanje financiranje za ukrepe, ki se izvajajo v tretjih državah ali v zvezi z njimi, s poudarkom na vidikih, ki so skladni z načeli in splošnimi cilji zunanje politike Unije, ter</w:t>
      </w:r>
    </w:p>
    <w:p w14:paraId="1DD96B49" w14:textId="77777777" w:rsidR="00B66713" w:rsidRPr="007E720F" w:rsidRDefault="0087657F" w:rsidP="001E3DE5">
      <w:pPr>
        <w:pStyle w:val="Tiret0"/>
        <w:numPr>
          <w:ilvl w:val="0"/>
          <w:numId w:val="9"/>
        </w:numPr>
        <w:rPr>
          <w:noProof/>
          <w:sz w:val="22"/>
        </w:rPr>
      </w:pPr>
      <w:r w:rsidRPr="007E720F">
        <w:rPr>
          <w:noProof/>
          <w:sz w:val="22"/>
        </w:rPr>
        <w:t>uporabi omogočitvenih mehanizmov, kot so obstoječe organizacijske in postopkovne ureditve, ki pomagajo doseči sinergije in dopolnjevanje, ter morebitnim ukrepom, izvedenim za njihovo izboljšanje v obračunskem letu.</w:t>
      </w:r>
    </w:p>
    <w:p w14:paraId="38F5A144" w14:textId="77777777" w:rsidR="00B66713" w:rsidRPr="007E720F" w:rsidRDefault="00B66713" w:rsidP="001E3DE5">
      <w:pPr>
        <w:rPr>
          <w:noProof/>
          <w:sz w:val="22"/>
        </w:rPr>
      </w:pPr>
      <w:r w:rsidRPr="007E720F">
        <w:rPr>
          <w:noProof/>
          <w:sz w:val="22"/>
        </w:rPr>
        <w:t>Če je ustrezno, opišite tudi dopolnjevanje dejavnosti, ki se izvajajo z vidika krepitve medagencijskega sodelovanja</w:t>
      </w:r>
      <w:r w:rsidRPr="007E720F">
        <w:rPr>
          <w:rStyle w:val="Sprotnaopomba-sklic"/>
          <w:noProof/>
          <w:sz w:val="22"/>
        </w:rPr>
        <w:footnoteReference w:id="20"/>
      </w:r>
      <w:r w:rsidRPr="007E720F">
        <w:rPr>
          <w:noProof/>
          <w:sz w:val="22"/>
        </w:rPr>
        <w:t>.</w:t>
      </w:r>
    </w:p>
    <w:tbl>
      <w:tblPr>
        <w:tblStyle w:val="Tabelamrea"/>
        <w:tblW w:w="0" w:type="auto"/>
        <w:tblLook w:val="04A0" w:firstRow="1" w:lastRow="0" w:firstColumn="1" w:lastColumn="0" w:noHBand="0" w:noVBand="1"/>
      </w:tblPr>
      <w:tblGrid>
        <w:gridCol w:w="9063"/>
      </w:tblGrid>
      <w:tr w:rsidR="007E720F" w:rsidRPr="007E720F" w14:paraId="339B70B1" w14:textId="77777777" w:rsidTr="00EE5C25">
        <w:tc>
          <w:tcPr>
            <w:tcW w:w="9289" w:type="dxa"/>
            <w:shd w:val="clear" w:color="auto" w:fill="auto"/>
          </w:tcPr>
          <w:p w14:paraId="557FDB6E" w14:textId="593CC40E" w:rsidR="00607E0A" w:rsidRPr="007E720F" w:rsidRDefault="00607E0A" w:rsidP="001E3DE5">
            <w:pPr>
              <w:pStyle w:val="Institutionquisigne"/>
              <w:spacing w:before="0"/>
              <w:rPr>
                <w:i w:val="0"/>
                <w:sz w:val="22"/>
              </w:rPr>
            </w:pPr>
            <w:r w:rsidRPr="007E720F">
              <w:rPr>
                <w:i w:val="0"/>
                <w:sz w:val="22"/>
              </w:rPr>
              <w:t>Slovenija je v obračunskem obdobju poročanja izvajala aktivnosti v zvezi z ukrepi programa AMIF, zato v nadaljevanju poročamo o aktivnostih v zvezi z zaznavo potencialnih dopolnjevanj in sinergije.</w:t>
            </w:r>
          </w:p>
          <w:p w14:paraId="2511FC54" w14:textId="77777777" w:rsidR="00607E0A" w:rsidRPr="007E720F" w:rsidRDefault="00607E0A" w:rsidP="001E3DE5">
            <w:pPr>
              <w:pStyle w:val="Institutionquisigne"/>
              <w:spacing w:before="0"/>
              <w:rPr>
                <w:i w:val="0"/>
                <w:sz w:val="22"/>
              </w:rPr>
            </w:pPr>
          </w:p>
          <w:p w14:paraId="3E09F589" w14:textId="2E6DDC36" w:rsidR="00607E0A" w:rsidRPr="007E720F" w:rsidRDefault="00607E0A" w:rsidP="001E3DE5">
            <w:pPr>
              <w:pStyle w:val="Institutionquisigne"/>
              <w:spacing w:before="0"/>
              <w:rPr>
                <w:i w:val="0"/>
                <w:sz w:val="22"/>
              </w:rPr>
            </w:pPr>
            <w:r w:rsidRPr="007E720F">
              <w:rPr>
                <w:i w:val="0"/>
                <w:sz w:val="22"/>
              </w:rPr>
              <w:t xml:space="preserve">V fazi izbora operacije OU ali posredniško telo preverja morebitno komplementarnost in v povezavi s tem morebitno dvojno financiranje. V navodilih za pripravo prijave operacije je OU opozoril na pomen komplementarnosti ter na obrazcu za oddajo prijave operacije pripravil posebno polje, v katero mora upravičenec navesti morebitno komplementarnost z drugimi viri financiranja. Zaznane so nekatere komplementarnosti, ki so opisane v nadaljevanju. V fazi izvajanja operacije (upravljalnih preverjanj) upravičenci ne poročajo o morebitnih komplementarnostih, zato bomo v naslednjem obdobju poročanja uredili, da se tako poročanje vzpostavi. </w:t>
            </w:r>
          </w:p>
          <w:p w14:paraId="47A5D7D6" w14:textId="77777777" w:rsidR="00607E0A" w:rsidRPr="007E720F" w:rsidRDefault="00607E0A" w:rsidP="001E3DE5">
            <w:pPr>
              <w:pStyle w:val="Personnequisigne"/>
              <w:jc w:val="both"/>
              <w:rPr>
                <w:sz w:val="22"/>
              </w:rPr>
            </w:pPr>
          </w:p>
          <w:p w14:paraId="1F1D6C80" w14:textId="77777777" w:rsidR="00607E0A" w:rsidRPr="007E720F" w:rsidRDefault="00607E0A" w:rsidP="001E3DE5">
            <w:pPr>
              <w:pStyle w:val="Institutionquisigne"/>
              <w:spacing w:before="0"/>
              <w:rPr>
                <w:i w:val="0"/>
                <w:sz w:val="22"/>
              </w:rPr>
            </w:pPr>
            <w:r w:rsidRPr="007E720F">
              <w:rPr>
                <w:i w:val="0"/>
                <w:sz w:val="22"/>
              </w:rPr>
              <w:t xml:space="preserve">Na sistemski ravni OU načrtuje tudi vzpostavitev sistema izmenjave podatkov na temo komplementarnosti tudi z drugimi organi upravljanja na državni ravni. Navezali smo stike s kontaktnimi točkami ter predstavniki mrež Evropske komisije v Sloveniji, kjer pričakujemo tudi uporabne informacije na temo komplementarnosti. </w:t>
            </w:r>
          </w:p>
          <w:p w14:paraId="46D83B46" w14:textId="77777777" w:rsidR="00607E0A" w:rsidRPr="007E720F" w:rsidRDefault="00607E0A" w:rsidP="001E3DE5">
            <w:pPr>
              <w:pStyle w:val="Institutionquisigne"/>
              <w:spacing w:before="0"/>
              <w:rPr>
                <w:i w:val="0"/>
                <w:sz w:val="22"/>
              </w:rPr>
            </w:pPr>
          </w:p>
          <w:p w14:paraId="7066BEEC" w14:textId="77777777" w:rsidR="00607E0A" w:rsidRPr="007E720F" w:rsidRDefault="00607E0A" w:rsidP="001E3DE5">
            <w:pPr>
              <w:pStyle w:val="Institutionquisigne"/>
              <w:spacing w:before="0"/>
              <w:rPr>
                <w:i w:val="0"/>
                <w:sz w:val="22"/>
              </w:rPr>
            </w:pPr>
            <w:r w:rsidRPr="007E720F">
              <w:rPr>
                <w:i w:val="0"/>
                <w:sz w:val="22"/>
              </w:rPr>
              <w:t xml:space="preserve">Operacije, ki se izvajajo, se dopolnjujejo kot sledi spodaj: </w:t>
            </w:r>
          </w:p>
          <w:p w14:paraId="7309FFC6" w14:textId="53B51875" w:rsidR="001F253C" w:rsidRPr="007E720F" w:rsidRDefault="001F253C" w:rsidP="001E3DE5">
            <w:pPr>
              <w:rPr>
                <w:noProof/>
                <w:sz w:val="22"/>
              </w:rPr>
            </w:pPr>
            <w:r w:rsidRPr="007E720F">
              <w:rPr>
                <w:noProof/>
                <w:sz w:val="22"/>
              </w:rPr>
              <w:t>U</w:t>
            </w:r>
            <w:r w:rsidR="005772FE" w:rsidRPr="007E720F">
              <w:rPr>
                <w:noProof/>
                <w:sz w:val="22"/>
              </w:rPr>
              <w:t xml:space="preserve">OIM </w:t>
            </w:r>
            <w:r w:rsidRPr="007E720F">
              <w:rPr>
                <w:noProof/>
                <w:sz w:val="22"/>
              </w:rPr>
              <w:t>trenutno črpa samo sredstva iz sklada AMIF, zato ne moremo poročati o komplementarnosti z drugimi EU skladi.</w:t>
            </w:r>
          </w:p>
          <w:p w14:paraId="2EBC3152" w14:textId="290B58FA" w:rsidR="00041891" w:rsidRPr="007E720F" w:rsidRDefault="00041891" w:rsidP="001E3DE5">
            <w:pPr>
              <w:rPr>
                <w:noProof/>
                <w:sz w:val="22"/>
              </w:rPr>
            </w:pPr>
            <w:r w:rsidRPr="007E720F">
              <w:rPr>
                <w:noProof/>
                <w:sz w:val="22"/>
              </w:rPr>
              <w:t>Sistem vračanja državljanov tretjih držav v državo izvora, ki jo izvaja Policija, Center za tujce, je komplementaren s platformo FAR (Frontex's Application for Return), ki je vzpostavljen za naročanje avionskih vozovnic z namenom vrač</w:t>
            </w:r>
            <w:r w:rsidR="00CE3141" w:rsidRPr="007E720F">
              <w:rPr>
                <w:noProof/>
                <w:sz w:val="22"/>
              </w:rPr>
              <w:t>a</w:t>
            </w:r>
            <w:r w:rsidRPr="007E720F">
              <w:rPr>
                <w:noProof/>
                <w:sz w:val="22"/>
              </w:rPr>
              <w:t>nja in za organizacijo čarterskih letov v tretje države. V primerih naročanja avionskih vozovnic preko omenjene platforme so tudi vsi stroški kriti s strani Agencije Frontex in jih Policija, Center za tujce ne uveljavlja iz sklada AMIF.</w:t>
            </w:r>
          </w:p>
          <w:p w14:paraId="04BCDC54" w14:textId="32574961" w:rsidR="00041891" w:rsidRPr="007E720F" w:rsidRDefault="00041891" w:rsidP="001E3DE5">
            <w:pPr>
              <w:rPr>
                <w:noProof/>
                <w:sz w:val="22"/>
              </w:rPr>
            </w:pPr>
            <w:r w:rsidRPr="007E720F">
              <w:rPr>
                <w:noProof/>
                <w:sz w:val="22"/>
              </w:rPr>
              <w:t>Policija, Center za tujce je tudi vključena v EURP (European Reintegration Program), ki je prav tako vzpostavljen v o</w:t>
            </w:r>
            <w:r w:rsidR="00CE3141" w:rsidRPr="007E720F">
              <w:rPr>
                <w:noProof/>
                <w:sz w:val="22"/>
              </w:rPr>
              <w:t>kviru Agencije Frontex in se na</w:t>
            </w:r>
            <w:r w:rsidRPr="007E720F">
              <w:rPr>
                <w:noProof/>
                <w:sz w:val="22"/>
              </w:rPr>
              <w:t xml:space="preserve">naša na reintegracijo državljanov tretjih držav v državi izvora po vrnitvi, bodisi prostovoljni ali prisilni. Zaradi učinkovitost programa EURP, Policija ni vzpostavila nacionalnega reintegracijskega programa. </w:t>
            </w:r>
          </w:p>
          <w:p w14:paraId="5F17EAE6" w14:textId="245B8AAC" w:rsidR="001C7780" w:rsidRPr="007E720F" w:rsidRDefault="00607E0A" w:rsidP="001E3DE5">
            <w:pPr>
              <w:rPr>
                <w:sz w:val="22"/>
              </w:rPr>
            </w:pPr>
            <w:r w:rsidRPr="007E720F">
              <w:rPr>
                <w:sz w:val="22"/>
              </w:rPr>
              <w:t xml:space="preserve">Komplementarnost operacij, ki jih izvaja Ministrstvo za notranje zadeve, Direktorat za migracije, z drugimi skladi ni neposredna, saj gre za specifične ciljne skupine. </w:t>
            </w:r>
          </w:p>
        </w:tc>
      </w:tr>
    </w:tbl>
    <w:p w14:paraId="6D3F08CB" w14:textId="77777777" w:rsidR="0087657F" w:rsidRPr="007E720F" w:rsidRDefault="00CF7D3B" w:rsidP="001E3DE5">
      <w:pPr>
        <w:pStyle w:val="ManualHeading1"/>
        <w:rPr>
          <w:noProof/>
          <w:sz w:val="22"/>
        </w:rPr>
      </w:pPr>
      <w:r w:rsidRPr="007E720F">
        <w:rPr>
          <w:sz w:val="22"/>
        </w:rPr>
        <w:t>3.</w:t>
      </w:r>
      <w:r w:rsidRPr="007E720F">
        <w:rPr>
          <w:sz w:val="22"/>
        </w:rPr>
        <w:tab/>
      </w:r>
      <w:r w:rsidR="0087657F" w:rsidRPr="007E720F">
        <w:rPr>
          <w:noProof/>
          <w:sz w:val="22"/>
        </w:rPr>
        <w:t>Izvajanje pravnega reda Unije, sodelovanje in solidarnost – člen 35(2), točka (d), Uredbe (EU) 2021/1147</w:t>
      </w:r>
    </w:p>
    <w:p w14:paraId="2641536D" w14:textId="77777777" w:rsidR="0087657F" w:rsidRPr="007E720F" w:rsidRDefault="007027D4" w:rsidP="001E3DE5">
      <w:pPr>
        <w:pStyle w:val="Titrearticle"/>
        <w:spacing w:before="240"/>
        <w:jc w:val="both"/>
        <w:rPr>
          <w:i w:val="0"/>
          <w:noProof/>
          <w:sz w:val="22"/>
        </w:rPr>
      </w:pPr>
      <w:r w:rsidRPr="007E720F">
        <w:rPr>
          <w:i w:val="0"/>
          <w:noProof/>
          <w:sz w:val="22"/>
        </w:rPr>
        <w:t>Na kratko opišite, kako je program med obračunskim letom prispeval k izvajanju pravnega reda Unije (prava Unije) na področju azila, zakonitih migracij, vključevanja, vračanja, nedovoljenih migracij in ustreznih akcijskih načrtov ter k sodelovanju in solidarnosti med državami članicami.</w:t>
      </w:r>
    </w:p>
    <w:tbl>
      <w:tblPr>
        <w:tblStyle w:val="Tabelamrea"/>
        <w:tblW w:w="0" w:type="auto"/>
        <w:tblLook w:val="04A0" w:firstRow="1" w:lastRow="0" w:firstColumn="1" w:lastColumn="0" w:noHBand="0" w:noVBand="1"/>
      </w:tblPr>
      <w:tblGrid>
        <w:gridCol w:w="9063"/>
      </w:tblGrid>
      <w:tr w:rsidR="007E720F" w:rsidRPr="007E720F" w14:paraId="0613BF1F" w14:textId="77777777" w:rsidTr="00E45665">
        <w:tc>
          <w:tcPr>
            <w:tcW w:w="9289" w:type="dxa"/>
          </w:tcPr>
          <w:p w14:paraId="407ABA57" w14:textId="77777777" w:rsidR="00292708" w:rsidRPr="007E720F" w:rsidRDefault="00292708" w:rsidP="001E3DE5">
            <w:pPr>
              <w:tabs>
                <w:tab w:val="left" w:pos="4252"/>
              </w:tabs>
              <w:autoSpaceDE w:val="0"/>
              <w:autoSpaceDN w:val="0"/>
              <w:adjustRightInd w:val="0"/>
              <w:spacing w:after="0"/>
              <w:rPr>
                <w:sz w:val="22"/>
              </w:rPr>
            </w:pPr>
            <w:r w:rsidRPr="007E720F">
              <w:rPr>
                <w:sz w:val="22"/>
              </w:rPr>
              <w:t>Vse operacije, ki so se izvajale v obračunskem obdobju, dosledno sledijo določilom Pogodbe o delovanju EU, Listine EU o temeljnih pravicah, Konvencije o statusu beguncev s Protokolom iz leta 1967 in Konvencije o otrokovih pravicah.</w:t>
            </w:r>
          </w:p>
          <w:p w14:paraId="4ACA704C" w14:textId="4B4A5210" w:rsidR="00292708" w:rsidRPr="007E720F" w:rsidRDefault="00292708" w:rsidP="001E3DE5">
            <w:pPr>
              <w:tabs>
                <w:tab w:val="left" w:pos="4252"/>
              </w:tabs>
              <w:autoSpaceDE w:val="0"/>
              <w:autoSpaceDN w:val="0"/>
              <w:adjustRightInd w:val="0"/>
              <w:spacing w:after="0"/>
              <w:rPr>
                <w:sz w:val="22"/>
              </w:rPr>
            </w:pPr>
            <w:r w:rsidRPr="007E720F">
              <w:rPr>
                <w:sz w:val="22"/>
              </w:rPr>
              <w:t xml:space="preserve">V okviru </w:t>
            </w:r>
            <w:r w:rsidRPr="007E720F">
              <w:rPr>
                <w:b/>
                <w:bCs/>
                <w:sz w:val="22"/>
              </w:rPr>
              <w:t>Specifičnega cilja 1</w:t>
            </w:r>
            <w:r w:rsidRPr="007E720F">
              <w:rPr>
                <w:sz w:val="22"/>
              </w:rPr>
              <w:t xml:space="preserve"> so se izvajale operacije</w:t>
            </w:r>
            <w:r w:rsidR="004422D7" w:rsidRPr="007E720F">
              <w:rPr>
                <w:sz w:val="22"/>
              </w:rPr>
              <w:t xml:space="preserve">, ki </w:t>
            </w:r>
            <w:r w:rsidRPr="007E720F">
              <w:rPr>
                <w:sz w:val="22"/>
              </w:rPr>
              <w:t xml:space="preserve"> implementirajo določbe nacionalnega prava: Zakona o mednarodni zaščiti (Uradni list RS, št. 16/17 in nadaljnje spremembe), Zakona o začasni zaščiti razseljenih oseb (Uradni list RS, št. 16/17), Zakona o tujcih (Uradni list RS, št. </w:t>
            </w:r>
            <w:hyperlink r:id="rId11" w:history="1">
              <w:r w:rsidRPr="007E720F">
                <w:rPr>
                  <w:sz w:val="22"/>
                </w:rPr>
                <w:t>91/21</w:t>
              </w:r>
            </w:hyperlink>
            <w:r w:rsidRPr="007E720F">
              <w:rPr>
                <w:sz w:val="22"/>
              </w:rPr>
              <w:t xml:space="preserve"> in nadaljnje spremembe), Zakona o stvarnem premoženju države in samoupravnih lokalnih skupnosti (Uradni list RS, št. 11/18 in nadaljnje spremembe); Uredbe o načinih in pogojih za zagotavljanje pravic prosilcem za mednarodno zaščito (Uradni list RS, št. 173/21); Uredbe o načinu zagotavljanja pravic osebam z začasno zaščito (Uradni list RS, št. </w:t>
            </w:r>
            <w:hyperlink r:id="rId12" w:history="1">
              <w:r w:rsidRPr="007E720F">
                <w:rPr>
                  <w:sz w:val="22"/>
                </w:rPr>
                <w:t>42/22</w:t>
              </w:r>
            </w:hyperlink>
            <w:r w:rsidRPr="007E720F">
              <w:rPr>
                <w:sz w:val="22"/>
              </w:rPr>
              <w:t xml:space="preserve"> in nadaljnje spremembe); Uredbe o načinu zagotavljanja ustrezne nastanitve, oskrbe in obravnave mladoletnikov brez spremstva (Uradni list RS, št. 106/23 in nadaljnje spremembe) in podrejene akte; ter določbe pravnega reda EU: Protokola za preprečevanje, zatiranje in kaznovanje trgovine z ljudmi, zlasti ženskami in otroki, ki dopolnjuje Konvencijo Združenih narodov proti mednarodnemu organiziranemu kriminalu; Konvencije Sveta Evrope o ukrepanju proti trgovini z ljudmi, Direktive 2011/95/EU, Direktiva 2001/55/ES, Direktive 2013/32/EU, Direktiva 2013/33/EU, Uredbe 604/2013/EU, Direktive 2024/1712/EU, Akcijski načrta EU za integracijo in vključevanje za obdobje 2021-2027, Strategija EU za boj proti trgovini z ljudmi (2021-2025).</w:t>
            </w:r>
          </w:p>
          <w:p w14:paraId="49D5A3DD" w14:textId="37BB17F6" w:rsidR="00292708" w:rsidRPr="007E720F" w:rsidRDefault="00292708" w:rsidP="001E3DE5">
            <w:pPr>
              <w:tabs>
                <w:tab w:val="left" w:pos="4252"/>
              </w:tabs>
              <w:autoSpaceDE w:val="0"/>
              <w:autoSpaceDN w:val="0"/>
              <w:adjustRightInd w:val="0"/>
              <w:spacing w:after="0"/>
              <w:rPr>
                <w:sz w:val="22"/>
              </w:rPr>
            </w:pPr>
            <w:r w:rsidRPr="007E720F">
              <w:rPr>
                <w:sz w:val="22"/>
              </w:rPr>
              <w:t xml:space="preserve">V okviru </w:t>
            </w:r>
            <w:r w:rsidRPr="007E720F">
              <w:rPr>
                <w:b/>
                <w:bCs/>
                <w:sz w:val="22"/>
              </w:rPr>
              <w:t>Specifičnega cilja 2</w:t>
            </w:r>
            <w:r w:rsidR="002C12B6" w:rsidRPr="007E720F">
              <w:rPr>
                <w:sz w:val="22"/>
              </w:rPr>
              <w:t xml:space="preserve"> so se izvajale operacije, ki </w:t>
            </w:r>
            <w:r w:rsidRPr="007E720F">
              <w:rPr>
                <w:sz w:val="22"/>
              </w:rPr>
              <w:t xml:space="preserve">implementirajo določbe nacionalnega prava: Zakona o mednarodni zaščiti (Uradni list RS, št. 16/17 in nadaljnje spremembe), Zakona o začasni zaščiti razseljenih oseb (Uradni list RS, št. 16/17), Zakona o tujcih (Uradni list RS, št. </w:t>
            </w:r>
            <w:hyperlink r:id="rId13" w:history="1">
              <w:r w:rsidRPr="007E720F">
                <w:rPr>
                  <w:sz w:val="22"/>
                </w:rPr>
                <w:t>91/21</w:t>
              </w:r>
            </w:hyperlink>
            <w:r w:rsidRPr="007E720F">
              <w:rPr>
                <w:sz w:val="22"/>
              </w:rPr>
              <w:t xml:space="preserve"> in nadaljnje spremembe), Zakona o stvarnem premoženju države in samoupravnih lokalnih skupnosti (Uradni list RS, št. 11/18 in nadaljnje spremembe), Uredbe o zagotavljanju pomoči pri vključevanju tujcev, ki niso državljani EU (Uradni list RS, št. 27/2</w:t>
            </w:r>
            <w:hyperlink r:id="rId14" w:history="1">
              <w:r w:rsidRPr="007E720F">
                <w:rPr>
                  <w:sz w:val="22"/>
                </w:rPr>
                <w:t>4)</w:t>
              </w:r>
            </w:hyperlink>
            <w:r w:rsidRPr="007E720F">
              <w:rPr>
                <w:sz w:val="22"/>
              </w:rPr>
              <w:t xml:space="preserve"> in podrejene akte; ter določbe pravnega reda EU: Direktive 2001/55/ES, Direktive 2013/33/EU, Akcijskega načrta EU za integracijo in vključevanje za obdobje 2021-2027 in Skupna temeljna načela za politiko integracije priseljencev v EU.</w:t>
            </w:r>
          </w:p>
          <w:p w14:paraId="1BBCFAE7" w14:textId="7C1DD843" w:rsidR="00292708" w:rsidRPr="007E720F" w:rsidRDefault="00292708" w:rsidP="001E3DE5">
            <w:pPr>
              <w:tabs>
                <w:tab w:val="left" w:pos="4252"/>
              </w:tabs>
              <w:autoSpaceDE w:val="0"/>
              <w:autoSpaceDN w:val="0"/>
              <w:adjustRightInd w:val="0"/>
              <w:spacing w:after="0"/>
              <w:rPr>
                <w:sz w:val="22"/>
              </w:rPr>
            </w:pPr>
            <w:r w:rsidRPr="007E720F">
              <w:rPr>
                <w:sz w:val="22"/>
              </w:rPr>
              <w:t xml:space="preserve">V okviru </w:t>
            </w:r>
            <w:r w:rsidRPr="007E720F">
              <w:rPr>
                <w:b/>
                <w:bCs/>
                <w:sz w:val="22"/>
              </w:rPr>
              <w:t>Specifičnega cilja 3</w:t>
            </w:r>
            <w:r w:rsidRPr="007E720F">
              <w:rPr>
                <w:sz w:val="22"/>
              </w:rPr>
              <w:t xml:space="preserve"> so se izvajale operacije</w:t>
            </w:r>
            <w:r w:rsidR="004422D7" w:rsidRPr="007E720F">
              <w:rPr>
                <w:sz w:val="22"/>
              </w:rPr>
              <w:t xml:space="preserve">, ki </w:t>
            </w:r>
            <w:r w:rsidRPr="007E720F">
              <w:rPr>
                <w:sz w:val="22"/>
              </w:rPr>
              <w:t xml:space="preserve"> implementirajo določbe nacionalnega prava: Zakona o tujcih (Uradni list RS, št. </w:t>
            </w:r>
            <w:hyperlink r:id="rId15" w:history="1">
              <w:r w:rsidRPr="007E720F">
                <w:rPr>
                  <w:sz w:val="22"/>
                </w:rPr>
                <w:t>91/21</w:t>
              </w:r>
            </w:hyperlink>
            <w:r w:rsidRPr="007E720F">
              <w:rPr>
                <w:sz w:val="22"/>
              </w:rPr>
              <w:t xml:space="preserve"> in nadaljnje spremembe); Zakona o nadzoru državne meje (Uradni list RS, št. 35/10); Zakona o nalogah in pooblastilih policije (Uradni list RS, št. 15/13 in nadaljnje spremembe); Zakona o stvarnem premoženju države in samoupravnih lokalnih skupnosti (Uradni list RS, št. 11/18 in nadaljnje spremembe); Pravilnika o bivanju v Centru za tujce in izdaji izkaznice o dovolitvi zadrževanja (Uradni list RS, št. 35/24) in podrejene akte; ter določbe pravnega reda EU: Uredbe 2016/399/EU, Direktive 2008/115/EU; Direktive 2013/33/EU; Akcijskega načrta EU o vračanju; Priporočilo Komisije z dne 2017/432/EU z dne 7. marca 2017; Priporočilo komisije 2017/2338/EU z dne 16. novembra 2017, s Priročnikom o vračanju; Priporočilo Komisije 2023/682/EU z dne 16. marca 2023.</w:t>
            </w:r>
          </w:p>
          <w:p w14:paraId="3BF241F7" w14:textId="77777777" w:rsidR="00292708" w:rsidRPr="007E720F" w:rsidRDefault="00292708" w:rsidP="001E3DE5">
            <w:pPr>
              <w:rPr>
                <w:sz w:val="22"/>
              </w:rPr>
            </w:pPr>
            <w:r w:rsidRPr="007E720F">
              <w:rPr>
                <w:sz w:val="22"/>
              </w:rPr>
              <w:t xml:space="preserve">V okviru </w:t>
            </w:r>
            <w:r w:rsidRPr="007E720F">
              <w:rPr>
                <w:b/>
                <w:bCs/>
                <w:sz w:val="22"/>
              </w:rPr>
              <w:t>Specifičnega cilja 4</w:t>
            </w:r>
            <w:r w:rsidRPr="007E720F">
              <w:rPr>
                <w:sz w:val="22"/>
              </w:rPr>
              <w:t xml:space="preserve"> smo, skladno z Odobritvenem dopisom EK Ref. Ares (2023)8726130 – 19/12/2023S in Ref. Ares (2023)2866217 - 24/04/2023, sredstva namenili izvedbi operacij Premestitev in Preselitev. Operaciji implementirata</w:t>
            </w:r>
            <w:r w:rsidRPr="007E720F">
              <w:rPr>
                <w:b/>
                <w:bCs/>
                <w:sz w:val="22"/>
              </w:rPr>
              <w:t xml:space="preserve"> </w:t>
            </w:r>
            <w:r w:rsidRPr="007E720F">
              <w:rPr>
                <w:sz w:val="22"/>
              </w:rPr>
              <w:t>načelo obvezne in prilagodljive solidarnosti iz Pakta o migracijah in azilu ter Evropsko agendo o migracijah. V slovenskem pravnem redu sta operaciji opredeljeni v Zakonu o mednarodni zaščiti (Uradni list RS, št. 16/17 in nadaljnje spremembe).</w:t>
            </w:r>
          </w:p>
          <w:p w14:paraId="1FF145E9" w14:textId="2E7F4FC7" w:rsidR="00FA510E" w:rsidRPr="007E720F" w:rsidRDefault="00FA510E" w:rsidP="001E3DE5">
            <w:pPr>
              <w:tabs>
                <w:tab w:val="left" w:pos="4252"/>
              </w:tabs>
              <w:autoSpaceDE w:val="0"/>
              <w:autoSpaceDN w:val="0"/>
              <w:adjustRightInd w:val="0"/>
              <w:spacing w:after="0"/>
              <w:rPr>
                <w:b/>
                <w:sz w:val="22"/>
              </w:rPr>
            </w:pPr>
          </w:p>
        </w:tc>
      </w:tr>
    </w:tbl>
    <w:p w14:paraId="3E97BE53" w14:textId="77777777" w:rsidR="0087657F" w:rsidRPr="007E720F" w:rsidRDefault="00CF7D3B" w:rsidP="001E3DE5">
      <w:pPr>
        <w:pStyle w:val="ManualHeading1"/>
        <w:rPr>
          <w:noProof/>
          <w:sz w:val="22"/>
        </w:rPr>
      </w:pPr>
      <w:r w:rsidRPr="007E720F">
        <w:rPr>
          <w:sz w:val="22"/>
        </w:rPr>
        <w:t>4.</w:t>
      </w:r>
      <w:r w:rsidRPr="007E720F">
        <w:rPr>
          <w:sz w:val="22"/>
        </w:rPr>
        <w:tab/>
      </w:r>
      <w:r w:rsidR="0087657F" w:rsidRPr="007E720F">
        <w:rPr>
          <w:noProof/>
          <w:sz w:val="22"/>
        </w:rPr>
        <w:t>Komuniciranje in prepoznavnost – člen 35(2), točka (e), Uredbe (EU) 2021/1147</w:t>
      </w:r>
    </w:p>
    <w:p w14:paraId="5E6D3EDE" w14:textId="77777777" w:rsidR="0087657F" w:rsidRPr="007E720F" w:rsidRDefault="007027D4" w:rsidP="001E3DE5">
      <w:pPr>
        <w:pStyle w:val="Titrearticle"/>
        <w:spacing w:before="240"/>
        <w:jc w:val="both"/>
        <w:rPr>
          <w:i w:val="0"/>
          <w:noProof/>
          <w:sz w:val="22"/>
        </w:rPr>
      </w:pPr>
      <w:r w:rsidRPr="007E720F">
        <w:rPr>
          <w:i w:val="0"/>
          <w:noProof/>
          <w:sz w:val="22"/>
        </w:rPr>
        <w:t>Opišite, kako so se med obračunskim letom izvajale dejavnosti v zvezi s komuniciranjem in prepoznavnostjo. Navedite zlasti napredek, dosežen v zvezi s cilji, določenimi v komunikacijski strategiji, kot se meri z ustreznimi kazalniki in njihovimi ciljnimi vrednostmi. Če je ustrezno, opišite morebitne dobre prakse pri doseganju ciljnih skupin in/ali razširjanju in izkoriščanju rezultatov projektov.</w:t>
      </w:r>
    </w:p>
    <w:tbl>
      <w:tblPr>
        <w:tblStyle w:val="Tabelamrea"/>
        <w:tblW w:w="0" w:type="auto"/>
        <w:tblLook w:val="04A0" w:firstRow="1" w:lastRow="0" w:firstColumn="1" w:lastColumn="0" w:noHBand="0" w:noVBand="1"/>
      </w:tblPr>
      <w:tblGrid>
        <w:gridCol w:w="9063"/>
      </w:tblGrid>
      <w:tr w:rsidR="007E720F" w:rsidRPr="007E720F" w14:paraId="68E68F1E" w14:textId="77777777" w:rsidTr="009F2EE5">
        <w:trPr>
          <w:trHeight w:val="341"/>
        </w:trPr>
        <w:tc>
          <w:tcPr>
            <w:tcW w:w="9289" w:type="dxa"/>
          </w:tcPr>
          <w:p w14:paraId="7A0498DF" w14:textId="152FEE77" w:rsidR="00DB6E51" w:rsidRPr="007E720F" w:rsidRDefault="00DB6E51" w:rsidP="001E3DE5">
            <w:pPr>
              <w:pStyle w:val="Personnequisigne"/>
              <w:jc w:val="both"/>
              <w:rPr>
                <w:i w:val="0"/>
                <w:sz w:val="22"/>
              </w:rPr>
            </w:pPr>
            <w:r w:rsidRPr="007E720F">
              <w:rPr>
                <w:i w:val="0"/>
                <w:noProof/>
                <w:sz w:val="22"/>
              </w:rPr>
              <w:t xml:space="preserve">Slovenija je v obračunskem obdobju poročanja pričela z izvajanjem aktivnosti v zvezi z ukrepi programa AMIF, zato lahko poročamo o napredku v zvezi s cilji, določenimi v komunikacijski strategiji. </w:t>
            </w:r>
            <w:r w:rsidRPr="007E720F">
              <w:rPr>
                <w:i w:val="0"/>
                <w:sz w:val="22"/>
              </w:rPr>
              <w:t>Na področju prepoznavnosti, preglednosti in komuniciranja so potekale številne aktivnosti namenjene splošni, interni in zainteresirani javnosti za programe AMIF, SNV in IUMV.</w:t>
            </w:r>
          </w:p>
          <w:p w14:paraId="1D6989E4" w14:textId="77777777" w:rsidR="00DB6E51" w:rsidRPr="007E720F" w:rsidRDefault="00DB6E51" w:rsidP="001E3DE5">
            <w:pPr>
              <w:pStyle w:val="Personnequisigne"/>
              <w:jc w:val="both"/>
              <w:rPr>
                <w:i w:val="0"/>
                <w:sz w:val="22"/>
              </w:rPr>
            </w:pPr>
          </w:p>
          <w:p w14:paraId="74DBB270" w14:textId="77777777" w:rsidR="00DB6E51" w:rsidRPr="007E720F" w:rsidRDefault="00DB6E51" w:rsidP="001E3DE5">
            <w:pPr>
              <w:pStyle w:val="Personnequisigne"/>
              <w:jc w:val="both"/>
              <w:rPr>
                <w:i w:val="0"/>
                <w:sz w:val="22"/>
              </w:rPr>
            </w:pPr>
            <w:r w:rsidRPr="007E720F">
              <w:rPr>
                <w:i w:val="0"/>
                <w:sz w:val="22"/>
              </w:rPr>
              <w:t>Komunikacijske aktivnosti za interno javnost so potekale predvsem v okviru poročanja Odboru za spremljanje, INFORM-SI, INFORM-EU, delavnic za upravičence, operativnih sestankov ter preko Intraneta MNZ in Policije ter intraneta in depešnega sistema MZEZ. Ostale aktivnosti so namenjene splošni in zainteresirani javnosti.</w:t>
            </w:r>
          </w:p>
          <w:p w14:paraId="2B595EE3" w14:textId="77777777" w:rsidR="00DB6E51" w:rsidRPr="007E720F" w:rsidRDefault="00DB6E51" w:rsidP="001E3DE5">
            <w:pPr>
              <w:pStyle w:val="Personnequisigne"/>
              <w:jc w:val="both"/>
              <w:rPr>
                <w:sz w:val="22"/>
              </w:rPr>
            </w:pPr>
          </w:p>
          <w:p w14:paraId="1E99E908" w14:textId="77777777" w:rsidR="00DB6E51" w:rsidRPr="007E720F" w:rsidRDefault="00DB6E51" w:rsidP="001E3DE5">
            <w:pPr>
              <w:autoSpaceDE w:val="0"/>
              <w:autoSpaceDN w:val="0"/>
              <w:adjustRightInd w:val="0"/>
              <w:spacing w:after="0"/>
              <w:rPr>
                <w:sz w:val="22"/>
              </w:rPr>
            </w:pPr>
            <w:r w:rsidRPr="007E720F">
              <w:rPr>
                <w:sz w:val="22"/>
              </w:rPr>
              <w:t xml:space="preserve">Splošne aktivnosti: </w:t>
            </w:r>
          </w:p>
          <w:p w14:paraId="118DA516" w14:textId="77777777" w:rsidR="00DB6E51" w:rsidRPr="007E720F" w:rsidRDefault="00DB6E51" w:rsidP="001E3DE5">
            <w:pPr>
              <w:pStyle w:val="Odstavekseznama"/>
              <w:numPr>
                <w:ilvl w:val="0"/>
                <w:numId w:val="27"/>
              </w:numPr>
              <w:tabs>
                <w:tab w:val="left" w:pos="4252"/>
              </w:tabs>
              <w:autoSpaceDE w:val="0"/>
              <w:autoSpaceDN w:val="0"/>
              <w:adjustRightInd w:val="0"/>
              <w:spacing w:before="0" w:after="0"/>
              <w:rPr>
                <w:sz w:val="22"/>
              </w:rPr>
            </w:pPr>
            <w:r w:rsidRPr="007E720F">
              <w:rPr>
                <w:sz w:val="22"/>
              </w:rPr>
              <w:t>Posodobitev Navodil organa upravljanja na področju zagotavljanja prepoznavnosti, preglednosti in komuniciranja evropske politike na področju notranjih zadev v programskem obdobju 2021–2027, št. 007-328/2023/2 z dne 5.6.2024.</w:t>
            </w:r>
          </w:p>
          <w:p w14:paraId="0202F3EB" w14:textId="77777777" w:rsidR="00DB6E51" w:rsidRPr="007E720F" w:rsidRDefault="00DB6E51" w:rsidP="001E3DE5">
            <w:pPr>
              <w:pStyle w:val="Personnequisigne"/>
              <w:numPr>
                <w:ilvl w:val="0"/>
                <w:numId w:val="27"/>
              </w:numPr>
              <w:jc w:val="both"/>
              <w:rPr>
                <w:i w:val="0"/>
                <w:noProof/>
                <w:sz w:val="22"/>
              </w:rPr>
            </w:pPr>
            <w:r w:rsidRPr="007E720F">
              <w:rPr>
                <w:i w:val="0"/>
                <w:noProof/>
                <w:sz w:val="22"/>
              </w:rPr>
              <w:t xml:space="preserve">Vsi upravičenci so se v prijavi operacije zavezali k upoštevanju vseh zavez, ki jih določa Uredba 2021/1060/EU, o katerih bodo poročali OU v zahtevkih za povračilo. </w:t>
            </w:r>
          </w:p>
          <w:p w14:paraId="46543751" w14:textId="77777777" w:rsidR="00DB6E51" w:rsidRPr="007E720F" w:rsidRDefault="00DB6E51" w:rsidP="001E3DE5">
            <w:pPr>
              <w:pStyle w:val="Odstavekseznama"/>
              <w:numPr>
                <w:ilvl w:val="0"/>
                <w:numId w:val="27"/>
              </w:numPr>
              <w:tabs>
                <w:tab w:val="left" w:pos="4252"/>
              </w:tabs>
              <w:autoSpaceDE w:val="0"/>
              <w:autoSpaceDN w:val="0"/>
              <w:adjustRightInd w:val="0"/>
              <w:spacing w:before="0" w:after="0"/>
              <w:rPr>
                <w:sz w:val="22"/>
              </w:rPr>
            </w:pPr>
            <w:r w:rsidRPr="007E720F">
              <w:rPr>
                <w:sz w:val="22"/>
              </w:rPr>
              <w:t>Zagotovilo, da odločitve o podpori za financiranje operacije vključujejo dikcijo, da se EU podeli brezplačna, neizključna in nepreklicna licenca za rabo komunikacijskega gradiva ter morebitne pripadajoče predhodno obstoječe pravice.</w:t>
            </w:r>
          </w:p>
          <w:p w14:paraId="27DAFA11" w14:textId="77777777" w:rsidR="00DB6E51" w:rsidRPr="007E720F" w:rsidRDefault="00DB6E51" w:rsidP="001E3DE5">
            <w:pPr>
              <w:pStyle w:val="Odstavekseznama"/>
              <w:numPr>
                <w:ilvl w:val="0"/>
                <w:numId w:val="27"/>
              </w:numPr>
              <w:tabs>
                <w:tab w:val="left" w:pos="4252"/>
              </w:tabs>
              <w:autoSpaceDE w:val="0"/>
              <w:autoSpaceDN w:val="0"/>
              <w:adjustRightInd w:val="0"/>
              <w:spacing w:before="0" w:after="0"/>
              <w:rPr>
                <w:sz w:val="22"/>
              </w:rPr>
            </w:pPr>
            <w:r w:rsidRPr="007E720F">
              <w:rPr>
                <w:sz w:val="22"/>
              </w:rPr>
              <w:t xml:space="preserve">Nudenje podpore upravičencem za pravilno izvajanje aktivnosti na področju prepoznavnosti, preglednosti in komuniciranja. OU je izvedel pet delavnic za upravičence, od tega dve splošni za vse upravičence ter tri specifične - namenjene posameznim upravičencem. </w:t>
            </w:r>
            <w:r w:rsidRPr="007E720F">
              <w:rPr>
                <w:bCs/>
                <w:sz w:val="22"/>
              </w:rPr>
              <w:t>Na delavnicah so bile predstavljene novosti in zahteve, ki jih določa Uredba 2021/1060/EU za izvajanje aktivnosti na področju prepoznavnosti, preglednosti in komuniciranja 2021-2027. Namen delavnic je bil upravičence opremiti s potrebnimi znanji in veščinami pri izvedbi komunikacijskih aktivnostih, prikazati praktične primere dobrih praks ter uporabo »Online generatorja«.</w:t>
            </w:r>
          </w:p>
          <w:p w14:paraId="16B82E47" w14:textId="77777777" w:rsidR="00DB6E51" w:rsidRPr="007E720F" w:rsidRDefault="00DB6E51" w:rsidP="001E3DE5">
            <w:pPr>
              <w:autoSpaceDE w:val="0"/>
              <w:autoSpaceDN w:val="0"/>
              <w:adjustRightInd w:val="0"/>
              <w:spacing w:before="0" w:after="0"/>
              <w:rPr>
                <w:sz w:val="22"/>
              </w:rPr>
            </w:pPr>
          </w:p>
          <w:p w14:paraId="32D413F0" w14:textId="77777777" w:rsidR="00DB6E51" w:rsidRPr="007E720F" w:rsidRDefault="00DB6E51" w:rsidP="001E3DE5">
            <w:pPr>
              <w:autoSpaceDE w:val="0"/>
              <w:autoSpaceDN w:val="0"/>
              <w:adjustRightInd w:val="0"/>
              <w:spacing w:before="0" w:after="0"/>
              <w:rPr>
                <w:sz w:val="22"/>
              </w:rPr>
            </w:pPr>
            <w:r w:rsidRPr="007E720F">
              <w:rPr>
                <w:sz w:val="22"/>
              </w:rPr>
              <w:t xml:space="preserve">Sodelovanje v okviru mreže INFORM EU in INFORM SI:  </w:t>
            </w:r>
          </w:p>
          <w:p w14:paraId="0D0DB63B" w14:textId="77777777" w:rsidR="00DB6E51" w:rsidRPr="007E720F" w:rsidRDefault="00DB6E51" w:rsidP="001E3DE5">
            <w:pPr>
              <w:pStyle w:val="Odstavekseznama"/>
              <w:numPr>
                <w:ilvl w:val="0"/>
                <w:numId w:val="27"/>
              </w:numPr>
              <w:tabs>
                <w:tab w:val="left" w:pos="4252"/>
              </w:tabs>
              <w:autoSpaceDE w:val="0"/>
              <w:autoSpaceDN w:val="0"/>
              <w:adjustRightInd w:val="0"/>
              <w:spacing w:before="0" w:after="0"/>
              <w:rPr>
                <w:sz w:val="22"/>
              </w:rPr>
            </w:pPr>
            <w:r w:rsidRPr="007E720F">
              <w:rPr>
                <w:sz w:val="22"/>
              </w:rPr>
              <w:t>Posodabljanje imenovanja komunikatork za programe AMIF, SNV in IUMV, pristojnih za sodelovanje z nacionalnim koordinatorjem za komuniciranje skladov EU in Evropsko komisijo v skladu z 48. členom Uredbe 2021/1060/EU.</w:t>
            </w:r>
          </w:p>
          <w:p w14:paraId="6214B951" w14:textId="77777777" w:rsidR="00DB6E51" w:rsidRPr="007E720F" w:rsidRDefault="00DB6E51" w:rsidP="001E3DE5">
            <w:pPr>
              <w:numPr>
                <w:ilvl w:val="0"/>
                <w:numId w:val="27"/>
              </w:numPr>
              <w:tabs>
                <w:tab w:val="left" w:pos="4252"/>
              </w:tabs>
              <w:spacing w:before="0" w:after="0" w:line="260" w:lineRule="exact"/>
              <w:rPr>
                <w:sz w:val="22"/>
              </w:rPr>
            </w:pPr>
            <w:r w:rsidRPr="007E720F">
              <w:rPr>
                <w:sz w:val="22"/>
              </w:rPr>
              <w:t xml:space="preserve">Udeležba na </w:t>
            </w:r>
            <w:hyperlink r:id="rId16" w:history="1">
              <w:r w:rsidRPr="007E720F">
                <w:rPr>
                  <w:sz w:val="22"/>
                </w:rPr>
                <w:t>6. plenarnem zasedanju INFORM-EU, Hannover, Nemčija, 27-29.5.2024, »Communicating achievements and results</w:t>
              </w:r>
            </w:hyperlink>
            <w:r w:rsidRPr="007E720F">
              <w:rPr>
                <w:sz w:val="22"/>
              </w:rPr>
              <w:t>«.</w:t>
            </w:r>
          </w:p>
          <w:p w14:paraId="501647FE" w14:textId="77777777" w:rsidR="00DB6E51" w:rsidRPr="007E720F" w:rsidRDefault="00DB6E51" w:rsidP="001E3DE5">
            <w:pPr>
              <w:numPr>
                <w:ilvl w:val="0"/>
                <w:numId w:val="27"/>
              </w:numPr>
              <w:tabs>
                <w:tab w:val="left" w:pos="4252"/>
              </w:tabs>
              <w:spacing w:before="0" w:after="0" w:line="260" w:lineRule="exact"/>
              <w:rPr>
                <w:sz w:val="22"/>
              </w:rPr>
            </w:pPr>
            <w:r w:rsidRPr="007E720F">
              <w:rPr>
                <w:sz w:val="22"/>
              </w:rPr>
              <w:t>Udeležba na 7. plenarnem zasedanju INFORM-SI, ki je potekal aprila 2024.</w:t>
            </w:r>
          </w:p>
          <w:p w14:paraId="01D4C6E0" w14:textId="77777777" w:rsidR="00DB6E51" w:rsidRPr="007E720F" w:rsidRDefault="00DB6E51" w:rsidP="001E3DE5">
            <w:pPr>
              <w:autoSpaceDE w:val="0"/>
              <w:autoSpaceDN w:val="0"/>
              <w:adjustRightInd w:val="0"/>
              <w:spacing w:before="0" w:after="0"/>
              <w:rPr>
                <w:sz w:val="22"/>
              </w:rPr>
            </w:pPr>
          </w:p>
          <w:p w14:paraId="5ADE2C8E" w14:textId="77777777" w:rsidR="00DB6E51" w:rsidRPr="007E720F" w:rsidRDefault="00DB6E51" w:rsidP="001E3DE5">
            <w:pPr>
              <w:autoSpaceDE w:val="0"/>
              <w:autoSpaceDN w:val="0"/>
              <w:adjustRightInd w:val="0"/>
              <w:spacing w:before="0" w:after="0"/>
              <w:rPr>
                <w:sz w:val="22"/>
              </w:rPr>
            </w:pPr>
            <w:r w:rsidRPr="007E720F">
              <w:rPr>
                <w:sz w:val="22"/>
              </w:rPr>
              <w:t>Odbor za spremljanje:</w:t>
            </w:r>
          </w:p>
          <w:p w14:paraId="186031BC" w14:textId="77777777" w:rsidR="00DB6E51" w:rsidRPr="007E720F" w:rsidRDefault="00DB6E51" w:rsidP="001E3DE5">
            <w:pPr>
              <w:numPr>
                <w:ilvl w:val="0"/>
                <w:numId w:val="27"/>
              </w:numPr>
              <w:tabs>
                <w:tab w:val="left" w:pos="4252"/>
              </w:tabs>
              <w:spacing w:before="0" w:after="0" w:line="260" w:lineRule="exact"/>
              <w:rPr>
                <w:sz w:val="22"/>
              </w:rPr>
            </w:pPr>
            <w:r w:rsidRPr="007E720F">
              <w:rPr>
                <w:sz w:val="22"/>
              </w:rPr>
              <w:t>Seznanitev Odbora za spremljanje o izvajanju strategije komuniciranja evropske politike na področju notranjih zadev v Republiki Sloveniji za programsko obdobje 2021-2027 ter ukrepov prepoznavnosti, preglednosti in komuniciranja.</w:t>
            </w:r>
          </w:p>
          <w:p w14:paraId="3D60C43A" w14:textId="77777777" w:rsidR="00DB6E51" w:rsidRPr="007E720F" w:rsidRDefault="00DB6E51" w:rsidP="001E3DE5">
            <w:pPr>
              <w:autoSpaceDE w:val="0"/>
              <w:autoSpaceDN w:val="0"/>
              <w:adjustRightInd w:val="0"/>
              <w:spacing w:before="0" w:after="0"/>
              <w:rPr>
                <w:b/>
                <w:sz w:val="22"/>
              </w:rPr>
            </w:pPr>
          </w:p>
          <w:p w14:paraId="4454B11F" w14:textId="77777777" w:rsidR="00DB6E51" w:rsidRPr="007E720F" w:rsidRDefault="00DB6E51" w:rsidP="001E3DE5">
            <w:pPr>
              <w:autoSpaceDE w:val="0"/>
              <w:autoSpaceDN w:val="0"/>
              <w:adjustRightInd w:val="0"/>
              <w:spacing w:before="0" w:after="0"/>
              <w:rPr>
                <w:sz w:val="22"/>
              </w:rPr>
            </w:pPr>
            <w:r w:rsidRPr="007E720F">
              <w:rPr>
                <w:sz w:val="22"/>
              </w:rPr>
              <w:t xml:space="preserve">Dogodki: </w:t>
            </w:r>
          </w:p>
          <w:p w14:paraId="001BDA1E" w14:textId="77777777" w:rsidR="00DB6E51" w:rsidRPr="007E720F" w:rsidRDefault="00DB6E51" w:rsidP="001E3DE5">
            <w:pPr>
              <w:pStyle w:val="Odstavekseznama"/>
              <w:numPr>
                <w:ilvl w:val="0"/>
                <w:numId w:val="27"/>
              </w:numPr>
              <w:tabs>
                <w:tab w:val="left" w:pos="4252"/>
              </w:tabs>
              <w:autoSpaceDE w:val="0"/>
              <w:autoSpaceDN w:val="0"/>
              <w:adjustRightInd w:val="0"/>
              <w:spacing w:before="0" w:after="0"/>
              <w:rPr>
                <w:bCs/>
                <w:sz w:val="22"/>
              </w:rPr>
            </w:pPr>
            <w:r w:rsidRPr="007E720F">
              <w:rPr>
                <w:bCs/>
                <w:sz w:val="22"/>
              </w:rPr>
              <w:t xml:space="preserve">V okviru promocijske akcije »EU projekt, moj projekt« je bilo na ravni Slovenije izbranih 20 projektov, (so)financiranih iz EU sredstev. Na ravni programov AMIF, SNV in IUMV so tekle priprave na predstavitev 3 projektov, sofinanciranih z EU sredstvi </w:t>
            </w:r>
            <w:r w:rsidRPr="007E720F">
              <w:rPr>
                <w:sz w:val="22"/>
              </w:rPr>
              <w:t>programov AMIF, SNV in IUMV</w:t>
            </w:r>
            <w:r w:rsidRPr="007E720F">
              <w:rPr>
                <w:bCs/>
                <w:sz w:val="22"/>
              </w:rPr>
              <w:t xml:space="preserve"> (organizacija dogodka, promocije preko tiskanih medijev, spletnih strani, družbenih omrežij, radijskih in tv oglasov):</w:t>
            </w:r>
          </w:p>
          <w:p w14:paraId="478B5AEF" w14:textId="77777777" w:rsidR="00DB6E51" w:rsidRPr="007E720F" w:rsidRDefault="00DB6E51" w:rsidP="001E3DE5">
            <w:pPr>
              <w:pStyle w:val="Odstavekseznama"/>
              <w:numPr>
                <w:ilvl w:val="1"/>
                <w:numId w:val="31"/>
              </w:numPr>
              <w:tabs>
                <w:tab w:val="left" w:pos="4252"/>
              </w:tabs>
              <w:autoSpaceDE w:val="0"/>
              <w:autoSpaceDN w:val="0"/>
              <w:adjustRightInd w:val="0"/>
              <w:spacing w:before="0" w:after="0"/>
              <w:rPr>
                <w:sz w:val="22"/>
              </w:rPr>
            </w:pPr>
            <w:r w:rsidRPr="007E720F">
              <w:rPr>
                <w:sz w:val="22"/>
              </w:rPr>
              <w:t>Okrepitev opreme nacionalnega forenzičnega laboratorija (ISF), 6. 11. 2024 v Ljubljani</w:t>
            </w:r>
          </w:p>
          <w:p w14:paraId="482C58D8" w14:textId="77777777" w:rsidR="00DB6E51" w:rsidRPr="007E720F" w:rsidRDefault="00DB6E51" w:rsidP="001E3DE5">
            <w:pPr>
              <w:pStyle w:val="Odstavekseznama"/>
              <w:numPr>
                <w:ilvl w:val="1"/>
                <w:numId w:val="31"/>
              </w:numPr>
              <w:tabs>
                <w:tab w:val="left" w:pos="4252"/>
              </w:tabs>
              <w:autoSpaceDE w:val="0"/>
              <w:autoSpaceDN w:val="0"/>
              <w:adjustRightInd w:val="0"/>
              <w:spacing w:before="0" w:after="0"/>
              <w:rPr>
                <w:sz w:val="22"/>
              </w:rPr>
            </w:pPr>
            <w:r w:rsidRPr="007E720F">
              <w:rPr>
                <w:sz w:val="22"/>
              </w:rPr>
              <w:t>Okrepitev opreme specialne enote policije (ISF), 15. 9. 2024 v Postojni</w:t>
            </w:r>
          </w:p>
          <w:p w14:paraId="68592C69" w14:textId="77777777" w:rsidR="00DB6E51" w:rsidRPr="007E720F" w:rsidRDefault="00DB6E51" w:rsidP="001E3DE5">
            <w:pPr>
              <w:pStyle w:val="Odstavekseznama"/>
              <w:numPr>
                <w:ilvl w:val="1"/>
                <w:numId w:val="31"/>
              </w:numPr>
              <w:tabs>
                <w:tab w:val="left" w:pos="4252"/>
              </w:tabs>
              <w:autoSpaceDE w:val="0"/>
              <w:autoSpaceDN w:val="0"/>
              <w:adjustRightInd w:val="0"/>
              <w:spacing w:before="0" w:after="0"/>
              <w:rPr>
                <w:sz w:val="22"/>
              </w:rPr>
            </w:pPr>
            <w:r w:rsidRPr="007E720F">
              <w:rPr>
                <w:sz w:val="22"/>
              </w:rPr>
              <w:t>Nastanitev in oskrba otrok brez spremstva (AMIF), 7. 9. 2024 v Postojni</w:t>
            </w:r>
          </w:p>
          <w:p w14:paraId="40099F19" w14:textId="77777777" w:rsidR="00DB6E51" w:rsidRPr="007E720F" w:rsidRDefault="00DB6E51" w:rsidP="001E3DE5">
            <w:pPr>
              <w:pStyle w:val="Odstavekseznama"/>
              <w:numPr>
                <w:ilvl w:val="0"/>
                <w:numId w:val="27"/>
              </w:numPr>
              <w:tabs>
                <w:tab w:val="left" w:pos="4252"/>
              </w:tabs>
              <w:autoSpaceDE w:val="0"/>
              <w:autoSpaceDN w:val="0"/>
              <w:adjustRightInd w:val="0"/>
              <w:spacing w:before="0" w:after="0"/>
              <w:rPr>
                <w:sz w:val="22"/>
              </w:rPr>
            </w:pPr>
            <w:r w:rsidRPr="007E720F">
              <w:rPr>
                <w:sz w:val="22"/>
              </w:rPr>
              <w:t xml:space="preserve">Za promocijo možnosti, ki jih ponujajo EU skladi, je potekalo šest Potujočih pisarn. V obdobju poročanja so potekale priprave, saj so bile kar v okviru treh predstavljene možnosti za financiranje iz </w:t>
            </w:r>
            <w:r w:rsidRPr="007E720F">
              <w:rPr>
                <w:bCs/>
                <w:sz w:val="22"/>
              </w:rPr>
              <w:t>programov AMIF, SNV in IUMV.</w:t>
            </w:r>
          </w:p>
          <w:p w14:paraId="4C294B96" w14:textId="77777777" w:rsidR="00DB6E51" w:rsidRPr="007E720F" w:rsidRDefault="00DB6E51" w:rsidP="001E3DE5">
            <w:pPr>
              <w:autoSpaceDE w:val="0"/>
              <w:autoSpaceDN w:val="0"/>
              <w:adjustRightInd w:val="0"/>
              <w:spacing w:before="0" w:after="0"/>
              <w:rPr>
                <w:sz w:val="22"/>
              </w:rPr>
            </w:pPr>
          </w:p>
          <w:p w14:paraId="67459A99" w14:textId="77777777" w:rsidR="00DB6E51" w:rsidRPr="007E720F" w:rsidRDefault="00DB6E51" w:rsidP="001E3DE5">
            <w:pPr>
              <w:autoSpaceDE w:val="0"/>
              <w:autoSpaceDN w:val="0"/>
              <w:adjustRightInd w:val="0"/>
              <w:spacing w:before="0" w:after="0"/>
              <w:rPr>
                <w:sz w:val="22"/>
              </w:rPr>
            </w:pPr>
            <w:r w:rsidRPr="007E720F">
              <w:rPr>
                <w:sz w:val="22"/>
              </w:rPr>
              <w:t>Spletna stran:</w:t>
            </w:r>
          </w:p>
          <w:p w14:paraId="7448C901" w14:textId="5B3A9F28" w:rsidR="00DB6E51" w:rsidRPr="007E720F" w:rsidRDefault="00DB6E51" w:rsidP="001E3DE5">
            <w:pPr>
              <w:pStyle w:val="Personnequisigne"/>
              <w:numPr>
                <w:ilvl w:val="0"/>
                <w:numId w:val="27"/>
              </w:numPr>
              <w:jc w:val="both"/>
              <w:rPr>
                <w:i w:val="0"/>
                <w:noProof/>
                <w:sz w:val="22"/>
              </w:rPr>
            </w:pPr>
            <w:r w:rsidRPr="007E720F">
              <w:rPr>
                <w:i w:val="0"/>
                <w:noProof/>
                <w:sz w:val="22"/>
              </w:rPr>
              <w:t>OU je v obdobju poročanja zagotovil, da so vsebine, ki jih je po Uredbi 2021/1060/EU potrebno objaviti, objavljene in redno posodabljane na enotnem spletnem portalu (www.evropskasredstva.si), ki ga je vzpostavilo Ministrstvo za kohezijo in regionalni razvoj (MKRR) in vključuje tudi vsebine v zvezi s skladi s področja notranjih zadev. Enotni spletni portal bo vključeval obveznosti iz točke (b) 46. člena ter iz prvega odstavka 49. člena Uredbe 2021/1060/EU.</w:t>
            </w:r>
          </w:p>
          <w:p w14:paraId="27541B02" w14:textId="77777777" w:rsidR="00DB6E51" w:rsidRPr="007E720F" w:rsidRDefault="00DB6E51" w:rsidP="001E3DE5">
            <w:pPr>
              <w:autoSpaceDE w:val="0"/>
              <w:autoSpaceDN w:val="0"/>
              <w:adjustRightInd w:val="0"/>
              <w:spacing w:before="0" w:after="0"/>
              <w:rPr>
                <w:sz w:val="22"/>
              </w:rPr>
            </w:pPr>
          </w:p>
          <w:p w14:paraId="609CE814" w14:textId="77777777" w:rsidR="00DB6E51" w:rsidRPr="007E720F" w:rsidRDefault="00DB6E51" w:rsidP="001E3DE5">
            <w:pPr>
              <w:autoSpaceDE w:val="0"/>
              <w:autoSpaceDN w:val="0"/>
              <w:adjustRightInd w:val="0"/>
              <w:spacing w:before="0" w:after="0"/>
              <w:rPr>
                <w:sz w:val="22"/>
              </w:rPr>
            </w:pPr>
            <w:r w:rsidRPr="007E720F">
              <w:rPr>
                <w:sz w:val="22"/>
              </w:rPr>
              <w:t>Socialna omrežja:</w:t>
            </w:r>
          </w:p>
          <w:p w14:paraId="7E80249F" w14:textId="77777777" w:rsidR="00DB6E51" w:rsidRPr="007E720F" w:rsidRDefault="00DB6E51" w:rsidP="001E3DE5">
            <w:pPr>
              <w:pStyle w:val="Odstavekseznama"/>
              <w:numPr>
                <w:ilvl w:val="0"/>
                <w:numId w:val="27"/>
              </w:numPr>
              <w:tabs>
                <w:tab w:val="left" w:pos="4252"/>
              </w:tabs>
              <w:autoSpaceDE w:val="0"/>
              <w:autoSpaceDN w:val="0"/>
              <w:adjustRightInd w:val="0"/>
              <w:spacing w:before="0" w:after="0"/>
              <w:rPr>
                <w:sz w:val="22"/>
              </w:rPr>
            </w:pPr>
            <w:r w:rsidRPr="007E720F">
              <w:rPr>
                <w:sz w:val="22"/>
              </w:rPr>
              <w:t>Splošne aktivnostih OU za prepoznavnost vsebin in operacij, (so)financiranih iz programov AMIF, SNV in IUMV so se izvajale na Intranetu MNZ in družbenih omrežjih MNZ FB, Policija FB, evropska sredstva FN, evropska sredstva Linkedin.</w:t>
            </w:r>
          </w:p>
          <w:p w14:paraId="1509F468" w14:textId="77777777" w:rsidR="00DB6E51" w:rsidRPr="007E720F" w:rsidRDefault="00DB6E51" w:rsidP="001E3DE5">
            <w:pPr>
              <w:pStyle w:val="Odstavekseznama"/>
              <w:numPr>
                <w:ilvl w:val="0"/>
                <w:numId w:val="27"/>
              </w:numPr>
              <w:tabs>
                <w:tab w:val="left" w:pos="4252"/>
              </w:tabs>
              <w:autoSpaceDE w:val="0"/>
              <w:autoSpaceDN w:val="0"/>
              <w:adjustRightInd w:val="0"/>
              <w:spacing w:before="0" w:after="0"/>
              <w:rPr>
                <w:sz w:val="22"/>
              </w:rPr>
            </w:pPr>
            <w:r w:rsidRPr="007E720F">
              <w:rPr>
                <w:sz w:val="22"/>
              </w:rPr>
              <w:t>Objava javnih razpisov v mesečniku Vizija kohezija, poleg objav na straneh upravičencev.</w:t>
            </w:r>
          </w:p>
          <w:p w14:paraId="39F1EB03" w14:textId="77777777" w:rsidR="00DB6E51" w:rsidRPr="007E720F" w:rsidRDefault="00DB6E51" w:rsidP="001E3DE5">
            <w:pPr>
              <w:pStyle w:val="Odstavekseznama"/>
              <w:numPr>
                <w:ilvl w:val="0"/>
                <w:numId w:val="27"/>
              </w:numPr>
              <w:tabs>
                <w:tab w:val="left" w:pos="4252"/>
              </w:tabs>
              <w:autoSpaceDE w:val="0"/>
              <w:autoSpaceDN w:val="0"/>
              <w:adjustRightInd w:val="0"/>
              <w:spacing w:before="0" w:after="0"/>
              <w:rPr>
                <w:sz w:val="22"/>
              </w:rPr>
            </w:pPr>
            <w:r w:rsidRPr="007E720F">
              <w:rPr>
                <w:sz w:val="22"/>
              </w:rPr>
              <w:t>Aktivnosti promocije operacij, (so)financiranih iz programov AMIF, SNV in IUMV na spletnih straneh in družbenih omrežjih upravičencev.</w:t>
            </w:r>
          </w:p>
          <w:p w14:paraId="10D19288" w14:textId="77777777" w:rsidR="00DB6E51" w:rsidRPr="007E720F" w:rsidRDefault="00DB6E51" w:rsidP="001E3DE5">
            <w:pPr>
              <w:pStyle w:val="Odstavekseznama"/>
              <w:numPr>
                <w:ilvl w:val="0"/>
                <w:numId w:val="27"/>
              </w:numPr>
              <w:tabs>
                <w:tab w:val="left" w:pos="4252"/>
              </w:tabs>
              <w:autoSpaceDE w:val="0"/>
              <w:autoSpaceDN w:val="0"/>
              <w:adjustRightInd w:val="0"/>
              <w:spacing w:before="0" w:after="0"/>
              <w:rPr>
                <w:sz w:val="22"/>
              </w:rPr>
            </w:pPr>
            <w:r w:rsidRPr="007E720F">
              <w:rPr>
                <w:sz w:val="22"/>
              </w:rPr>
              <w:t>Vzpostavitev in uporaba ključnikov #AMIF, #SNV, #ISF, #BMVI, #IUMV, #evropskasredstva, @evropskasredstva, EUSecurity, EUMigration.</w:t>
            </w:r>
          </w:p>
          <w:p w14:paraId="52EF26F9" w14:textId="77777777" w:rsidR="00DB6E51" w:rsidRPr="007E720F" w:rsidRDefault="00DB6E51" w:rsidP="001E3DE5">
            <w:pPr>
              <w:pStyle w:val="Odstavekseznama"/>
              <w:numPr>
                <w:ilvl w:val="0"/>
                <w:numId w:val="27"/>
              </w:numPr>
              <w:tabs>
                <w:tab w:val="left" w:pos="4252"/>
              </w:tabs>
              <w:autoSpaceDE w:val="0"/>
              <w:autoSpaceDN w:val="0"/>
              <w:adjustRightInd w:val="0"/>
              <w:spacing w:before="0" w:after="0"/>
              <w:rPr>
                <w:sz w:val="22"/>
              </w:rPr>
            </w:pPr>
            <w:r w:rsidRPr="007E720F">
              <w:rPr>
                <w:sz w:val="22"/>
              </w:rPr>
              <w:t>Dobre zgodbe projektov: posneti 3 videi in na družbenih omrežjih objavljen 1 video posnetek – operativni prikaz delovanja merilca CO2 na terenu.</w:t>
            </w:r>
          </w:p>
          <w:p w14:paraId="24D3B57F" w14:textId="77777777" w:rsidR="003F0966" w:rsidRPr="007E720F" w:rsidRDefault="003F0966" w:rsidP="001E3DE5">
            <w:pPr>
              <w:tabs>
                <w:tab w:val="left" w:pos="4252"/>
              </w:tabs>
              <w:autoSpaceDE w:val="0"/>
              <w:autoSpaceDN w:val="0"/>
              <w:adjustRightInd w:val="0"/>
              <w:spacing w:before="0" w:after="0"/>
              <w:rPr>
                <w:sz w:val="22"/>
                <w:highlight w:val="yellow"/>
              </w:rPr>
            </w:pPr>
          </w:p>
        </w:tc>
      </w:tr>
    </w:tbl>
    <w:p w14:paraId="700D64C3" w14:textId="77777777" w:rsidR="0087657F" w:rsidRPr="007E720F" w:rsidRDefault="00C71B80" w:rsidP="001E3DE5">
      <w:pPr>
        <w:pStyle w:val="Institutionquisigne"/>
        <w:spacing w:before="240" w:after="120"/>
        <w:rPr>
          <w:i w:val="0"/>
          <w:noProof/>
          <w:sz w:val="22"/>
        </w:rPr>
      </w:pPr>
      <w:r w:rsidRPr="007E720F">
        <w:rPr>
          <w:i w:val="0"/>
          <w:noProof/>
          <w:sz w:val="22"/>
        </w:rPr>
        <w:t>Navedite povezavo do spletnega portala iz člena 46, točka (b), Uredbe (EU) 2021/1060 in, če se razlikuje od spletnega portala, do spletne strani iz člena 49(1) navedene uredbe.</w:t>
      </w:r>
    </w:p>
    <w:tbl>
      <w:tblPr>
        <w:tblStyle w:val="Tabelamrea"/>
        <w:tblW w:w="0" w:type="auto"/>
        <w:tblLook w:val="04A0" w:firstRow="1" w:lastRow="0" w:firstColumn="1" w:lastColumn="0" w:noHBand="0" w:noVBand="1"/>
      </w:tblPr>
      <w:tblGrid>
        <w:gridCol w:w="9063"/>
      </w:tblGrid>
      <w:tr w:rsidR="007E720F" w:rsidRPr="007E720F" w14:paraId="3410B4C0" w14:textId="77777777" w:rsidTr="00E45665">
        <w:tc>
          <w:tcPr>
            <w:tcW w:w="9289" w:type="dxa"/>
          </w:tcPr>
          <w:p w14:paraId="4CDF7823" w14:textId="77777777" w:rsidR="0087657F" w:rsidRPr="007E720F" w:rsidRDefault="00D562DD" w:rsidP="001E3DE5">
            <w:pPr>
              <w:pStyle w:val="Personnequisigne"/>
              <w:jc w:val="both"/>
              <w:rPr>
                <w:i w:val="0"/>
                <w:noProof/>
                <w:sz w:val="22"/>
              </w:rPr>
            </w:pPr>
            <w:r w:rsidRPr="007E720F">
              <w:rPr>
                <w:i w:val="0"/>
                <w:noProof/>
                <w:sz w:val="22"/>
              </w:rPr>
              <w:t>https://evropskasredstva.si</w:t>
            </w:r>
          </w:p>
        </w:tc>
      </w:tr>
    </w:tbl>
    <w:p w14:paraId="7FF30203" w14:textId="77777777" w:rsidR="000133CF" w:rsidRPr="007E720F" w:rsidRDefault="00CF7D3B" w:rsidP="001E3DE5">
      <w:pPr>
        <w:pStyle w:val="ManualHeading1"/>
        <w:rPr>
          <w:noProof/>
          <w:sz w:val="22"/>
        </w:rPr>
      </w:pPr>
      <w:r w:rsidRPr="007E720F">
        <w:rPr>
          <w:sz w:val="22"/>
        </w:rPr>
        <w:t>5.</w:t>
      </w:r>
      <w:r w:rsidRPr="007E720F">
        <w:rPr>
          <w:sz w:val="22"/>
        </w:rPr>
        <w:tab/>
      </w:r>
      <w:r w:rsidR="0087657F" w:rsidRPr="007E720F">
        <w:rPr>
          <w:noProof/>
          <w:sz w:val="22"/>
        </w:rPr>
        <w:t xml:space="preserve">Omogočitveni pogoji in horizontalna načela </w:t>
      </w:r>
    </w:p>
    <w:p w14:paraId="28A12C3F" w14:textId="77777777" w:rsidR="0087657F" w:rsidRPr="007E720F" w:rsidRDefault="00CF7D3B" w:rsidP="001E3DE5">
      <w:pPr>
        <w:pStyle w:val="ManualHeading2"/>
        <w:rPr>
          <w:noProof/>
          <w:sz w:val="22"/>
        </w:rPr>
      </w:pPr>
      <w:r w:rsidRPr="007E720F">
        <w:rPr>
          <w:sz w:val="22"/>
        </w:rPr>
        <w:t>5.1.</w:t>
      </w:r>
      <w:r w:rsidRPr="007E720F">
        <w:rPr>
          <w:sz w:val="22"/>
        </w:rPr>
        <w:tab/>
      </w:r>
      <w:r w:rsidR="0087657F" w:rsidRPr="007E720F">
        <w:rPr>
          <w:noProof/>
          <w:sz w:val="22"/>
        </w:rPr>
        <w:t>Omogočitveni pogoji – člen 35(2), točka (f), Uredbe (EU) 2021/1147</w:t>
      </w:r>
    </w:p>
    <w:p w14:paraId="4A2B29CE" w14:textId="77777777" w:rsidR="0087657F" w:rsidRPr="007E720F" w:rsidRDefault="00053829" w:rsidP="001E3DE5">
      <w:pPr>
        <w:pStyle w:val="Titrearticle"/>
        <w:spacing w:before="240"/>
        <w:jc w:val="both"/>
        <w:rPr>
          <w:i w:val="0"/>
          <w:noProof/>
          <w:sz w:val="22"/>
        </w:rPr>
      </w:pPr>
      <w:r w:rsidRPr="007E720F">
        <w:rPr>
          <w:i w:val="0"/>
          <w:noProof/>
          <w:sz w:val="22"/>
        </w:rPr>
        <w:t xml:space="preserve">Opišite, kako je bilo zagotovljeno, da so bili veljavni omogočitveni pogoji iz Priloge III k Uredbi (EU) 2021/1060 izpolnjeni in so se uporabljali v celotnem obračunskem letu, zlasti kar zadeva skladnost z Listino Evropske unije o temeljnih pravicah. Če je ustrezno, opišite kakršno koli spremembo, ki je vplivala na način, kako so bili omogočitveni pogoji izpolnjeni, kot je določeno v členu 15(6) Uredbe (EU) 2021/1060. </w:t>
      </w:r>
    </w:p>
    <w:tbl>
      <w:tblPr>
        <w:tblStyle w:val="Tabelamrea"/>
        <w:tblW w:w="0" w:type="auto"/>
        <w:tblLook w:val="04A0" w:firstRow="1" w:lastRow="0" w:firstColumn="1" w:lastColumn="0" w:noHBand="0" w:noVBand="1"/>
      </w:tblPr>
      <w:tblGrid>
        <w:gridCol w:w="9063"/>
      </w:tblGrid>
      <w:tr w:rsidR="007E720F" w:rsidRPr="007E720F" w14:paraId="5FDE8F34" w14:textId="77777777" w:rsidTr="00E45665">
        <w:tc>
          <w:tcPr>
            <w:tcW w:w="9289" w:type="dxa"/>
          </w:tcPr>
          <w:p w14:paraId="62E38D3C" w14:textId="77777777" w:rsidR="00943200" w:rsidRPr="007E720F" w:rsidRDefault="00943200" w:rsidP="001E3DE5">
            <w:pPr>
              <w:spacing w:before="0" w:after="160" w:line="259" w:lineRule="auto"/>
              <w:rPr>
                <w:sz w:val="22"/>
              </w:rPr>
            </w:pPr>
            <w:r w:rsidRPr="007E720F">
              <w:rPr>
                <w:sz w:val="22"/>
              </w:rPr>
              <w:t>V obračunskem obdobju smo nadaljevali z izvajanjem aktivnosti, ki so bile usmerjene v vzpostavitev učinkovitega sistema za izpolnjevanje in uporabo omogočitvenih pogojev v nadaljnjih fazah izvajanja programa, in sicer:</w:t>
            </w:r>
          </w:p>
          <w:p w14:paraId="4EAE1522" w14:textId="77777777" w:rsidR="00943200" w:rsidRPr="007E720F" w:rsidRDefault="00943200" w:rsidP="001E3DE5">
            <w:pPr>
              <w:pStyle w:val="Odstavekseznama"/>
              <w:numPr>
                <w:ilvl w:val="0"/>
                <w:numId w:val="33"/>
              </w:numPr>
              <w:spacing w:before="0" w:after="160" w:line="259" w:lineRule="auto"/>
              <w:rPr>
                <w:sz w:val="22"/>
              </w:rPr>
            </w:pPr>
            <w:r w:rsidRPr="007E720F">
              <w:rPr>
                <w:sz w:val="22"/>
              </w:rPr>
              <w:t>Pripravili smo Postopkovnik za izvajanje Horizontalnih omogočitvenih pogojev. Postopkovnik smo predstavili upravičencem na skupni delavnici. Z vsebino postopkovnika smo na internem sestanku seznanili tudi zaposlene. Postopkovnik je zainteresirani javnosti dostopen tudi na podstraneh spletnega mesta evrospkasredstva.si, ki se nanašajo na programe skladov s področja notranjih zadev.</w:t>
            </w:r>
          </w:p>
          <w:p w14:paraId="076D8722" w14:textId="77777777" w:rsidR="00943200" w:rsidRPr="007E720F" w:rsidRDefault="00943200" w:rsidP="001E3DE5">
            <w:pPr>
              <w:pStyle w:val="Odstavekseznama"/>
              <w:numPr>
                <w:ilvl w:val="0"/>
                <w:numId w:val="33"/>
              </w:numPr>
              <w:spacing w:before="0" w:after="160" w:line="259" w:lineRule="auto"/>
              <w:rPr>
                <w:sz w:val="22"/>
              </w:rPr>
            </w:pPr>
            <w:r w:rsidRPr="007E720F">
              <w:rPr>
                <w:sz w:val="22"/>
              </w:rPr>
              <w:t>S sklepom ministra je bila imenovana oseba, ki je pristojna za področje horizontalnih omogočitvenih pogojev.</w:t>
            </w:r>
          </w:p>
          <w:p w14:paraId="0FE5C54C" w14:textId="77777777" w:rsidR="00943200" w:rsidRPr="007E720F" w:rsidRDefault="00943200" w:rsidP="001E3DE5">
            <w:pPr>
              <w:pStyle w:val="Odstavekseznama"/>
              <w:numPr>
                <w:ilvl w:val="0"/>
                <w:numId w:val="33"/>
              </w:numPr>
              <w:spacing w:before="0" w:after="160" w:line="259" w:lineRule="auto"/>
              <w:rPr>
                <w:sz w:val="22"/>
              </w:rPr>
            </w:pPr>
            <w:r w:rsidRPr="007E720F">
              <w:rPr>
                <w:sz w:val="22"/>
              </w:rPr>
              <w:t>Pravila upravičenosti za črpanje sredstev, Navodila za izvajanje upravljalnih preverjanj in besedilo vsakokratne odločitve o podpori, smo dopolnili z vsebinami, ki se nanašajo na horizontalne omogočitvene pogoje. Tako smo vzpostavili trdno pravno podlago, ki nam v primeru morebitnih kršitev s strani upravičencev, omogoča izvajanje korektivnih ukrepov in nudi ustrezno podlago za pravno varstvo.</w:t>
            </w:r>
          </w:p>
          <w:p w14:paraId="7CCEB2F2" w14:textId="44975F25" w:rsidR="00943200" w:rsidRPr="007E720F" w:rsidRDefault="00943200" w:rsidP="001E3DE5">
            <w:pPr>
              <w:pStyle w:val="Odstavekseznama"/>
              <w:numPr>
                <w:ilvl w:val="0"/>
                <w:numId w:val="33"/>
              </w:numPr>
              <w:spacing w:before="0" w:after="160" w:line="259" w:lineRule="auto"/>
              <w:rPr>
                <w:sz w:val="22"/>
              </w:rPr>
            </w:pPr>
            <w:r w:rsidRPr="007E720F">
              <w:rPr>
                <w:sz w:val="22"/>
              </w:rPr>
              <w:t>Pripravili smo obrazec za prijavo kršitev Listine EU o temeljnih pravicah in Konvencije o pravicah invalidov, ki je zainteresirani javnosti dostopen na podstraneh spletnega mesta evrospkasredstva.si, ki se nanašajo na programe skladov s področja notranjih zadev.</w:t>
            </w:r>
          </w:p>
          <w:p w14:paraId="20B3F2EA" w14:textId="77777777" w:rsidR="00943200" w:rsidRPr="007E720F" w:rsidRDefault="00943200" w:rsidP="001E3DE5">
            <w:pPr>
              <w:pStyle w:val="Odstavekseznama"/>
              <w:numPr>
                <w:ilvl w:val="0"/>
                <w:numId w:val="33"/>
              </w:numPr>
              <w:spacing w:before="0" w:after="160" w:line="259" w:lineRule="auto"/>
              <w:rPr>
                <w:sz w:val="22"/>
              </w:rPr>
            </w:pPr>
            <w:r w:rsidRPr="007E720F">
              <w:rPr>
                <w:sz w:val="22"/>
              </w:rPr>
              <w:t xml:space="preserve">Preverjanje skladnosti z Listino EU o temeljnih pravicah ter Konvencijo o pravicah invalidov, smo vključili v kontrolo prijave operacij ter kontrolo zahtevkov za povračilo/izplačilo. Tovrstna kontrola nam omogoča, da operacije, pri katerih obstajajo dejavniki tveganja še pred izvajanjem izločimo oz. jih vsebinsko ustrezno korigiramo (preventiva) ali da zaznamo in ustrezno korigiramo ravnanja upravičenca v fazi izvajanja operacije. Veseli nas, da indicev, ki bi kazali na morebitne kršitve Listine ali Konvencije, nismo zaznali. </w:t>
            </w:r>
          </w:p>
          <w:p w14:paraId="327ABE5F" w14:textId="77777777" w:rsidR="00943200" w:rsidRPr="007E720F" w:rsidRDefault="00943200" w:rsidP="001E3DE5">
            <w:pPr>
              <w:pStyle w:val="Odstavekseznama"/>
              <w:numPr>
                <w:ilvl w:val="0"/>
                <w:numId w:val="33"/>
              </w:numPr>
              <w:spacing w:before="0" w:after="160" w:line="259" w:lineRule="auto"/>
              <w:rPr>
                <w:sz w:val="22"/>
              </w:rPr>
            </w:pPr>
            <w:r w:rsidRPr="007E720F">
              <w:rPr>
                <w:sz w:val="22"/>
              </w:rPr>
              <w:t>Postali smo del posvetovalnega telesa ministrstva za integracijo načela enakosti spolov. To nam omogoča, da na področju enakosti spolov aktivno sodelujemo pri oblikovanju politik in izvajanju aktivnosti znotraj ministrstva in da imamo dostop do dodatnih izobraževalnih vsebin.</w:t>
            </w:r>
          </w:p>
          <w:p w14:paraId="3CDC05FD" w14:textId="29E6014E" w:rsidR="004B155D" w:rsidRPr="007E720F" w:rsidRDefault="00943200" w:rsidP="001E3DE5">
            <w:pPr>
              <w:autoSpaceDE w:val="0"/>
              <w:autoSpaceDN w:val="0"/>
              <w:adjustRightInd w:val="0"/>
              <w:spacing w:before="0"/>
              <w:rPr>
                <w:sz w:val="22"/>
              </w:rPr>
            </w:pPr>
            <w:r w:rsidRPr="007E720F">
              <w:rPr>
                <w:sz w:val="22"/>
              </w:rPr>
              <w:t>Na pisno zaprosilo enega od upravičencev smo oblikovali stališče glede zakonske podlage za zbiranje podatkov o nebinarnem spolu za potrebe poročanja o kazalnikih. Pri pripravi stališča smo se povezali tudi z uradom Zagovornika načela enakosti ter relevantnimi notranjimi organizacijskimi enotami.</w:t>
            </w:r>
          </w:p>
        </w:tc>
      </w:tr>
    </w:tbl>
    <w:p w14:paraId="7828A4FD" w14:textId="77777777" w:rsidR="0087657F" w:rsidRPr="007E720F" w:rsidRDefault="00CF7D3B" w:rsidP="001E3DE5">
      <w:pPr>
        <w:pStyle w:val="ManualHeading2"/>
        <w:rPr>
          <w:noProof/>
          <w:sz w:val="22"/>
        </w:rPr>
      </w:pPr>
      <w:r w:rsidRPr="007E720F">
        <w:rPr>
          <w:sz w:val="22"/>
        </w:rPr>
        <w:t>5.2.</w:t>
      </w:r>
      <w:r w:rsidRPr="007E720F">
        <w:rPr>
          <w:sz w:val="22"/>
        </w:rPr>
        <w:tab/>
      </w:r>
      <w:r w:rsidR="0001528B" w:rsidRPr="007E720F">
        <w:rPr>
          <w:noProof/>
          <w:sz w:val="22"/>
        </w:rPr>
        <w:t xml:space="preserve">Skladnost s horizontalnimi načeli – člen 9 Uredbe (EU) 2021/1060 </w:t>
      </w:r>
    </w:p>
    <w:p w14:paraId="4A4E7BB7" w14:textId="77777777" w:rsidR="0087657F" w:rsidRPr="007E720F" w:rsidRDefault="00C71B80" w:rsidP="001E3DE5">
      <w:pPr>
        <w:pStyle w:val="Titrearticle"/>
        <w:spacing w:before="240"/>
        <w:jc w:val="both"/>
        <w:rPr>
          <w:i w:val="0"/>
          <w:noProof/>
          <w:sz w:val="22"/>
        </w:rPr>
      </w:pPr>
      <w:r w:rsidRPr="007E720F">
        <w:rPr>
          <w:i w:val="0"/>
          <w:noProof/>
          <w:sz w:val="22"/>
        </w:rPr>
        <w:t>Opišite, kako je bila med obračunskim letom zagotovljena skladnost s horizontalnimi načeli iz uredbe o skupnih določbah, zlasti kar zadeva enakost spolov, spodbujanje vključevanja vidika spola ter preprečevanje diskriminacije na podlagi spola, rase ali narodnosti, vere ali prepričanja, invalidnosti, starosti ali spolne usmerjenosti.</w:t>
      </w:r>
    </w:p>
    <w:tbl>
      <w:tblPr>
        <w:tblStyle w:val="Tabelamrea"/>
        <w:tblW w:w="0" w:type="auto"/>
        <w:tblLook w:val="04A0" w:firstRow="1" w:lastRow="0" w:firstColumn="1" w:lastColumn="0" w:noHBand="0" w:noVBand="1"/>
      </w:tblPr>
      <w:tblGrid>
        <w:gridCol w:w="9063"/>
      </w:tblGrid>
      <w:tr w:rsidR="007E720F" w:rsidRPr="007E720F" w14:paraId="5B328A9A" w14:textId="77777777" w:rsidTr="00E45665">
        <w:tc>
          <w:tcPr>
            <w:tcW w:w="9289" w:type="dxa"/>
          </w:tcPr>
          <w:p w14:paraId="16404006" w14:textId="77777777" w:rsidR="00AB2D87" w:rsidRPr="007E720F" w:rsidRDefault="00AB2D87" w:rsidP="001E3DE5">
            <w:pPr>
              <w:spacing w:before="0" w:after="160" w:line="259" w:lineRule="auto"/>
              <w:rPr>
                <w:sz w:val="22"/>
              </w:rPr>
            </w:pPr>
            <w:r w:rsidRPr="007E720F">
              <w:rPr>
                <w:sz w:val="22"/>
              </w:rPr>
              <w:t>V obračunskem obdobju smo nadaljevali z izvajanjem aktivnosti, ki so bile usmerjene v vzpostavitev učinkovitega sistema za izpolnjevanje in uporabo omogočitvenih pogojev v nadaljnjih fazah izvajanja programa, in sicer:</w:t>
            </w:r>
          </w:p>
          <w:p w14:paraId="39E4DA55" w14:textId="77777777" w:rsidR="00AB2D87" w:rsidRPr="007E720F" w:rsidRDefault="00AB2D87" w:rsidP="001E3DE5">
            <w:pPr>
              <w:pStyle w:val="Odstavekseznama"/>
              <w:numPr>
                <w:ilvl w:val="0"/>
                <w:numId w:val="33"/>
              </w:numPr>
              <w:spacing w:before="0" w:after="160" w:line="259" w:lineRule="auto"/>
              <w:rPr>
                <w:sz w:val="22"/>
              </w:rPr>
            </w:pPr>
            <w:r w:rsidRPr="007E720F">
              <w:rPr>
                <w:sz w:val="22"/>
              </w:rPr>
              <w:t>Pripravili smo Postopkovnik za izvajanje Horizontalnih omogočitvenih pogojev. Postopkovnik smo predstavili upravičencem na skupni delavnici. Z vsebino postopkovnika smo na internem sestanku seznanili tudi zaposlene. Postopkovnik je zainteresirani javnosti dostopen tudi na podstraneh spletnega mesta evrospkasredstva.si, ki se nanašajo na programe skladov s področja notranjih zadev.</w:t>
            </w:r>
          </w:p>
          <w:p w14:paraId="1B98B28B" w14:textId="77777777" w:rsidR="00AB2D87" w:rsidRPr="007E720F" w:rsidRDefault="00AB2D87" w:rsidP="001E3DE5">
            <w:pPr>
              <w:pStyle w:val="Odstavekseznama"/>
              <w:numPr>
                <w:ilvl w:val="0"/>
                <w:numId w:val="33"/>
              </w:numPr>
              <w:spacing w:before="0" w:after="160" w:line="259" w:lineRule="auto"/>
              <w:rPr>
                <w:sz w:val="22"/>
              </w:rPr>
            </w:pPr>
            <w:r w:rsidRPr="007E720F">
              <w:rPr>
                <w:sz w:val="22"/>
              </w:rPr>
              <w:t>S sklepom ministra je bila imenovana oseba, ki je pristojna za področje horizontalnih omogočitvenih pogojev.</w:t>
            </w:r>
          </w:p>
          <w:p w14:paraId="4C0632CC" w14:textId="77777777" w:rsidR="00AB2D87" w:rsidRPr="007E720F" w:rsidRDefault="00AB2D87" w:rsidP="001E3DE5">
            <w:pPr>
              <w:pStyle w:val="Odstavekseznama"/>
              <w:numPr>
                <w:ilvl w:val="0"/>
                <w:numId w:val="33"/>
              </w:numPr>
              <w:spacing w:before="0" w:after="160" w:line="259" w:lineRule="auto"/>
              <w:rPr>
                <w:sz w:val="22"/>
              </w:rPr>
            </w:pPr>
            <w:r w:rsidRPr="007E720F">
              <w:rPr>
                <w:sz w:val="22"/>
              </w:rPr>
              <w:t>Pravila upravičenosti za črpanje sredstev, Navodila za izvajanje upravljalnih preverjanj in besedilo vsakokratne odločitve o podpori, smo dopolnili z vsebinami, ki se nanašajo na horizontalne omogočitvene pogoje. Tako smo vzpostavili trdno pravno podlago, ki nam v primeru morebitnih kršitev s strani upravičencev, omogoča izvajanje korektivnih ukrepov in nudi ustrezno podlago za pravno varstvo.</w:t>
            </w:r>
          </w:p>
          <w:p w14:paraId="24D78DB5" w14:textId="714EBF61" w:rsidR="00AB2D87" w:rsidRPr="007E720F" w:rsidRDefault="00AB2D87" w:rsidP="001E3DE5">
            <w:pPr>
              <w:pStyle w:val="Odstavekseznama"/>
              <w:numPr>
                <w:ilvl w:val="0"/>
                <w:numId w:val="33"/>
              </w:numPr>
              <w:spacing w:before="0" w:after="160" w:line="259" w:lineRule="auto"/>
              <w:rPr>
                <w:sz w:val="22"/>
              </w:rPr>
            </w:pPr>
            <w:r w:rsidRPr="007E720F">
              <w:rPr>
                <w:sz w:val="22"/>
              </w:rPr>
              <w:t>Pripravili smo obrazec za prijavo kršitev Listine EU o temeljnih pravicah in Konvencije o pravicah invalidov, ki je zainteresiran</w:t>
            </w:r>
            <w:r w:rsidR="007D7646">
              <w:rPr>
                <w:sz w:val="22"/>
              </w:rPr>
              <w:t>i javnosti dostopen na</w:t>
            </w:r>
            <w:r w:rsidRPr="007E720F">
              <w:rPr>
                <w:sz w:val="22"/>
              </w:rPr>
              <w:t xml:space="preserve"> podstraneh spletnega mesta evrospkasredstva.si, ki se nanašajo na programe skladov s področja notranjih zadev.</w:t>
            </w:r>
          </w:p>
          <w:p w14:paraId="7C642B2C" w14:textId="23033128" w:rsidR="00AB2D87" w:rsidRPr="007E720F" w:rsidRDefault="00AB2D87" w:rsidP="001E3DE5">
            <w:pPr>
              <w:pStyle w:val="Odstavekseznama"/>
              <w:numPr>
                <w:ilvl w:val="0"/>
                <w:numId w:val="33"/>
              </w:numPr>
              <w:spacing w:before="0" w:after="160" w:line="259" w:lineRule="auto"/>
              <w:rPr>
                <w:sz w:val="22"/>
              </w:rPr>
            </w:pPr>
            <w:r w:rsidRPr="007E720F">
              <w:rPr>
                <w:sz w:val="22"/>
              </w:rPr>
              <w:t xml:space="preserve">Preverjanje skladnosti z Listino EU o temeljnih pravicah ter Konvencijo o pravicah invalidov, smo vključili v kontrolo prijave operacij ter kontrolo zahtevkov za povračilo/izplačilo. Tovrstna kontrola nam omogoča, da operacije, pri katerih obstajajo dejavniki tveganja še pred izvajanjem izločimo oz. jih vsebinsko ustrezno korigiramo (preventiva) ali da zaznamo in ustrezno korigiramo ravnanja upravičenca v fazi izvajanja operacije. Veseli nas, da indicev, ki bi kazali na morebitne kršitve Listine ali Konvencije, nismo zaznali. </w:t>
            </w:r>
          </w:p>
          <w:p w14:paraId="7AE6677A" w14:textId="4A48890B" w:rsidR="00AB2D87" w:rsidRPr="007E720F" w:rsidRDefault="00AB2D87" w:rsidP="001E3DE5">
            <w:pPr>
              <w:pStyle w:val="Odstavekseznama"/>
              <w:numPr>
                <w:ilvl w:val="0"/>
                <w:numId w:val="33"/>
              </w:numPr>
              <w:spacing w:before="0" w:after="160" w:line="259" w:lineRule="auto"/>
              <w:rPr>
                <w:sz w:val="22"/>
              </w:rPr>
            </w:pPr>
            <w:r w:rsidRPr="007E720F">
              <w:rPr>
                <w:sz w:val="22"/>
              </w:rPr>
              <w:t>Postali smo del posvetovalnega telesa ministrstva za integracijo načela enakosti spolov. To nam omogoča, da na področju enakosti spolov aktivno sodelujemo pri oblikovanju politik in izvajanju aktivnosti znotraj ministrstva in da imamo dostop do dodatnih izobraževalnih vsebin.</w:t>
            </w:r>
          </w:p>
          <w:p w14:paraId="187853C6" w14:textId="1E77F45D" w:rsidR="004B155D" w:rsidRPr="007E720F" w:rsidRDefault="004B155D" w:rsidP="001E3DE5">
            <w:pPr>
              <w:autoSpaceDE w:val="0"/>
              <w:autoSpaceDN w:val="0"/>
              <w:adjustRightInd w:val="0"/>
              <w:spacing w:before="0"/>
              <w:rPr>
                <w:sz w:val="22"/>
              </w:rPr>
            </w:pPr>
            <w:r w:rsidRPr="007E720F">
              <w:rPr>
                <w:sz w:val="22"/>
              </w:rPr>
              <w:t>Na pisno zaprosilo enega od upravičencev smo oblikovali stališče glede zakonske podlage za zbiranje podatkov o nebinarnem spolu za potrebe poročanja o kazalnikih. Pri pripravi stališča smo se povezali tudi z uradom Zagovornika načela enakosti ter relevantnimi notranjimi organizacijskimi enotami.</w:t>
            </w:r>
          </w:p>
        </w:tc>
      </w:tr>
    </w:tbl>
    <w:p w14:paraId="3CFC0E36" w14:textId="77777777" w:rsidR="0087657F" w:rsidRPr="007E720F" w:rsidRDefault="00CF7D3B" w:rsidP="001E3DE5">
      <w:pPr>
        <w:pStyle w:val="ManualHeading1"/>
        <w:rPr>
          <w:noProof/>
          <w:sz w:val="22"/>
        </w:rPr>
      </w:pPr>
      <w:r w:rsidRPr="007E720F">
        <w:rPr>
          <w:sz w:val="22"/>
        </w:rPr>
        <w:t>6.</w:t>
      </w:r>
      <w:r w:rsidRPr="007E720F">
        <w:rPr>
          <w:sz w:val="22"/>
        </w:rPr>
        <w:tab/>
      </w:r>
      <w:r w:rsidR="0087657F" w:rsidRPr="007E720F">
        <w:rPr>
          <w:noProof/>
          <w:sz w:val="22"/>
        </w:rPr>
        <w:t>Projekti v tretjih državah ali v zvezi z njimi – člen 35(2), točka (i), Uredbe (EU) 2021/1147</w:t>
      </w:r>
    </w:p>
    <w:p w14:paraId="2CBA0669" w14:textId="77777777" w:rsidR="0087657F" w:rsidRPr="007E720F" w:rsidRDefault="00C71B80" w:rsidP="001E3DE5">
      <w:pPr>
        <w:pStyle w:val="Titrearticle"/>
        <w:spacing w:before="240"/>
        <w:jc w:val="both"/>
        <w:rPr>
          <w:i w:val="0"/>
          <w:noProof/>
          <w:sz w:val="22"/>
        </w:rPr>
      </w:pPr>
      <w:r w:rsidRPr="007E720F">
        <w:rPr>
          <w:i w:val="0"/>
          <w:noProof/>
          <w:sz w:val="22"/>
        </w:rPr>
        <w:t xml:space="preserve">Opišite vse ukrepe, ki se med obračunskim letom izvajajo v tretjih državah ali v zvezi z njimi, in kako ti ukrepi ustvarjajo dodano vrednost Unije pri doseganju ciljev, ki jih je določil Sklad. Navedite imena zadevnih tretjih držav. V opisu pojasnite, da ukrepi, ki so podprti v okviru Sklada, niso usmerjeni v razvoj, so namenjeni interesom notranjih politik Unije in so skladni z dejavnostmi, ki se izvajajo v Uniji. Če je ustrezno, navedite posvetovanja s Komisijo, ki so potekala pred odobritvijo projekta (člen 16(11) Uredbe (EU) 2021/1147). </w:t>
      </w:r>
    </w:p>
    <w:tbl>
      <w:tblPr>
        <w:tblStyle w:val="Tabelamrea"/>
        <w:tblW w:w="0" w:type="auto"/>
        <w:tblLook w:val="04A0" w:firstRow="1" w:lastRow="0" w:firstColumn="1" w:lastColumn="0" w:noHBand="0" w:noVBand="1"/>
      </w:tblPr>
      <w:tblGrid>
        <w:gridCol w:w="9063"/>
      </w:tblGrid>
      <w:tr w:rsidR="007E720F" w:rsidRPr="007E720F" w14:paraId="1CD6FE45" w14:textId="77777777" w:rsidTr="00E45665">
        <w:tc>
          <w:tcPr>
            <w:tcW w:w="9289" w:type="dxa"/>
          </w:tcPr>
          <w:p w14:paraId="7794A6FC" w14:textId="77777777" w:rsidR="0087657F" w:rsidRPr="007E720F" w:rsidRDefault="00CE6AFC" w:rsidP="001E3DE5">
            <w:pPr>
              <w:pStyle w:val="Personnequisigne"/>
              <w:jc w:val="both"/>
              <w:rPr>
                <w:i w:val="0"/>
                <w:noProof/>
                <w:sz w:val="22"/>
              </w:rPr>
            </w:pPr>
            <w:r w:rsidRPr="007E720F">
              <w:rPr>
                <w:i w:val="0"/>
                <w:noProof/>
                <w:sz w:val="22"/>
              </w:rPr>
              <w:t>Slovenija v tem obračunskem obdobju ni izvajala ukrepov ali operacij v tretjih državah ali v zvezi z njimi.</w:t>
            </w:r>
          </w:p>
        </w:tc>
      </w:tr>
    </w:tbl>
    <w:p w14:paraId="7EE5661E" w14:textId="77777777" w:rsidR="0087657F" w:rsidRPr="007E720F" w:rsidRDefault="00CF7D3B" w:rsidP="001E3DE5">
      <w:pPr>
        <w:pStyle w:val="ManualHeading1"/>
        <w:rPr>
          <w:noProof/>
          <w:sz w:val="22"/>
        </w:rPr>
      </w:pPr>
      <w:r w:rsidRPr="007E720F">
        <w:rPr>
          <w:sz w:val="22"/>
        </w:rPr>
        <w:t>7.</w:t>
      </w:r>
      <w:r w:rsidRPr="007E720F">
        <w:rPr>
          <w:sz w:val="22"/>
        </w:rPr>
        <w:tab/>
      </w:r>
      <w:r w:rsidR="0087657F" w:rsidRPr="007E720F">
        <w:rPr>
          <w:noProof/>
          <w:sz w:val="22"/>
        </w:rPr>
        <w:t>Povzetek – člen 35(2) Uredbe (EU) 2021/1147</w:t>
      </w:r>
    </w:p>
    <w:p w14:paraId="418B90EC" w14:textId="77777777" w:rsidR="0087657F" w:rsidRPr="007E720F" w:rsidRDefault="0087657F" w:rsidP="001E3DE5">
      <w:pPr>
        <w:pStyle w:val="Titrearticle"/>
        <w:spacing w:before="240"/>
        <w:jc w:val="both"/>
        <w:rPr>
          <w:i w:val="0"/>
          <w:noProof/>
          <w:sz w:val="22"/>
        </w:rPr>
      </w:pPr>
      <w:r w:rsidRPr="007E720F">
        <w:rPr>
          <w:i w:val="0"/>
          <w:noProof/>
          <w:sz w:val="22"/>
        </w:rPr>
        <w:t xml:space="preserve">Predložite povzetek oddelkov 1 do 6, ki bo preveden in javno dostopen. </w:t>
      </w:r>
    </w:p>
    <w:p w14:paraId="224389AC" w14:textId="77777777" w:rsidR="0087657F" w:rsidRPr="007E720F" w:rsidRDefault="0087657F" w:rsidP="001E3DE5">
      <w:pPr>
        <w:pStyle w:val="Titrearticle"/>
        <w:spacing w:before="240"/>
        <w:jc w:val="both"/>
        <w:rPr>
          <w:i w:val="0"/>
          <w:noProof/>
          <w:sz w:val="22"/>
        </w:rPr>
      </w:pPr>
      <w:r w:rsidRPr="007E720F">
        <w:rPr>
          <w:i w:val="0"/>
          <w:noProof/>
          <w:sz w:val="22"/>
        </w:rPr>
        <w:t xml:space="preserve">Povzetek mora zajemati vsaj vse točke iz člena 35(2) in bi moral biti po možnosti strukturiran po teh točkah. </w:t>
      </w:r>
    </w:p>
    <w:p w14:paraId="14056075" w14:textId="77777777" w:rsidR="0087657F" w:rsidRPr="007E720F" w:rsidRDefault="0087657F" w:rsidP="001E3DE5">
      <w:pPr>
        <w:pStyle w:val="Titrearticle"/>
        <w:spacing w:before="240"/>
        <w:jc w:val="both"/>
        <w:rPr>
          <w:i w:val="0"/>
          <w:noProof/>
          <w:sz w:val="22"/>
        </w:rPr>
      </w:pPr>
      <w:r w:rsidRPr="007E720F">
        <w:rPr>
          <w:i w:val="0"/>
          <w:noProof/>
          <w:sz w:val="22"/>
        </w:rPr>
        <w:t>Spodbuja se uporaba alinej, krepkega besedila ali informativnih razdelkov, da lahko zainteresirani deležniki zlahka prepoznajo glavne dosežke programa in glavna vprašanja, ki vplivajo na njegovo smotrnost.</w:t>
      </w:r>
    </w:p>
    <w:tbl>
      <w:tblPr>
        <w:tblStyle w:val="Tabelamrea"/>
        <w:tblW w:w="0" w:type="auto"/>
        <w:tblLook w:val="04A0" w:firstRow="1" w:lastRow="0" w:firstColumn="1" w:lastColumn="0" w:noHBand="0" w:noVBand="1"/>
      </w:tblPr>
      <w:tblGrid>
        <w:gridCol w:w="9063"/>
      </w:tblGrid>
      <w:tr w:rsidR="00DB4E88" w:rsidRPr="007E720F" w14:paraId="3E47FAB4" w14:textId="77777777" w:rsidTr="00701F91">
        <w:trPr>
          <w:trHeight w:val="543"/>
        </w:trPr>
        <w:tc>
          <w:tcPr>
            <w:tcW w:w="9289" w:type="dxa"/>
            <w:shd w:val="clear" w:color="auto" w:fill="auto"/>
          </w:tcPr>
          <w:p w14:paraId="3AD3D4C8" w14:textId="795B2062" w:rsidR="00025580" w:rsidRPr="007E720F" w:rsidRDefault="00701F91" w:rsidP="001E3DE5">
            <w:pPr>
              <w:pStyle w:val="Personnequisigne"/>
              <w:jc w:val="both"/>
              <w:rPr>
                <w:i w:val="0"/>
                <w:sz w:val="22"/>
              </w:rPr>
            </w:pPr>
            <w:r w:rsidRPr="007E720F">
              <w:rPr>
                <w:b/>
                <w:i w:val="0"/>
                <w:sz w:val="22"/>
              </w:rPr>
              <w:t>1. Smotrnost</w:t>
            </w:r>
            <w:r w:rsidRPr="007E720F">
              <w:rPr>
                <w:i w:val="0"/>
                <w:sz w:val="22"/>
              </w:rPr>
              <w:t xml:space="preserve">: </w:t>
            </w:r>
          </w:p>
          <w:p w14:paraId="60D69C76" w14:textId="77777777" w:rsidR="003C6F32" w:rsidRPr="007E720F" w:rsidRDefault="003C6F32" w:rsidP="003C6F32">
            <w:pPr>
              <w:pStyle w:val="Personnequisigne"/>
              <w:jc w:val="both"/>
              <w:rPr>
                <w:i w:val="0"/>
                <w:noProof/>
                <w:sz w:val="22"/>
              </w:rPr>
            </w:pPr>
            <w:r w:rsidRPr="007E720F">
              <w:rPr>
                <w:i w:val="0"/>
                <w:sz w:val="22"/>
              </w:rPr>
              <w:t xml:space="preserve">Slovenija je v obračunskem obdobju poročanja, t.j. od 1. 7. 2023 do 30. 6. 2024, </w:t>
            </w:r>
            <w:r w:rsidRPr="007E720F">
              <w:rPr>
                <w:i w:val="0"/>
                <w:noProof/>
                <w:sz w:val="22"/>
              </w:rPr>
              <w:t>izvajala aktivnosti vezano na program AMIF.</w:t>
            </w:r>
          </w:p>
          <w:p w14:paraId="243D5048" w14:textId="77777777" w:rsidR="003C6F32" w:rsidRPr="007E720F" w:rsidRDefault="003C6F32" w:rsidP="003C6F32">
            <w:pPr>
              <w:pStyle w:val="Personnequisigne"/>
              <w:jc w:val="both"/>
              <w:rPr>
                <w:i w:val="0"/>
                <w:sz w:val="22"/>
              </w:rPr>
            </w:pPr>
          </w:p>
          <w:p w14:paraId="5F3DA5D5" w14:textId="77777777" w:rsidR="003C6F32" w:rsidRPr="007E720F" w:rsidRDefault="003C6F32" w:rsidP="003C6F32">
            <w:pPr>
              <w:pStyle w:val="Personnequisigne"/>
              <w:jc w:val="both"/>
              <w:rPr>
                <w:i w:val="0"/>
                <w:sz w:val="22"/>
              </w:rPr>
            </w:pPr>
            <w:r w:rsidRPr="007E720F">
              <w:rPr>
                <w:i w:val="0"/>
                <w:sz w:val="22"/>
              </w:rPr>
              <w:t>OU je vzpostavil informacijski sistem MIGRA III, preko katerega poteka izmenjava informacij med OU in upravičenci, t.j. oddaja prijav operacij, poročanje o izvajanju operacij (zahtevki za povračilo). IT sistem se redno nadgrajuje, posodablja glede na potrebe uporabnikov ter se odpravlja morebitne napake.</w:t>
            </w:r>
          </w:p>
          <w:p w14:paraId="5B0FC7C0" w14:textId="77777777" w:rsidR="003C6F32" w:rsidRPr="007E720F" w:rsidRDefault="003C6F32" w:rsidP="003C6F32">
            <w:pPr>
              <w:pStyle w:val="Personnequisigne"/>
              <w:jc w:val="both"/>
              <w:rPr>
                <w:sz w:val="22"/>
              </w:rPr>
            </w:pPr>
          </w:p>
          <w:p w14:paraId="076EF5C2" w14:textId="77777777" w:rsidR="003C6F32" w:rsidRPr="007E720F" w:rsidRDefault="003C6F32" w:rsidP="003C6F32">
            <w:pPr>
              <w:pStyle w:val="Personnequisigne"/>
              <w:jc w:val="both"/>
              <w:rPr>
                <w:i w:val="0"/>
                <w:sz w:val="22"/>
              </w:rPr>
            </w:pPr>
            <w:r w:rsidRPr="007E720F">
              <w:rPr>
                <w:i w:val="0"/>
                <w:sz w:val="22"/>
              </w:rPr>
              <w:t xml:space="preserve">V tem obdobju je organ upravljanja (OU) v skladu z Akcijskim načrtom za program AMIF (Akcijski načrt AMIF) - ki predstavlja razdelitev/dodelitev vseh finančnih sredstev upravičenem in določa način dodelitve (javni razpis ali neposredna dodelitev) – nadaljeval z odobritvijo operacij. Izvajalo se je </w:t>
            </w:r>
            <w:r w:rsidRPr="007E720F">
              <w:rPr>
                <w:i w:val="0"/>
                <w:noProof/>
                <w:sz w:val="22"/>
              </w:rPr>
              <w:t>27 od načrtovanih 44 operacij (od tega 23 od 28 operacij neposredne dodelitve in 4 od 16 javnih razpisov).</w:t>
            </w:r>
          </w:p>
          <w:p w14:paraId="46D6C142" w14:textId="77777777" w:rsidR="003C6F32" w:rsidRPr="007E720F" w:rsidRDefault="003C6F32" w:rsidP="003C6F32">
            <w:pPr>
              <w:pStyle w:val="Personnequisigne"/>
              <w:jc w:val="both"/>
              <w:rPr>
                <w:b/>
                <w:i w:val="0"/>
                <w:sz w:val="22"/>
              </w:rPr>
            </w:pPr>
          </w:p>
          <w:p w14:paraId="37C0DA24" w14:textId="77777777" w:rsidR="003C6F32" w:rsidRPr="007E720F" w:rsidRDefault="003C6F32" w:rsidP="003C6F32">
            <w:pPr>
              <w:pStyle w:val="Personnequisigne"/>
              <w:jc w:val="both"/>
              <w:rPr>
                <w:i w:val="0"/>
                <w:sz w:val="22"/>
              </w:rPr>
            </w:pPr>
            <w:r w:rsidRPr="007E720F">
              <w:rPr>
                <w:i w:val="0"/>
                <w:sz w:val="22"/>
              </w:rPr>
              <w:t>V okviru</w:t>
            </w:r>
            <w:r w:rsidRPr="007E720F">
              <w:rPr>
                <w:b/>
                <w:i w:val="0"/>
                <w:sz w:val="22"/>
              </w:rPr>
              <w:t xml:space="preserve"> Specifičnega cilja 1 </w:t>
            </w:r>
            <w:r w:rsidRPr="007E720F">
              <w:rPr>
                <w:i w:val="0"/>
                <w:sz w:val="22"/>
              </w:rPr>
              <w:t>so se izvajale ali je bil odobren začetek izvajanja operacij (po izvedbenih ukrepih): Zdravstveni pregledi in materialna oskrba prosilcev; Usposabljanje zakonitih zastopnikov, študijski obiski in supervizija; Pravno svetovanje in druga podpora v postopkih mednarodne zaščite; Prevajanje in tolmačenje; Spremstva pri predaji/prevzemu tujcev; Usposabljanje javnih uslužbencev in drugih deležnikov v postopkih mednarodne zaščite; Opismenjevanje, učna pomoč in tečaji slovenskega jezika za prosilce; Psihiatrična in psihoterapevtska podpora ter finančna pomoč za prosilce; Preprečevanje trgovine z ljudmi, spolnega nasilja in podpora ženskam; Podpora v postopku priznanja mednarodne zaščite; Zagotovitev nastanitve in oskrbe mladoletnikov brez spremstva; Psihosocialna pomoč in prostočasne aktivnosti in mladoletnikov brez spremstva; Stroški vzdrževanja opreme, infrastrukture in stroški plač zaposlenih</w:t>
            </w:r>
            <w:r w:rsidRPr="007E720F">
              <w:rPr>
                <w:i w:val="0"/>
                <w:iCs/>
                <w:sz w:val="22"/>
              </w:rPr>
              <w:t xml:space="preserve">. </w:t>
            </w:r>
          </w:p>
          <w:p w14:paraId="7C7D76C2" w14:textId="77777777" w:rsidR="003C6F32" w:rsidRPr="007E720F" w:rsidRDefault="003C6F32" w:rsidP="003C6F32">
            <w:pPr>
              <w:pStyle w:val="Personnequisigne"/>
              <w:jc w:val="both"/>
              <w:rPr>
                <w:i w:val="0"/>
                <w:sz w:val="22"/>
                <w:u w:val="single"/>
              </w:rPr>
            </w:pPr>
          </w:p>
          <w:p w14:paraId="7441EEF4" w14:textId="77777777" w:rsidR="003C6F32" w:rsidRPr="007E720F" w:rsidRDefault="003C6F32" w:rsidP="003C6F32">
            <w:pPr>
              <w:pStyle w:val="Personnequisigne"/>
              <w:jc w:val="both"/>
              <w:rPr>
                <w:i w:val="0"/>
                <w:sz w:val="22"/>
              </w:rPr>
            </w:pPr>
            <w:r w:rsidRPr="007E720F">
              <w:rPr>
                <w:i w:val="0"/>
                <w:sz w:val="22"/>
                <w:u w:val="single"/>
              </w:rPr>
              <w:t>Izvedbeni ukrep 1a:</w:t>
            </w:r>
            <w:r w:rsidRPr="007E720F">
              <w:rPr>
                <w:i w:val="0"/>
                <w:sz w:val="22"/>
              </w:rPr>
              <w:t xml:space="preserve"> Vsi si vlagatelji namere za podajo prošnje za mednarodno zaščito (MZ) so bili ustrezno informirani o pravicah in dolžnostih ter pravilih bivanja v AD. Postopki MZ so potekali v jeziku, ki ga prosilec razume in v katerem lahko aktivno sodeluje. To velja tudi za postopke vračanja v državo izvora ali državo pristojno za obravnavo prošnje (t.i. dublinski postopki). Prosilcem je bila v postopkih pred sodišči zagotovljena brezplačna pravna pomoč oz. zastopanje. Mladoletni prosilci so imeli zagotovljene zakonite zastopnike, ki so izvajali vse vrste podpore tekom postopka MZ (vključno z zdravstvom, šolstvom, nastanitvijo, ipd.). Osebam v postopku po Uredbi 604/2013/EU in osebam v postopku vračanja je bilo v času predaje zagotovljeno ustrezno spremstvo. Aktivnosti na operaciji usposabljanje javnih uslužbencev in drugih deležnikov v postopkih mednarodne zaščite, se še niso začele izvajati. Aktivnosti se bodo sprožile v luči implementacije Pakta o migracijah in azilu.</w:t>
            </w:r>
          </w:p>
          <w:p w14:paraId="2078F7DC" w14:textId="77777777" w:rsidR="003C6F32" w:rsidRPr="007E720F" w:rsidRDefault="003C6F32" w:rsidP="003C6F32">
            <w:pPr>
              <w:pStyle w:val="Personnequisigne"/>
              <w:jc w:val="both"/>
              <w:rPr>
                <w:i w:val="0"/>
                <w:sz w:val="22"/>
                <w:u w:val="single"/>
              </w:rPr>
            </w:pPr>
          </w:p>
          <w:p w14:paraId="5BC97814" w14:textId="77777777" w:rsidR="003C6F32" w:rsidRPr="007E720F" w:rsidRDefault="003C6F32" w:rsidP="003C6F32">
            <w:pPr>
              <w:pStyle w:val="Personnequisigne"/>
              <w:jc w:val="both"/>
              <w:rPr>
                <w:i w:val="0"/>
                <w:sz w:val="22"/>
              </w:rPr>
            </w:pPr>
            <w:r w:rsidRPr="007E720F">
              <w:rPr>
                <w:i w:val="0"/>
                <w:sz w:val="22"/>
                <w:u w:val="single"/>
              </w:rPr>
              <w:t xml:space="preserve">Izvedbeni ukrep 1b: </w:t>
            </w:r>
            <w:r w:rsidRPr="007E720F">
              <w:rPr>
                <w:i w:val="0"/>
                <w:sz w:val="22"/>
              </w:rPr>
              <w:t>Redno so se izvajali zdravstveni pregledi vlagateljev namere (po potrebi tudi med vikendom in v večernih urah). Zagotovljeno je bilo izplačevanje žepnin, nagrad za opravljanje vzdrževalnih del. Prosilcem je bilo omogočeno tudi tolmačenje tekom zdravstvenih in psihosocialnih pregledov.</w:t>
            </w:r>
          </w:p>
          <w:p w14:paraId="5B108A34" w14:textId="77777777" w:rsidR="003C6F32" w:rsidRPr="007E720F" w:rsidRDefault="003C6F32" w:rsidP="003C6F32">
            <w:pPr>
              <w:pStyle w:val="Personnequisigne"/>
              <w:jc w:val="both"/>
              <w:rPr>
                <w:i w:val="0"/>
                <w:sz w:val="22"/>
              </w:rPr>
            </w:pPr>
          </w:p>
          <w:p w14:paraId="2492DF29" w14:textId="77777777" w:rsidR="003C6F32" w:rsidRPr="007E720F" w:rsidRDefault="003C6F32" w:rsidP="003C6F32">
            <w:pPr>
              <w:pStyle w:val="Personnequisigne"/>
              <w:jc w:val="both"/>
              <w:rPr>
                <w:i w:val="0"/>
                <w:sz w:val="22"/>
                <w:u w:val="single"/>
              </w:rPr>
            </w:pPr>
            <w:r w:rsidRPr="007E720F">
              <w:rPr>
                <w:i w:val="0"/>
                <w:sz w:val="22"/>
              </w:rPr>
              <w:t xml:space="preserve">V okviru </w:t>
            </w:r>
            <w:r w:rsidRPr="007E720F">
              <w:rPr>
                <w:b/>
                <w:i w:val="0"/>
                <w:sz w:val="22"/>
              </w:rPr>
              <w:t>Specifičnega cilja 2</w:t>
            </w:r>
            <w:r w:rsidRPr="007E720F">
              <w:rPr>
                <w:i w:val="0"/>
                <w:sz w:val="22"/>
              </w:rPr>
              <w:t xml:space="preserve"> so se izvajale ali je bil odobren začetek izvajanja operacij (po izvedbenih ukrepih): Tečaji in izpiti iz slovenskega jezika; Zagotavljanje denarnih nadomestil za nastanitev na zasebnem naslovu; Študijski obiski zaposlenih z namenom prenosa dobrih praks vključevanja in supervizija; Pomoč pri integraciji oseb z mednarodno zaščito; Stroški plač zaposlenih, vzdrževanja prostorov in opreme. </w:t>
            </w:r>
          </w:p>
          <w:p w14:paraId="3187DB72" w14:textId="77777777" w:rsidR="003C6F32" w:rsidRPr="007E720F" w:rsidRDefault="003C6F32" w:rsidP="003C6F32">
            <w:pPr>
              <w:pStyle w:val="Personnequisigne"/>
              <w:jc w:val="both"/>
              <w:rPr>
                <w:i w:val="0"/>
                <w:sz w:val="22"/>
                <w:u w:val="single"/>
              </w:rPr>
            </w:pPr>
          </w:p>
          <w:p w14:paraId="43FA7D0E" w14:textId="77777777" w:rsidR="003C6F32" w:rsidRPr="007E720F" w:rsidRDefault="003C6F32" w:rsidP="003C6F32">
            <w:pPr>
              <w:pStyle w:val="Personnequisigne"/>
              <w:jc w:val="both"/>
              <w:rPr>
                <w:i w:val="0"/>
                <w:sz w:val="22"/>
              </w:rPr>
            </w:pPr>
            <w:r w:rsidRPr="007E720F">
              <w:rPr>
                <w:i w:val="0"/>
                <w:sz w:val="22"/>
                <w:u w:val="single"/>
              </w:rPr>
              <w:t xml:space="preserve">Izvedbeni ukrep 2d: </w:t>
            </w:r>
            <w:r w:rsidRPr="007E720F">
              <w:rPr>
                <w:i w:val="0"/>
                <w:sz w:val="22"/>
              </w:rPr>
              <w:t xml:space="preserve">Na področju celotne Slovenije se je izvajal program Začetne integracije priseljencev (ZIP), ki predstavlja enega od najpomembnejših ukrepov vključevanja. ZIP je namenjen osebam z mednarodno in začasno zaščito ter državljanom tretjih držav. Po končanem programu je udeležencem omogočeno opravljanje izpita iz slovenskega jezika. Prav tako se izvajajo tečaji in izpiti iz slovenskega jezika za osebe z mednarodno zaščito. Osebe s statusom MZ so prejele denarno nadomestilo za zasebno namestitev, ustrezno informiranje v jeziku, ki ga razumejo ter tolmačenje v postopku združevanja z družino. Poleg tega so jim bili omogočeni tudi prevodi spričeval in dokazil o izobrazbi ter v primeru rednega šolanja tudi plačilo stroškov povezanih z šolanjem (npr. delovni zvezki, ekskurzije, udeležba na prireditvah).  </w:t>
            </w:r>
          </w:p>
          <w:p w14:paraId="438277B3" w14:textId="2F1F9F32" w:rsidR="003C6F32" w:rsidRPr="007E720F" w:rsidRDefault="003C6F32" w:rsidP="003C6F32">
            <w:pPr>
              <w:spacing w:after="160" w:line="259" w:lineRule="auto"/>
              <w:rPr>
                <w:sz w:val="22"/>
              </w:rPr>
            </w:pPr>
            <w:r w:rsidRPr="007E720F">
              <w:rPr>
                <w:sz w:val="22"/>
              </w:rPr>
              <w:t xml:space="preserve">V okviru </w:t>
            </w:r>
            <w:r w:rsidRPr="007E720F">
              <w:rPr>
                <w:b/>
                <w:sz w:val="22"/>
              </w:rPr>
              <w:t>Specifičnega cilja 3</w:t>
            </w:r>
            <w:r w:rsidRPr="007E720F">
              <w:rPr>
                <w:sz w:val="22"/>
              </w:rPr>
              <w:t xml:space="preserve"> so se izvajale ali je bil odobren začetek izvajanja operacij (po izvedbenih ukrepih): Tekoči stroški/osnovna oskrba; Zdravniška oskrba in psihosocialna oskrba; Nacionalna vračanja; Prevajalske storitve v času nastanitve in priprav za vračanje; Investicije v infrastrukturo; Recamas; Nacionalna vračanja; Pomoč pri prostovoljnem vračanju.</w:t>
            </w:r>
          </w:p>
          <w:p w14:paraId="7F36F2BA" w14:textId="77777777" w:rsidR="003C6F32" w:rsidRPr="007E720F" w:rsidRDefault="003C6F32" w:rsidP="003C6F32">
            <w:pPr>
              <w:spacing w:after="160" w:line="259" w:lineRule="auto"/>
              <w:rPr>
                <w:sz w:val="22"/>
                <w:u w:val="single"/>
              </w:rPr>
            </w:pPr>
            <w:r w:rsidRPr="007E720F">
              <w:rPr>
                <w:sz w:val="22"/>
                <w:u w:val="single"/>
              </w:rPr>
              <w:t xml:space="preserve">Izvedbeni ukrep 3a: </w:t>
            </w:r>
            <w:r w:rsidRPr="007E720F">
              <w:rPr>
                <w:sz w:val="22"/>
              </w:rPr>
              <w:t xml:space="preserve">Tujcem v Centru za tujce (CT) je bila zagotovljena oskrba skladna z zahtevanimi standardi in dobro prakso. S tem namenom so bili nabavljeni tudi novi telefonskimi aparati, higienske potrebščine in oprema za prostočasne aktivnosti. Vse to je pozitivno vplivalo na bivalne pogoje. Poleg stroškov oskrbe so bila zagotovljena tudi sredstva za tekoče stroške. </w:t>
            </w:r>
          </w:p>
          <w:p w14:paraId="0BA37A67" w14:textId="77777777" w:rsidR="003C6F32" w:rsidRPr="007E720F" w:rsidRDefault="003C6F32" w:rsidP="003C6F32">
            <w:pPr>
              <w:spacing w:after="160" w:line="259" w:lineRule="auto"/>
              <w:rPr>
                <w:sz w:val="22"/>
              </w:rPr>
            </w:pPr>
            <w:r w:rsidRPr="007E720F">
              <w:rPr>
                <w:sz w:val="22"/>
                <w:u w:val="single"/>
              </w:rPr>
              <w:t xml:space="preserve">Izvedbeni ukrep 3b: </w:t>
            </w:r>
            <w:r w:rsidRPr="007E720F">
              <w:rPr>
                <w:sz w:val="22"/>
              </w:rPr>
              <w:t>S sredstvi projekta so se izvajala vračanja po kopnem, v kolikor je bila odstranitev izvedena z letalom, je letalske karte zagotovil Frontex preko sistema (aplikacije) FAR. Tujcem v postopku vračanja je bila zagotovljena zdravstvena in psihosocialna oskrba. Po potrebi je bilo tujcem omogočeno tudi prevajanje (v obdobju poročanja ni bilo potrebe) in izdelava dokumentov za identifikacijo. Zaradi učinkovite izvedbe postopkov vračanja je bilo vzpostavljeno tako sodelovanje s konzularnimi predstavništvi tretjih držav kot tudi sodelovanje s Frontexom in EMN. Izvajala so se usposabljanja policistov na področjih migracij, človekovih pravic, pooblastil, ipd. Predstavnica CT se je udeležila tudi sestanka Schengenske skupine za evalvacijo.</w:t>
            </w:r>
          </w:p>
          <w:p w14:paraId="53980AF8" w14:textId="0573DDA3" w:rsidR="003C6F32" w:rsidRPr="007E720F" w:rsidRDefault="003C6F32" w:rsidP="003C6F32">
            <w:pPr>
              <w:spacing w:after="160" w:line="259" w:lineRule="auto"/>
              <w:rPr>
                <w:sz w:val="22"/>
                <w:u w:val="single"/>
              </w:rPr>
            </w:pPr>
            <w:r w:rsidRPr="007E720F">
              <w:rPr>
                <w:sz w:val="22"/>
                <w:u w:val="single"/>
              </w:rPr>
              <w:t xml:space="preserve">Izvedbeni ukrep 3c: </w:t>
            </w:r>
            <w:r w:rsidRPr="007E720F">
              <w:rPr>
                <w:sz w:val="22"/>
              </w:rPr>
              <w:t>Pomoč pri prostovoljnem vračanju: sredstva za izvajanje operacije so bila odobrena. V prvem četrtletju leta 2024 se je izvedla vrnitev ene družine (8 oseb) v državo izvora, na dan 15. 1. 2024. V letu 2025 načrtujemo povečano informiranost oseb o možnosti kritja stroškov za prostovoljno vračanje v izvorno državo in posledično pričakujemo večje zanimanje in povečano koriščenje sredstev iz te operacije.</w:t>
            </w:r>
          </w:p>
          <w:p w14:paraId="0AE9A09E" w14:textId="77777777" w:rsidR="003C6F32" w:rsidRPr="007E720F" w:rsidRDefault="003C6F32" w:rsidP="003C6F32">
            <w:pPr>
              <w:spacing w:before="0" w:after="160" w:line="259" w:lineRule="auto"/>
              <w:rPr>
                <w:sz w:val="22"/>
              </w:rPr>
            </w:pPr>
            <w:r w:rsidRPr="007E720F">
              <w:rPr>
                <w:sz w:val="22"/>
              </w:rPr>
              <w:t>Specifični cilj 4: Slovenija je vzpostavila svoje prednostne cilje in zakonski okvir s sprejetjem Zakona o mednarodni zaščiti in podzakonskih predpisov. Skladno s tem se bodo izvajali ukrepi 4a in 4b iz Priloge II. V letu 2021 smo izvedli premestitev 5 oseb iz Italije. Poleg tega je bilo v letu 2023 trajno preseljenih 23 oseb iz Turčije in v letu 2024 še 27 oseb (skupno 50 trajno preseljenih oseb).</w:t>
            </w:r>
          </w:p>
          <w:p w14:paraId="3FC37CAE" w14:textId="77777777" w:rsidR="003C6F32" w:rsidRPr="007E720F" w:rsidRDefault="003C6F32" w:rsidP="003C6F32">
            <w:pPr>
              <w:spacing w:after="160" w:line="259" w:lineRule="auto"/>
              <w:rPr>
                <w:sz w:val="22"/>
              </w:rPr>
            </w:pPr>
            <w:r w:rsidRPr="007E720F">
              <w:rPr>
                <w:sz w:val="22"/>
              </w:rPr>
              <w:t xml:space="preserve">Zaradi poznejše potrditve programa AMIF in posledično začetka izvajanja operacij pričakujemo, da bodo v nekaterih primerih zastavljeni cilji (2029) doseženi v nižjem obsegu oz. v drugih primerih v višjem obsegu. Razlog je, da so se nekatere aktivnosti izvedle z uporabo drugih virov financiranja ali pa se so se v tem času spremenile potrebe upravičenca. </w:t>
            </w:r>
          </w:p>
          <w:p w14:paraId="2432F2E0" w14:textId="77777777" w:rsidR="003C6F32" w:rsidRPr="007E720F" w:rsidRDefault="003C6F32" w:rsidP="003C6F32">
            <w:pPr>
              <w:spacing w:after="160" w:line="259" w:lineRule="auto"/>
              <w:rPr>
                <w:sz w:val="22"/>
              </w:rPr>
            </w:pPr>
            <w:r w:rsidRPr="007E720F">
              <w:rPr>
                <w:sz w:val="22"/>
              </w:rPr>
              <w:t>V splošnem velja, da med izvajanjem operacij prihaja do zamud, ker so upravičenci šele konec 2023 in v začetku 2024 pričeli z izvedbo nekaterih postopkov za izpeljavo javnih postopkov (dobava blaga in storitve ali zaposlitev oseb) in/ali s pripravo dokumentacije za pozive za javne razpise, zato bodo pogodbe podpisane šele konec 2024 ali v začetku 2025. Poleg tega pa se je do konca 2023 koristilo še neporabljena sredstva v okviru programa AMIF 14-20. Do zamud izvajanja nekaterih aktivnosti prihaja tudi, zaradi implementacije Pakta o migracijah in azilu.</w:t>
            </w:r>
          </w:p>
          <w:p w14:paraId="099B2CA0" w14:textId="599F5039" w:rsidR="00701F91" w:rsidRPr="007E720F" w:rsidRDefault="003C6F32" w:rsidP="003C6F32">
            <w:pPr>
              <w:spacing w:after="160" w:line="259" w:lineRule="auto"/>
              <w:rPr>
                <w:sz w:val="22"/>
              </w:rPr>
            </w:pPr>
            <w:r w:rsidRPr="007E720F">
              <w:rPr>
                <w:sz w:val="22"/>
              </w:rPr>
              <w:t xml:space="preserve">Slovenija v obračunskem obdobju, skladno z Akcijskim načrtom AMIF, načrtuje izvedbo treh operacij operativne podpore (dve operaciji iz SO1 in eno iz SO2). V tem obdobju je OU potrdil začetek izvajanja 2 operacij, tretja je v pripravi. Trenutna načrtovana višina operativne podpore je nižja od 15% skupnih sredstev, dodeljenih programu AMIF, zato ni tveganja, da bi bila do konca programskega obdobja presežena. </w:t>
            </w:r>
          </w:p>
          <w:p w14:paraId="03A08E82" w14:textId="0ADD1649" w:rsidR="00AB2D87" w:rsidRPr="007E720F" w:rsidRDefault="00701F91" w:rsidP="001E3DE5">
            <w:pPr>
              <w:pStyle w:val="Tiret0"/>
              <w:numPr>
                <w:ilvl w:val="0"/>
                <w:numId w:val="0"/>
              </w:numPr>
              <w:rPr>
                <w:sz w:val="22"/>
              </w:rPr>
            </w:pPr>
            <w:r w:rsidRPr="007E720F">
              <w:rPr>
                <w:b/>
                <w:noProof/>
                <w:sz w:val="22"/>
              </w:rPr>
              <w:t>2. Dopolnjevanja</w:t>
            </w:r>
            <w:r w:rsidR="005E523F" w:rsidRPr="007E720F">
              <w:rPr>
                <w:b/>
                <w:noProof/>
                <w:sz w:val="22"/>
              </w:rPr>
              <w:t>:</w:t>
            </w:r>
            <w:r w:rsidR="005E523F" w:rsidRPr="007E720F">
              <w:rPr>
                <w:noProof/>
                <w:sz w:val="22"/>
              </w:rPr>
              <w:t xml:space="preserve"> </w:t>
            </w:r>
            <w:r w:rsidR="00AB2D87" w:rsidRPr="007E720F">
              <w:rPr>
                <w:sz w:val="22"/>
              </w:rPr>
              <w:t xml:space="preserve">Slovenija je v obračunskem obdobju poročanja izvajala aktivnosti v zvezi z ukrepi programa AMIF, zato v nadaljevanju poročamo o aktivnostih v zvezi z zaznavo potencialnih dopolnjevanj in sinergije. Komplementarnost se preverja v fazi izbora operacije, vzpostavili bomo tudi preverjanje v fazi izvajanja operacije (upravljalnih preverjanj) ter na sistemski ravni. OU načrtuje tudi vzpostavitev sistema izmenjave podatkov na temo komplementarnosti tudi z drugimi organi upravljanja na državni ravni. Navezali smo stike s kontaktnimi točkami ter predstavniki mrež Evropske komisije v Sloveniji, kjer pričakujemo tudi uporabne informacije na temo komplementarnosti. </w:t>
            </w:r>
          </w:p>
          <w:p w14:paraId="326782CB" w14:textId="77777777" w:rsidR="0029067F" w:rsidRPr="007E720F" w:rsidRDefault="0029067F" w:rsidP="001E3DE5">
            <w:pPr>
              <w:pStyle w:val="Institutionquisigne"/>
              <w:spacing w:before="0"/>
              <w:rPr>
                <w:i w:val="0"/>
                <w:sz w:val="22"/>
              </w:rPr>
            </w:pPr>
            <w:r w:rsidRPr="007E720F">
              <w:rPr>
                <w:i w:val="0"/>
                <w:sz w:val="22"/>
              </w:rPr>
              <w:t xml:space="preserve">Operacije, ki se izvajajo, se dopolnjujejo kot sledi spodaj: </w:t>
            </w:r>
          </w:p>
          <w:p w14:paraId="48118188" w14:textId="77777777" w:rsidR="0029067F" w:rsidRPr="007E720F" w:rsidRDefault="0029067F" w:rsidP="001E3DE5">
            <w:pPr>
              <w:rPr>
                <w:noProof/>
                <w:sz w:val="22"/>
              </w:rPr>
            </w:pPr>
            <w:r w:rsidRPr="007E720F">
              <w:rPr>
                <w:noProof/>
                <w:sz w:val="22"/>
              </w:rPr>
              <w:t>UOIM trenutno črpa samo sredstva iz sklada AMIF, zato ne moremo poročati o komplementarnosti z drugimi EU skladi.</w:t>
            </w:r>
          </w:p>
          <w:p w14:paraId="62A32BCD" w14:textId="77777777" w:rsidR="0029067F" w:rsidRPr="007E720F" w:rsidRDefault="0029067F" w:rsidP="001E3DE5">
            <w:pPr>
              <w:rPr>
                <w:noProof/>
                <w:sz w:val="22"/>
              </w:rPr>
            </w:pPr>
            <w:r w:rsidRPr="007E720F">
              <w:rPr>
                <w:noProof/>
                <w:sz w:val="22"/>
              </w:rPr>
              <w:t>Sistem vračanja državljanov tretjih držav v državo izvora, ki jo izvaja Policija, Center za tujce, je komplementaren s platformo FAR (Frontex's Application for Return), ki je vzpostavljen za naročanje avionskih vozovnic z namenom vračanja in za organizacijo čarterskih letov v tretje države. V primerih naročanja avionskih vozovnic preko omenjene platforme so tudi vsi stroški kriti s strani Agencije Frontex in jih Policija, Center za tujce ne uveljavlja iz sklada AMIF.</w:t>
            </w:r>
          </w:p>
          <w:p w14:paraId="28D438CE" w14:textId="77777777" w:rsidR="0029067F" w:rsidRPr="007E720F" w:rsidRDefault="0029067F" w:rsidP="001E3DE5">
            <w:pPr>
              <w:rPr>
                <w:noProof/>
                <w:sz w:val="22"/>
              </w:rPr>
            </w:pPr>
            <w:r w:rsidRPr="007E720F">
              <w:rPr>
                <w:noProof/>
                <w:sz w:val="22"/>
              </w:rPr>
              <w:t xml:space="preserve">Policija, Center za tujce je tudi vključena v EURP (European Reintegration Program), ki je prav tako vzpostavljen v okviru Agencije Frontex in se nanaša na reintegracijo državljanov tretjih držav v državi izvora po vrnitvi, bodisi prostovoljni ali prisilni. Zaradi učinkovitost programa EURP, Policija ni vzpostavila nacionalnega reintegracijskega programa. </w:t>
            </w:r>
          </w:p>
          <w:p w14:paraId="05690DF3" w14:textId="141122E9" w:rsidR="0029067F" w:rsidRPr="007E720F" w:rsidRDefault="0029067F" w:rsidP="001E3DE5">
            <w:pPr>
              <w:pStyle w:val="Personnequisigne"/>
              <w:jc w:val="both"/>
              <w:rPr>
                <w:i w:val="0"/>
                <w:sz w:val="22"/>
              </w:rPr>
            </w:pPr>
            <w:r w:rsidRPr="007E720F">
              <w:rPr>
                <w:i w:val="0"/>
                <w:sz w:val="22"/>
              </w:rPr>
              <w:t xml:space="preserve">Komplementarnost operacij, ki jih izvaja Ministrstvo za notranje zadeve, Direktorat za migracije, z drugimi skladi ni neposredna, saj gre za specifične ciljne skupine. </w:t>
            </w:r>
          </w:p>
          <w:p w14:paraId="5AB119DD" w14:textId="77777777" w:rsidR="0029067F" w:rsidRPr="007E720F" w:rsidRDefault="0029067F" w:rsidP="001E3DE5">
            <w:pPr>
              <w:pStyle w:val="Personnequisigne"/>
              <w:jc w:val="both"/>
              <w:rPr>
                <w:b/>
                <w:i w:val="0"/>
                <w:noProof/>
                <w:sz w:val="22"/>
              </w:rPr>
            </w:pPr>
          </w:p>
          <w:p w14:paraId="25462B1E" w14:textId="00E134BE" w:rsidR="00701F91" w:rsidRPr="007E720F" w:rsidRDefault="00701F91" w:rsidP="001E3DE5">
            <w:pPr>
              <w:pStyle w:val="Personnequisigne"/>
              <w:jc w:val="both"/>
              <w:rPr>
                <w:i w:val="0"/>
                <w:noProof/>
                <w:sz w:val="22"/>
              </w:rPr>
            </w:pPr>
            <w:r w:rsidRPr="007E720F">
              <w:rPr>
                <w:b/>
                <w:i w:val="0"/>
                <w:noProof/>
                <w:sz w:val="22"/>
              </w:rPr>
              <w:t>3. Izvajanje pravnega reda Unije</w:t>
            </w:r>
            <w:r w:rsidRPr="007E720F">
              <w:rPr>
                <w:i w:val="0"/>
                <w:noProof/>
                <w:sz w:val="22"/>
              </w:rPr>
              <w:t xml:space="preserve">: </w:t>
            </w:r>
            <w:r w:rsidRPr="007E720F">
              <w:rPr>
                <w:i w:val="0"/>
                <w:sz w:val="22"/>
              </w:rPr>
              <w:t>Vse operacije</w:t>
            </w:r>
            <w:r w:rsidR="003328E5" w:rsidRPr="007E720F">
              <w:rPr>
                <w:i w:val="0"/>
                <w:sz w:val="22"/>
              </w:rPr>
              <w:t>,</w:t>
            </w:r>
            <w:r w:rsidRPr="007E720F">
              <w:rPr>
                <w:i w:val="0"/>
                <w:sz w:val="22"/>
              </w:rPr>
              <w:t xml:space="preserve"> katerih izvajanje je </w:t>
            </w:r>
            <w:r w:rsidRPr="007E720F">
              <w:rPr>
                <w:i w:val="0"/>
                <w:noProof/>
                <w:sz w:val="22"/>
              </w:rPr>
              <w:t xml:space="preserve">Slovenija v obračunskem obdobju poročanja potrdila, </w:t>
            </w:r>
            <w:r w:rsidRPr="007E720F">
              <w:rPr>
                <w:i w:val="0"/>
                <w:sz w:val="22"/>
              </w:rPr>
              <w:t>dosledno sledijo določilom Pogodbe o delovanju EU, Listine EU o temeljnih pravicah, Konvencije o statusu beguncev s Protokolom iz leta 1967 in Konvencije o otrokovih pravicah.</w:t>
            </w:r>
          </w:p>
          <w:p w14:paraId="5A93A51B" w14:textId="77777777" w:rsidR="007C614C" w:rsidRPr="007E720F" w:rsidRDefault="007C614C" w:rsidP="001E3DE5">
            <w:pPr>
              <w:tabs>
                <w:tab w:val="left" w:pos="4252"/>
              </w:tabs>
              <w:autoSpaceDE w:val="0"/>
              <w:autoSpaceDN w:val="0"/>
              <w:adjustRightInd w:val="0"/>
              <w:spacing w:after="0"/>
              <w:rPr>
                <w:sz w:val="22"/>
              </w:rPr>
            </w:pPr>
            <w:r w:rsidRPr="007E720F">
              <w:rPr>
                <w:sz w:val="22"/>
              </w:rPr>
              <w:t xml:space="preserve">V okviru </w:t>
            </w:r>
            <w:r w:rsidRPr="007E720F">
              <w:rPr>
                <w:b/>
                <w:bCs/>
                <w:sz w:val="22"/>
              </w:rPr>
              <w:t>Specifičnega cilja 1</w:t>
            </w:r>
            <w:r w:rsidRPr="007E720F">
              <w:rPr>
                <w:sz w:val="22"/>
              </w:rPr>
              <w:t xml:space="preserve"> so se izvajale operacije, ki implementirajo določbe nacionalnega prava: Zakona o mednarodni zaščiti (Uradni list RS, št. 16/17 in nadaljnje spremembe), Zakona o začasni zaščiti razseljenih oseb (Uradni list RS, št. 16/17), Zakona o tujcih (Uradni list RS, št. </w:t>
            </w:r>
            <w:hyperlink r:id="rId17" w:history="1">
              <w:r w:rsidRPr="007E720F">
                <w:rPr>
                  <w:sz w:val="22"/>
                </w:rPr>
                <w:t>91/21</w:t>
              </w:r>
            </w:hyperlink>
            <w:r w:rsidRPr="007E720F">
              <w:rPr>
                <w:sz w:val="22"/>
              </w:rPr>
              <w:t xml:space="preserve"> in nadaljnje spremembe), Zakona o stvarnem premoženju države in samoupravnih lokalnih skupnosti (Uradni list RS, št. 11/18 in nadaljnje spremembe); Uredbe o načinih in pogojih za zagotavljanje pravic prosilcem za mednarodno zaščito (Uradni list RS, št. 173/21); Uredbe o načinu zagotavljanja pravic osebam z začasno zaščito (Uradni list RS, št. </w:t>
            </w:r>
            <w:hyperlink r:id="rId18" w:history="1">
              <w:r w:rsidRPr="007E720F">
                <w:rPr>
                  <w:sz w:val="22"/>
                </w:rPr>
                <w:t>42/22</w:t>
              </w:r>
            </w:hyperlink>
            <w:r w:rsidRPr="007E720F">
              <w:rPr>
                <w:sz w:val="22"/>
              </w:rPr>
              <w:t xml:space="preserve"> in nadaljnje spremembe); Uredbe o načinu zagotavljanja ustrezne nastanitve, oskrbe in obravnave mladoletnikov brez spremstva (Uradni list RS, št. 106/23 in nadaljnje spremembe) in podrejene akte; ter določbe pravnega reda EU: Protokola za preprečevanje, zatiranje in kaznovanje trgovine z ljudmi, zlasti ženskami in otroki, ki dopolnjuje Konvencijo Združenih narodov proti mednarodnemu organiziranemu kriminalu; Konvencije Sveta Evrope o ukrepanju proti trgovini z ljudmi, Direktive 2011/95/EU, Direktiva 2001/55/ES, Direktive 2013/32/EU, Direktiva 2013/33/EU, Uredbe 604/2013/EU, Direktive 2024/1712/EU, Akcijski načrta EU za integracijo in vključevanje za obdobje 2021-2027, Strategija EU za boj proti trgovini z ljudmi (2021-2025).</w:t>
            </w:r>
          </w:p>
          <w:p w14:paraId="6D31ED20" w14:textId="77777777" w:rsidR="007C614C" w:rsidRPr="007E720F" w:rsidRDefault="007C614C" w:rsidP="001E3DE5">
            <w:pPr>
              <w:tabs>
                <w:tab w:val="left" w:pos="4252"/>
              </w:tabs>
              <w:autoSpaceDE w:val="0"/>
              <w:autoSpaceDN w:val="0"/>
              <w:adjustRightInd w:val="0"/>
              <w:spacing w:after="0"/>
              <w:rPr>
                <w:sz w:val="22"/>
              </w:rPr>
            </w:pPr>
            <w:r w:rsidRPr="007E720F">
              <w:rPr>
                <w:sz w:val="22"/>
              </w:rPr>
              <w:t xml:space="preserve">V okviru </w:t>
            </w:r>
            <w:r w:rsidRPr="007E720F">
              <w:rPr>
                <w:b/>
                <w:bCs/>
                <w:sz w:val="22"/>
              </w:rPr>
              <w:t>Specifičnega cilja 2</w:t>
            </w:r>
            <w:r w:rsidRPr="007E720F">
              <w:rPr>
                <w:sz w:val="22"/>
              </w:rPr>
              <w:t xml:space="preserve"> so se izvajale operacije, ki implementirajo določbe nacionalnega prava: Zakona o mednarodni zaščiti (Uradni list RS, št. 16/17 in nadaljnje spremembe), Zakona o začasni zaščiti razseljenih oseb (Uradni list RS, št. 16/17), Zakona o tujcih (Uradni list RS, št. </w:t>
            </w:r>
            <w:hyperlink r:id="rId19" w:history="1">
              <w:r w:rsidRPr="007E720F">
                <w:rPr>
                  <w:sz w:val="22"/>
                </w:rPr>
                <w:t>91/21</w:t>
              </w:r>
            </w:hyperlink>
            <w:r w:rsidRPr="007E720F">
              <w:rPr>
                <w:sz w:val="22"/>
              </w:rPr>
              <w:t xml:space="preserve"> in nadaljnje spremembe), Zakona o stvarnem premoženju države in samoupravnih lokalnih skupnosti (Uradni list RS, št. 11/18 in nadaljnje spremembe), Uredbe o zagotavljanju pomoči pri vključevanju tujcev, ki niso državljani EU (Uradni list RS, št. 27/2</w:t>
            </w:r>
            <w:hyperlink r:id="rId20" w:history="1">
              <w:r w:rsidRPr="007E720F">
                <w:rPr>
                  <w:sz w:val="22"/>
                </w:rPr>
                <w:t>4)</w:t>
              </w:r>
            </w:hyperlink>
            <w:r w:rsidRPr="007E720F">
              <w:rPr>
                <w:sz w:val="22"/>
              </w:rPr>
              <w:t xml:space="preserve"> in podrejene akte; ter določbe pravnega reda EU: Direktive 2001/55/ES, Direktive 2013/33/EU, Akcijskega načrta EU za integracijo in vključevanje za obdobje 2021-2027 in Skupna temeljna načela za politiko integracije priseljencev v EU.</w:t>
            </w:r>
          </w:p>
          <w:p w14:paraId="2F62C92E" w14:textId="77777777" w:rsidR="007C614C" w:rsidRPr="007E720F" w:rsidRDefault="007C614C" w:rsidP="001E3DE5">
            <w:pPr>
              <w:tabs>
                <w:tab w:val="left" w:pos="4252"/>
              </w:tabs>
              <w:autoSpaceDE w:val="0"/>
              <w:autoSpaceDN w:val="0"/>
              <w:adjustRightInd w:val="0"/>
              <w:spacing w:after="0"/>
              <w:rPr>
                <w:sz w:val="22"/>
              </w:rPr>
            </w:pPr>
            <w:r w:rsidRPr="007E720F">
              <w:rPr>
                <w:sz w:val="22"/>
              </w:rPr>
              <w:t xml:space="preserve">V okviru </w:t>
            </w:r>
            <w:r w:rsidRPr="007E720F">
              <w:rPr>
                <w:b/>
                <w:bCs/>
                <w:sz w:val="22"/>
              </w:rPr>
              <w:t>Specifičnega cilja 3</w:t>
            </w:r>
            <w:r w:rsidRPr="007E720F">
              <w:rPr>
                <w:sz w:val="22"/>
              </w:rPr>
              <w:t xml:space="preserve"> so se izvajale operacije, ki  implementirajo določbe nacionalnega prava: Zakona o tujcih (Uradni list RS, št. </w:t>
            </w:r>
            <w:hyperlink r:id="rId21" w:history="1">
              <w:r w:rsidRPr="007E720F">
                <w:rPr>
                  <w:sz w:val="22"/>
                </w:rPr>
                <w:t>91/21</w:t>
              </w:r>
            </w:hyperlink>
            <w:r w:rsidRPr="007E720F">
              <w:rPr>
                <w:sz w:val="22"/>
              </w:rPr>
              <w:t xml:space="preserve"> in nadaljnje spremembe); Zakona o nadzoru državne meje (Uradni list RS, št. 35/10); Zakona o nalogah in pooblastilih policije (Uradni list RS, št. 15/13 in nadaljnje spremembe); Zakona o stvarnem premoženju države in samoupravnih lokalnih skupnosti (Uradni list RS, št. 11/18 in nadaljnje spremembe); Pravilnika o bivanju v Centru za tujce in izdaji izkaznice o dovolitvi zadrževanja (Uradni list RS, št. 35/24) in podrejene akte; ter določbe pravnega reda EU: Uredbe 2016/399/EU, Direktive 2008/115/EU; Direktive 2013/33/EU; Akcijskega načrta EU o vračanju; Priporočilo Komisije z dne 2017/432/EU z dne 7. marca 2017; Priporočilo komisije 2017/2338/EU z dne 16. novembra 2017, s Priročnikom o vračanju; Priporočilo Komisije 2023/682/EU z dne 16. marca 2023.</w:t>
            </w:r>
          </w:p>
          <w:p w14:paraId="7BCCBA8E" w14:textId="77777777" w:rsidR="007C614C" w:rsidRPr="007E720F" w:rsidRDefault="007C614C" w:rsidP="001E3DE5">
            <w:pPr>
              <w:rPr>
                <w:sz w:val="22"/>
              </w:rPr>
            </w:pPr>
            <w:r w:rsidRPr="007E720F">
              <w:rPr>
                <w:sz w:val="22"/>
              </w:rPr>
              <w:t xml:space="preserve">V okviru </w:t>
            </w:r>
            <w:r w:rsidRPr="007E720F">
              <w:rPr>
                <w:b/>
                <w:bCs/>
                <w:sz w:val="22"/>
              </w:rPr>
              <w:t>Specifičnega cilja 4</w:t>
            </w:r>
            <w:r w:rsidRPr="007E720F">
              <w:rPr>
                <w:sz w:val="22"/>
              </w:rPr>
              <w:t xml:space="preserve"> smo, skladno z Odobritvenem dopisom EK Ref. Ares (2023)8726130 – 19/12/2023S in Ref. Ares (2023)2866217 - 24/04/2023, sredstva namenili izvedbi operacij Premestitev in Preselitev. Operaciji implementirata</w:t>
            </w:r>
            <w:r w:rsidRPr="007E720F">
              <w:rPr>
                <w:b/>
                <w:bCs/>
                <w:sz w:val="22"/>
              </w:rPr>
              <w:t xml:space="preserve"> </w:t>
            </w:r>
            <w:r w:rsidRPr="007E720F">
              <w:rPr>
                <w:sz w:val="22"/>
              </w:rPr>
              <w:t>načelo obvezne in prilagodljive solidarnosti iz Pakta o migracijah in azilu ter Evropsko agendo o migracijah. V slovenskem pravnem redu sta operaciji opredeljeni v Zakonu o mednarodni zaščiti (Uradni list RS, št. 16/17 in nadaljnje spremembe).</w:t>
            </w:r>
          </w:p>
          <w:p w14:paraId="1BA270A9" w14:textId="77777777" w:rsidR="00701F91" w:rsidRPr="007E720F" w:rsidRDefault="00701F91" w:rsidP="001E3DE5">
            <w:pPr>
              <w:pStyle w:val="Personnequisigne"/>
              <w:jc w:val="both"/>
              <w:rPr>
                <w:b/>
                <w:i w:val="0"/>
                <w:noProof/>
                <w:sz w:val="22"/>
              </w:rPr>
            </w:pPr>
          </w:p>
          <w:p w14:paraId="744A7981" w14:textId="77777777" w:rsidR="00A76004" w:rsidRPr="007E720F" w:rsidRDefault="00701F91" w:rsidP="001E3DE5">
            <w:pPr>
              <w:pStyle w:val="Personnequisigne"/>
              <w:jc w:val="both"/>
              <w:rPr>
                <w:i w:val="0"/>
                <w:sz w:val="22"/>
              </w:rPr>
            </w:pPr>
            <w:r w:rsidRPr="007E720F">
              <w:rPr>
                <w:b/>
                <w:i w:val="0"/>
                <w:noProof/>
                <w:sz w:val="22"/>
              </w:rPr>
              <w:t>4. Komuniciranje in prepoznavnost</w:t>
            </w:r>
            <w:r w:rsidRPr="007E720F">
              <w:rPr>
                <w:i w:val="0"/>
                <w:noProof/>
                <w:sz w:val="22"/>
              </w:rPr>
              <w:t xml:space="preserve">: </w:t>
            </w:r>
            <w:r w:rsidR="00A76004" w:rsidRPr="007E720F">
              <w:rPr>
                <w:i w:val="0"/>
                <w:noProof/>
                <w:sz w:val="22"/>
              </w:rPr>
              <w:t>Slovenija je v obračunskem obdobju poročanja n</w:t>
            </w:r>
            <w:r w:rsidR="00A76004" w:rsidRPr="007E720F">
              <w:rPr>
                <w:i w:val="0"/>
                <w:sz w:val="22"/>
              </w:rPr>
              <w:t>a področju prepoznavnosti, preglednosti in komuniciranja izvajala številne aktivnosti namenjene splošni, interni in zainteresirani javnosti za programe AMIF, SNV in IUMV.</w:t>
            </w:r>
          </w:p>
          <w:p w14:paraId="68243EE6" w14:textId="77777777" w:rsidR="00A76004" w:rsidRPr="007E720F" w:rsidRDefault="00A76004" w:rsidP="001E3DE5">
            <w:pPr>
              <w:pStyle w:val="Personnequisigne"/>
              <w:jc w:val="both"/>
              <w:rPr>
                <w:i w:val="0"/>
                <w:sz w:val="22"/>
              </w:rPr>
            </w:pPr>
          </w:p>
          <w:p w14:paraId="214876F1" w14:textId="77777777" w:rsidR="00AB2D87" w:rsidRPr="007E720F" w:rsidRDefault="00AB2D87" w:rsidP="001E3DE5">
            <w:pPr>
              <w:pStyle w:val="Personnequisigne"/>
              <w:jc w:val="both"/>
              <w:rPr>
                <w:i w:val="0"/>
                <w:sz w:val="22"/>
              </w:rPr>
            </w:pPr>
            <w:r w:rsidRPr="007E720F">
              <w:rPr>
                <w:i w:val="0"/>
                <w:sz w:val="22"/>
              </w:rPr>
              <w:t>Komunikacijske aktivnosti za interno javnost so potekale predvsem v okviru poročanja Odboru za spremljanje, INFORM-SI, INFORM-EU, delavnic za upravičence, operativnih sestankov ter preko Intraneta MNZ in Policije. Ostale aktivnosti so namenjene splošni in zainteresirani javnosti.</w:t>
            </w:r>
          </w:p>
          <w:p w14:paraId="7407D217" w14:textId="77777777" w:rsidR="00AB2D87" w:rsidRPr="007E720F" w:rsidRDefault="00AB2D87" w:rsidP="001E3DE5">
            <w:pPr>
              <w:pStyle w:val="Personnequisigne"/>
              <w:jc w:val="both"/>
              <w:rPr>
                <w:sz w:val="22"/>
              </w:rPr>
            </w:pPr>
          </w:p>
          <w:p w14:paraId="6B13B4B0" w14:textId="77777777" w:rsidR="00AB2D87" w:rsidRPr="007E720F" w:rsidRDefault="00AB2D87" w:rsidP="001E3DE5">
            <w:pPr>
              <w:autoSpaceDE w:val="0"/>
              <w:autoSpaceDN w:val="0"/>
              <w:adjustRightInd w:val="0"/>
              <w:spacing w:after="0"/>
              <w:rPr>
                <w:i/>
                <w:noProof/>
                <w:sz w:val="22"/>
              </w:rPr>
            </w:pPr>
            <w:r w:rsidRPr="007E720F">
              <w:rPr>
                <w:sz w:val="22"/>
              </w:rPr>
              <w:t xml:space="preserve">Posodobljena so bila Navodila za zagotavljanje prepoznavnosti, preglednosti in komuniciranja evropske politike na področju notranjih zadev v programskem obdobju 2021–2027. Nudena je bila podporo upravičencem za pravilno izvajanje aktivnosti na področju prepoznavnosti, preglednosti in komuniciranja, za kar je OU izvedel pet delavnic, kjer so </w:t>
            </w:r>
            <w:r w:rsidRPr="007E720F">
              <w:rPr>
                <w:bCs/>
                <w:sz w:val="22"/>
              </w:rPr>
              <w:t>bile predstavljene novosti, zahteve, primeri dobrih praks in uporaba »Online generatorja«.</w:t>
            </w:r>
          </w:p>
          <w:p w14:paraId="6E07B959" w14:textId="77777777" w:rsidR="00AB2D87" w:rsidRPr="007E720F" w:rsidRDefault="00AB2D87" w:rsidP="001E3DE5">
            <w:pPr>
              <w:autoSpaceDE w:val="0"/>
              <w:autoSpaceDN w:val="0"/>
              <w:adjustRightInd w:val="0"/>
              <w:spacing w:before="0" w:after="0"/>
              <w:rPr>
                <w:sz w:val="22"/>
              </w:rPr>
            </w:pPr>
          </w:p>
          <w:p w14:paraId="395E7D73" w14:textId="77777777" w:rsidR="00AB2D87" w:rsidRPr="007E720F" w:rsidRDefault="00AB2D87" w:rsidP="001E3DE5">
            <w:pPr>
              <w:autoSpaceDE w:val="0"/>
              <w:autoSpaceDN w:val="0"/>
              <w:adjustRightInd w:val="0"/>
              <w:spacing w:before="0" w:after="0"/>
              <w:rPr>
                <w:sz w:val="22"/>
              </w:rPr>
            </w:pPr>
            <w:r w:rsidRPr="007E720F">
              <w:rPr>
                <w:sz w:val="22"/>
              </w:rPr>
              <w:t>Potekalo je sodelovanje v okviru mreže INFORM EU in INFORM SI ter seznanitev Odbora za spremljanje o izvajanju strategije komuniciranja evropske politike na področju notranjih zadev v Republiki Sloveniji za programsko obdobje 2021-2027 ter ukrepov prepoznavnosti, preglednosti in komuniciranja.</w:t>
            </w:r>
          </w:p>
          <w:p w14:paraId="78FF70D4" w14:textId="77777777" w:rsidR="00AB2D87" w:rsidRPr="007E720F" w:rsidRDefault="00AB2D87" w:rsidP="001E3DE5">
            <w:pPr>
              <w:autoSpaceDE w:val="0"/>
              <w:autoSpaceDN w:val="0"/>
              <w:adjustRightInd w:val="0"/>
              <w:spacing w:before="0" w:after="0"/>
              <w:rPr>
                <w:b/>
                <w:sz w:val="22"/>
              </w:rPr>
            </w:pPr>
          </w:p>
          <w:p w14:paraId="7A985CDD" w14:textId="77777777" w:rsidR="00AB2D87" w:rsidRPr="007E720F" w:rsidRDefault="00AB2D87" w:rsidP="001E3DE5">
            <w:pPr>
              <w:tabs>
                <w:tab w:val="left" w:pos="4252"/>
              </w:tabs>
              <w:autoSpaceDE w:val="0"/>
              <w:autoSpaceDN w:val="0"/>
              <w:adjustRightInd w:val="0"/>
              <w:spacing w:before="0" w:after="0"/>
              <w:rPr>
                <w:sz w:val="22"/>
              </w:rPr>
            </w:pPr>
            <w:r w:rsidRPr="007E720F">
              <w:rPr>
                <w:bCs/>
                <w:sz w:val="22"/>
              </w:rPr>
              <w:t xml:space="preserve">V okviru promocijske akcije »EU projekt, moj projekt«, ki je na ravni Slovenije izbranih 20 projektov, (so)financiranih iz EU sredstev. Na ravni programov AMIF, SNV in IUMV so tekle priprave na predstavitev 3 projektov, sofinanciranih z EU sredstvi </w:t>
            </w:r>
            <w:r w:rsidRPr="007E720F">
              <w:rPr>
                <w:sz w:val="22"/>
              </w:rPr>
              <w:t>programov AMIF, SNV in IUMV</w:t>
            </w:r>
            <w:r w:rsidRPr="007E720F">
              <w:rPr>
                <w:bCs/>
                <w:sz w:val="22"/>
              </w:rPr>
              <w:t xml:space="preserve"> (organizacija dogodka, promocije preko tiskanih medijev, spletnih strani, družbenih omrežij, radijski in tv oglasov.</w:t>
            </w:r>
          </w:p>
          <w:p w14:paraId="422F8132" w14:textId="77777777" w:rsidR="00AB2D87" w:rsidRPr="007E720F" w:rsidRDefault="00AB2D87" w:rsidP="001E3DE5">
            <w:pPr>
              <w:pStyle w:val="Odstavekseznama"/>
              <w:tabs>
                <w:tab w:val="left" w:pos="4252"/>
              </w:tabs>
              <w:autoSpaceDE w:val="0"/>
              <w:autoSpaceDN w:val="0"/>
              <w:adjustRightInd w:val="0"/>
              <w:spacing w:before="0" w:after="0"/>
              <w:ind w:left="709" w:hanging="5"/>
              <w:rPr>
                <w:sz w:val="22"/>
              </w:rPr>
            </w:pPr>
          </w:p>
          <w:p w14:paraId="337C3F32" w14:textId="77777777" w:rsidR="00AB2D87" w:rsidRPr="007E720F" w:rsidRDefault="00AB2D87" w:rsidP="001E3DE5">
            <w:pPr>
              <w:tabs>
                <w:tab w:val="left" w:pos="4252"/>
              </w:tabs>
              <w:autoSpaceDE w:val="0"/>
              <w:autoSpaceDN w:val="0"/>
              <w:adjustRightInd w:val="0"/>
              <w:spacing w:before="0" w:after="0"/>
              <w:rPr>
                <w:sz w:val="22"/>
              </w:rPr>
            </w:pPr>
            <w:r w:rsidRPr="007E720F">
              <w:rPr>
                <w:sz w:val="22"/>
              </w:rPr>
              <w:t xml:space="preserve">Za promocijo možnosti, ki jih ponujajo EU skladi je potekalo šest Potujočih pisarn. V obdobju poročanja so potekale priprave, saj so bili kar v okviru treh predstavljene možnosti za (so)financiranje iz </w:t>
            </w:r>
            <w:r w:rsidRPr="007E720F">
              <w:rPr>
                <w:bCs/>
                <w:sz w:val="22"/>
              </w:rPr>
              <w:t>programov AMIF, SNV in IUMV.</w:t>
            </w:r>
          </w:p>
          <w:p w14:paraId="40912772" w14:textId="77777777" w:rsidR="00AB2D87" w:rsidRPr="007E720F" w:rsidRDefault="00AB2D87" w:rsidP="001E3DE5">
            <w:pPr>
              <w:autoSpaceDE w:val="0"/>
              <w:autoSpaceDN w:val="0"/>
              <w:adjustRightInd w:val="0"/>
              <w:spacing w:before="0" w:after="0"/>
              <w:rPr>
                <w:sz w:val="22"/>
              </w:rPr>
            </w:pPr>
          </w:p>
          <w:p w14:paraId="1BA328CB" w14:textId="77777777" w:rsidR="00AB2D87" w:rsidRPr="007E720F" w:rsidRDefault="00AB2D87" w:rsidP="001E3DE5">
            <w:pPr>
              <w:pStyle w:val="Personnequisigne"/>
              <w:jc w:val="both"/>
              <w:rPr>
                <w:i w:val="0"/>
                <w:noProof/>
                <w:sz w:val="22"/>
              </w:rPr>
            </w:pPr>
            <w:r w:rsidRPr="007E720F">
              <w:rPr>
                <w:i w:val="0"/>
                <w:noProof/>
                <w:sz w:val="22"/>
              </w:rPr>
              <w:t>OU je v obdobju poročanja zagotovil, da so vsebine, ki jih je po Uredbi 2021/1060/EU potrebno objaviti, objavljene in redno posodabljane na enotnem spletnem portalu (www.evropskasredstva.si), ki ga je vzpostavilo Ministrstvo za kohezijo in regionalni razvoj (MKRR) in vključuje tudi vsebine v zvezi s Skladom za azil, migracije in vključevanje. Enotni spletni portal bo vključeval obveznosti iz točke (b) 46. člena ter iz prvega odstavka 49. člena Uredbe 2021/1060/EU.</w:t>
            </w:r>
          </w:p>
          <w:p w14:paraId="5D60A832" w14:textId="77777777" w:rsidR="00AB2D87" w:rsidRPr="007E720F" w:rsidRDefault="00AB2D87" w:rsidP="001E3DE5">
            <w:pPr>
              <w:autoSpaceDE w:val="0"/>
              <w:autoSpaceDN w:val="0"/>
              <w:adjustRightInd w:val="0"/>
              <w:spacing w:before="0" w:after="0"/>
              <w:rPr>
                <w:sz w:val="22"/>
              </w:rPr>
            </w:pPr>
          </w:p>
          <w:p w14:paraId="602165B2" w14:textId="06D863F1" w:rsidR="00AB2D87" w:rsidRPr="007E720F" w:rsidRDefault="00AB2D87" w:rsidP="001E3DE5">
            <w:pPr>
              <w:tabs>
                <w:tab w:val="left" w:pos="4252"/>
              </w:tabs>
              <w:autoSpaceDE w:val="0"/>
              <w:autoSpaceDN w:val="0"/>
              <w:adjustRightInd w:val="0"/>
              <w:spacing w:before="0" w:after="0"/>
              <w:rPr>
                <w:sz w:val="22"/>
              </w:rPr>
            </w:pPr>
            <w:r w:rsidRPr="007E720F">
              <w:rPr>
                <w:sz w:val="22"/>
              </w:rPr>
              <w:t>Splošne aktivnostih za prepoznavnost vsebin in operacij, (so)financiranih iz programov AMIF, SNV in IUMV so se izvajale na družbenih omrežjih MNZ FB, P</w:t>
            </w:r>
            <w:r w:rsidR="00FF7363">
              <w:rPr>
                <w:sz w:val="22"/>
              </w:rPr>
              <w:t>olicija FB, evropska sredstva FB, evropska sredstva LinkedI</w:t>
            </w:r>
            <w:r w:rsidRPr="007E720F">
              <w:rPr>
                <w:sz w:val="22"/>
              </w:rPr>
              <w:t>n. Potekale so aktivnosti promocije operacij, (so)financiranih iz programov programov AMIF, SNV in IUMV na spletnih straneh in družbenih omrežjih upravičencev ter dogodkih posameznih upravičencev.</w:t>
            </w:r>
          </w:p>
          <w:p w14:paraId="4DD75C0A" w14:textId="77777777" w:rsidR="00701F91" w:rsidRPr="007E720F" w:rsidRDefault="00701F91" w:rsidP="001E3DE5">
            <w:pPr>
              <w:pStyle w:val="Personnequisigne"/>
              <w:jc w:val="both"/>
              <w:rPr>
                <w:b/>
                <w:i w:val="0"/>
                <w:noProof/>
                <w:sz w:val="22"/>
              </w:rPr>
            </w:pPr>
          </w:p>
          <w:p w14:paraId="59F2BE0D" w14:textId="4A43291F" w:rsidR="00701F91" w:rsidRPr="007E720F" w:rsidRDefault="00701F91" w:rsidP="001E3DE5">
            <w:pPr>
              <w:pStyle w:val="Personnequisigne"/>
              <w:jc w:val="both"/>
              <w:rPr>
                <w:i w:val="0"/>
                <w:noProof/>
                <w:sz w:val="22"/>
              </w:rPr>
            </w:pPr>
            <w:r w:rsidRPr="007E720F">
              <w:rPr>
                <w:b/>
                <w:i w:val="0"/>
                <w:noProof/>
                <w:sz w:val="22"/>
              </w:rPr>
              <w:t>5. Omogočitveni pogoji</w:t>
            </w:r>
            <w:r w:rsidRPr="007E720F">
              <w:rPr>
                <w:i w:val="0"/>
                <w:noProof/>
                <w:sz w:val="22"/>
              </w:rPr>
              <w:t xml:space="preserve">: </w:t>
            </w:r>
            <w:r w:rsidR="00A76004" w:rsidRPr="007E720F">
              <w:rPr>
                <w:i w:val="0"/>
                <w:noProof/>
                <w:sz w:val="22"/>
              </w:rPr>
              <w:t xml:space="preserve">Slovenija v </w:t>
            </w:r>
            <w:r w:rsidR="00A76004" w:rsidRPr="007E720F">
              <w:rPr>
                <w:i w:val="0"/>
                <w:sz w:val="22"/>
              </w:rPr>
              <w:t>luči učinkovite implementacije horizontalnih omogočitvenih pogojev »Dejanska uporaba in izvajanje Listine o temeljnih pravicah« ter »Izvajanje in uporaba Konvencije združenih narodov o pravicah invalidov v skladu s Sklepom Sveta 2010/48/ES« sledi zastavljenim aktivnostim v programu AMIF za izpolnjevanje in uporabo omogočitvenih pogojev v vseh fazah izvajanja programa.</w:t>
            </w:r>
            <w:r w:rsidRPr="007E720F">
              <w:rPr>
                <w:i w:val="0"/>
                <w:sz w:val="22"/>
              </w:rPr>
              <w:tab/>
            </w:r>
          </w:p>
          <w:p w14:paraId="5071F16E" w14:textId="77777777" w:rsidR="0087657F" w:rsidRPr="007E720F" w:rsidRDefault="00701F91" w:rsidP="001E3DE5">
            <w:pPr>
              <w:rPr>
                <w:sz w:val="22"/>
              </w:rPr>
            </w:pPr>
            <w:r w:rsidRPr="007E720F">
              <w:rPr>
                <w:b/>
                <w:noProof/>
                <w:sz w:val="22"/>
              </w:rPr>
              <w:t>6. Projekti v tretjih državah</w:t>
            </w:r>
            <w:r w:rsidRPr="007E720F">
              <w:rPr>
                <w:noProof/>
                <w:sz w:val="22"/>
              </w:rPr>
              <w:t>: Slovenija v tem obračunskem obdobju ni izvajala ukrepov ali operacij v tretjih državah ali v zvezi z njimi.</w:t>
            </w:r>
          </w:p>
        </w:tc>
      </w:tr>
    </w:tbl>
    <w:p w14:paraId="6A699AE3" w14:textId="77777777" w:rsidR="006A41E2" w:rsidRPr="007E720F" w:rsidRDefault="006A41E2" w:rsidP="001E3DE5">
      <w:pPr>
        <w:rPr>
          <w:noProof/>
          <w:sz w:val="22"/>
        </w:rPr>
      </w:pPr>
    </w:p>
    <w:p w14:paraId="7067EBF3" w14:textId="77777777" w:rsidR="00392F13" w:rsidRPr="007E720F" w:rsidRDefault="00392F13" w:rsidP="001E3DE5">
      <w:pPr>
        <w:rPr>
          <w:noProof/>
          <w:sz w:val="22"/>
        </w:rPr>
      </w:pPr>
    </w:p>
    <w:sectPr w:rsidR="00392F13" w:rsidRPr="007E720F" w:rsidSect="00AF2362">
      <w:footerReference w:type="default" r:id="rId22"/>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11209" w14:textId="77777777" w:rsidR="008876DE" w:rsidRDefault="008876DE" w:rsidP="00555224">
      <w:pPr>
        <w:spacing w:before="0" w:after="0"/>
      </w:pPr>
      <w:r>
        <w:separator/>
      </w:r>
    </w:p>
  </w:endnote>
  <w:endnote w:type="continuationSeparator" w:id="0">
    <w:p w14:paraId="2B292516" w14:textId="77777777" w:rsidR="008876DE" w:rsidRDefault="008876DE" w:rsidP="00555224">
      <w:pPr>
        <w:spacing w:before="0" w:after="0"/>
      </w:pPr>
      <w:r>
        <w:continuationSeparator/>
      </w:r>
    </w:p>
  </w:endnote>
  <w:endnote w:type="continuationNotice" w:id="1">
    <w:p w14:paraId="31869950" w14:textId="77777777" w:rsidR="008876DE" w:rsidRDefault="008876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4651" w14:textId="342D5CEC" w:rsidR="00AF2362" w:rsidRPr="00AF2362" w:rsidRDefault="00AF2362" w:rsidP="00AF2362">
    <w:pPr>
      <w:pStyle w:val="Noga"/>
      <w:rPr>
        <w:rFonts w:ascii="Arial" w:hAnsi="Arial" w:cs="Arial"/>
        <w:b/>
        <w:sz w:val="48"/>
      </w:rPr>
    </w:pPr>
    <w:r w:rsidRPr="00AF2362">
      <w:rPr>
        <w:rFonts w:ascii="Arial" w:hAnsi="Arial" w:cs="Arial"/>
        <w:b/>
        <w:sz w:val="48"/>
      </w:rPr>
      <w:t>SL</w:t>
    </w:r>
    <w:r w:rsidRPr="00AF2362">
      <w:rPr>
        <w:rFonts w:ascii="Arial" w:hAnsi="Arial" w:cs="Arial"/>
        <w:b/>
        <w:sz w:val="48"/>
      </w:rPr>
      <w:tab/>
    </w:r>
    <w:r>
      <w:fldChar w:fldCharType="begin"/>
    </w:r>
    <w:r>
      <w:instrText xml:space="preserve"> PAGE  \* MERGEFORMAT </w:instrText>
    </w:r>
    <w:r>
      <w:fldChar w:fldCharType="separate"/>
    </w:r>
    <w:r w:rsidR="00174FB3">
      <w:rPr>
        <w:noProof/>
      </w:rPr>
      <w:t>4</w:t>
    </w:r>
    <w:r>
      <w:fldChar w:fldCharType="end"/>
    </w:r>
    <w:r>
      <w:tab/>
    </w:r>
    <w:r w:rsidRPr="00AF2362">
      <w:tab/>
    </w:r>
    <w:r w:rsidRPr="00AF2362">
      <w:rPr>
        <w:rFonts w:ascii="Arial" w:hAnsi="Arial" w:cs="Arial"/>
        <w:b/>
        <w:sz w:val="48"/>
      </w:rPr>
      <w:t>SL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B2A4B" w14:textId="77777777" w:rsidR="008876DE" w:rsidRDefault="008876DE" w:rsidP="00555224">
      <w:pPr>
        <w:spacing w:before="0" w:after="0"/>
      </w:pPr>
      <w:r>
        <w:separator/>
      </w:r>
    </w:p>
  </w:footnote>
  <w:footnote w:type="continuationSeparator" w:id="0">
    <w:p w14:paraId="76324F5F" w14:textId="77777777" w:rsidR="008876DE" w:rsidRDefault="008876DE" w:rsidP="00555224">
      <w:pPr>
        <w:spacing w:before="0" w:after="0"/>
      </w:pPr>
      <w:r>
        <w:continuationSeparator/>
      </w:r>
    </w:p>
  </w:footnote>
  <w:footnote w:type="continuationNotice" w:id="1">
    <w:p w14:paraId="60D69C17" w14:textId="77777777" w:rsidR="008876DE" w:rsidRDefault="008876DE">
      <w:pPr>
        <w:spacing w:before="0" w:after="0"/>
      </w:pPr>
    </w:p>
  </w:footnote>
  <w:footnote w:id="2">
    <w:p w14:paraId="18504BB1" w14:textId="77777777" w:rsidR="00620009" w:rsidRPr="00515026" w:rsidRDefault="00620009">
      <w:pPr>
        <w:pStyle w:val="Sprotnaopomba-besedilo"/>
      </w:pPr>
      <w:r>
        <w:rPr>
          <w:rStyle w:val="Sprotnaopomba-sklic"/>
        </w:rPr>
        <w:footnoteRef/>
      </w:r>
      <w:r>
        <w:tab/>
      </w:r>
      <w:r>
        <w:rPr>
          <w:sz w:val="18"/>
        </w:rPr>
        <w:t>To se nanaša na stanje, v katerem obstaja vrzel med nominalno stopnjo doseganja ciljev, merjeno s kazalniki, in dejanskim napredkom pri izvajanju. Do nezadostnega poročanja o učinku in rezultatih bi lahko prišlo na primer zaradi težav v zvezi z razvojem sistema IT, tekočih operacij, za katere učinek in rezultati še niso sporočeni, težav v zvezi z zbiranjem podatkov, ki povzročajo počasno ali nepopolno poročanje, itd.</w:t>
      </w:r>
    </w:p>
  </w:footnote>
  <w:footnote w:id="3">
    <w:p w14:paraId="5B748B6F" w14:textId="77777777" w:rsidR="00620009" w:rsidRPr="00515026" w:rsidRDefault="00620009">
      <w:pPr>
        <w:pStyle w:val="Sprotnaopomba-besedilo"/>
      </w:pPr>
      <w:r>
        <w:rPr>
          <w:rStyle w:val="Sprotnaopomba-sklic"/>
        </w:rPr>
        <w:footnoteRef/>
      </w:r>
      <w:r>
        <w:tab/>
      </w:r>
      <w:r>
        <w:rPr>
          <w:sz w:val="18"/>
        </w:rPr>
        <w:t>To se nanaša na stanje, v katerem nizka stopnja doseganja ciljev ni posledica počasnega napredka, temveč nepravilnega ali nerealističnega določanja ciljev. Vključuje lahko izkušnje, pridobljene v zvezi z določitvijo metodologije za določanje ciljev – kot so napačne ali nepopolne predpostavke ali težave z izbranimi referenčnimi vrednostmi – in vsemi načrtovanimi spremembami te metodologije.</w:t>
      </w:r>
    </w:p>
  </w:footnote>
  <w:footnote w:id="4">
    <w:p w14:paraId="2115FBC4" w14:textId="77777777" w:rsidR="00620009" w:rsidRPr="00515026" w:rsidRDefault="00620009">
      <w:pPr>
        <w:pStyle w:val="Sprotnaopomba-besedilo"/>
      </w:pPr>
      <w:r>
        <w:rPr>
          <w:rStyle w:val="Sprotnaopomba-sklic"/>
        </w:rPr>
        <w:footnoteRef/>
      </w:r>
      <w:r>
        <w:tab/>
      </w:r>
      <w:r>
        <w:rPr>
          <w:sz w:val="18"/>
        </w:rPr>
        <w:t>Na primer vprašanja v zvezi z razpisnimi postopki, vprašanja v zvezi z revizijskimi postopki, vprašanja, povezana s pomanjkanjem sredstev na ravni organa upravljanja, nepredvidena zamuda pri sprejetju programa itd.</w:t>
      </w:r>
    </w:p>
  </w:footnote>
  <w:footnote w:id="5">
    <w:p w14:paraId="63684AE5" w14:textId="77777777" w:rsidR="00620009" w:rsidRPr="00515026" w:rsidRDefault="00620009">
      <w:pPr>
        <w:pStyle w:val="Sprotnaopomba-besedilo"/>
      </w:pPr>
      <w:r>
        <w:rPr>
          <w:rStyle w:val="Sprotnaopomba-sklic"/>
        </w:rPr>
        <w:footnoteRef/>
      </w:r>
      <w:r>
        <w:tab/>
      </w:r>
      <w:r>
        <w:rPr>
          <w:sz w:val="18"/>
        </w:rPr>
        <w:t>To lahko na primer vključuje socialno-ekonomske ali politične dejavnike, spremembe regulativnega okvira itd.</w:t>
      </w:r>
    </w:p>
  </w:footnote>
  <w:footnote w:id="6">
    <w:p w14:paraId="330E11FA" w14:textId="77777777" w:rsidR="00620009" w:rsidRPr="00515026" w:rsidRDefault="00620009">
      <w:pPr>
        <w:pStyle w:val="Sprotnaopomba-besedilo"/>
      </w:pPr>
      <w:r>
        <w:rPr>
          <w:rStyle w:val="Sprotnaopomba-sklic"/>
        </w:rPr>
        <w:footnoteRef/>
      </w:r>
      <w:r>
        <w:tab/>
      </w:r>
      <w:r>
        <w:rPr>
          <w:sz w:val="18"/>
        </w:rPr>
        <w:t xml:space="preserve">Na primer težave v zvezi s področjem uporabe ukrepa (npr. merila za upravičenost), majhno zanimanje upravičencev ali udeležencev, kakršno koli odstopanje pri izvajanju ukrepa itd. </w:t>
      </w:r>
    </w:p>
  </w:footnote>
  <w:footnote w:id="7">
    <w:p w14:paraId="3DD4750B" w14:textId="77777777" w:rsidR="00CD67EB" w:rsidRPr="00CD67EB" w:rsidRDefault="00CD67EB">
      <w:pPr>
        <w:pStyle w:val="Sprotnaopomba-besedilo"/>
      </w:pPr>
      <w:r>
        <w:rPr>
          <w:rStyle w:val="Sprotnaopomba-sklic"/>
        </w:rPr>
        <w:footnoteRef/>
      </w:r>
      <w:r>
        <w:tab/>
      </w:r>
      <w:r>
        <w:rPr>
          <w:sz w:val="18"/>
        </w:rPr>
        <w:t>Če je to ustrezno za ta namen, navedite informacije, ki spadajo na področje uporabe Uredbe (EU) 2021/1147 in so na voljo na podlagi schengenskih ocenjevanj, opravljenih v skladu z Uredbo Sveta (EU) št. 1053/2013 z dne 7. oktobra 2013 o vzpostavitvi ocenjevalnega in spremljevalnega mehanizma za preverjanje uporabe schengenskega pravnega reda in razveljavitvi Sklepa Izvršnega odbora z dne 16. septembra 1998 o ustanovitvi stalnega odbora o ocenjevanju in izvajanju Schengenskega sporazuma (UL L 295, 6.11.2013, str. 27) ter Uredbo Sveta (EU) 2022/922 z dne 9. junija 2022 o vzpostavitvi in delovanju ocenjevalnega in spremljevalnega mehanizma za preverjanje uporabe schengenskega pravnega reda in razveljavitvi Uredbe (EU) št. 1053/2013 (UL L 160, 15.6.2022, str. 1).</w:t>
      </w:r>
    </w:p>
  </w:footnote>
  <w:footnote w:id="8">
    <w:p w14:paraId="1A9AFCF1" w14:textId="77777777" w:rsidR="00620009" w:rsidRPr="0037290B" w:rsidRDefault="00620009">
      <w:pPr>
        <w:pStyle w:val="Sprotnaopomba-besedilo"/>
      </w:pPr>
      <w:r>
        <w:rPr>
          <w:rStyle w:val="Sprotnaopomba-sklic"/>
        </w:rPr>
        <w:footnoteRef/>
      </w:r>
      <w:r>
        <w:tab/>
      </w:r>
      <w:r>
        <w:rPr>
          <w:sz w:val="18"/>
        </w:rPr>
        <w:t>V primeru posebnih ukrepov nadnacionalne narave se področje uporabe tega oddelka razlikuje glede na porazdelitev vlog in odgovornosti med vodilnimi državami članicami in drugimi sodelujočimi državami članicami ter glede na izbiro uporabljene metode poročanja. To je opisano v obvestilu Komisije z dne 14. februarja 2022 – Nadnacionalni posebni ukrepi v okviru Sklada za azil, migracije in vključevanje, Instrumenta za finančno podporo za upravljanje meja in vizumsko politiko ter Sklada za notranjo varnost – ureditve med partnerji (Ares (2022)1060102).</w:t>
      </w:r>
    </w:p>
  </w:footnote>
  <w:footnote w:id="9">
    <w:p w14:paraId="46E66A24" w14:textId="77777777" w:rsidR="00620009" w:rsidRPr="007027D4" w:rsidRDefault="00620009">
      <w:pPr>
        <w:pStyle w:val="Sprotnaopomba-besedilo"/>
      </w:pPr>
      <w:r>
        <w:rPr>
          <w:rStyle w:val="Sprotnaopomba-sklic"/>
        </w:rPr>
        <w:footnoteRef/>
      </w:r>
      <w:r>
        <w:tab/>
      </w:r>
      <w:r>
        <w:rPr>
          <w:sz w:val="18"/>
        </w:rPr>
        <w:t xml:space="preserve">Dodana vrednost Unije je opredeljena kot ustvarjanje rezultatov, ki presegajo tisto, kar bi države članice dosegle same. </w:t>
      </w:r>
    </w:p>
  </w:footnote>
  <w:footnote w:id="10">
    <w:p w14:paraId="1082B096" w14:textId="77777777" w:rsidR="00620009" w:rsidRPr="007027D4" w:rsidRDefault="00620009">
      <w:pPr>
        <w:pStyle w:val="Sprotnaopomba-besedilo"/>
        <w:rPr>
          <w:sz w:val="18"/>
        </w:rPr>
      </w:pPr>
      <w:r>
        <w:rPr>
          <w:rStyle w:val="Sprotnaopomba-sklic"/>
        </w:rPr>
        <w:footnoteRef/>
      </w:r>
      <w:r>
        <w:tab/>
      </w:r>
      <w:r>
        <w:rPr>
          <w:sz w:val="18"/>
        </w:rPr>
        <w:t>Na primer v zvezi z dejavnostmi javnega naročanja ali drugimi sprejetimi pripravljalnimi ukrepi.</w:t>
      </w:r>
    </w:p>
  </w:footnote>
  <w:footnote w:id="11">
    <w:p w14:paraId="00BD253D" w14:textId="77777777" w:rsidR="00620009" w:rsidRPr="007027D4" w:rsidRDefault="00620009">
      <w:pPr>
        <w:pStyle w:val="Sprotnaopomba-besedilo"/>
      </w:pPr>
      <w:r>
        <w:rPr>
          <w:rStyle w:val="Sprotnaopomba-sklic"/>
        </w:rPr>
        <w:footnoteRef/>
      </w:r>
      <w:r>
        <w:tab/>
      </w:r>
      <w:r>
        <w:rPr>
          <w:sz w:val="18"/>
        </w:rPr>
        <w:t>Na primer v smislu dosežkov, učinkov, rezultatov itd.</w:t>
      </w:r>
    </w:p>
  </w:footnote>
  <w:footnote w:id="12">
    <w:p w14:paraId="734A5838" w14:textId="77777777" w:rsidR="00620009" w:rsidRPr="00515026" w:rsidRDefault="00620009">
      <w:pPr>
        <w:pStyle w:val="Sprotnaopomba-besedilo"/>
        <w:rPr>
          <w:sz w:val="18"/>
        </w:rPr>
      </w:pPr>
      <w:r>
        <w:rPr>
          <w:rStyle w:val="Sprotnaopomba-sklic"/>
        </w:rPr>
        <w:footnoteRef/>
      </w:r>
      <w:r>
        <w:tab/>
      </w:r>
      <w:r>
        <w:rPr>
          <w:sz w:val="18"/>
        </w:rPr>
        <w:t>Kot je navedeno v obvestilu Komisije z dne 14. februarja 2022 (Ares (2022)1060102).</w:t>
      </w:r>
    </w:p>
  </w:footnote>
  <w:footnote w:id="13">
    <w:p w14:paraId="06274BFE" w14:textId="77777777" w:rsidR="00620009" w:rsidRPr="00515026" w:rsidRDefault="00620009">
      <w:pPr>
        <w:pStyle w:val="Sprotnaopomba-besedilo"/>
        <w:rPr>
          <w:sz w:val="18"/>
        </w:rPr>
      </w:pPr>
      <w:r>
        <w:rPr>
          <w:rStyle w:val="Sprotnaopomba-sklic"/>
        </w:rPr>
        <w:footnoteRef/>
      </w:r>
      <w:r>
        <w:tab/>
      </w:r>
      <w:r>
        <w:rPr>
          <w:sz w:val="18"/>
        </w:rPr>
        <w:t>Skupni upravičeni stroški izbranih operacij, kot so bili sporočeni Komisiji do 31. julija zadnjega obračunskega leta.</w:t>
      </w:r>
    </w:p>
  </w:footnote>
  <w:footnote w:id="14">
    <w:p w14:paraId="2C9B00A7" w14:textId="77777777" w:rsidR="00620009" w:rsidRPr="0037290B" w:rsidRDefault="00620009">
      <w:pPr>
        <w:pStyle w:val="Sprotnaopomba-besedilo"/>
      </w:pPr>
      <w:r>
        <w:rPr>
          <w:rStyle w:val="Sprotnaopomba-sklic"/>
        </w:rPr>
        <w:footnoteRef/>
      </w:r>
      <w:r>
        <w:tab/>
      </w:r>
      <w:r>
        <w:rPr>
          <w:sz w:val="18"/>
        </w:rPr>
        <w:t>Skupni znesek upravičenih izdatkov, ki jih upravičenci prijavijo organu upravljanja, do 31. julija zadnjega obračunskega leta.</w:t>
      </w:r>
    </w:p>
  </w:footnote>
  <w:footnote w:id="15">
    <w:p w14:paraId="5174D50B" w14:textId="77777777" w:rsidR="00620009" w:rsidRPr="0037290B" w:rsidRDefault="00620009">
      <w:pPr>
        <w:pStyle w:val="Sprotnaopomba-besedilo"/>
      </w:pPr>
      <w:r>
        <w:rPr>
          <w:rStyle w:val="Sprotnaopomba-sklic"/>
        </w:rPr>
        <w:footnoteRef/>
      </w:r>
      <w:r>
        <w:tab/>
      </w:r>
      <w:r>
        <w:rPr>
          <w:sz w:val="18"/>
        </w:rPr>
        <w:t>Če posebni ukrepi pomenijo dodatek k prejšnjim operacijam in ni posebne ureditve spremljanja, o učinku in rezultatih poročajte sorazmerno.</w:t>
      </w:r>
    </w:p>
  </w:footnote>
  <w:footnote w:id="16">
    <w:p w14:paraId="0A1DE0B0" w14:textId="77777777" w:rsidR="00620009" w:rsidRPr="00202C38" w:rsidRDefault="00620009">
      <w:pPr>
        <w:pStyle w:val="Sprotnaopomba-besedilo"/>
      </w:pPr>
      <w:r>
        <w:rPr>
          <w:rStyle w:val="Sprotnaopomba-sklic"/>
        </w:rPr>
        <w:footnoteRef/>
      </w:r>
      <w:r>
        <w:tab/>
      </w:r>
      <w:r>
        <w:rPr>
          <w:sz w:val="18"/>
        </w:rPr>
        <w:t>Uredba (EU) št. 516/2014 Evropskega parlamenta in Sveta z dne 16. aprila 2014 o ustanovitvi Sklada za azil, migracije in vključevanje, o spremembi Odločbe Sveta 2008/381/ES in razveljavitvi odločb št. 573/2007/ES in št. 575/2007/ES Evropskega parlamenta in Sveta ter Odločbe Sveta 2007/435/ES (UL L 150, 20.5.2014, str. 168).</w:t>
      </w:r>
    </w:p>
  </w:footnote>
  <w:footnote w:id="17">
    <w:p w14:paraId="374183AC" w14:textId="77777777" w:rsidR="00620009" w:rsidRPr="007027D4" w:rsidRDefault="00620009">
      <w:pPr>
        <w:pStyle w:val="Sprotnaopomba-besedilo"/>
        <w:rPr>
          <w:sz w:val="18"/>
          <w:szCs w:val="18"/>
        </w:rPr>
      </w:pPr>
      <w:r>
        <w:rPr>
          <w:rStyle w:val="Sprotnaopomba-sklic"/>
        </w:rPr>
        <w:footnoteRef/>
      </w:r>
      <w:r>
        <w:tab/>
      </w:r>
      <w:r>
        <w:rPr>
          <w:color w:val="333333"/>
          <w:sz w:val="18"/>
          <w:shd w:val="clear" w:color="auto" w:fill="FFFFFF"/>
        </w:rPr>
        <w:t xml:space="preserve">Uredba (EU) št. 514/2014 Evropskega parlamenta in Sveta z dne 16. aprila 2014 o splošnih določbah o Skladu za migracije, azil in vključevanje ter o instrumentu za finančno podporo na področju policijskega sodelovanja, preprečevanja kriminala in boja proti njemu ter obvladovanja kriz (UL L 150, </w:t>
      </w:r>
      <w:r>
        <w:rPr>
          <w:sz w:val="18"/>
        </w:rPr>
        <w:t>20.5.2014, str. 112).</w:t>
      </w:r>
    </w:p>
  </w:footnote>
  <w:footnote w:id="18">
    <w:p w14:paraId="67653F1D" w14:textId="77777777" w:rsidR="00620009" w:rsidRPr="007027D4" w:rsidRDefault="00620009">
      <w:pPr>
        <w:pStyle w:val="Sprotnaopomba-besedilo"/>
      </w:pPr>
      <w:r>
        <w:rPr>
          <w:rStyle w:val="Sprotnaopomba-sklic"/>
        </w:rPr>
        <w:footnoteRef/>
      </w:r>
      <w:r>
        <w:tab/>
      </w:r>
      <w:r>
        <w:rPr>
          <w:sz w:val="18"/>
        </w:rPr>
        <w:t xml:space="preserve">Zlasti instrument za sosedstvo ter razvojno in mednarodno sodelovanje (NDICI) – Globalna Evropa in instrument za predpristopno pomoč (IPA). </w:t>
      </w:r>
    </w:p>
  </w:footnote>
  <w:footnote w:id="19">
    <w:p w14:paraId="32332F60" w14:textId="77777777" w:rsidR="00620009" w:rsidRPr="0037290B" w:rsidRDefault="00620009" w:rsidP="00532177">
      <w:pPr>
        <w:pStyle w:val="Sprotnaopomba-besedilo"/>
      </w:pPr>
      <w:r>
        <w:rPr>
          <w:rStyle w:val="Sprotnaopomba-sklic"/>
        </w:rPr>
        <w:footnoteRef/>
      </w:r>
      <w:r>
        <w:tab/>
      </w:r>
      <w:r>
        <w:rPr>
          <w:sz w:val="18"/>
        </w:rPr>
        <w:t>Pomembno bi lahko bilo tudi dopolnjevanje z drugimi ustreznimi skladi EU (npr. mehanizem za okrevanje in odpornost, Erasmus+, Ustvarjalna Evropa, Kohezijski sklad, Sklad za pravični prehod itd.).</w:t>
      </w:r>
    </w:p>
  </w:footnote>
  <w:footnote w:id="20">
    <w:p w14:paraId="70AD48AB" w14:textId="77777777" w:rsidR="00B66713" w:rsidRPr="007027D4" w:rsidRDefault="00B66713" w:rsidP="00B66713">
      <w:pPr>
        <w:pStyle w:val="Sprotnaopomba-besedilo"/>
      </w:pPr>
      <w:r>
        <w:rPr>
          <w:rStyle w:val="Sprotnaopomba-sklic"/>
        </w:rPr>
        <w:footnoteRef/>
      </w:r>
      <w:r>
        <w:tab/>
      </w:r>
      <w:r>
        <w:rPr>
          <w:sz w:val="18"/>
        </w:rPr>
        <w:t>Kot je sodelovanje na ravni EU med državami članicami ter med državami članicami in ustreznimi organi, uradi in agencijami EU ter sodelovanje na nacionalni ravni med pristojnimi organi v vsaki državi članici.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9E2164A"/>
    <w:lvl w:ilvl="0">
      <w:start w:val="1"/>
      <w:numFmt w:val="decimal"/>
      <w:pStyle w:val="Otevilenseznam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Otevilenseznam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Otevilenseznam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Oznaenseznam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Otevilenseznam"/>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Oznaenseznam"/>
      <w:lvlText w:val=""/>
      <w:lvlJc w:val="left"/>
      <w:pPr>
        <w:tabs>
          <w:tab w:val="num" w:pos="360"/>
        </w:tabs>
        <w:ind w:left="360" w:hanging="360"/>
      </w:pPr>
      <w:rPr>
        <w:rFonts w:ascii="Symbol" w:hAnsi="Symbol" w:hint="default"/>
      </w:rPr>
    </w:lvl>
  </w:abstractNum>
  <w:abstractNum w:abstractNumId="8" w15:restartNumberingAfterBreak="0">
    <w:nsid w:val="00000001"/>
    <w:multiLevelType w:val="hybridMultilevel"/>
    <w:tmpl w:val="00000001"/>
    <w:lvl w:ilvl="0" w:tplc="1EB8C574">
      <w:start w:val="1"/>
      <w:numFmt w:val="bullet"/>
      <w:lvlText w:val=""/>
      <w:lvlJc w:val="left"/>
      <w:pPr>
        <w:ind w:left="720" w:hanging="360"/>
      </w:pPr>
      <w:rPr>
        <w:rFonts w:ascii="Symbol" w:hAnsi="Symbol"/>
      </w:rPr>
    </w:lvl>
    <w:lvl w:ilvl="1" w:tplc="ADDE99B2">
      <w:start w:val="1"/>
      <w:numFmt w:val="bullet"/>
      <w:lvlText w:val="o"/>
      <w:lvlJc w:val="left"/>
      <w:pPr>
        <w:tabs>
          <w:tab w:val="num" w:pos="1440"/>
        </w:tabs>
        <w:ind w:left="1440" w:hanging="360"/>
      </w:pPr>
      <w:rPr>
        <w:rFonts w:ascii="Courier New" w:hAnsi="Courier New"/>
      </w:rPr>
    </w:lvl>
    <w:lvl w:ilvl="2" w:tplc="EE1EB06E">
      <w:start w:val="1"/>
      <w:numFmt w:val="bullet"/>
      <w:lvlText w:val=""/>
      <w:lvlJc w:val="left"/>
      <w:pPr>
        <w:tabs>
          <w:tab w:val="num" w:pos="2160"/>
        </w:tabs>
        <w:ind w:left="2160" w:hanging="360"/>
      </w:pPr>
      <w:rPr>
        <w:rFonts w:ascii="Wingdings" w:hAnsi="Wingdings"/>
      </w:rPr>
    </w:lvl>
    <w:lvl w:ilvl="3" w:tplc="02969434">
      <w:start w:val="1"/>
      <w:numFmt w:val="bullet"/>
      <w:lvlText w:val=""/>
      <w:lvlJc w:val="left"/>
      <w:pPr>
        <w:tabs>
          <w:tab w:val="num" w:pos="2880"/>
        </w:tabs>
        <w:ind w:left="2880" w:hanging="360"/>
      </w:pPr>
      <w:rPr>
        <w:rFonts w:ascii="Symbol" w:hAnsi="Symbol"/>
      </w:rPr>
    </w:lvl>
    <w:lvl w:ilvl="4" w:tplc="386CE2EE">
      <w:start w:val="1"/>
      <w:numFmt w:val="bullet"/>
      <w:lvlText w:val="o"/>
      <w:lvlJc w:val="left"/>
      <w:pPr>
        <w:tabs>
          <w:tab w:val="num" w:pos="3600"/>
        </w:tabs>
        <w:ind w:left="3600" w:hanging="360"/>
      </w:pPr>
      <w:rPr>
        <w:rFonts w:ascii="Courier New" w:hAnsi="Courier New"/>
      </w:rPr>
    </w:lvl>
    <w:lvl w:ilvl="5" w:tplc="6C2EBBE0">
      <w:start w:val="1"/>
      <w:numFmt w:val="bullet"/>
      <w:lvlText w:val=""/>
      <w:lvlJc w:val="left"/>
      <w:pPr>
        <w:tabs>
          <w:tab w:val="num" w:pos="4320"/>
        </w:tabs>
        <w:ind w:left="4320" w:hanging="360"/>
      </w:pPr>
      <w:rPr>
        <w:rFonts w:ascii="Wingdings" w:hAnsi="Wingdings"/>
      </w:rPr>
    </w:lvl>
    <w:lvl w:ilvl="6" w:tplc="2E7E15CE">
      <w:start w:val="1"/>
      <w:numFmt w:val="bullet"/>
      <w:lvlText w:val=""/>
      <w:lvlJc w:val="left"/>
      <w:pPr>
        <w:tabs>
          <w:tab w:val="num" w:pos="5040"/>
        </w:tabs>
        <w:ind w:left="5040" w:hanging="360"/>
      </w:pPr>
      <w:rPr>
        <w:rFonts w:ascii="Symbol" w:hAnsi="Symbol"/>
      </w:rPr>
    </w:lvl>
    <w:lvl w:ilvl="7" w:tplc="D3108D3A">
      <w:start w:val="1"/>
      <w:numFmt w:val="bullet"/>
      <w:lvlText w:val="o"/>
      <w:lvlJc w:val="left"/>
      <w:pPr>
        <w:tabs>
          <w:tab w:val="num" w:pos="5760"/>
        </w:tabs>
        <w:ind w:left="5760" w:hanging="360"/>
      </w:pPr>
      <w:rPr>
        <w:rFonts w:ascii="Courier New" w:hAnsi="Courier New"/>
      </w:rPr>
    </w:lvl>
    <w:lvl w:ilvl="8" w:tplc="8454F5B8">
      <w:start w:val="1"/>
      <w:numFmt w:val="bullet"/>
      <w:lvlText w:val=""/>
      <w:lvlJc w:val="left"/>
      <w:pPr>
        <w:tabs>
          <w:tab w:val="num" w:pos="6480"/>
        </w:tabs>
        <w:ind w:left="6480" w:hanging="360"/>
      </w:pPr>
      <w:rPr>
        <w:rFonts w:ascii="Wingdings" w:hAnsi="Wingdings"/>
      </w:rPr>
    </w:lvl>
  </w:abstractNum>
  <w:abstractNum w:abstractNumId="9" w15:restartNumberingAfterBreak="0">
    <w:nsid w:val="0A0C1C4F"/>
    <w:multiLevelType w:val="hybridMultilevel"/>
    <w:tmpl w:val="355217B4"/>
    <w:lvl w:ilvl="0" w:tplc="C88E875C">
      <w:numFmt w:val="bullet"/>
      <w:lvlText w:val="-"/>
      <w:lvlJc w:val="left"/>
      <w:pPr>
        <w:ind w:left="720" w:hanging="360"/>
      </w:pPr>
      <w:rPr>
        <w:rFonts w:ascii="Arial" w:eastAsiaTheme="minorHAnsi"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10BFC"/>
    <w:multiLevelType w:val="hybridMultilevel"/>
    <w:tmpl w:val="4B8E0964"/>
    <w:lvl w:ilvl="0" w:tplc="8ADC8EE4">
      <w:start w:val="15"/>
      <w:numFmt w:val="bullet"/>
      <w:lvlText w:val="-"/>
      <w:lvlJc w:val="left"/>
      <w:pPr>
        <w:ind w:left="720" w:hanging="360"/>
      </w:pPr>
      <w:rPr>
        <w:rFonts w:ascii="Times New Roman" w:eastAsiaTheme="minorHAnsi"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235EE"/>
    <w:multiLevelType w:val="hybridMultilevel"/>
    <w:tmpl w:val="68DAEBB8"/>
    <w:lvl w:ilvl="0" w:tplc="7ABA953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76A1FCA"/>
    <w:multiLevelType w:val="hybridMultilevel"/>
    <w:tmpl w:val="76FE7978"/>
    <w:lvl w:ilvl="0" w:tplc="E340A59C">
      <w:numFmt w:val="bullet"/>
      <w:lvlText w:val="-"/>
      <w:lvlJc w:val="left"/>
      <w:pPr>
        <w:ind w:left="720" w:hanging="360"/>
      </w:pPr>
      <w:rPr>
        <w:rFonts w:ascii="Arial" w:eastAsiaTheme="minorHAnsi" w:hAnsi="Arial" w:cs="Arial" w:hint="default"/>
        <w:color w:val="auto"/>
        <w:sz w:val="22"/>
      </w:rPr>
    </w:lvl>
    <w:lvl w:ilvl="1" w:tplc="0424000D">
      <w:start w:val="1"/>
      <w:numFmt w:val="bullet"/>
      <w:lvlText w:val=""/>
      <w:lvlJc w:val="left"/>
      <w:pPr>
        <w:ind w:left="1440" w:hanging="360"/>
      </w:pPr>
      <w:rPr>
        <w:rFonts w:ascii="Wingdings" w:hAnsi="Wingdings"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name w:val="Heading"/>
    <w:lvl w:ilvl="0">
      <w:start w:val="1"/>
      <w:numFmt w:val="decimal"/>
      <w:lvlRestart w:val="0"/>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decimal"/>
      <w:pStyle w:val="Naslov5"/>
      <w:lvlText w:val="%1.%2.%3.%4.%5."/>
      <w:lvlJc w:val="left"/>
      <w:pPr>
        <w:tabs>
          <w:tab w:val="num" w:pos="1417"/>
        </w:tabs>
        <w:ind w:left="1417" w:hanging="1417"/>
      </w:pPr>
    </w:lvl>
    <w:lvl w:ilvl="5">
      <w:start w:val="1"/>
      <w:numFmt w:val="decimal"/>
      <w:pStyle w:val="Naslov6"/>
      <w:lvlText w:val="%1.%2.%3.%4.%5.%6."/>
      <w:lvlJc w:val="left"/>
      <w:pPr>
        <w:tabs>
          <w:tab w:val="num" w:pos="1417"/>
        </w:tabs>
        <w:ind w:left="1417" w:hanging="1417"/>
      </w:pPr>
    </w:lvl>
    <w:lvl w:ilvl="6">
      <w:start w:val="1"/>
      <w:numFmt w:val="decimal"/>
      <w:pStyle w:val="Naslov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6BD80212"/>
    <w:multiLevelType w:val="hybridMultilevel"/>
    <w:tmpl w:val="541081DA"/>
    <w:lvl w:ilvl="0" w:tplc="7ABA953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B971ADF"/>
    <w:multiLevelType w:val="hybridMultilevel"/>
    <w:tmpl w:val="336C2DC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0" w15:restartNumberingAfterBreak="0">
    <w:nsid w:val="7E2D5359"/>
    <w:multiLevelType w:val="hybridMultilevel"/>
    <w:tmpl w:val="A9301102"/>
    <w:lvl w:ilvl="0" w:tplc="7ABA953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4"/>
    <w:lvlOverride w:ilvl="0">
      <w:startOverride w:val="1"/>
    </w:lvlOverride>
  </w:num>
  <w:num w:numId="10">
    <w:abstractNumId w:val="24"/>
    <w:lvlOverride w:ilvl="0">
      <w:startOverride w:val="1"/>
    </w:lvlOverride>
  </w:num>
  <w:num w:numId="11">
    <w:abstractNumId w:val="24"/>
  </w:num>
  <w:num w:numId="12">
    <w:abstractNumId w:val="17"/>
  </w:num>
  <w:num w:numId="13">
    <w:abstractNumId w:val="26"/>
  </w:num>
  <w:num w:numId="14">
    <w:abstractNumId w:val="14"/>
  </w:num>
  <w:num w:numId="15">
    <w:abstractNumId w:val="18"/>
  </w:num>
  <w:num w:numId="16">
    <w:abstractNumId w:val="19"/>
  </w:num>
  <w:num w:numId="17">
    <w:abstractNumId w:val="11"/>
  </w:num>
  <w:num w:numId="18">
    <w:abstractNumId w:val="25"/>
  </w:num>
  <w:num w:numId="19">
    <w:abstractNumId w:val="10"/>
  </w:num>
  <w:num w:numId="20">
    <w:abstractNumId w:val="20"/>
  </w:num>
  <w:num w:numId="21">
    <w:abstractNumId w:val="22"/>
  </w:num>
  <w:num w:numId="22">
    <w:abstractNumId w:val="23"/>
  </w:num>
  <w:num w:numId="23">
    <w:abstractNumId w:val="13"/>
  </w:num>
  <w:num w:numId="24">
    <w:abstractNumId w:val="21"/>
  </w:num>
  <w:num w:numId="25">
    <w:abstractNumId w:val="29"/>
  </w:num>
  <w:num w:numId="26">
    <w:abstractNumId w:val="12"/>
  </w:num>
  <w:num w:numId="27">
    <w:abstractNumId w:val="9"/>
  </w:num>
  <w:num w:numId="28">
    <w:abstractNumId w:val="15"/>
  </w:num>
  <w:num w:numId="29">
    <w:abstractNumId w:val="27"/>
  </w:num>
  <w:num w:numId="30">
    <w:abstractNumId w:val="30"/>
  </w:num>
  <w:num w:numId="31">
    <w:abstractNumId w:val="16"/>
  </w:num>
  <w:num w:numId="32">
    <w:abstractNumId w:val="8"/>
  </w:num>
  <w:num w:numId="33">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it-IT" w:vendorID="64" w:dllVersion="6" w:nlCheck="1" w:checkStyle="0"/>
  <w:attachedTemplate r:id="rId1"/>
  <w:defaultTabStop w:val="720"/>
  <w:hyphenationZone w:val="425"/>
  <w:characterSpacingControl w:val="doNotCompress"/>
  <w:hdrShapeDefaults>
    <o:shapedefaults v:ext="edit" spidmax="3072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3-01-17 12:46: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7D2B7355-191C-4318-AE34-19CEA0EA2976"/>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uselj, "/>
    <w:docVar w:name="LW_EMISSION_SUFFIX" w:val=" "/>
    <w:docVar w:name="LW_ID_DOCSTRUCTURE" w:val="COM/ANNEX"/>
    <w:docVar w:name="LW_ID_DOCTYPE" w:val="SG-068"/>
    <w:docVar w:name="LW_LANGUE" w:val="SL"/>
    <w:docVar w:name="LW_LEVEL_OF_SENSITIVITY" w:val="Standard treatment"/>
    <w:docVar w:name="LW_NOM.INST" w:val="EVROPSKA KOMISIJA"/>
    <w:docVar w:name="LW_NOM.INST_JOINTDOC" w:val="&lt;EMPTY&gt;"/>
    <w:docVar w:name="LW_OBJETACTEPRINCIPAL" w:val="o dolo\u269?itvi predloge za letna poro\u269?ila o smotrnosti Sklada za azil, migracije in vklju\u269?evanje za programsko obdobje 2021\u8211?2027 v skladu z Uredbo (EU) 2021/1147"/>
    <w:docVar w:name="LW_OBJETACTEPRINCIPAL.CP" w:val="o določitvi predloge za letna poročila o smotrnosti Sklada za azil, migracije in vključevanje za programsko obdobje 2021–2027 v skladu z Uredbo (EU) 2021/1147"/>
    <w:docVar w:name="LW_PART_NBR" w:val="1"/>
    <w:docVar w:name="LW_PART_NBR_TOTAL" w:val="1"/>
    <w:docVar w:name="LW_REF.INST.NEW" w:val="C"/>
    <w:docVar w:name="LW_REF.INST.NEW_ADOPTED" w:val="final"/>
    <w:docVar w:name="LW_REF.INST.NEW_TEXT" w:val="(2023) 56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Izvedbeni uredbi Komisije"/>
    <w:docVar w:name="LW_TYPEACTEPRINCIPAL.CP" w:val="Izvedbeni uredbi Komisije"/>
    <w:docVar w:name="LwApiVersions" w:val="LW4CoDe 1.23.2.0; LW 8.0, Build 20211117"/>
  </w:docVars>
  <w:rsids>
    <w:rsidRoot w:val="00555224"/>
    <w:rsid w:val="0000016F"/>
    <w:rsid w:val="0000414F"/>
    <w:rsid w:val="0000572C"/>
    <w:rsid w:val="00007A58"/>
    <w:rsid w:val="000110C0"/>
    <w:rsid w:val="000117F8"/>
    <w:rsid w:val="000133CF"/>
    <w:rsid w:val="00014F7C"/>
    <w:rsid w:val="0001528B"/>
    <w:rsid w:val="00020EEF"/>
    <w:rsid w:val="00025580"/>
    <w:rsid w:val="00027355"/>
    <w:rsid w:val="00032A7B"/>
    <w:rsid w:val="0003769F"/>
    <w:rsid w:val="000410B1"/>
    <w:rsid w:val="00041891"/>
    <w:rsid w:val="00043F56"/>
    <w:rsid w:val="00046462"/>
    <w:rsid w:val="00053829"/>
    <w:rsid w:val="000553F8"/>
    <w:rsid w:val="00065528"/>
    <w:rsid w:val="00070021"/>
    <w:rsid w:val="000714FD"/>
    <w:rsid w:val="00075EDB"/>
    <w:rsid w:val="00081CCF"/>
    <w:rsid w:val="0008322C"/>
    <w:rsid w:val="00083808"/>
    <w:rsid w:val="00085A16"/>
    <w:rsid w:val="00085D54"/>
    <w:rsid w:val="000903CC"/>
    <w:rsid w:val="00091C77"/>
    <w:rsid w:val="00093D5B"/>
    <w:rsid w:val="00097EFD"/>
    <w:rsid w:val="000A0779"/>
    <w:rsid w:val="000B02F9"/>
    <w:rsid w:val="000B2B6C"/>
    <w:rsid w:val="000C02EF"/>
    <w:rsid w:val="000C122F"/>
    <w:rsid w:val="000C4812"/>
    <w:rsid w:val="000C4CC6"/>
    <w:rsid w:val="000D1693"/>
    <w:rsid w:val="000D44D0"/>
    <w:rsid w:val="000E45B7"/>
    <w:rsid w:val="000E5FBD"/>
    <w:rsid w:val="000F1C58"/>
    <w:rsid w:val="000F2666"/>
    <w:rsid w:val="000F70FE"/>
    <w:rsid w:val="00104E34"/>
    <w:rsid w:val="0010586E"/>
    <w:rsid w:val="00111D07"/>
    <w:rsid w:val="00112035"/>
    <w:rsid w:val="00112E38"/>
    <w:rsid w:val="00120C00"/>
    <w:rsid w:val="00122018"/>
    <w:rsid w:val="00122FD3"/>
    <w:rsid w:val="00127C1A"/>
    <w:rsid w:val="00140DD8"/>
    <w:rsid w:val="00141E24"/>
    <w:rsid w:val="00152894"/>
    <w:rsid w:val="00153042"/>
    <w:rsid w:val="00153209"/>
    <w:rsid w:val="0015448D"/>
    <w:rsid w:val="00154541"/>
    <w:rsid w:val="00164D51"/>
    <w:rsid w:val="00166A4F"/>
    <w:rsid w:val="00174FB3"/>
    <w:rsid w:val="00181A3F"/>
    <w:rsid w:val="0018620A"/>
    <w:rsid w:val="001904CD"/>
    <w:rsid w:val="0019152D"/>
    <w:rsid w:val="001A17F5"/>
    <w:rsid w:val="001A1F71"/>
    <w:rsid w:val="001A292A"/>
    <w:rsid w:val="001B037F"/>
    <w:rsid w:val="001B048A"/>
    <w:rsid w:val="001B43BB"/>
    <w:rsid w:val="001B63CE"/>
    <w:rsid w:val="001C0807"/>
    <w:rsid w:val="001C4994"/>
    <w:rsid w:val="001C677C"/>
    <w:rsid w:val="001C7780"/>
    <w:rsid w:val="001C7B7B"/>
    <w:rsid w:val="001D175D"/>
    <w:rsid w:val="001D21A1"/>
    <w:rsid w:val="001D2E88"/>
    <w:rsid w:val="001D7FDD"/>
    <w:rsid w:val="001E0672"/>
    <w:rsid w:val="001E1588"/>
    <w:rsid w:val="001E3DE5"/>
    <w:rsid w:val="001E3E4B"/>
    <w:rsid w:val="001F0F4B"/>
    <w:rsid w:val="001F253C"/>
    <w:rsid w:val="001F5240"/>
    <w:rsid w:val="001F5A7D"/>
    <w:rsid w:val="001F71DC"/>
    <w:rsid w:val="00200C0C"/>
    <w:rsid w:val="00202C38"/>
    <w:rsid w:val="00211B96"/>
    <w:rsid w:val="002136D5"/>
    <w:rsid w:val="00214B02"/>
    <w:rsid w:val="00216D79"/>
    <w:rsid w:val="002229DC"/>
    <w:rsid w:val="00225281"/>
    <w:rsid w:val="002311CE"/>
    <w:rsid w:val="00231978"/>
    <w:rsid w:val="00234954"/>
    <w:rsid w:val="00236ABD"/>
    <w:rsid w:val="002379DB"/>
    <w:rsid w:val="00241BA6"/>
    <w:rsid w:val="00244632"/>
    <w:rsid w:val="00244878"/>
    <w:rsid w:val="00244A46"/>
    <w:rsid w:val="00251735"/>
    <w:rsid w:val="0025250A"/>
    <w:rsid w:val="002542D8"/>
    <w:rsid w:val="00254824"/>
    <w:rsid w:val="00260785"/>
    <w:rsid w:val="00264AD3"/>
    <w:rsid w:val="00267706"/>
    <w:rsid w:val="002778F0"/>
    <w:rsid w:val="00277AF0"/>
    <w:rsid w:val="00281722"/>
    <w:rsid w:val="00284D38"/>
    <w:rsid w:val="0029067F"/>
    <w:rsid w:val="00292708"/>
    <w:rsid w:val="00292D51"/>
    <w:rsid w:val="0029377C"/>
    <w:rsid w:val="00296314"/>
    <w:rsid w:val="002A6B7D"/>
    <w:rsid w:val="002B0A2A"/>
    <w:rsid w:val="002B16F5"/>
    <w:rsid w:val="002B466D"/>
    <w:rsid w:val="002C12B6"/>
    <w:rsid w:val="002C3B55"/>
    <w:rsid w:val="002C4A46"/>
    <w:rsid w:val="002C60F2"/>
    <w:rsid w:val="002C67E2"/>
    <w:rsid w:val="002D03F0"/>
    <w:rsid w:val="002E13C5"/>
    <w:rsid w:val="002E355D"/>
    <w:rsid w:val="002F1538"/>
    <w:rsid w:val="002F1935"/>
    <w:rsid w:val="002F308C"/>
    <w:rsid w:val="002F5106"/>
    <w:rsid w:val="002F67B6"/>
    <w:rsid w:val="003003B7"/>
    <w:rsid w:val="00305958"/>
    <w:rsid w:val="00315460"/>
    <w:rsid w:val="0032373D"/>
    <w:rsid w:val="00323AA1"/>
    <w:rsid w:val="00327883"/>
    <w:rsid w:val="00330E34"/>
    <w:rsid w:val="003328E5"/>
    <w:rsid w:val="00332A4B"/>
    <w:rsid w:val="00332AAD"/>
    <w:rsid w:val="00340C12"/>
    <w:rsid w:val="00347EE8"/>
    <w:rsid w:val="0035085A"/>
    <w:rsid w:val="00351C18"/>
    <w:rsid w:val="00352954"/>
    <w:rsid w:val="0035484F"/>
    <w:rsid w:val="0035655E"/>
    <w:rsid w:val="003651F7"/>
    <w:rsid w:val="0037290B"/>
    <w:rsid w:val="003811CC"/>
    <w:rsid w:val="00385816"/>
    <w:rsid w:val="00386704"/>
    <w:rsid w:val="00387BB7"/>
    <w:rsid w:val="00387BD4"/>
    <w:rsid w:val="003923CA"/>
    <w:rsid w:val="00392F13"/>
    <w:rsid w:val="003945F3"/>
    <w:rsid w:val="00395924"/>
    <w:rsid w:val="003A3311"/>
    <w:rsid w:val="003A6A89"/>
    <w:rsid w:val="003B217D"/>
    <w:rsid w:val="003B616F"/>
    <w:rsid w:val="003B7834"/>
    <w:rsid w:val="003C4D95"/>
    <w:rsid w:val="003C6F32"/>
    <w:rsid w:val="003E1F5E"/>
    <w:rsid w:val="003E31FB"/>
    <w:rsid w:val="003E338B"/>
    <w:rsid w:val="003E356A"/>
    <w:rsid w:val="003E36B0"/>
    <w:rsid w:val="003E4922"/>
    <w:rsid w:val="003E49B2"/>
    <w:rsid w:val="003E7D66"/>
    <w:rsid w:val="003E7F9C"/>
    <w:rsid w:val="003F0966"/>
    <w:rsid w:val="003F28CB"/>
    <w:rsid w:val="003F2D5D"/>
    <w:rsid w:val="003F3767"/>
    <w:rsid w:val="003F566A"/>
    <w:rsid w:val="003F73EF"/>
    <w:rsid w:val="00402410"/>
    <w:rsid w:val="00405D43"/>
    <w:rsid w:val="0040604C"/>
    <w:rsid w:val="00406E86"/>
    <w:rsid w:val="00410DEC"/>
    <w:rsid w:val="004119DA"/>
    <w:rsid w:val="0041224B"/>
    <w:rsid w:val="004173DF"/>
    <w:rsid w:val="0043592D"/>
    <w:rsid w:val="00437336"/>
    <w:rsid w:val="004422D7"/>
    <w:rsid w:val="0044327D"/>
    <w:rsid w:val="004477E7"/>
    <w:rsid w:val="004510E5"/>
    <w:rsid w:val="00451933"/>
    <w:rsid w:val="00455A6A"/>
    <w:rsid w:val="004629B2"/>
    <w:rsid w:val="004630E2"/>
    <w:rsid w:val="0047012F"/>
    <w:rsid w:val="00474FF9"/>
    <w:rsid w:val="00475B8F"/>
    <w:rsid w:val="00481574"/>
    <w:rsid w:val="0048297F"/>
    <w:rsid w:val="00485FA6"/>
    <w:rsid w:val="00490445"/>
    <w:rsid w:val="0049785B"/>
    <w:rsid w:val="004A30F9"/>
    <w:rsid w:val="004A44E1"/>
    <w:rsid w:val="004B155D"/>
    <w:rsid w:val="004D5420"/>
    <w:rsid w:val="004E137F"/>
    <w:rsid w:val="004E1A2B"/>
    <w:rsid w:val="004E2BF3"/>
    <w:rsid w:val="004E5BA5"/>
    <w:rsid w:val="004F00F8"/>
    <w:rsid w:val="004F1E95"/>
    <w:rsid w:val="004F5E71"/>
    <w:rsid w:val="005000D5"/>
    <w:rsid w:val="00503155"/>
    <w:rsid w:val="00506ED8"/>
    <w:rsid w:val="00511C0C"/>
    <w:rsid w:val="00515026"/>
    <w:rsid w:val="00516606"/>
    <w:rsid w:val="00520A2F"/>
    <w:rsid w:val="00521937"/>
    <w:rsid w:val="00531759"/>
    <w:rsid w:val="00531A66"/>
    <w:rsid w:val="00532177"/>
    <w:rsid w:val="005328CF"/>
    <w:rsid w:val="00535015"/>
    <w:rsid w:val="00535AC2"/>
    <w:rsid w:val="005365AB"/>
    <w:rsid w:val="00537FD8"/>
    <w:rsid w:val="00541258"/>
    <w:rsid w:val="005446DC"/>
    <w:rsid w:val="00544E72"/>
    <w:rsid w:val="00545857"/>
    <w:rsid w:val="00552A8B"/>
    <w:rsid w:val="005543A0"/>
    <w:rsid w:val="00555224"/>
    <w:rsid w:val="00555916"/>
    <w:rsid w:val="00561A09"/>
    <w:rsid w:val="00561E3E"/>
    <w:rsid w:val="005637B0"/>
    <w:rsid w:val="0056447F"/>
    <w:rsid w:val="00571255"/>
    <w:rsid w:val="00571A4A"/>
    <w:rsid w:val="00573BB4"/>
    <w:rsid w:val="00573CF4"/>
    <w:rsid w:val="005772FE"/>
    <w:rsid w:val="00577CBA"/>
    <w:rsid w:val="005814EA"/>
    <w:rsid w:val="00582244"/>
    <w:rsid w:val="00584834"/>
    <w:rsid w:val="005856EF"/>
    <w:rsid w:val="00585BE9"/>
    <w:rsid w:val="00591AB0"/>
    <w:rsid w:val="0059250C"/>
    <w:rsid w:val="00595FD6"/>
    <w:rsid w:val="005A5724"/>
    <w:rsid w:val="005A7C7D"/>
    <w:rsid w:val="005B183A"/>
    <w:rsid w:val="005B4754"/>
    <w:rsid w:val="005B69E9"/>
    <w:rsid w:val="005B770A"/>
    <w:rsid w:val="005C47C3"/>
    <w:rsid w:val="005D17C4"/>
    <w:rsid w:val="005D4AC7"/>
    <w:rsid w:val="005D5204"/>
    <w:rsid w:val="005D6B96"/>
    <w:rsid w:val="005E4141"/>
    <w:rsid w:val="005E523F"/>
    <w:rsid w:val="005E7B06"/>
    <w:rsid w:val="005F7784"/>
    <w:rsid w:val="00605394"/>
    <w:rsid w:val="0060652B"/>
    <w:rsid w:val="00607E0A"/>
    <w:rsid w:val="00615A7D"/>
    <w:rsid w:val="00620009"/>
    <w:rsid w:val="00621FCD"/>
    <w:rsid w:val="00636FE6"/>
    <w:rsid w:val="006406D7"/>
    <w:rsid w:val="006439CE"/>
    <w:rsid w:val="00644DD6"/>
    <w:rsid w:val="00652CC8"/>
    <w:rsid w:val="00652D07"/>
    <w:rsid w:val="00652E4A"/>
    <w:rsid w:val="00656EC7"/>
    <w:rsid w:val="00666D05"/>
    <w:rsid w:val="00672408"/>
    <w:rsid w:val="00675DE2"/>
    <w:rsid w:val="006825A7"/>
    <w:rsid w:val="00682BB6"/>
    <w:rsid w:val="00683DBB"/>
    <w:rsid w:val="00693147"/>
    <w:rsid w:val="0069682E"/>
    <w:rsid w:val="006968E5"/>
    <w:rsid w:val="00697BB2"/>
    <w:rsid w:val="006A41E2"/>
    <w:rsid w:val="006A4B05"/>
    <w:rsid w:val="006B5B67"/>
    <w:rsid w:val="006C0D1D"/>
    <w:rsid w:val="006C2198"/>
    <w:rsid w:val="006C5C3B"/>
    <w:rsid w:val="006D05D8"/>
    <w:rsid w:val="006D56A0"/>
    <w:rsid w:val="006D5E1D"/>
    <w:rsid w:val="006D7618"/>
    <w:rsid w:val="006E0C30"/>
    <w:rsid w:val="006E119A"/>
    <w:rsid w:val="006E268C"/>
    <w:rsid w:val="006F1E13"/>
    <w:rsid w:val="006F3C12"/>
    <w:rsid w:val="006F5ACE"/>
    <w:rsid w:val="006F64DA"/>
    <w:rsid w:val="00701F91"/>
    <w:rsid w:val="007027D4"/>
    <w:rsid w:val="007143CA"/>
    <w:rsid w:val="00714C40"/>
    <w:rsid w:val="0071685A"/>
    <w:rsid w:val="0072518C"/>
    <w:rsid w:val="0072564E"/>
    <w:rsid w:val="00726111"/>
    <w:rsid w:val="007261C3"/>
    <w:rsid w:val="00734F22"/>
    <w:rsid w:val="007363A6"/>
    <w:rsid w:val="0074216E"/>
    <w:rsid w:val="007478DA"/>
    <w:rsid w:val="00747C96"/>
    <w:rsid w:val="00760D6A"/>
    <w:rsid w:val="00761619"/>
    <w:rsid w:val="007625DB"/>
    <w:rsid w:val="00766BB4"/>
    <w:rsid w:val="0077007E"/>
    <w:rsid w:val="007736FD"/>
    <w:rsid w:val="00774DDE"/>
    <w:rsid w:val="0077621B"/>
    <w:rsid w:val="0078313B"/>
    <w:rsid w:val="0078415E"/>
    <w:rsid w:val="007850C9"/>
    <w:rsid w:val="00785284"/>
    <w:rsid w:val="00790F74"/>
    <w:rsid w:val="007920EB"/>
    <w:rsid w:val="007A43AE"/>
    <w:rsid w:val="007A5060"/>
    <w:rsid w:val="007C614C"/>
    <w:rsid w:val="007C7AAC"/>
    <w:rsid w:val="007D0D22"/>
    <w:rsid w:val="007D11F7"/>
    <w:rsid w:val="007D31D4"/>
    <w:rsid w:val="007D7646"/>
    <w:rsid w:val="007E41B8"/>
    <w:rsid w:val="007E720F"/>
    <w:rsid w:val="007F0C70"/>
    <w:rsid w:val="007F17A7"/>
    <w:rsid w:val="007F1A68"/>
    <w:rsid w:val="007F2936"/>
    <w:rsid w:val="007F6345"/>
    <w:rsid w:val="008008F2"/>
    <w:rsid w:val="008016B6"/>
    <w:rsid w:val="00803072"/>
    <w:rsid w:val="00804283"/>
    <w:rsid w:val="00807CB4"/>
    <w:rsid w:val="00823793"/>
    <w:rsid w:val="00824438"/>
    <w:rsid w:val="0082498F"/>
    <w:rsid w:val="00825D91"/>
    <w:rsid w:val="00830E61"/>
    <w:rsid w:val="00831111"/>
    <w:rsid w:val="00836645"/>
    <w:rsid w:val="008426CA"/>
    <w:rsid w:val="00851C4D"/>
    <w:rsid w:val="008540B9"/>
    <w:rsid w:val="00857C22"/>
    <w:rsid w:val="00860CF3"/>
    <w:rsid w:val="008671BE"/>
    <w:rsid w:val="00867C0B"/>
    <w:rsid w:val="00871B03"/>
    <w:rsid w:val="0087657F"/>
    <w:rsid w:val="00877172"/>
    <w:rsid w:val="00877A4C"/>
    <w:rsid w:val="0088101C"/>
    <w:rsid w:val="0088195D"/>
    <w:rsid w:val="008876DE"/>
    <w:rsid w:val="008908D4"/>
    <w:rsid w:val="00892376"/>
    <w:rsid w:val="00893A65"/>
    <w:rsid w:val="00894A2F"/>
    <w:rsid w:val="00896439"/>
    <w:rsid w:val="00897666"/>
    <w:rsid w:val="00897BCD"/>
    <w:rsid w:val="008A02D6"/>
    <w:rsid w:val="008B1A84"/>
    <w:rsid w:val="008B35C9"/>
    <w:rsid w:val="008B73A1"/>
    <w:rsid w:val="008C30D0"/>
    <w:rsid w:val="008C3226"/>
    <w:rsid w:val="008C3D9E"/>
    <w:rsid w:val="008C74D7"/>
    <w:rsid w:val="008D1226"/>
    <w:rsid w:val="008D327B"/>
    <w:rsid w:val="008D3763"/>
    <w:rsid w:val="008E1CAB"/>
    <w:rsid w:val="008F06DC"/>
    <w:rsid w:val="008F1DB4"/>
    <w:rsid w:val="008F4E6A"/>
    <w:rsid w:val="008F64F7"/>
    <w:rsid w:val="00900D70"/>
    <w:rsid w:val="009029E8"/>
    <w:rsid w:val="00904E22"/>
    <w:rsid w:val="00906F83"/>
    <w:rsid w:val="00912F51"/>
    <w:rsid w:val="00913C50"/>
    <w:rsid w:val="00914B22"/>
    <w:rsid w:val="009170CA"/>
    <w:rsid w:val="00921283"/>
    <w:rsid w:val="00922DA9"/>
    <w:rsid w:val="00930399"/>
    <w:rsid w:val="00933FC4"/>
    <w:rsid w:val="009362A9"/>
    <w:rsid w:val="00940E4A"/>
    <w:rsid w:val="00943200"/>
    <w:rsid w:val="009462A4"/>
    <w:rsid w:val="00947F13"/>
    <w:rsid w:val="00953254"/>
    <w:rsid w:val="00957881"/>
    <w:rsid w:val="0096054E"/>
    <w:rsid w:val="0096619B"/>
    <w:rsid w:val="009668A9"/>
    <w:rsid w:val="00967035"/>
    <w:rsid w:val="00971D40"/>
    <w:rsid w:val="0097315A"/>
    <w:rsid w:val="00983339"/>
    <w:rsid w:val="00985EDB"/>
    <w:rsid w:val="00991395"/>
    <w:rsid w:val="009935EF"/>
    <w:rsid w:val="00996B82"/>
    <w:rsid w:val="009A4191"/>
    <w:rsid w:val="009A48FE"/>
    <w:rsid w:val="009A6F1F"/>
    <w:rsid w:val="009B36A7"/>
    <w:rsid w:val="009C3CD5"/>
    <w:rsid w:val="009C4E05"/>
    <w:rsid w:val="009D3A7D"/>
    <w:rsid w:val="009D7228"/>
    <w:rsid w:val="009E2CE4"/>
    <w:rsid w:val="009E68A5"/>
    <w:rsid w:val="009E75AB"/>
    <w:rsid w:val="009F2EE5"/>
    <w:rsid w:val="009F716C"/>
    <w:rsid w:val="00A002B3"/>
    <w:rsid w:val="00A02CE9"/>
    <w:rsid w:val="00A038AA"/>
    <w:rsid w:val="00A0708A"/>
    <w:rsid w:val="00A14C3E"/>
    <w:rsid w:val="00A21690"/>
    <w:rsid w:val="00A22082"/>
    <w:rsid w:val="00A24854"/>
    <w:rsid w:val="00A24EF7"/>
    <w:rsid w:val="00A33F16"/>
    <w:rsid w:val="00A53378"/>
    <w:rsid w:val="00A61670"/>
    <w:rsid w:val="00A61AB5"/>
    <w:rsid w:val="00A62CA1"/>
    <w:rsid w:val="00A668EA"/>
    <w:rsid w:val="00A7322A"/>
    <w:rsid w:val="00A76004"/>
    <w:rsid w:val="00A76238"/>
    <w:rsid w:val="00A80C13"/>
    <w:rsid w:val="00A847E6"/>
    <w:rsid w:val="00A93BB1"/>
    <w:rsid w:val="00A95C96"/>
    <w:rsid w:val="00A97818"/>
    <w:rsid w:val="00AA177F"/>
    <w:rsid w:val="00AA493F"/>
    <w:rsid w:val="00AA72E3"/>
    <w:rsid w:val="00AB0131"/>
    <w:rsid w:val="00AB2D87"/>
    <w:rsid w:val="00AB4FA4"/>
    <w:rsid w:val="00AB5468"/>
    <w:rsid w:val="00AC5564"/>
    <w:rsid w:val="00AC7E4C"/>
    <w:rsid w:val="00AD3486"/>
    <w:rsid w:val="00AD4362"/>
    <w:rsid w:val="00AD502C"/>
    <w:rsid w:val="00AD7CB5"/>
    <w:rsid w:val="00AE5793"/>
    <w:rsid w:val="00AE5AA2"/>
    <w:rsid w:val="00AE7128"/>
    <w:rsid w:val="00AF01EF"/>
    <w:rsid w:val="00AF1388"/>
    <w:rsid w:val="00AF2362"/>
    <w:rsid w:val="00AF2D41"/>
    <w:rsid w:val="00AF2FB4"/>
    <w:rsid w:val="00AF346F"/>
    <w:rsid w:val="00AF34BE"/>
    <w:rsid w:val="00AF3F3C"/>
    <w:rsid w:val="00AF79B6"/>
    <w:rsid w:val="00B00D91"/>
    <w:rsid w:val="00B0311F"/>
    <w:rsid w:val="00B03A44"/>
    <w:rsid w:val="00B043A6"/>
    <w:rsid w:val="00B07595"/>
    <w:rsid w:val="00B103F8"/>
    <w:rsid w:val="00B22BCD"/>
    <w:rsid w:val="00B2365F"/>
    <w:rsid w:val="00B400BB"/>
    <w:rsid w:val="00B43335"/>
    <w:rsid w:val="00B511F2"/>
    <w:rsid w:val="00B54804"/>
    <w:rsid w:val="00B5488D"/>
    <w:rsid w:val="00B57041"/>
    <w:rsid w:val="00B60322"/>
    <w:rsid w:val="00B62194"/>
    <w:rsid w:val="00B6561F"/>
    <w:rsid w:val="00B66713"/>
    <w:rsid w:val="00B67D57"/>
    <w:rsid w:val="00B70B94"/>
    <w:rsid w:val="00B71583"/>
    <w:rsid w:val="00B72B08"/>
    <w:rsid w:val="00B7542C"/>
    <w:rsid w:val="00B75806"/>
    <w:rsid w:val="00B80600"/>
    <w:rsid w:val="00B8243C"/>
    <w:rsid w:val="00B83642"/>
    <w:rsid w:val="00B8569E"/>
    <w:rsid w:val="00B86258"/>
    <w:rsid w:val="00B90931"/>
    <w:rsid w:val="00B92F9C"/>
    <w:rsid w:val="00BA6E76"/>
    <w:rsid w:val="00BC3616"/>
    <w:rsid w:val="00BC3884"/>
    <w:rsid w:val="00BC3B65"/>
    <w:rsid w:val="00BD0596"/>
    <w:rsid w:val="00BD1ABC"/>
    <w:rsid w:val="00BD3DDA"/>
    <w:rsid w:val="00BD5A8A"/>
    <w:rsid w:val="00BE0854"/>
    <w:rsid w:val="00BE2272"/>
    <w:rsid w:val="00BE5FCA"/>
    <w:rsid w:val="00BE662A"/>
    <w:rsid w:val="00BE667C"/>
    <w:rsid w:val="00BF0104"/>
    <w:rsid w:val="00BF0850"/>
    <w:rsid w:val="00BF2966"/>
    <w:rsid w:val="00BF3BA9"/>
    <w:rsid w:val="00BF459A"/>
    <w:rsid w:val="00BF5EBF"/>
    <w:rsid w:val="00C150E0"/>
    <w:rsid w:val="00C201FB"/>
    <w:rsid w:val="00C21D44"/>
    <w:rsid w:val="00C267A3"/>
    <w:rsid w:val="00C32C71"/>
    <w:rsid w:val="00C338CD"/>
    <w:rsid w:val="00C35BBC"/>
    <w:rsid w:val="00C3629B"/>
    <w:rsid w:val="00C40797"/>
    <w:rsid w:val="00C45A19"/>
    <w:rsid w:val="00C4669D"/>
    <w:rsid w:val="00C51C64"/>
    <w:rsid w:val="00C52AC9"/>
    <w:rsid w:val="00C53ADF"/>
    <w:rsid w:val="00C54DF4"/>
    <w:rsid w:val="00C56E81"/>
    <w:rsid w:val="00C62604"/>
    <w:rsid w:val="00C629AE"/>
    <w:rsid w:val="00C71B80"/>
    <w:rsid w:val="00C72E41"/>
    <w:rsid w:val="00C7742D"/>
    <w:rsid w:val="00C8307A"/>
    <w:rsid w:val="00C86961"/>
    <w:rsid w:val="00C90671"/>
    <w:rsid w:val="00C95E9F"/>
    <w:rsid w:val="00C96EF1"/>
    <w:rsid w:val="00CA1861"/>
    <w:rsid w:val="00CA2085"/>
    <w:rsid w:val="00CA4A64"/>
    <w:rsid w:val="00CB565B"/>
    <w:rsid w:val="00CB5B10"/>
    <w:rsid w:val="00CC05A8"/>
    <w:rsid w:val="00CC126D"/>
    <w:rsid w:val="00CC2923"/>
    <w:rsid w:val="00CD67EB"/>
    <w:rsid w:val="00CE3141"/>
    <w:rsid w:val="00CE66EC"/>
    <w:rsid w:val="00CE6AFC"/>
    <w:rsid w:val="00CF44A9"/>
    <w:rsid w:val="00CF524F"/>
    <w:rsid w:val="00CF73D2"/>
    <w:rsid w:val="00CF742E"/>
    <w:rsid w:val="00CF7D3B"/>
    <w:rsid w:val="00D01BC5"/>
    <w:rsid w:val="00D039F2"/>
    <w:rsid w:val="00D0691F"/>
    <w:rsid w:val="00D07095"/>
    <w:rsid w:val="00D138D3"/>
    <w:rsid w:val="00D156A3"/>
    <w:rsid w:val="00D16927"/>
    <w:rsid w:val="00D175AB"/>
    <w:rsid w:val="00D21661"/>
    <w:rsid w:val="00D23A6D"/>
    <w:rsid w:val="00D241FA"/>
    <w:rsid w:val="00D24F61"/>
    <w:rsid w:val="00D2623D"/>
    <w:rsid w:val="00D2663D"/>
    <w:rsid w:val="00D27059"/>
    <w:rsid w:val="00D30135"/>
    <w:rsid w:val="00D51FE6"/>
    <w:rsid w:val="00D562DD"/>
    <w:rsid w:val="00D618B2"/>
    <w:rsid w:val="00D6590A"/>
    <w:rsid w:val="00D70B4E"/>
    <w:rsid w:val="00D70BC5"/>
    <w:rsid w:val="00D80791"/>
    <w:rsid w:val="00D82110"/>
    <w:rsid w:val="00D821C7"/>
    <w:rsid w:val="00D8312A"/>
    <w:rsid w:val="00D91A8B"/>
    <w:rsid w:val="00D92717"/>
    <w:rsid w:val="00D95A83"/>
    <w:rsid w:val="00DA44BA"/>
    <w:rsid w:val="00DA70A3"/>
    <w:rsid w:val="00DB3BCC"/>
    <w:rsid w:val="00DB4E88"/>
    <w:rsid w:val="00DB6100"/>
    <w:rsid w:val="00DB6E51"/>
    <w:rsid w:val="00DC3C8A"/>
    <w:rsid w:val="00DD1128"/>
    <w:rsid w:val="00DD2056"/>
    <w:rsid w:val="00DD3108"/>
    <w:rsid w:val="00DD7597"/>
    <w:rsid w:val="00DE152F"/>
    <w:rsid w:val="00DE6181"/>
    <w:rsid w:val="00DF1E54"/>
    <w:rsid w:val="00DF25C7"/>
    <w:rsid w:val="00DF49E1"/>
    <w:rsid w:val="00DF68E6"/>
    <w:rsid w:val="00DF77FD"/>
    <w:rsid w:val="00E070ED"/>
    <w:rsid w:val="00E12882"/>
    <w:rsid w:val="00E14F5A"/>
    <w:rsid w:val="00E20371"/>
    <w:rsid w:val="00E23C83"/>
    <w:rsid w:val="00E248F6"/>
    <w:rsid w:val="00E304F0"/>
    <w:rsid w:val="00E3390F"/>
    <w:rsid w:val="00E34217"/>
    <w:rsid w:val="00E36216"/>
    <w:rsid w:val="00E425D1"/>
    <w:rsid w:val="00E43934"/>
    <w:rsid w:val="00E443B0"/>
    <w:rsid w:val="00E44770"/>
    <w:rsid w:val="00E45665"/>
    <w:rsid w:val="00E457CC"/>
    <w:rsid w:val="00E55D50"/>
    <w:rsid w:val="00E6421B"/>
    <w:rsid w:val="00E76733"/>
    <w:rsid w:val="00E80570"/>
    <w:rsid w:val="00E85150"/>
    <w:rsid w:val="00E9229D"/>
    <w:rsid w:val="00E93885"/>
    <w:rsid w:val="00E9573D"/>
    <w:rsid w:val="00E9783C"/>
    <w:rsid w:val="00EA1A2F"/>
    <w:rsid w:val="00EA2959"/>
    <w:rsid w:val="00EA7986"/>
    <w:rsid w:val="00EB134B"/>
    <w:rsid w:val="00EB15FB"/>
    <w:rsid w:val="00EB3DD8"/>
    <w:rsid w:val="00EB4DBF"/>
    <w:rsid w:val="00EC38CF"/>
    <w:rsid w:val="00ED111D"/>
    <w:rsid w:val="00ED3594"/>
    <w:rsid w:val="00ED3E23"/>
    <w:rsid w:val="00ED65E7"/>
    <w:rsid w:val="00EE5052"/>
    <w:rsid w:val="00EE5C25"/>
    <w:rsid w:val="00F01869"/>
    <w:rsid w:val="00F20874"/>
    <w:rsid w:val="00F225A0"/>
    <w:rsid w:val="00F30684"/>
    <w:rsid w:val="00F32B57"/>
    <w:rsid w:val="00F3358C"/>
    <w:rsid w:val="00F33F8F"/>
    <w:rsid w:val="00F35187"/>
    <w:rsid w:val="00F35C10"/>
    <w:rsid w:val="00F405E6"/>
    <w:rsid w:val="00F42C44"/>
    <w:rsid w:val="00F42CE3"/>
    <w:rsid w:val="00F430D0"/>
    <w:rsid w:val="00F46BD5"/>
    <w:rsid w:val="00F47EA7"/>
    <w:rsid w:val="00F506FC"/>
    <w:rsid w:val="00F533D5"/>
    <w:rsid w:val="00F54896"/>
    <w:rsid w:val="00F56532"/>
    <w:rsid w:val="00F611C1"/>
    <w:rsid w:val="00F71124"/>
    <w:rsid w:val="00F72229"/>
    <w:rsid w:val="00F75646"/>
    <w:rsid w:val="00F7790E"/>
    <w:rsid w:val="00F924ED"/>
    <w:rsid w:val="00F96272"/>
    <w:rsid w:val="00FA3952"/>
    <w:rsid w:val="00FA510E"/>
    <w:rsid w:val="00FA5A5C"/>
    <w:rsid w:val="00FB36EE"/>
    <w:rsid w:val="00FB4EDA"/>
    <w:rsid w:val="00FC1EE3"/>
    <w:rsid w:val="00FD6FBD"/>
    <w:rsid w:val="00FD7EAA"/>
    <w:rsid w:val="00FE070F"/>
    <w:rsid w:val="00FF06D2"/>
    <w:rsid w:val="00FF0E7F"/>
    <w:rsid w:val="00FF14D1"/>
    <w:rsid w:val="00FF5B79"/>
    <w:rsid w:val="00FF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F8FE11"/>
  <w15:docId w15:val="{02437550-5B38-4DA5-96B0-9DC7FAE1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9067F"/>
    <w:pPr>
      <w:spacing w:before="120" w:after="120" w:line="240" w:lineRule="auto"/>
      <w:jc w:val="both"/>
    </w:pPr>
    <w:rPr>
      <w:rFonts w:ascii="Times New Roman" w:hAnsi="Times New Roman" w:cs="Times New Roman"/>
      <w:sz w:val="24"/>
      <w:lang w:val="sl-SI"/>
    </w:rPr>
  </w:style>
  <w:style w:type="paragraph" w:styleId="Naslov1">
    <w:name w:val="heading 1"/>
    <w:basedOn w:val="Navaden"/>
    <w:next w:val="Text1"/>
    <w:link w:val="Naslov1Znak"/>
    <w:uiPriority w:val="9"/>
    <w:qFormat/>
    <w:pPr>
      <w:keepNext/>
      <w:numPr>
        <w:numId w:val="18"/>
      </w:numPr>
      <w:spacing w:before="360"/>
      <w:outlineLvl w:val="0"/>
    </w:pPr>
    <w:rPr>
      <w:rFonts w:eastAsiaTheme="majorEastAsia"/>
      <w:b/>
      <w:bCs/>
      <w:smallCaps/>
      <w:szCs w:val="28"/>
    </w:rPr>
  </w:style>
  <w:style w:type="paragraph" w:styleId="Naslov2">
    <w:name w:val="heading 2"/>
    <w:basedOn w:val="Navaden"/>
    <w:next w:val="Text1"/>
    <w:link w:val="Naslov2Znak"/>
    <w:uiPriority w:val="9"/>
    <w:semiHidden/>
    <w:unhideWhenUsed/>
    <w:qFormat/>
    <w:pPr>
      <w:keepNext/>
      <w:numPr>
        <w:ilvl w:val="1"/>
        <w:numId w:val="18"/>
      </w:numPr>
      <w:outlineLvl w:val="1"/>
    </w:pPr>
    <w:rPr>
      <w:rFonts w:eastAsiaTheme="majorEastAsia"/>
      <w:b/>
      <w:bCs/>
      <w:szCs w:val="26"/>
    </w:rPr>
  </w:style>
  <w:style w:type="paragraph" w:styleId="Naslov3">
    <w:name w:val="heading 3"/>
    <w:basedOn w:val="Navaden"/>
    <w:next w:val="Text1"/>
    <w:link w:val="Naslov3Znak"/>
    <w:uiPriority w:val="9"/>
    <w:semiHidden/>
    <w:unhideWhenUsed/>
    <w:qFormat/>
    <w:pPr>
      <w:keepNext/>
      <w:numPr>
        <w:ilvl w:val="2"/>
        <w:numId w:val="18"/>
      </w:numPr>
      <w:outlineLvl w:val="2"/>
    </w:pPr>
    <w:rPr>
      <w:rFonts w:eastAsiaTheme="majorEastAsia"/>
      <w:bCs/>
      <w:i/>
    </w:rPr>
  </w:style>
  <w:style w:type="paragraph" w:styleId="Naslov4">
    <w:name w:val="heading 4"/>
    <w:basedOn w:val="Navaden"/>
    <w:next w:val="Text1"/>
    <w:link w:val="Naslov4Znak"/>
    <w:uiPriority w:val="9"/>
    <w:semiHidden/>
    <w:unhideWhenUsed/>
    <w:qFormat/>
    <w:pPr>
      <w:keepNext/>
      <w:numPr>
        <w:ilvl w:val="3"/>
        <w:numId w:val="18"/>
      </w:numPr>
      <w:outlineLvl w:val="3"/>
    </w:pPr>
    <w:rPr>
      <w:rFonts w:eastAsiaTheme="majorEastAsia"/>
      <w:bCs/>
      <w:iCs/>
    </w:rPr>
  </w:style>
  <w:style w:type="paragraph" w:styleId="Naslov5">
    <w:name w:val="heading 5"/>
    <w:basedOn w:val="Navaden"/>
    <w:next w:val="Text2"/>
    <w:link w:val="Naslov5Znak"/>
    <w:uiPriority w:val="9"/>
    <w:semiHidden/>
    <w:unhideWhenUsed/>
    <w:qFormat/>
    <w:pPr>
      <w:keepNext/>
      <w:numPr>
        <w:ilvl w:val="4"/>
        <w:numId w:val="18"/>
      </w:numPr>
      <w:outlineLvl w:val="4"/>
    </w:pPr>
    <w:rPr>
      <w:rFonts w:eastAsiaTheme="majorEastAsia"/>
    </w:rPr>
  </w:style>
  <w:style w:type="paragraph" w:styleId="Naslov6">
    <w:name w:val="heading 6"/>
    <w:basedOn w:val="Navaden"/>
    <w:next w:val="Text2"/>
    <w:link w:val="Naslov6Znak"/>
    <w:uiPriority w:val="9"/>
    <w:semiHidden/>
    <w:unhideWhenUsed/>
    <w:qFormat/>
    <w:pPr>
      <w:keepNext/>
      <w:numPr>
        <w:ilvl w:val="5"/>
        <w:numId w:val="18"/>
      </w:numPr>
      <w:outlineLvl w:val="5"/>
    </w:pPr>
    <w:rPr>
      <w:rFonts w:eastAsiaTheme="majorEastAsia"/>
      <w:iCs/>
    </w:rPr>
  </w:style>
  <w:style w:type="paragraph" w:styleId="Naslov7">
    <w:name w:val="heading 7"/>
    <w:basedOn w:val="Navaden"/>
    <w:next w:val="Text2"/>
    <w:link w:val="Naslov7Znak"/>
    <w:uiPriority w:val="9"/>
    <w:semiHidden/>
    <w:unhideWhenUsed/>
    <w:qFormat/>
    <w:pPr>
      <w:keepNext/>
      <w:numPr>
        <w:ilvl w:val="6"/>
        <w:numId w:val="18"/>
      </w:numPr>
      <w:outlineLvl w:val="6"/>
    </w:pPr>
    <w:rPr>
      <w:rFonts w:eastAsiaTheme="majorEastAsia"/>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657F"/>
    <w:rPr>
      <w:sz w:val="16"/>
      <w:szCs w:val="16"/>
    </w:rPr>
  </w:style>
  <w:style w:type="paragraph" w:styleId="Pripombabesedilo">
    <w:name w:val="annotation text"/>
    <w:basedOn w:val="Navaden"/>
    <w:link w:val="PripombabesediloZnak"/>
    <w:uiPriority w:val="99"/>
    <w:unhideWhenUsed/>
    <w:rsid w:val="0087657F"/>
    <w:rPr>
      <w:sz w:val="20"/>
      <w:szCs w:val="20"/>
    </w:rPr>
  </w:style>
  <w:style w:type="character" w:customStyle="1" w:styleId="PripombabesediloZnak">
    <w:name w:val="Pripomba – besedilo Znak"/>
    <w:basedOn w:val="Privzetapisavaodstavka"/>
    <w:link w:val="Pripombabesedilo"/>
    <w:uiPriority w:val="99"/>
    <w:rsid w:val="0087657F"/>
    <w:rPr>
      <w:rFonts w:ascii="Times New Roman" w:hAnsi="Times New Roman" w:cs="Times New Roman"/>
      <w:sz w:val="20"/>
      <w:szCs w:val="20"/>
      <w:lang w:val="sl-SI"/>
    </w:rPr>
  </w:style>
  <w:style w:type="paragraph" w:styleId="Odstavekseznama">
    <w:name w:val="List Paragraph"/>
    <w:basedOn w:val="Navaden"/>
    <w:uiPriority w:val="34"/>
    <w:qFormat/>
    <w:rsid w:val="0087657F"/>
    <w:pPr>
      <w:ind w:left="720"/>
      <w:contextualSpacing/>
    </w:pPr>
  </w:style>
  <w:style w:type="table" w:styleId="Tabelamrea">
    <w:name w:val="Table Grid"/>
    <w:basedOn w:val="Navadnatabela"/>
    <w:uiPriority w:val="5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7657F"/>
    <w:pPr>
      <w:spacing w:before="0" w:after="200"/>
    </w:pPr>
    <w:rPr>
      <w:i/>
      <w:iCs/>
      <w:color w:val="1F497D" w:themeColor="text2"/>
      <w:sz w:val="18"/>
      <w:szCs w:val="18"/>
    </w:rPr>
  </w:style>
  <w:style w:type="character" w:customStyle="1" w:styleId="Mention1">
    <w:name w:val="Mention1"/>
    <w:basedOn w:val="Privzetapisavaodstavka"/>
    <w:uiPriority w:val="99"/>
    <w:unhideWhenUsed/>
    <w:rsid w:val="0087657F"/>
    <w:rPr>
      <w:color w:val="2B579A"/>
      <w:shd w:val="clear" w:color="auto" w:fill="E6E6E6"/>
    </w:rPr>
  </w:style>
  <w:style w:type="table" w:styleId="Tabelasvetlamrea">
    <w:name w:val="Grid Table Light"/>
    <w:basedOn w:val="Navadnatabela"/>
    <w:uiPriority w:val="40"/>
    <w:rsid w:val="008765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87657F"/>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657F"/>
    <w:rPr>
      <w:rFonts w:ascii="Segoe UI" w:hAnsi="Segoe UI" w:cs="Segoe UI"/>
      <w:sz w:val="18"/>
      <w:szCs w:val="18"/>
      <w:lang w:val="sl-SI"/>
    </w:rPr>
  </w:style>
  <w:style w:type="paragraph" w:styleId="Kazaloslik">
    <w:name w:val="table of figures"/>
    <w:basedOn w:val="Navaden"/>
    <w:next w:val="Navaden"/>
    <w:uiPriority w:val="99"/>
    <w:semiHidden/>
    <w:unhideWhenUsed/>
    <w:rsid w:val="00244A46"/>
    <w:pPr>
      <w:spacing w:after="0"/>
    </w:pPr>
  </w:style>
  <w:style w:type="paragraph" w:styleId="Oznaenseznam">
    <w:name w:val="List Bullet"/>
    <w:basedOn w:val="Navaden"/>
    <w:uiPriority w:val="99"/>
    <w:semiHidden/>
    <w:unhideWhenUsed/>
    <w:rsid w:val="00244A46"/>
    <w:pPr>
      <w:numPr>
        <w:numId w:val="1"/>
      </w:numPr>
      <w:contextualSpacing/>
    </w:pPr>
  </w:style>
  <w:style w:type="paragraph" w:styleId="Oznaenseznam2">
    <w:name w:val="List Bullet 2"/>
    <w:basedOn w:val="Navaden"/>
    <w:uiPriority w:val="99"/>
    <w:semiHidden/>
    <w:unhideWhenUsed/>
    <w:rsid w:val="00244A46"/>
    <w:pPr>
      <w:numPr>
        <w:numId w:val="2"/>
      </w:numPr>
      <w:contextualSpacing/>
    </w:pPr>
  </w:style>
  <w:style w:type="paragraph" w:styleId="Oznaenseznam3">
    <w:name w:val="List Bullet 3"/>
    <w:basedOn w:val="Navaden"/>
    <w:uiPriority w:val="99"/>
    <w:semiHidden/>
    <w:unhideWhenUsed/>
    <w:rsid w:val="00244A46"/>
    <w:pPr>
      <w:numPr>
        <w:numId w:val="3"/>
      </w:numPr>
      <w:contextualSpacing/>
    </w:pPr>
  </w:style>
  <w:style w:type="paragraph" w:styleId="Oznaenseznam4">
    <w:name w:val="List Bullet 4"/>
    <w:basedOn w:val="Navaden"/>
    <w:uiPriority w:val="99"/>
    <w:semiHidden/>
    <w:unhideWhenUsed/>
    <w:rsid w:val="00244A46"/>
    <w:pPr>
      <w:numPr>
        <w:numId w:val="4"/>
      </w:numPr>
      <w:contextualSpacing/>
    </w:pPr>
  </w:style>
  <w:style w:type="paragraph" w:styleId="Otevilenseznam">
    <w:name w:val="List Number"/>
    <w:basedOn w:val="Navaden"/>
    <w:uiPriority w:val="99"/>
    <w:semiHidden/>
    <w:unhideWhenUsed/>
    <w:rsid w:val="00244A46"/>
    <w:pPr>
      <w:numPr>
        <w:numId w:val="5"/>
      </w:numPr>
      <w:contextualSpacing/>
    </w:pPr>
  </w:style>
  <w:style w:type="paragraph" w:styleId="Otevilenseznam2">
    <w:name w:val="List Number 2"/>
    <w:basedOn w:val="Navaden"/>
    <w:uiPriority w:val="99"/>
    <w:semiHidden/>
    <w:unhideWhenUsed/>
    <w:rsid w:val="00244A46"/>
    <w:pPr>
      <w:numPr>
        <w:numId w:val="6"/>
      </w:numPr>
      <w:contextualSpacing/>
    </w:pPr>
  </w:style>
  <w:style w:type="paragraph" w:styleId="Otevilenseznam3">
    <w:name w:val="List Number 3"/>
    <w:basedOn w:val="Navaden"/>
    <w:uiPriority w:val="99"/>
    <w:semiHidden/>
    <w:unhideWhenUsed/>
    <w:rsid w:val="00244A46"/>
    <w:pPr>
      <w:numPr>
        <w:numId w:val="7"/>
      </w:numPr>
      <w:contextualSpacing/>
    </w:pPr>
  </w:style>
  <w:style w:type="paragraph" w:styleId="Otevilenseznam4">
    <w:name w:val="List Number 4"/>
    <w:basedOn w:val="Navaden"/>
    <w:uiPriority w:val="99"/>
    <w:semiHidden/>
    <w:unhideWhenUsed/>
    <w:rsid w:val="00244A46"/>
    <w:pPr>
      <w:numPr>
        <w:numId w:val="8"/>
      </w:numPr>
      <w:contextualSpacing/>
    </w:pPr>
  </w:style>
  <w:style w:type="paragraph" w:styleId="Revizija">
    <w:name w:val="Revision"/>
    <w:hidden/>
    <w:uiPriority w:val="99"/>
    <w:semiHidden/>
    <w:rsid w:val="00C8307A"/>
    <w:pPr>
      <w:spacing w:after="0" w:line="240" w:lineRule="auto"/>
    </w:pPr>
    <w:rPr>
      <w:rFonts w:ascii="Times New Roman" w:hAnsi="Times New Roman" w:cs="Times New Roman"/>
      <w:sz w:val="24"/>
    </w:rPr>
  </w:style>
  <w:style w:type="paragraph" w:styleId="Zadevapripombe">
    <w:name w:val="annotation subject"/>
    <w:basedOn w:val="Pripombabesedilo"/>
    <w:next w:val="Pripombabesedilo"/>
    <w:link w:val="ZadevapripombeZnak"/>
    <w:uiPriority w:val="99"/>
    <w:semiHidden/>
    <w:unhideWhenUsed/>
    <w:rsid w:val="00AD502C"/>
    <w:rPr>
      <w:b/>
      <w:bCs/>
    </w:rPr>
  </w:style>
  <w:style w:type="character" w:customStyle="1" w:styleId="ZadevapripombeZnak">
    <w:name w:val="Zadeva pripombe Znak"/>
    <w:basedOn w:val="PripombabesediloZnak"/>
    <w:link w:val="Zadevapripombe"/>
    <w:uiPriority w:val="99"/>
    <w:semiHidden/>
    <w:rsid w:val="00AD502C"/>
    <w:rPr>
      <w:rFonts w:ascii="Times New Roman" w:hAnsi="Times New Roman" w:cs="Times New Roman"/>
      <w:b/>
      <w:bCs/>
      <w:sz w:val="20"/>
      <w:szCs w:val="20"/>
      <w:lang w:val="sl-SI"/>
    </w:rPr>
  </w:style>
  <w:style w:type="character" w:styleId="Hiperpovezava">
    <w:name w:val="Hyperlink"/>
    <w:basedOn w:val="Privzetapisavaodstavka"/>
    <w:uiPriority w:val="99"/>
    <w:unhideWhenUsed/>
    <w:rsid w:val="00AD502C"/>
    <w:rPr>
      <w:color w:val="0000FF" w:themeColor="hyperlink"/>
      <w:u w:val="single"/>
    </w:rPr>
  </w:style>
  <w:style w:type="table" w:styleId="Tabelasvetlamrea1">
    <w:name w:val="Grid Table 1 Light"/>
    <w:basedOn w:val="Navadnatabela"/>
    <w:uiPriority w:val="46"/>
    <w:rsid w:val="00AD50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elseznam1">
    <w:name w:val="List Table 1 Light"/>
    <w:basedOn w:val="Navadnatabela"/>
    <w:uiPriority w:val="46"/>
    <w:rsid w:val="00AD50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Navadnatabela1">
    <w:name w:val="Plain Table 1"/>
    <w:basedOn w:val="Navadnatabela"/>
    <w:uiPriority w:val="41"/>
    <w:rsid w:val="00AD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141E24"/>
    <w:rPr>
      <w:color w:val="800080" w:themeColor="followedHyperlink"/>
      <w:u w:val="single"/>
    </w:rPr>
  </w:style>
  <w:style w:type="paragraph" w:styleId="Glava">
    <w:name w:val="header"/>
    <w:basedOn w:val="Navaden"/>
    <w:link w:val="GlavaZnak"/>
    <w:uiPriority w:val="99"/>
    <w:unhideWhenUsed/>
    <w:rsid w:val="00AF2362"/>
    <w:pPr>
      <w:tabs>
        <w:tab w:val="center" w:pos="4535"/>
        <w:tab w:val="right" w:pos="9071"/>
      </w:tabs>
      <w:spacing w:before="0"/>
    </w:pPr>
  </w:style>
  <w:style w:type="character" w:customStyle="1" w:styleId="GlavaZnak">
    <w:name w:val="Glava Znak"/>
    <w:basedOn w:val="Privzetapisavaodstavka"/>
    <w:link w:val="Glava"/>
    <w:uiPriority w:val="99"/>
    <w:rsid w:val="00AF2362"/>
    <w:rPr>
      <w:rFonts w:ascii="Times New Roman" w:hAnsi="Times New Roman" w:cs="Times New Roman"/>
      <w:sz w:val="24"/>
      <w:lang w:val="sl-SI"/>
    </w:rPr>
  </w:style>
  <w:style w:type="paragraph" w:styleId="Noga">
    <w:name w:val="footer"/>
    <w:basedOn w:val="Navaden"/>
    <w:link w:val="NogaZnak"/>
    <w:uiPriority w:val="99"/>
    <w:unhideWhenUsed/>
    <w:rsid w:val="00AF2362"/>
    <w:pPr>
      <w:tabs>
        <w:tab w:val="center" w:pos="4535"/>
        <w:tab w:val="right" w:pos="9071"/>
        <w:tab w:val="right" w:pos="9921"/>
      </w:tabs>
      <w:spacing w:before="360" w:after="0"/>
      <w:ind w:left="-850" w:right="-850"/>
      <w:jc w:val="left"/>
    </w:pPr>
  </w:style>
  <w:style w:type="character" w:customStyle="1" w:styleId="NogaZnak">
    <w:name w:val="Noga Znak"/>
    <w:basedOn w:val="Privzetapisavaodstavka"/>
    <w:link w:val="Noga"/>
    <w:uiPriority w:val="99"/>
    <w:rsid w:val="00AF2362"/>
    <w:rPr>
      <w:rFonts w:ascii="Times New Roman" w:hAnsi="Times New Roman" w:cs="Times New Roman"/>
      <w:sz w:val="24"/>
      <w:lang w:val="sl-SI"/>
    </w:rPr>
  </w:style>
  <w:style w:type="paragraph" w:styleId="Sprotnaopomba-besedilo">
    <w:name w:val="footnote text"/>
    <w:basedOn w:val="Navaden"/>
    <w:link w:val="Sprotnaopomba-besediloZnak"/>
    <w:uiPriority w:val="99"/>
    <w:semiHidden/>
    <w:unhideWhenUsed/>
    <w:pPr>
      <w:spacing w:before="0" w:after="0"/>
      <w:ind w:left="720" w:hanging="720"/>
    </w:pPr>
    <w:rPr>
      <w:sz w:val="20"/>
      <w:szCs w:val="20"/>
    </w:rPr>
  </w:style>
  <w:style w:type="character" w:customStyle="1" w:styleId="Sprotnaopomba-besediloZnak">
    <w:name w:val="Sprotna opomba - besedilo Znak"/>
    <w:basedOn w:val="Privzetapisavaodstavka"/>
    <w:link w:val="Sprotnaopomba-besedilo"/>
    <w:uiPriority w:val="99"/>
    <w:semiHidden/>
    <w:rPr>
      <w:rFonts w:ascii="Times New Roman" w:hAnsi="Times New Roman" w:cs="Times New Roman"/>
      <w:sz w:val="20"/>
      <w:szCs w:val="20"/>
      <w:shd w:val="clear" w:color="auto" w:fill="auto"/>
      <w:lang w:val="en-GB"/>
    </w:rPr>
  </w:style>
  <w:style w:type="character" w:customStyle="1" w:styleId="Naslov1Znak">
    <w:name w:val="Naslov 1 Znak"/>
    <w:basedOn w:val="Privzetapisavaodstavka"/>
    <w:link w:val="Naslov1"/>
    <w:uiPriority w:val="9"/>
    <w:rPr>
      <w:rFonts w:ascii="Times New Roman" w:eastAsiaTheme="majorEastAsia" w:hAnsi="Times New Roman" w:cs="Times New Roman"/>
      <w:b/>
      <w:bCs/>
      <w:smallCaps/>
      <w:sz w:val="24"/>
      <w:szCs w:val="28"/>
      <w:lang w:val="sl-SI"/>
    </w:rPr>
  </w:style>
  <w:style w:type="character" w:customStyle="1" w:styleId="Naslov2Znak">
    <w:name w:val="Naslov 2 Znak"/>
    <w:basedOn w:val="Privzetapisavaodstavka"/>
    <w:link w:val="Naslov2"/>
    <w:uiPriority w:val="9"/>
    <w:semiHidden/>
    <w:rPr>
      <w:rFonts w:ascii="Times New Roman" w:eastAsiaTheme="majorEastAsia" w:hAnsi="Times New Roman" w:cs="Times New Roman"/>
      <w:b/>
      <w:bCs/>
      <w:sz w:val="24"/>
      <w:szCs w:val="26"/>
      <w:lang w:val="sl-SI"/>
    </w:rPr>
  </w:style>
  <w:style w:type="character" w:customStyle="1" w:styleId="Naslov3Znak">
    <w:name w:val="Naslov 3 Znak"/>
    <w:basedOn w:val="Privzetapisavaodstavka"/>
    <w:link w:val="Naslov3"/>
    <w:uiPriority w:val="9"/>
    <w:semiHidden/>
    <w:rPr>
      <w:rFonts w:ascii="Times New Roman" w:eastAsiaTheme="majorEastAsia" w:hAnsi="Times New Roman" w:cs="Times New Roman"/>
      <w:bCs/>
      <w:i/>
      <w:sz w:val="24"/>
      <w:lang w:val="sl-SI"/>
    </w:rPr>
  </w:style>
  <w:style w:type="character" w:customStyle="1" w:styleId="Naslov4Znak">
    <w:name w:val="Naslov 4 Znak"/>
    <w:basedOn w:val="Privzetapisavaodstavka"/>
    <w:link w:val="Naslov4"/>
    <w:uiPriority w:val="9"/>
    <w:semiHidden/>
    <w:rPr>
      <w:rFonts w:ascii="Times New Roman" w:eastAsiaTheme="majorEastAsia" w:hAnsi="Times New Roman" w:cs="Times New Roman"/>
      <w:bCs/>
      <w:iCs/>
      <w:sz w:val="24"/>
      <w:lang w:val="sl-SI"/>
    </w:rPr>
  </w:style>
  <w:style w:type="character" w:customStyle="1" w:styleId="Naslov5Znak">
    <w:name w:val="Naslov 5 Znak"/>
    <w:basedOn w:val="Privzetapisavaodstavka"/>
    <w:link w:val="Naslov5"/>
    <w:uiPriority w:val="9"/>
    <w:semiHidden/>
    <w:rPr>
      <w:rFonts w:ascii="Times New Roman" w:eastAsiaTheme="majorEastAsia" w:hAnsi="Times New Roman" w:cs="Times New Roman"/>
      <w:sz w:val="24"/>
      <w:lang w:val="sl-SI"/>
    </w:rPr>
  </w:style>
  <w:style w:type="character" w:customStyle="1" w:styleId="Naslov6Znak">
    <w:name w:val="Naslov 6 Znak"/>
    <w:basedOn w:val="Privzetapisavaodstavka"/>
    <w:link w:val="Naslov6"/>
    <w:uiPriority w:val="9"/>
    <w:semiHidden/>
    <w:rPr>
      <w:rFonts w:ascii="Times New Roman" w:eastAsiaTheme="majorEastAsia" w:hAnsi="Times New Roman" w:cs="Times New Roman"/>
      <w:iCs/>
      <w:sz w:val="24"/>
      <w:lang w:val="sl-SI"/>
    </w:rPr>
  </w:style>
  <w:style w:type="character" w:customStyle="1" w:styleId="Naslov7Znak">
    <w:name w:val="Naslov 7 Znak"/>
    <w:basedOn w:val="Privzetapisavaodstavka"/>
    <w:link w:val="Naslov7"/>
    <w:uiPriority w:val="9"/>
    <w:semiHidden/>
    <w:rPr>
      <w:rFonts w:ascii="Times New Roman" w:eastAsiaTheme="majorEastAsia" w:hAnsi="Times New Roman" w:cs="Times New Roman"/>
      <w:iCs/>
      <w:sz w:val="24"/>
      <w:lang w:val="sl-SI"/>
    </w:rPr>
  </w:style>
  <w:style w:type="paragraph" w:styleId="NaslovTOC">
    <w:name w:val="TOC Heading"/>
    <w:basedOn w:val="Navaden"/>
    <w:next w:val="Navaden"/>
    <w:uiPriority w:val="39"/>
    <w:semiHidden/>
    <w:unhideWhenUsed/>
    <w:qFormat/>
    <w:pPr>
      <w:spacing w:after="240"/>
      <w:jc w:val="center"/>
    </w:pPr>
    <w:rPr>
      <w:b/>
      <w:sz w:val="28"/>
    </w:rPr>
  </w:style>
  <w:style w:type="paragraph" w:styleId="Kazalovsebine1">
    <w:name w:val="toc 1"/>
    <w:basedOn w:val="Navaden"/>
    <w:next w:val="Navaden"/>
    <w:uiPriority w:val="39"/>
    <w:semiHidden/>
    <w:unhideWhenUsed/>
    <w:pPr>
      <w:tabs>
        <w:tab w:val="right" w:leader="dot" w:pos="9071"/>
      </w:tabs>
      <w:spacing w:before="60"/>
      <w:ind w:left="850" w:hanging="850"/>
      <w:jc w:val="left"/>
    </w:pPr>
  </w:style>
  <w:style w:type="paragraph" w:styleId="Kazalovsebine2">
    <w:name w:val="toc 2"/>
    <w:basedOn w:val="Navaden"/>
    <w:next w:val="Navaden"/>
    <w:uiPriority w:val="39"/>
    <w:semiHidden/>
    <w:unhideWhenUsed/>
    <w:pPr>
      <w:tabs>
        <w:tab w:val="right" w:leader="dot" w:pos="9071"/>
      </w:tabs>
      <w:spacing w:before="60"/>
      <w:ind w:left="850" w:hanging="850"/>
      <w:jc w:val="left"/>
    </w:pPr>
  </w:style>
  <w:style w:type="paragraph" w:styleId="Kazalovsebine3">
    <w:name w:val="toc 3"/>
    <w:basedOn w:val="Navaden"/>
    <w:next w:val="Navaden"/>
    <w:uiPriority w:val="39"/>
    <w:semiHidden/>
    <w:unhideWhenUsed/>
    <w:pPr>
      <w:tabs>
        <w:tab w:val="right" w:leader="dot" w:pos="9071"/>
      </w:tabs>
      <w:spacing w:before="60"/>
      <w:ind w:left="850" w:hanging="850"/>
      <w:jc w:val="left"/>
    </w:pPr>
  </w:style>
  <w:style w:type="paragraph" w:styleId="Kazalovsebine4">
    <w:name w:val="toc 4"/>
    <w:basedOn w:val="Navaden"/>
    <w:next w:val="Navaden"/>
    <w:uiPriority w:val="39"/>
    <w:semiHidden/>
    <w:unhideWhenUsed/>
    <w:pPr>
      <w:tabs>
        <w:tab w:val="right" w:leader="dot" w:pos="9071"/>
      </w:tabs>
      <w:spacing w:before="60"/>
      <w:ind w:left="850" w:hanging="850"/>
      <w:jc w:val="left"/>
    </w:pPr>
  </w:style>
  <w:style w:type="paragraph" w:styleId="Kazalovsebine5">
    <w:name w:val="toc 5"/>
    <w:basedOn w:val="Navaden"/>
    <w:next w:val="Navaden"/>
    <w:uiPriority w:val="39"/>
    <w:semiHidden/>
    <w:unhideWhenUsed/>
    <w:pPr>
      <w:tabs>
        <w:tab w:val="right" w:leader="dot" w:pos="9071"/>
      </w:tabs>
      <w:spacing w:before="300"/>
      <w:jc w:val="left"/>
    </w:pPr>
  </w:style>
  <w:style w:type="paragraph" w:styleId="Kazalovsebine6">
    <w:name w:val="toc 6"/>
    <w:basedOn w:val="Navaden"/>
    <w:next w:val="Navaden"/>
    <w:uiPriority w:val="39"/>
    <w:semiHidden/>
    <w:unhideWhenUsed/>
    <w:pPr>
      <w:tabs>
        <w:tab w:val="right" w:leader="dot" w:pos="9071"/>
      </w:tabs>
      <w:spacing w:before="240"/>
      <w:jc w:val="left"/>
    </w:pPr>
  </w:style>
  <w:style w:type="paragraph" w:styleId="Kazalovsebine7">
    <w:name w:val="toc 7"/>
    <w:basedOn w:val="Navaden"/>
    <w:next w:val="Navaden"/>
    <w:uiPriority w:val="39"/>
    <w:semiHidden/>
    <w:unhideWhenUsed/>
    <w:pPr>
      <w:tabs>
        <w:tab w:val="right" w:leader="dot" w:pos="9071"/>
      </w:tabs>
      <w:spacing w:before="180"/>
      <w:jc w:val="left"/>
    </w:pPr>
  </w:style>
  <w:style w:type="paragraph" w:styleId="Kazalovsebine8">
    <w:name w:val="toc 8"/>
    <w:basedOn w:val="Navaden"/>
    <w:next w:val="Navaden"/>
    <w:uiPriority w:val="39"/>
    <w:semiHidden/>
    <w:unhideWhenUsed/>
    <w:pPr>
      <w:tabs>
        <w:tab w:val="right" w:leader="dot" w:pos="9071"/>
      </w:tabs>
      <w:jc w:val="left"/>
    </w:pPr>
  </w:style>
  <w:style w:type="paragraph" w:styleId="Kazalovsebine9">
    <w:name w:val="toc 9"/>
    <w:basedOn w:val="Navaden"/>
    <w:next w:val="Navaden"/>
    <w:uiPriority w:val="39"/>
    <w:semiHidden/>
    <w:unhideWhenUsed/>
    <w:pPr>
      <w:tabs>
        <w:tab w:val="right" w:leader="dot" w:pos="9071"/>
      </w:tabs>
      <w:ind w:left="1417" w:hanging="1417"/>
      <w:jc w:val="left"/>
    </w:pPr>
  </w:style>
  <w:style w:type="paragraph" w:customStyle="1" w:styleId="HeaderLandscape">
    <w:name w:val="HeaderLandscape"/>
    <w:basedOn w:val="Navaden"/>
    <w:rsid w:val="00AF2362"/>
    <w:pPr>
      <w:tabs>
        <w:tab w:val="center" w:pos="7285"/>
        <w:tab w:val="right" w:pos="14003"/>
      </w:tabs>
      <w:spacing w:before="0"/>
    </w:pPr>
  </w:style>
  <w:style w:type="paragraph" w:customStyle="1" w:styleId="FooterLandscape">
    <w:name w:val="FooterLandscape"/>
    <w:basedOn w:val="Navaden"/>
    <w:rsid w:val="00AF2362"/>
    <w:pPr>
      <w:tabs>
        <w:tab w:val="center" w:pos="7285"/>
        <w:tab w:val="center" w:pos="10913"/>
        <w:tab w:val="right" w:pos="15137"/>
      </w:tabs>
      <w:spacing w:before="360" w:after="0"/>
      <w:ind w:left="-567" w:right="-567"/>
      <w:jc w:val="left"/>
    </w:pPr>
  </w:style>
  <w:style w:type="character" w:styleId="Sprotnaopomba-sklic">
    <w:name w:val="footnote reference"/>
    <w:basedOn w:val="Privzetapisavaodstavka"/>
    <w:uiPriority w:val="99"/>
    <w:semiHidden/>
    <w:unhideWhenUsed/>
    <w:rPr>
      <w:shd w:val="clear" w:color="auto" w:fill="auto"/>
      <w:vertAlign w:val="superscript"/>
    </w:rPr>
  </w:style>
  <w:style w:type="paragraph" w:customStyle="1" w:styleId="HeaderSensitivity">
    <w:name w:val="Header Sensitivity"/>
    <w:basedOn w:val="Navaden"/>
    <w:rsid w:val="00AF236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avaden"/>
    <w:rsid w:val="00AF2362"/>
    <w:pPr>
      <w:spacing w:before="0"/>
      <w:jc w:val="right"/>
    </w:pPr>
    <w:rPr>
      <w:sz w:val="28"/>
    </w:rPr>
  </w:style>
  <w:style w:type="paragraph" w:customStyle="1" w:styleId="FooterSensitivity">
    <w:name w:val="Footer Sensitivity"/>
    <w:basedOn w:val="Navaden"/>
    <w:rsid w:val="00AF236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avaden"/>
    <w:pPr>
      <w:ind w:left="850"/>
    </w:pPr>
  </w:style>
  <w:style w:type="paragraph" w:customStyle="1" w:styleId="Text2">
    <w:name w:val="Text 2"/>
    <w:basedOn w:val="Navaden"/>
    <w:pPr>
      <w:ind w:left="1417"/>
    </w:pPr>
  </w:style>
  <w:style w:type="paragraph" w:customStyle="1" w:styleId="Text3">
    <w:name w:val="Text 3"/>
    <w:basedOn w:val="Navaden"/>
    <w:pPr>
      <w:ind w:left="1984"/>
    </w:pPr>
  </w:style>
  <w:style w:type="paragraph" w:customStyle="1" w:styleId="Text4">
    <w:name w:val="Text 4"/>
    <w:basedOn w:val="Navaden"/>
    <w:pPr>
      <w:ind w:left="2551"/>
    </w:pPr>
  </w:style>
  <w:style w:type="paragraph" w:customStyle="1" w:styleId="Text5">
    <w:name w:val="Text 5"/>
    <w:basedOn w:val="Navaden"/>
    <w:pPr>
      <w:ind w:left="3118"/>
    </w:pPr>
  </w:style>
  <w:style w:type="paragraph" w:customStyle="1" w:styleId="Text6">
    <w:name w:val="Text 6"/>
    <w:basedOn w:val="Navaden"/>
    <w:pPr>
      <w:ind w:left="3685"/>
    </w:pPr>
  </w:style>
  <w:style w:type="paragraph" w:customStyle="1" w:styleId="NormalCentered">
    <w:name w:val="Normal Centered"/>
    <w:basedOn w:val="Navaden"/>
    <w:pPr>
      <w:jc w:val="center"/>
    </w:pPr>
  </w:style>
  <w:style w:type="paragraph" w:customStyle="1" w:styleId="NormalLeft">
    <w:name w:val="Normal Left"/>
    <w:basedOn w:val="Navaden"/>
    <w:pPr>
      <w:jc w:val="left"/>
    </w:pPr>
  </w:style>
  <w:style w:type="paragraph" w:customStyle="1" w:styleId="NormalRight">
    <w:name w:val="Normal Right"/>
    <w:basedOn w:val="Navaden"/>
    <w:pPr>
      <w:jc w:val="right"/>
    </w:pPr>
  </w:style>
  <w:style w:type="paragraph" w:customStyle="1" w:styleId="QuotedText">
    <w:name w:val="Quoted Text"/>
    <w:basedOn w:val="Navaden"/>
    <w:pPr>
      <w:ind w:left="1417"/>
    </w:pPr>
  </w:style>
  <w:style w:type="paragraph" w:customStyle="1" w:styleId="Point0">
    <w:name w:val="Point 0"/>
    <w:basedOn w:val="Navaden"/>
    <w:pPr>
      <w:ind w:left="850" w:hanging="850"/>
    </w:pPr>
  </w:style>
  <w:style w:type="paragraph" w:customStyle="1" w:styleId="Point1">
    <w:name w:val="Point 1"/>
    <w:basedOn w:val="Navaden"/>
    <w:pPr>
      <w:ind w:left="1417" w:hanging="567"/>
    </w:pPr>
  </w:style>
  <w:style w:type="paragraph" w:customStyle="1" w:styleId="Point2">
    <w:name w:val="Point 2"/>
    <w:basedOn w:val="Navaden"/>
    <w:pPr>
      <w:ind w:left="1984" w:hanging="567"/>
    </w:pPr>
  </w:style>
  <w:style w:type="paragraph" w:customStyle="1" w:styleId="Point3">
    <w:name w:val="Point 3"/>
    <w:basedOn w:val="Navaden"/>
    <w:pPr>
      <w:ind w:left="2551" w:hanging="567"/>
    </w:pPr>
  </w:style>
  <w:style w:type="paragraph" w:customStyle="1" w:styleId="Point4">
    <w:name w:val="Point 4"/>
    <w:basedOn w:val="Navaden"/>
    <w:pPr>
      <w:ind w:left="3118" w:hanging="567"/>
    </w:pPr>
  </w:style>
  <w:style w:type="paragraph" w:customStyle="1" w:styleId="Point5">
    <w:name w:val="Point 5"/>
    <w:basedOn w:val="Navaden"/>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avaden"/>
    <w:pPr>
      <w:tabs>
        <w:tab w:val="left" w:pos="850"/>
      </w:tabs>
      <w:ind w:left="1417" w:hanging="1417"/>
    </w:pPr>
  </w:style>
  <w:style w:type="paragraph" w:customStyle="1" w:styleId="PointDouble1">
    <w:name w:val="PointDouble 1"/>
    <w:basedOn w:val="Navaden"/>
    <w:pPr>
      <w:tabs>
        <w:tab w:val="left" w:pos="1417"/>
      </w:tabs>
      <w:ind w:left="1984" w:hanging="1134"/>
    </w:pPr>
  </w:style>
  <w:style w:type="paragraph" w:customStyle="1" w:styleId="PointDouble2">
    <w:name w:val="PointDouble 2"/>
    <w:basedOn w:val="Navaden"/>
    <w:pPr>
      <w:tabs>
        <w:tab w:val="left" w:pos="1984"/>
      </w:tabs>
      <w:ind w:left="2551" w:hanging="1134"/>
    </w:pPr>
  </w:style>
  <w:style w:type="paragraph" w:customStyle="1" w:styleId="PointDouble3">
    <w:name w:val="PointDouble 3"/>
    <w:basedOn w:val="Navaden"/>
    <w:pPr>
      <w:tabs>
        <w:tab w:val="left" w:pos="2551"/>
      </w:tabs>
      <w:ind w:left="3118" w:hanging="1134"/>
    </w:pPr>
  </w:style>
  <w:style w:type="paragraph" w:customStyle="1" w:styleId="PointDouble4">
    <w:name w:val="PointDouble 4"/>
    <w:basedOn w:val="Navaden"/>
    <w:pPr>
      <w:tabs>
        <w:tab w:val="left" w:pos="3118"/>
      </w:tabs>
      <w:ind w:left="3685" w:hanging="1134"/>
    </w:pPr>
  </w:style>
  <w:style w:type="paragraph" w:customStyle="1" w:styleId="PointTriple0">
    <w:name w:val="PointTriple 0"/>
    <w:basedOn w:val="Navaden"/>
    <w:pPr>
      <w:tabs>
        <w:tab w:val="left" w:pos="850"/>
        <w:tab w:val="left" w:pos="1417"/>
      </w:tabs>
      <w:ind w:left="1984" w:hanging="1984"/>
    </w:pPr>
  </w:style>
  <w:style w:type="paragraph" w:customStyle="1" w:styleId="PointTriple1">
    <w:name w:val="PointTriple 1"/>
    <w:basedOn w:val="Navaden"/>
    <w:pPr>
      <w:tabs>
        <w:tab w:val="left" w:pos="1417"/>
        <w:tab w:val="left" w:pos="1984"/>
      </w:tabs>
      <w:ind w:left="2551" w:hanging="1701"/>
    </w:pPr>
  </w:style>
  <w:style w:type="paragraph" w:customStyle="1" w:styleId="PointTriple2">
    <w:name w:val="PointTriple 2"/>
    <w:basedOn w:val="Navaden"/>
    <w:pPr>
      <w:tabs>
        <w:tab w:val="left" w:pos="1984"/>
        <w:tab w:val="left" w:pos="2551"/>
      </w:tabs>
      <w:ind w:left="3118" w:hanging="1701"/>
    </w:pPr>
  </w:style>
  <w:style w:type="paragraph" w:customStyle="1" w:styleId="PointTriple3">
    <w:name w:val="PointTriple 3"/>
    <w:basedOn w:val="Navaden"/>
    <w:pPr>
      <w:tabs>
        <w:tab w:val="left" w:pos="2551"/>
        <w:tab w:val="left" w:pos="3118"/>
      </w:tabs>
      <w:ind w:left="3685" w:hanging="1701"/>
    </w:pPr>
  </w:style>
  <w:style w:type="paragraph" w:customStyle="1" w:styleId="PointTriple4">
    <w:name w:val="PointTriple 4"/>
    <w:basedOn w:val="Navaden"/>
    <w:pPr>
      <w:tabs>
        <w:tab w:val="left" w:pos="3118"/>
        <w:tab w:val="left" w:pos="3685"/>
      </w:tabs>
      <w:ind w:left="4252" w:hanging="1701"/>
    </w:pPr>
  </w:style>
  <w:style w:type="paragraph" w:customStyle="1" w:styleId="NumPar1">
    <w:name w:val="NumPar 1"/>
    <w:basedOn w:val="Navaden"/>
    <w:next w:val="Text1"/>
    <w:pPr>
      <w:numPr>
        <w:numId w:val="17"/>
      </w:numPr>
    </w:pPr>
  </w:style>
  <w:style w:type="paragraph" w:customStyle="1" w:styleId="NumPar2">
    <w:name w:val="NumPar 2"/>
    <w:basedOn w:val="Navaden"/>
    <w:next w:val="Text1"/>
    <w:pPr>
      <w:numPr>
        <w:ilvl w:val="1"/>
        <w:numId w:val="17"/>
      </w:numPr>
    </w:pPr>
  </w:style>
  <w:style w:type="paragraph" w:customStyle="1" w:styleId="NumPar3">
    <w:name w:val="NumPar 3"/>
    <w:basedOn w:val="Navaden"/>
    <w:next w:val="Text1"/>
    <w:pPr>
      <w:numPr>
        <w:ilvl w:val="2"/>
        <w:numId w:val="17"/>
      </w:numPr>
    </w:pPr>
  </w:style>
  <w:style w:type="paragraph" w:customStyle="1" w:styleId="NumPar4">
    <w:name w:val="NumPar 4"/>
    <w:basedOn w:val="Navaden"/>
    <w:next w:val="Text1"/>
    <w:pPr>
      <w:numPr>
        <w:ilvl w:val="3"/>
        <w:numId w:val="17"/>
      </w:numPr>
    </w:pPr>
  </w:style>
  <w:style w:type="paragraph" w:customStyle="1" w:styleId="NumPar5">
    <w:name w:val="NumPar 5"/>
    <w:basedOn w:val="Navaden"/>
    <w:next w:val="Text2"/>
    <w:pPr>
      <w:numPr>
        <w:ilvl w:val="4"/>
        <w:numId w:val="17"/>
      </w:numPr>
    </w:pPr>
  </w:style>
  <w:style w:type="paragraph" w:customStyle="1" w:styleId="NumPar6">
    <w:name w:val="NumPar 6"/>
    <w:basedOn w:val="Navaden"/>
    <w:next w:val="Text2"/>
    <w:pPr>
      <w:numPr>
        <w:ilvl w:val="5"/>
        <w:numId w:val="17"/>
      </w:numPr>
    </w:pPr>
  </w:style>
  <w:style w:type="paragraph" w:customStyle="1" w:styleId="NumPar7">
    <w:name w:val="NumPar 7"/>
    <w:basedOn w:val="Navaden"/>
    <w:next w:val="Text2"/>
    <w:pPr>
      <w:numPr>
        <w:ilvl w:val="6"/>
        <w:numId w:val="17"/>
      </w:numPr>
    </w:pPr>
  </w:style>
  <w:style w:type="paragraph" w:customStyle="1" w:styleId="ManualNumPar1">
    <w:name w:val="Manual NumPar 1"/>
    <w:basedOn w:val="Navaden"/>
    <w:next w:val="Text1"/>
    <w:pPr>
      <w:ind w:left="850" w:hanging="850"/>
    </w:pPr>
  </w:style>
  <w:style w:type="paragraph" w:customStyle="1" w:styleId="ManualNumPar2">
    <w:name w:val="Manual NumPar 2"/>
    <w:basedOn w:val="Navaden"/>
    <w:next w:val="Text1"/>
    <w:pPr>
      <w:ind w:left="850" w:hanging="850"/>
    </w:pPr>
  </w:style>
  <w:style w:type="paragraph" w:customStyle="1" w:styleId="ManualNumPar3">
    <w:name w:val="Manual NumPar 3"/>
    <w:basedOn w:val="Navaden"/>
    <w:next w:val="Text1"/>
    <w:pPr>
      <w:ind w:left="850" w:hanging="850"/>
    </w:pPr>
  </w:style>
  <w:style w:type="paragraph" w:customStyle="1" w:styleId="ManualNumPar4">
    <w:name w:val="Manual NumPar 4"/>
    <w:basedOn w:val="Navaden"/>
    <w:next w:val="Text1"/>
    <w:pPr>
      <w:ind w:left="850" w:hanging="850"/>
    </w:pPr>
  </w:style>
  <w:style w:type="paragraph" w:customStyle="1" w:styleId="ManualNumPar5">
    <w:name w:val="Manual NumPar 5"/>
    <w:basedOn w:val="Navaden"/>
    <w:next w:val="Text2"/>
    <w:pPr>
      <w:ind w:left="1417" w:hanging="1417"/>
    </w:pPr>
  </w:style>
  <w:style w:type="paragraph" w:customStyle="1" w:styleId="ManualNumPar6">
    <w:name w:val="Manual NumPar 6"/>
    <w:basedOn w:val="Navaden"/>
    <w:next w:val="Text2"/>
    <w:pPr>
      <w:ind w:left="1417" w:hanging="1417"/>
    </w:pPr>
  </w:style>
  <w:style w:type="paragraph" w:customStyle="1" w:styleId="ManualNumPar7">
    <w:name w:val="Manual NumPar 7"/>
    <w:basedOn w:val="Navaden"/>
    <w:next w:val="Text2"/>
    <w:pPr>
      <w:ind w:left="1417" w:hanging="1417"/>
    </w:pPr>
  </w:style>
  <w:style w:type="paragraph" w:customStyle="1" w:styleId="QuotedNumPar">
    <w:name w:val="Quoted NumPar"/>
    <w:basedOn w:val="Navaden"/>
    <w:pPr>
      <w:ind w:left="1417" w:hanging="567"/>
    </w:pPr>
  </w:style>
  <w:style w:type="paragraph" w:customStyle="1" w:styleId="ManualHeading1">
    <w:name w:val="Manual Heading 1"/>
    <w:basedOn w:val="Navaden"/>
    <w:next w:val="Text1"/>
    <w:pPr>
      <w:keepNext/>
      <w:tabs>
        <w:tab w:val="left" w:pos="850"/>
      </w:tabs>
      <w:spacing w:before="360"/>
      <w:ind w:left="850" w:hanging="850"/>
      <w:outlineLvl w:val="0"/>
    </w:pPr>
    <w:rPr>
      <w:b/>
      <w:smallCaps/>
    </w:rPr>
  </w:style>
  <w:style w:type="paragraph" w:customStyle="1" w:styleId="ManualHeading2">
    <w:name w:val="Manual Heading 2"/>
    <w:basedOn w:val="Navaden"/>
    <w:next w:val="Text1"/>
    <w:pPr>
      <w:keepNext/>
      <w:tabs>
        <w:tab w:val="left" w:pos="850"/>
      </w:tabs>
      <w:ind w:left="850" w:hanging="850"/>
      <w:outlineLvl w:val="1"/>
    </w:pPr>
    <w:rPr>
      <w:b/>
    </w:rPr>
  </w:style>
  <w:style w:type="paragraph" w:customStyle="1" w:styleId="ManualHeading3">
    <w:name w:val="Manual Heading 3"/>
    <w:basedOn w:val="Navaden"/>
    <w:next w:val="Text1"/>
    <w:pPr>
      <w:keepNext/>
      <w:tabs>
        <w:tab w:val="left" w:pos="850"/>
      </w:tabs>
      <w:ind w:left="850" w:hanging="850"/>
      <w:outlineLvl w:val="2"/>
    </w:pPr>
    <w:rPr>
      <w:i/>
    </w:rPr>
  </w:style>
  <w:style w:type="paragraph" w:customStyle="1" w:styleId="ManualHeading4">
    <w:name w:val="Manual Heading 4"/>
    <w:basedOn w:val="Navaden"/>
    <w:next w:val="Text1"/>
    <w:pPr>
      <w:keepNext/>
      <w:tabs>
        <w:tab w:val="left" w:pos="850"/>
      </w:tabs>
      <w:ind w:left="850" w:hanging="850"/>
      <w:outlineLvl w:val="3"/>
    </w:pPr>
  </w:style>
  <w:style w:type="paragraph" w:customStyle="1" w:styleId="ManualHeading5">
    <w:name w:val="Manual Heading 5"/>
    <w:basedOn w:val="Navaden"/>
    <w:next w:val="Text2"/>
    <w:pPr>
      <w:keepNext/>
      <w:tabs>
        <w:tab w:val="left" w:pos="1417"/>
      </w:tabs>
      <w:ind w:left="1417" w:hanging="1417"/>
      <w:outlineLvl w:val="4"/>
    </w:pPr>
  </w:style>
  <w:style w:type="paragraph" w:customStyle="1" w:styleId="ManualHeading6">
    <w:name w:val="Manual Heading 6"/>
    <w:basedOn w:val="Navaden"/>
    <w:next w:val="Text2"/>
    <w:pPr>
      <w:keepNext/>
      <w:tabs>
        <w:tab w:val="left" w:pos="1417"/>
      </w:tabs>
      <w:ind w:left="1417" w:hanging="1417"/>
      <w:outlineLvl w:val="5"/>
    </w:pPr>
  </w:style>
  <w:style w:type="paragraph" w:customStyle="1" w:styleId="ManualHeading7">
    <w:name w:val="Manual Heading 7"/>
    <w:basedOn w:val="Navaden"/>
    <w:next w:val="Text2"/>
    <w:pPr>
      <w:keepNext/>
      <w:tabs>
        <w:tab w:val="left" w:pos="1417"/>
      </w:tabs>
      <w:ind w:left="1417" w:hanging="1417"/>
      <w:outlineLvl w:val="6"/>
    </w:pPr>
  </w:style>
  <w:style w:type="paragraph" w:customStyle="1" w:styleId="ChapterTitle">
    <w:name w:val="ChapterTitle"/>
    <w:basedOn w:val="Navaden"/>
    <w:next w:val="Navaden"/>
    <w:pPr>
      <w:keepNext/>
      <w:spacing w:after="360"/>
      <w:jc w:val="center"/>
    </w:pPr>
    <w:rPr>
      <w:b/>
      <w:sz w:val="32"/>
    </w:rPr>
  </w:style>
  <w:style w:type="paragraph" w:customStyle="1" w:styleId="PartTitle">
    <w:name w:val="PartTitle"/>
    <w:basedOn w:val="Navaden"/>
    <w:next w:val="ChapterTitle"/>
    <w:pPr>
      <w:keepNext/>
      <w:pageBreakBefore/>
      <w:spacing w:after="360"/>
      <w:jc w:val="center"/>
    </w:pPr>
    <w:rPr>
      <w:b/>
      <w:sz w:val="36"/>
    </w:rPr>
  </w:style>
  <w:style w:type="paragraph" w:customStyle="1" w:styleId="SectionTitle">
    <w:name w:val="SectionTitle"/>
    <w:basedOn w:val="Navaden"/>
    <w:next w:val="Naslov1"/>
    <w:pPr>
      <w:keepNext/>
      <w:spacing w:after="360"/>
      <w:jc w:val="center"/>
    </w:pPr>
    <w:rPr>
      <w:b/>
      <w:smallCaps/>
      <w:sz w:val="28"/>
    </w:rPr>
  </w:style>
  <w:style w:type="paragraph" w:customStyle="1" w:styleId="TableTitle">
    <w:name w:val="Table Title"/>
    <w:basedOn w:val="Navaden"/>
    <w:next w:val="Navaden"/>
    <w:pPr>
      <w:jc w:val="center"/>
    </w:pPr>
    <w:rPr>
      <w:b/>
    </w:rPr>
  </w:style>
  <w:style w:type="character" w:customStyle="1" w:styleId="Marker">
    <w:name w:val="Marker"/>
    <w:basedOn w:val="Privzetapisavaodstavka"/>
    <w:rPr>
      <w:color w:val="0000FF"/>
      <w:shd w:val="clear" w:color="auto" w:fill="auto"/>
    </w:rPr>
  </w:style>
  <w:style w:type="character" w:customStyle="1" w:styleId="Marker1">
    <w:name w:val="Marker1"/>
    <w:basedOn w:val="Privzetapisavaodstavka"/>
    <w:rPr>
      <w:color w:val="008000"/>
      <w:shd w:val="clear" w:color="auto" w:fill="auto"/>
    </w:rPr>
  </w:style>
  <w:style w:type="character" w:customStyle="1" w:styleId="Marker2">
    <w:name w:val="Marker2"/>
    <w:basedOn w:val="Privzetapisavaodstavka"/>
    <w:rPr>
      <w:color w:val="FF0000"/>
      <w:shd w:val="clear" w:color="auto" w:fill="auto"/>
    </w:rPr>
  </w:style>
  <w:style w:type="paragraph" w:customStyle="1" w:styleId="Point0number">
    <w:name w:val="Point 0 (number)"/>
    <w:basedOn w:val="Navaden"/>
    <w:pPr>
      <w:numPr>
        <w:numId w:val="19"/>
      </w:numPr>
    </w:pPr>
  </w:style>
  <w:style w:type="paragraph" w:customStyle="1" w:styleId="Point1number">
    <w:name w:val="Point 1 (number)"/>
    <w:basedOn w:val="Navaden"/>
    <w:pPr>
      <w:numPr>
        <w:ilvl w:val="2"/>
        <w:numId w:val="19"/>
      </w:numPr>
    </w:pPr>
  </w:style>
  <w:style w:type="paragraph" w:customStyle="1" w:styleId="Point2number">
    <w:name w:val="Point 2 (number)"/>
    <w:basedOn w:val="Navaden"/>
    <w:pPr>
      <w:numPr>
        <w:ilvl w:val="4"/>
        <w:numId w:val="19"/>
      </w:numPr>
    </w:pPr>
  </w:style>
  <w:style w:type="paragraph" w:customStyle="1" w:styleId="Point3number">
    <w:name w:val="Point 3 (number)"/>
    <w:basedOn w:val="Navaden"/>
    <w:pPr>
      <w:numPr>
        <w:ilvl w:val="6"/>
        <w:numId w:val="19"/>
      </w:numPr>
    </w:pPr>
  </w:style>
  <w:style w:type="paragraph" w:customStyle="1" w:styleId="Point0letter">
    <w:name w:val="Point 0 (letter)"/>
    <w:basedOn w:val="Navaden"/>
    <w:pPr>
      <w:numPr>
        <w:ilvl w:val="1"/>
        <w:numId w:val="19"/>
      </w:numPr>
    </w:pPr>
  </w:style>
  <w:style w:type="paragraph" w:customStyle="1" w:styleId="Point1letter">
    <w:name w:val="Point 1 (letter)"/>
    <w:basedOn w:val="Navaden"/>
    <w:pPr>
      <w:numPr>
        <w:ilvl w:val="3"/>
        <w:numId w:val="19"/>
      </w:numPr>
    </w:pPr>
  </w:style>
  <w:style w:type="paragraph" w:customStyle="1" w:styleId="Point2letter">
    <w:name w:val="Point 2 (letter)"/>
    <w:basedOn w:val="Navaden"/>
    <w:pPr>
      <w:numPr>
        <w:ilvl w:val="5"/>
        <w:numId w:val="19"/>
      </w:numPr>
    </w:pPr>
  </w:style>
  <w:style w:type="paragraph" w:customStyle="1" w:styleId="Point3letter">
    <w:name w:val="Point 3 (letter)"/>
    <w:basedOn w:val="Navaden"/>
    <w:pPr>
      <w:numPr>
        <w:ilvl w:val="7"/>
        <w:numId w:val="19"/>
      </w:numPr>
    </w:pPr>
  </w:style>
  <w:style w:type="paragraph" w:customStyle="1" w:styleId="Point4letter">
    <w:name w:val="Point 4 (letter)"/>
    <w:basedOn w:val="Navaden"/>
    <w:pPr>
      <w:numPr>
        <w:ilvl w:val="8"/>
        <w:numId w:val="19"/>
      </w:numPr>
    </w:pPr>
  </w:style>
  <w:style w:type="paragraph" w:customStyle="1" w:styleId="Bullet0">
    <w:name w:val="Bullet 0"/>
    <w:basedOn w:val="Navaden"/>
    <w:pPr>
      <w:numPr>
        <w:numId w:val="20"/>
      </w:numPr>
    </w:pPr>
  </w:style>
  <w:style w:type="paragraph" w:customStyle="1" w:styleId="Bullet1">
    <w:name w:val="Bullet 1"/>
    <w:basedOn w:val="Navaden"/>
    <w:pPr>
      <w:numPr>
        <w:numId w:val="21"/>
      </w:numPr>
    </w:pPr>
  </w:style>
  <w:style w:type="paragraph" w:customStyle="1" w:styleId="Bullet2">
    <w:name w:val="Bullet 2"/>
    <w:basedOn w:val="Navaden"/>
    <w:pPr>
      <w:numPr>
        <w:numId w:val="22"/>
      </w:numPr>
    </w:pPr>
  </w:style>
  <w:style w:type="paragraph" w:customStyle="1" w:styleId="Bullet3">
    <w:name w:val="Bullet 3"/>
    <w:basedOn w:val="Navaden"/>
    <w:pPr>
      <w:numPr>
        <w:numId w:val="23"/>
      </w:numPr>
    </w:pPr>
  </w:style>
  <w:style w:type="paragraph" w:customStyle="1" w:styleId="Bullet4">
    <w:name w:val="Bullet 4"/>
    <w:basedOn w:val="Navaden"/>
    <w:pPr>
      <w:numPr>
        <w:numId w:val="24"/>
      </w:numPr>
    </w:pPr>
  </w:style>
  <w:style w:type="paragraph" w:customStyle="1" w:styleId="Langue">
    <w:name w:val="Langue"/>
    <w:basedOn w:val="Navaden"/>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avaden"/>
    <w:next w:val="Emission"/>
    <w:pPr>
      <w:spacing w:before="0" w:after="0"/>
      <w:jc w:val="left"/>
    </w:pPr>
    <w:rPr>
      <w:rFonts w:ascii="Arial" w:hAnsi="Arial" w:cs="Arial"/>
    </w:rPr>
  </w:style>
  <w:style w:type="paragraph" w:customStyle="1" w:styleId="Emission">
    <w:name w:val="Emission"/>
    <w:basedOn w:val="Navaden"/>
    <w:next w:val="Rfrenceinstitutionnelle"/>
    <w:pPr>
      <w:spacing w:before="0" w:after="0"/>
      <w:ind w:left="5103"/>
      <w:jc w:val="left"/>
    </w:pPr>
  </w:style>
  <w:style w:type="paragraph" w:customStyle="1" w:styleId="Rfrenceinstitutionnelle">
    <w:name w:val="Référence institutionnelle"/>
    <w:basedOn w:val="Navaden"/>
    <w:next w:val="Confidentialit"/>
    <w:pPr>
      <w:spacing w:before="0" w:after="240"/>
      <w:ind w:left="5103"/>
      <w:jc w:val="left"/>
    </w:pPr>
  </w:style>
  <w:style w:type="paragraph" w:customStyle="1" w:styleId="Pagedecouverture">
    <w:name w:val="Page de couverture"/>
    <w:basedOn w:val="Navaden"/>
    <w:next w:val="Navaden"/>
    <w:pPr>
      <w:spacing w:before="0" w:after="0"/>
    </w:pPr>
  </w:style>
  <w:style w:type="paragraph" w:customStyle="1" w:styleId="Declassification">
    <w:name w:val="Declassification"/>
    <w:basedOn w:val="Navaden"/>
    <w:next w:val="Navaden"/>
    <w:pPr>
      <w:spacing w:before="0" w:after="0"/>
    </w:pPr>
  </w:style>
  <w:style w:type="paragraph" w:customStyle="1" w:styleId="Disclaimer">
    <w:name w:val="Disclaimer"/>
    <w:basedOn w:val="Navaden"/>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avaden"/>
    <w:pPr>
      <w:spacing w:before="0" w:after="0" w:line="276" w:lineRule="auto"/>
      <w:ind w:left="5103"/>
      <w:jc w:val="left"/>
    </w:pPr>
    <w:rPr>
      <w:sz w:val="28"/>
    </w:rPr>
  </w:style>
  <w:style w:type="paragraph" w:customStyle="1" w:styleId="DateMarking">
    <w:name w:val="DateMarking"/>
    <w:basedOn w:val="Navaden"/>
    <w:pPr>
      <w:spacing w:before="0" w:after="0" w:line="276" w:lineRule="auto"/>
      <w:ind w:left="5103"/>
      <w:jc w:val="left"/>
    </w:pPr>
    <w:rPr>
      <w:i/>
      <w:sz w:val="28"/>
    </w:rPr>
  </w:style>
  <w:style w:type="paragraph" w:customStyle="1" w:styleId="ReleasableTo">
    <w:name w:val="ReleasableTo"/>
    <w:basedOn w:val="Navaden"/>
    <w:pPr>
      <w:spacing w:before="0" w:after="0" w:line="276" w:lineRule="auto"/>
      <w:ind w:left="5103"/>
      <w:jc w:val="left"/>
    </w:pPr>
    <w:rPr>
      <w:i/>
      <w:sz w:val="28"/>
    </w:rPr>
  </w:style>
  <w:style w:type="paragraph" w:customStyle="1" w:styleId="Annexetitreexpos">
    <w:name w:val="Annexe titre (exposé)"/>
    <w:basedOn w:val="Navaden"/>
    <w:next w:val="Navaden"/>
    <w:pPr>
      <w:jc w:val="center"/>
    </w:pPr>
    <w:rPr>
      <w:b/>
      <w:u w:val="single"/>
    </w:rPr>
  </w:style>
  <w:style w:type="paragraph" w:customStyle="1" w:styleId="Annexetitre">
    <w:name w:val="Annexe titre"/>
    <w:basedOn w:val="Navaden"/>
    <w:next w:val="Navaden"/>
    <w:pPr>
      <w:jc w:val="center"/>
    </w:pPr>
    <w:rPr>
      <w:b/>
      <w:u w:val="single"/>
    </w:rPr>
  </w:style>
  <w:style w:type="paragraph" w:customStyle="1" w:styleId="Annexetitrefichefinancire">
    <w:name w:val="Annexe titre (fiche financière)"/>
    <w:basedOn w:val="Navaden"/>
    <w:next w:val="Navaden"/>
    <w:pPr>
      <w:jc w:val="center"/>
    </w:pPr>
    <w:rPr>
      <w:b/>
      <w:u w:val="single"/>
    </w:rPr>
  </w:style>
  <w:style w:type="paragraph" w:customStyle="1" w:styleId="Applicationdirecte">
    <w:name w:val="Application directe"/>
    <w:basedOn w:val="Navaden"/>
    <w:next w:val="Fait"/>
    <w:pPr>
      <w:spacing w:before="480"/>
    </w:pPr>
  </w:style>
  <w:style w:type="paragraph" w:customStyle="1" w:styleId="Avertissementtitre">
    <w:name w:val="Avertissement titre"/>
    <w:basedOn w:val="Navaden"/>
    <w:next w:val="Navaden"/>
    <w:pPr>
      <w:keepNext/>
      <w:spacing w:before="480"/>
    </w:pPr>
    <w:rPr>
      <w:u w:val="single"/>
    </w:rPr>
  </w:style>
  <w:style w:type="paragraph" w:customStyle="1" w:styleId="Confidence">
    <w:name w:val="Confidence"/>
    <w:basedOn w:val="Navaden"/>
    <w:next w:val="Navaden"/>
    <w:pPr>
      <w:spacing w:before="360"/>
      <w:jc w:val="center"/>
    </w:pPr>
  </w:style>
  <w:style w:type="paragraph" w:customStyle="1" w:styleId="Confidentialit">
    <w:name w:val="Confidentialité"/>
    <w:basedOn w:val="Navaden"/>
    <w:next w:val="TypedudocumentPagedecouverture"/>
    <w:pPr>
      <w:spacing w:before="240" w:after="240"/>
      <w:ind w:left="5103"/>
      <w:jc w:val="left"/>
    </w:pPr>
    <w:rPr>
      <w:i/>
      <w:sz w:val="32"/>
    </w:rPr>
  </w:style>
  <w:style w:type="paragraph" w:customStyle="1" w:styleId="Considrant">
    <w:name w:val="Considérant"/>
    <w:basedOn w:val="Navaden"/>
    <w:pPr>
      <w:numPr>
        <w:numId w:val="25"/>
      </w:numPr>
    </w:pPr>
  </w:style>
  <w:style w:type="paragraph" w:customStyle="1" w:styleId="Corrigendum">
    <w:name w:val="Corrigendum"/>
    <w:basedOn w:val="Navaden"/>
    <w:next w:val="Navaden"/>
    <w:pPr>
      <w:spacing w:before="0" w:after="240"/>
      <w:jc w:val="left"/>
    </w:pPr>
  </w:style>
  <w:style w:type="paragraph" w:customStyle="1" w:styleId="Datedadoption">
    <w:name w:val="Date d'adoption"/>
    <w:basedOn w:val="Navaden"/>
    <w:next w:val="IntrtEEE"/>
    <w:pPr>
      <w:spacing w:before="360" w:after="0"/>
      <w:jc w:val="center"/>
    </w:pPr>
    <w:rPr>
      <w:b/>
    </w:rPr>
  </w:style>
  <w:style w:type="paragraph" w:customStyle="1" w:styleId="Exposdesmotifstitre">
    <w:name w:val="Exposé des motifs titre"/>
    <w:basedOn w:val="Navaden"/>
    <w:next w:val="Navaden"/>
    <w:pPr>
      <w:jc w:val="center"/>
    </w:pPr>
    <w:rPr>
      <w:b/>
      <w:u w:val="single"/>
    </w:rPr>
  </w:style>
  <w:style w:type="paragraph" w:customStyle="1" w:styleId="Fait">
    <w:name w:val="Fait à"/>
    <w:basedOn w:val="Navaden"/>
    <w:next w:val="Institutionquisigne"/>
    <w:pPr>
      <w:keepNext/>
      <w:spacing w:after="0"/>
    </w:pPr>
  </w:style>
  <w:style w:type="paragraph" w:customStyle="1" w:styleId="Formuledadoption">
    <w:name w:val="Formule d'adoption"/>
    <w:basedOn w:val="Navaden"/>
    <w:next w:val="Titrearticle"/>
    <w:pPr>
      <w:keepNext/>
    </w:pPr>
  </w:style>
  <w:style w:type="paragraph" w:customStyle="1" w:styleId="Institutionquiagit">
    <w:name w:val="Institution qui agit"/>
    <w:basedOn w:val="Navaden"/>
    <w:next w:val="Navaden"/>
    <w:pPr>
      <w:keepNext/>
      <w:spacing w:before="600"/>
    </w:pPr>
  </w:style>
  <w:style w:type="paragraph" w:customStyle="1" w:styleId="Institutionquisigne">
    <w:name w:val="Institution qui signe"/>
    <w:basedOn w:val="Navaden"/>
    <w:next w:val="Personnequisigne"/>
    <w:pPr>
      <w:keepNext/>
      <w:tabs>
        <w:tab w:val="left" w:pos="4252"/>
      </w:tabs>
      <w:spacing w:before="720" w:after="0"/>
    </w:pPr>
    <w:rPr>
      <w:i/>
    </w:rPr>
  </w:style>
  <w:style w:type="paragraph" w:customStyle="1" w:styleId="ManualConsidrant">
    <w:name w:val="Manual Considérant"/>
    <w:basedOn w:val="Navaden"/>
    <w:pPr>
      <w:ind w:left="709" w:hanging="709"/>
    </w:pPr>
  </w:style>
  <w:style w:type="paragraph" w:customStyle="1" w:styleId="Personnequisigne">
    <w:name w:val="Personne qui signe"/>
    <w:basedOn w:val="Navaden"/>
    <w:next w:val="Institutionquisigne"/>
    <w:pPr>
      <w:tabs>
        <w:tab w:val="left" w:pos="4252"/>
      </w:tabs>
      <w:spacing w:before="0" w:after="0"/>
      <w:jc w:val="left"/>
    </w:pPr>
    <w:rPr>
      <w:i/>
    </w:rPr>
  </w:style>
  <w:style w:type="paragraph" w:customStyle="1" w:styleId="Rfrenceinterinstitutionnelle">
    <w:name w:val="Référence interinstitutionnelle"/>
    <w:basedOn w:val="Navaden"/>
    <w:next w:val="Statut"/>
    <w:pPr>
      <w:spacing w:before="0" w:after="0"/>
      <w:ind w:left="5103"/>
      <w:jc w:val="left"/>
    </w:pPr>
  </w:style>
  <w:style w:type="paragraph" w:customStyle="1" w:styleId="Rfrenceinterne">
    <w:name w:val="Référence interne"/>
    <w:basedOn w:val="Navaden"/>
    <w:next w:val="Rfrenceinterinstitutionnelle"/>
    <w:pPr>
      <w:spacing w:before="0" w:after="0"/>
      <w:ind w:left="5103"/>
      <w:jc w:val="left"/>
    </w:pPr>
  </w:style>
  <w:style w:type="paragraph" w:customStyle="1" w:styleId="Statut">
    <w:name w:val="Statut"/>
    <w:basedOn w:val="Navaden"/>
    <w:next w:val="Typedudocument"/>
    <w:pPr>
      <w:spacing w:before="0" w:after="240"/>
      <w:jc w:val="center"/>
    </w:pPr>
  </w:style>
  <w:style w:type="paragraph" w:customStyle="1" w:styleId="Titrearticle">
    <w:name w:val="Titre article"/>
    <w:basedOn w:val="Navaden"/>
    <w:next w:val="Navaden"/>
    <w:pPr>
      <w:keepNext/>
      <w:spacing w:before="360"/>
      <w:jc w:val="center"/>
    </w:pPr>
    <w:rPr>
      <w:i/>
    </w:rPr>
  </w:style>
  <w:style w:type="paragraph" w:customStyle="1" w:styleId="Typedudocument">
    <w:name w:val="Type du document"/>
    <w:basedOn w:val="Navaden"/>
    <w:next w:val="Accompagnant"/>
    <w:pPr>
      <w:spacing w:before="360" w:after="180"/>
      <w:jc w:val="center"/>
    </w:pPr>
    <w:rPr>
      <w:b/>
    </w:rPr>
  </w:style>
  <w:style w:type="character" w:customStyle="1" w:styleId="Added">
    <w:name w:val="Added"/>
    <w:basedOn w:val="Privzetapisavaodstavka"/>
    <w:rPr>
      <w:b/>
      <w:u w:val="single"/>
      <w:shd w:val="clear" w:color="auto" w:fill="auto"/>
    </w:rPr>
  </w:style>
  <w:style w:type="character" w:customStyle="1" w:styleId="Deleted">
    <w:name w:val="Deleted"/>
    <w:basedOn w:val="Privzetapisavaodstavka"/>
    <w:rPr>
      <w:strike/>
      <w:dstrike w:val="0"/>
      <w:shd w:val="clear" w:color="auto" w:fill="auto"/>
    </w:rPr>
  </w:style>
  <w:style w:type="paragraph" w:customStyle="1" w:styleId="Address">
    <w:name w:val="Address"/>
    <w:basedOn w:val="Navaden"/>
    <w:next w:val="Navaden"/>
    <w:pPr>
      <w:keepLines/>
      <w:spacing w:line="360" w:lineRule="auto"/>
      <w:ind w:left="3402"/>
      <w:jc w:val="left"/>
    </w:pPr>
  </w:style>
  <w:style w:type="paragraph" w:customStyle="1" w:styleId="Objetexterne">
    <w:name w:val="Objet externe"/>
    <w:basedOn w:val="Navaden"/>
    <w:next w:val="Navaden"/>
    <w:rPr>
      <w:i/>
      <w:caps/>
    </w:rPr>
  </w:style>
  <w:style w:type="paragraph" w:customStyle="1" w:styleId="Supertitre">
    <w:name w:val="Supertitre"/>
    <w:basedOn w:val="Navaden"/>
    <w:next w:val="Navaden"/>
    <w:pPr>
      <w:spacing w:before="0" w:after="600"/>
      <w:jc w:val="center"/>
    </w:pPr>
    <w:rPr>
      <w:b/>
    </w:rPr>
  </w:style>
  <w:style w:type="paragraph" w:customStyle="1" w:styleId="Languesfaisantfoi">
    <w:name w:val="Langues faisant foi"/>
    <w:basedOn w:val="Navaden"/>
    <w:next w:val="Navaden"/>
    <w:pPr>
      <w:spacing w:before="360" w:after="0"/>
      <w:jc w:val="center"/>
    </w:pPr>
  </w:style>
  <w:style w:type="paragraph" w:customStyle="1" w:styleId="Rfrencecroise">
    <w:name w:val="Référence croisée"/>
    <w:basedOn w:val="Navaden"/>
    <w:pPr>
      <w:spacing w:before="0" w:after="0"/>
      <w:jc w:val="center"/>
    </w:pPr>
  </w:style>
  <w:style w:type="paragraph" w:customStyle="1" w:styleId="Fichefinanciretitre">
    <w:name w:val="Fiche financière titre"/>
    <w:basedOn w:val="Navaden"/>
    <w:next w:val="Navaden"/>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avaden"/>
    <w:next w:val="Confidentialit"/>
    <w:pPr>
      <w:spacing w:before="0" w:after="240"/>
      <w:ind w:left="5103"/>
      <w:jc w:val="left"/>
    </w:pPr>
  </w:style>
  <w:style w:type="paragraph" w:customStyle="1" w:styleId="IntrtEEE">
    <w:name w:val="Intérêt EEE"/>
    <w:basedOn w:val="Languesfaisantfoi"/>
    <w:next w:val="Navaden"/>
    <w:pPr>
      <w:spacing w:after="240"/>
    </w:pPr>
  </w:style>
  <w:style w:type="paragraph" w:customStyle="1" w:styleId="Accompagnant">
    <w:name w:val="Accompagnant"/>
    <w:basedOn w:val="Navaden"/>
    <w:next w:val="Typeacteprincipal"/>
    <w:pPr>
      <w:spacing w:before="180" w:after="240"/>
      <w:jc w:val="center"/>
    </w:pPr>
    <w:rPr>
      <w:b/>
    </w:rPr>
  </w:style>
  <w:style w:type="paragraph" w:customStyle="1" w:styleId="Typeacteprincipal">
    <w:name w:val="Type acte principal"/>
    <w:basedOn w:val="Navaden"/>
    <w:next w:val="Objetacteprincipal"/>
    <w:pPr>
      <w:spacing w:before="0" w:after="240"/>
      <w:jc w:val="center"/>
    </w:pPr>
    <w:rPr>
      <w:b/>
    </w:rPr>
  </w:style>
  <w:style w:type="paragraph" w:customStyle="1" w:styleId="Objetacteprincipal">
    <w:name w:val="Objet acte principal"/>
    <w:basedOn w:val="Navade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avaden"/>
    <w:next w:val="Navaden"/>
    <w:pPr>
      <w:spacing w:before="360" w:after="0"/>
      <w:jc w:val="center"/>
    </w:pPr>
  </w:style>
  <w:style w:type="paragraph" w:customStyle="1" w:styleId="pf0">
    <w:name w:val="pf0"/>
    <w:basedOn w:val="Navaden"/>
    <w:rsid w:val="00682BB6"/>
    <w:pPr>
      <w:spacing w:before="100" w:beforeAutospacing="1" w:after="100" w:afterAutospacing="1"/>
      <w:jc w:val="left"/>
    </w:pPr>
    <w:rPr>
      <w:rFonts w:eastAsia="Times New Roman"/>
      <w:szCs w:val="24"/>
      <w:lang w:eastAsia="sl-SI"/>
    </w:rPr>
  </w:style>
  <w:style w:type="character" w:customStyle="1" w:styleId="cf01">
    <w:name w:val="cf01"/>
    <w:basedOn w:val="Privzetapisavaodstavka"/>
    <w:rsid w:val="00682B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9302">
      <w:bodyDiv w:val="1"/>
      <w:marLeft w:val="0"/>
      <w:marRight w:val="0"/>
      <w:marTop w:val="0"/>
      <w:marBottom w:val="0"/>
      <w:divBdr>
        <w:top w:val="none" w:sz="0" w:space="0" w:color="auto"/>
        <w:left w:val="none" w:sz="0" w:space="0" w:color="auto"/>
        <w:bottom w:val="none" w:sz="0" w:space="0" w:color="auto"/>
        <w:right w:val="none" w:sz="0" w:space="0" w:color="auto"/>
      </w:divBdr>
    </w:div>
    <w:div w:id="85394909">
      <w:bodyDiv w:val="1"/>
      <w:marLeft w:val="0"/>
      <w:marRight w:val="0"/>
      <w:marTop w:val="0"/>
      <w:marBottom w:val="0"/>
      <w:divBdr>
        <w:top w:val="none" w:sz="0" w:space="0" w:color="auto"/>
        <w:left w:val="none" w:sz="0" w:space="0" w:color="auto"/>
        <w:bottom w:val="none" w:sz="0" w:space="0" w:color="auto"/>
        <w:right w:val="none" w:sz="0" w:space="0" w:color="auto"/>
      </w:divBdr>
    </w:div>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621545369">
      <w:bodyDiv w:val="1"/>
      <w:marLeft w:val="0"/>
      <w:marRight w:val="0"/>
      <w:marTop w:val="0"/>
      <w:marBottom w:val="0"/>
      <w:divBdr>
        <w:top w:val="none" w:sz="0" w:space="0" w:color="auto"/>
        <w:left w:val="none" w:sz="0" w:space="0" w:color="auto"/>
        <w:bottom w:val="none" w:sz="0" w:space="0" w:color="auto"/>
        <w:right w:val="none" w:sz="0" w:space="0" w:color="auto"/>
      </w:divBdr>
    </w:div>
    <w:div w:id="740714474">
      <w:bodyDiv w:val="1"/>
      <w:marLeft w:val="0"/>
      <w:marRight w:val="0"/>
      <w:marTop w:val="0"/>
      <w:marBottom w:val="0"/>
      <w:divBdr>
        <w:top w:val="none" w:sz="0" w:space="0" w:color="auto"/>
        <w:left w:val="none" w:sz="0" w:space="0" w:color="auto"/>
        <w:bottom w:val="none" w:sz="0" w:space="0" w:color="auto"/>
        <w:right w:val="none" w:sz="0" w:space="0" w:color="auto"/>
      </w:divBdr>
    </w:div>
    <w:div w:id="828405672">
      <w:bodyDiv w:val="1"/>
      <w:marLeft w:val="0"/>
      <w:marRight w:val="0"/>
      <w:marTop w:val="0"/>
      <w:marBottom w:val="0"/>
      <w:divBdr>
        <w:top w:val="none" w:sz="0" w:space="0" w:color="auto"/>
        <w:left w:val="none" w:sz="0" w:space="0" w:color="auto"/>
        <w:bottom w:val="none" w:sz="0" w:space="0" w:color="auto"/>
        <w:right w:val="none" w:sz="0" w:space="0" w:color="auto"/>
      </w:divBdr>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1455712646">
      <w:bodyDiv w:val="1"/>
      <w:marLeft w:val="0"/>
      <w:marRight w:val="0"/>
      <w:marTop w:val="0"/>
      <w:marBottom w:val="0"/>
      <w:divBdr>
        <w:top w:val="none" w:sz="0" w:space="0" w:color="auto"/>
        <w:left w:val="none" w:sz="0" w:space="0" w:color="auto"/>
        <w:bottom w:val="none" w:sz="0" w:space="0" w:color="auto"/>
        <w:right w:val="none" w:sz="0" w:space="0" w:color="auto"/>
      </w:divBdr>
    </w:div>
    <w:div w:id="1841389032">
      <w:bodyDiv w:val="1"/>
      <w:marLeft w:val="0"/>
      <w:marRight w:val="0"/>
      <w:marTop w:val="0"/>
      <w:marBottom w:val="0"/>
      <w:divBdr>
        <w:top w:val="none" w:sz="0" w:space="0" w:color="auto"/>
        <w:left w:val="none" w:sz="0" w:space="0" w:color="auto"/>
        <w:bottom w:val="none" w:sz="0" w:space="0" w:color="auto"/>
        <w:right w:val="none" w:sz="0" w:space="0" w:color="auto"/>
      </w:divBdr>
    </w:div>
    <w:div w:id="1922442552">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1-01-1957" TargetMode="External"/><Relationship Id="rId18" Type="http://schemas.openxmlformats.org/officeDocument/2006/relationships/hyperlink" Target="https://www.uradni-list.si/glasilo-uradni-list-rs/vsebina/2022-01-0825"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21-01-1957" TargetMode="External"/><Relationship Id="rId7" Type="http://schemas.openxmlformats.org/officeDocument/2006/relationships/settings" Target="settings.xml"/><Relationship Id="rId12" Type="http://schemas.openxmlformats.org/officeDocument/2006/relationships/hyperlink" Target="https://www.uradni-list.si/glasilo-uradni-list-rs/vsebina/2022-01-0825" TargetMode="External"/><Relationship Id="rId17" Type="http://schemas.openxmlformats.org/officeDocument/2006/relationships/hyperlink" Target="https://www.uradni-list.si/glasilo-uradni-list-rs/vsebina/2021-01-1957" TargetMode="External"/><Relationship Id="rId2" Type="http://schemas.openxmlformats.org/officeDocument/2006/relationships/customXml" Target="../customXml/item2.xml"/><Relationship Id="rId16" Type="http://schemas.openxmlformats.org/officeDocument/2006/relationships/hyperlink" Target="https://ec.europa.eu/regional_policy/whats-new/conferences/inform-network/inform-27052024_en" TargetMode="External"/><Relationship Id="rId20" Type="http://schemas.openxmlformats.org/officeDocument/2006/relationships/hyperlink" Target="https://www.uradni-list.si/glasilo-uradni-list-rs/vsebina/2021-01-195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1-01-195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radni-list.si/glasilo-uradni-list-rs/vsebina/2021-01-195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radni-list.si/glasilo-uradni-list-rs/vsebina/2021-01-195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1-01-1957"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BECBC-5120-4FE6-A616-D94987E6C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0130C-A2DA-48C9-9464-810060B69084}">
  <ds:schemaRefs>
    <ds:schemaRef ds:uri="http://schemas.microsoft.com/sharepoint/v3/contenttype/forms"/>
  </ds:schemaRefs>
</ds:datastoreItem>
</file>

<file path=customXml/itemProps3.xml><?xml version="1.0" encoding="utf-8"?>
<ds:datastoreItem xmlns:ds="http://schemas.openxmlformats.org/officeDocument/2006/customXml" ds:itemID="{75356D46-FC06-4E2C-B7DB-6E99CB91049A}">
  <ds:schemaRefs>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ac131f03-315b-4cd8-8e3a-6189969fd4f0"/>
    <ds:schemaRef ds:uri="5843c966-cb45-4885-93fc-2ce78a94204b"/>
    <ds:schemaRef ds:uri="http://schemas.microsoft.com/office/2006/metadata/properties"/>
  </ds:schemaRefs>
</ds:datastoreItem>
</file>

<file path=customXml/itemProps4.xml><?xml version="1.0" encoding="utf-8"?>
<ds:datastoreItem xmlns:ds="http://schemas.openxmlformats.org/officeDocument/2006/customXml" ds:itemID="{A17304D2-6F39-45B7-BEDD-A7EC0859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5</TotalTime>
  <Pages>17</Pages>
  <Words>8242</Words>
  <Characters>46984</Characters>
  <Application>Microsoft Office Word</Application>
  <DocSecurity>0</DocSecurity>
  <Lines>391</Lines>
  <Paragraphs>110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Brešćanski</dc:creator>
  <cp:keywords/>
  <dc:description/>
  <cp:lastModifiedBy>Mirjam Senčar </cp:lastModifiedBy>
  <cp:revision>2</cp:revision>
  <cp:lastPrinted>2022-09-22T13:13:00Z</cp:lastPrinted>
  <dcterms:created xsi:type="dcterms:W3CDTF">2025-01-28T07:37:00Z</dcterms:created>
  <dcterms:modified xsi:type="dcterms:W3CDTF">2025-01-28T07:37:00Z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