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purl.oclc.org/ooxml/officeDocument/relationships/officeDocument" Target="word/document.xml" /><Relationship Id="rId2" Type="http://purl.oclc.org/ooxml/officeDocument/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nformance="strict">
  <!-- Generated by Aspose.Words for Java 24.10.0 -->
  <w:body>
    <w:p w:rsidR="00A77B3E">
      <w:pPr>
        <w:jc w:val="start"/>
      </w:pPr>
    </w:p>
    <w:p w:rsidR="00A77B3E">
      <w:pPr>
        <w:jc w:val="center"/>
        <w:rPr>
          <w:rFonts w:ascii="Times New Roman" w:eastAsia="Times New Roman" w:hAnsi="Times New Roman" w:cs="Times New Roman"/>
          <w:vanish w:val="0"/>
          <w:color w:val="000000"/>
          <w:sz w:val="32"/>
        </w:rPr>
      </w:pPr>
      <w:r>
        <w:rPr>
          <w:rFonts w:ascii="Times New Roman" w:eastAsia="Times New Roman" w:hAnsi="Times New Roman" w:cs="Times New Roman"/>
          <w:vanish w:val="0"/>
          <w:color w:val="000000"/>
          <w:sz w:val="32"/>
        </w:rPr>
        <w:t>Program SFC2021 za AMIF, SNV in IUMV</w:t>
      </w:r>
    </w:p>
    <w:p w:rsidR="00A77B3E">
      <w:pPr>
        <w:jc w:val="center"/>
        <w:rPr>
          <w:rFonts w:ascii="Times New Roman" w:eastAsia="Times New Roman" w:hAnsi="Times New Roman" w:cs="Times New Roman"/>
          <w:vanish w:val="0"/>
          <w:color w:val="000000"/>
          <w:sz w:val="32"/>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5225"/>
        <w:gridCol w:w="5225"/>
      </w:tblGrid>
      <w:tr>
        <w:tblPrEx>
          <w:tblW w:w="100%" w:type="pct"/>
        </w:tblPrEx>
        <w:trPr>
          <w:trHeight w:val="240"/>
        </w:trPr>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Številka CCI</w:t>
            </w:r>
          </w:p>
        </w:tc>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2021SI65BVPR001</w:t>
            </w:r>
          </w:p>
        </w:tc>
      </w:tr>
      <w:tr>
        <w:tblPrEx>
          <w:tblW w:w="100%" w:type="pct"/>
        </w:tblPrEx>
        <w:trPr>
          <w:trHeight w:val="240"/>
        </w:trPr>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Naslov v angleščini</w:t>
            </w:r>
          </w:p>
        </w:tc>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Programme Slovenia - BMVI</w:t>
            </w:r>
          </w:p>
        </w:tc>
      </w:tr>
      <w:tr>
        <w:tblPrEx>
          <w:tblW w:w="100%" w:type="pct"/>
        </w:tblPrEx>
        <w:trPr>
          <w:trHeight w:val="240"/>
        </w:trPr>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Naslov v nacionalnem jeziku (nacionalnih jezikih)</w:t>
            </w:r>
          </w:p>
        </w:tc>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SL - Programme Slovenia - IUMV</w:t>
            </w:r>
          </w:p>
        </w:tc>
      </w:tr>
      <w:tr>
        <w:tblPrEx>
          <w:tblW w:w="100%" w:type="pct"/>
        </w:tblPrEx>
        <w:trPr>
          <w:trHeight w:val="240"/>
        </w:trPr>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Različica</w:t>
            </w:r>
          </w:p>
        </w:tc>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2.0</w:t>
            </w:r>
          </w:p>
        </w:tc>
      </w:tr>
      <w:tr>
        <w:tblPrEx>
          <w:tblW w:w="100%" w:type="pct"/>
        </w:tblPrEx>
        <w:trPr>
          <w:trHeight w:val="240"/>
        </w:trPr>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Prvo leto</w:t>
            </w:r>
          </w:p>
        </w:tc>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2021</w:t>
            </w:r>
          </w:p>
        </w:tc>
      </w:tr>
      <w:tr>
        <w:tblPrEx>
          <w:tblW w:w="100%" w:type="pct"/>
        </w:tblPrEx>
        <w:trPr>
          <w:trHeight w:val="240"/>
        </w:trPr>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Zadnje leto</w:t>
            </w:r>
          </w:p>
        </w:tc>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2027</w:t>
            </w:r>
          </w:p>
        </w:tc>
      </w:tr>
      <w:tr>
        <w:tblPrEx>
          <w:tblW w:w="100%" w:type="pct"/>
        </w:tblPrEx>
        <w:trPr>
          <w:trHeight w:val="240"/>
        </w:trPr>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Upravičen od</w:t>
            </w:r>
          </w:p>
        </w:tc>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1. jan. 2021</w:t>
            </w:r>
          </w:p>
        </w:tc>
      </w:tr>
      <w:tr>
        <w:tblPrEx>
          <w:tblW w:w="100%" w:type="pct"/>
        </w:tblPrEx>
        <w:trPr>
          <w:trHeight w:val="240"/>
        </w:trPr>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Upravičen do</w:t>
            </w:r>
          </w:p>
        </w:tc>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31. dec. 2029</w:t>
            </w:r>
          </w:p>
        </w:tc>
      </w:tr>
      <w:tr>
        <w:tblPrEx>
          <w:tblW w:w="100%" w:type="pct"/>
        </w:tblPrEx>
        <w:trPr>
          <w:trHeight w:val="240"/>
        </w:trPr>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Številka sklepa Komisije</w:t>
            </w:r>
          </w:p>
        </w:tc>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C(2024)8206</w:t>
            </w:r>
          </w:p>
        </w:tc>
      </w:tr>
      <w:tr>
        <w:tblPrEx>
          <w:tblW w:w="100%" w:type="pct"/>
        </w:tblPrEx>
        <w:trPr>
          <w:trHeight w:val="240"/>
        </w:trPr>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Datum sklepa Komisije</w:t>
            </w:r>
          </w:p>
        </w:tc>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19. nov. 2024</w:t>
            </w:r>
          </w:p>
        </w:tc>
      </w:tr>
      <w:tr>
        <w:tblPrEx>
          <w:tblW w:w="100%" w:type="pct"/>
        </w:tblPrEx>
        <w:trPr>
          <w:trHeight w:val="240"/>
        </w:trPr>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Številka sklepa države članice o spremembi</w:t>
            </w:r>
          </w:p>
        </w:tc>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p>
        </w:tc>
      </w:tr>
      <w:tr>
        <w:tblPrEx>
          <w:tblW w:w="100%" w:type="pct"/>
        </w:tblPrEx>
        <w:trPr>
          <w:trHeight w:val="240"/>
        </w:trPr>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Datum začetka veljavnosti sklepa države članice o spremembi</w:t>
            </w:r>
          </w:p>
        </w:tc>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p>
        </w:tc>
      </w:tr>
      <w:tr>
        <w:tblPrEx>
          <w:tblW w:w="100%" w:type="pct"/>
        </w:tblPrEx>
        <w:trPr>
          <w:trHeight w:val="240"/>
        </w:trPr>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Nebistvena prerazporeditev (člen 24(5) uredbe o skupnih določbah)</w:t>
            </w:r>
          </w:p>
        </w:tc>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Ne</w:t>
            </w:r>
          </w:p>
        </w:tc>
      </w:tr>
      <w:tr>
        <w:tblPrEx>
          <w:tblW w:w="100%" w:type="pct"/>
        </w:tblPrEx>
        <w:trPr>
          <w:trHeight w:val="240"/>
        </w:trPr>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Redakcijsko-tehnični popravki (člen 24(6) uredbe o skupnih določbah)</w:t>
            </w:r>
          </w:p>
        </w:tc>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Ne</w:t>
            </w:r>
          </w:p>
        </w:tc>
      </w:tr>
      <w:tr>
        <w:tblPrEx>
          <w:tblW w:w="100%" w:type="pct"/>
        </w:tblPrEx>
        <w:trPr>
          <w:trHeight w:val="240"/>
        </w:trPr>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Tematski instrument (člen 11 uredbe o AMIF, člen 8 uredbe o IUMV, člen 8 uredbe o SNV)</w:t>
            </w:r>
          </w:p>
        </w:tc>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Ne</w:t>
            </w:r>
          </w:p>
        </w:tc>
      </w:tr>
      <w:tr>
        <w:tblPrEx>
          <w:tblW w:w="100%" w:type="pct"/>
        </w:tblPrEx>
        <w:trPr>
          <w:trHeight w:val="240"/>
        </w:trPr>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Odobril odbor za spremljanje</w:t>
            </w:r>
          </w:p>
        </w:tc>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Da</w:t>
            </w:r>
          </w:p>
        </w:tc>
      </w:tr>
    </w:tbl>
    <w:p w:rsidR="00A77B3E">
      <w:pPr>
        <w:jc w:val="center"/>
        <w:rPr>
          <w:rFonts w:ascii="Times New Roman" w:eastAsia="Times New Roman" w:hAnsi="Times New Roman" w:cs="Times New Roman"/>
          <w:b/>
          <w:vanish w:val="0"/>
          <w:color w:val="000000"/>
          <w:sz w:val="24"/>
        </w:rPr>
      </w:pPr>
      <w:r>
        <w:rPr>
          <w:rFonts w:ascii="Times New Roman" w:eastAsia="Times New Roman" w:hAnsi="Times New Roman" w:cs="Times New Roman"/>
          <w:b w:val="0"/>
          <w:vanish w:val="0"/>
          <w:color w:val="000000"/>
          <w:sz w:val="24"/>
        </w:rPr>
        <w:br w:type="page"/>
      </w:r>
      <w:r>
        <w:rPr>
          <w:rFonts w:ascii="Times New Roman" w:eastAsia="Times New Roman" w:hAnsi="Times New Roman" w:cs="Times New Roman"/>
          <w:b/>
          <w:vanish w:val="0"/>
          <w:color w:val="000000"/>
          <w:sz w:val="24"/>
        </w:rPr>
        <w:t>Kazalo</w:t>
      </w:r>
    </w:p>
    <w:p w:rsidR="00A77B3E">
      <w:pPr>
        <w:jc w:val="center"/>
        <w:rPr>
          <w:rFonts w:ascii="Times New Roman" w:eastAsia="Times New Roman" w:hAnsi="Times New Roman" w:cs="Times New Roman"/>
          <w:b w:val="0"/>
          <w:vanish w:val="0"/>
          <w:color w:val="000000"/>
          <w:sz w:val="24"/>
        </w:rPr>
      </w:pPr>
    </w:p>
    <w:p>
      <w:pPr>
        <w:pStyle w:val="TOC1"/>
        <w:tabs>
          <w:tab w:val="end" w:leader="dot" w:pos="10240"/>
        </w:tabs>
        <w:rPr>
          <w:rFonts w:ascii="Calibri" w:hAnsi="Calibri"/>
          <w:noProof/>
          <w:sz w:val="22"/>
        </w:rPr>
      </w:pPr>
      <w:r w:rsidR="00A77B3E">
        <w:rPr>
          <w:rFonts w:ascii="Times New Roman" w:eastAsia="Times New Roman" w:hAnsi="Times New Roman" w:cs="Times New Roman"/>
          <w:b w:val="0"/>
          <w:vanish w:val="0"/>
          <w:color w:val="000000"/>
          <w:sz w:val="24"/>
        </w:rPr>
        <w:fldChar w:fldCharType="begin"/>
      </w:r>
      <w:r w:rsidR="00A77B3E">
        <w:rPr>
          <w:rFonts w:ascii="Times New Roman" w:eastAsia="Times New Roman" w:hAnsi="Times New Roman" w:cs="Times New Roman"/>
          <w:b w:val="0"/>
          <w:vanish w:val="0"/>
          <w:color w:val="000000"/>
          <w:sz w:val="24"/>
        </w:rPr>
        <w:instrText>TOC \o "1-9" \z \u \h</w:instrText>
      </w:r>
      <w:r w:rsidR="00A77B3E">
        <w:rPr>
          <w:rFonts w:ascii="Times New Roman" w:eastAsia="Times New Roman" w:hAnsi="Times New Roman" w:cs="Times New Roman"/>
          <w:b w:val="0"/>
          <w:vanish w:val="0"/>
          <w:color w:val="000000"/>
          <w:sz w:val="24"/>
        </w:rPr>
        <w:fldChar w:fldCharType="separate"/>
      </w:r>
      <w:hyperlink w:anchor="_Toc256000046" w:history="1">
        <w:r w:rsidR="00A77B3E">
          <w:rPr>
            <w:rStyle w:val="Hyperlink"/>
            <w:rFonts w:ascii="Times New Roman" w:hAnsi="Times New Roman" w:cs="Times New Roman"/>
          </w:rPr>
          <w:t>1. Strategija programa: glavni izzivi in odzivi politik</w:t>
        </w:r>
        <w:r>
          <w:tab/>
        </w:r>
        <w:r>
          <w:fldChar w:fldCharType="begin"/>
        </w:r>
        <w:r>
          <w:instrText xml:space="preserve"> PAGEREF _Toc256000046 \h </w:instrText>
        </w:r>
        <w:r>
          <w:fldChar w:fldCharType="separate"/>
        </w:r>
        <w:r>
          <w:t>4</w:t>
        </w:r>
        <w:r>
          <w:fldChar w:fldCharType="end"/>
        </w:r>
      </w:hyperlink>
    </w:p>
    <w:p>
      <w:pPr>
        <w:pStyle w:val="TOC1"/>
        <w:tabs>
          <w:tab w:val="end" w:leader="dot" w:pos="10240"/>
        </w:tabs>
        <w:rPr>
          <w:rFonts w:ascii="Calibri" w:hAnsi="Calibri"/>
          <w:noProof/>
          <w:sz w:val="22"/>
        </w:rPr>
      </w:pPr>
      <w:hyperlink w:anchor="_Toc256000047" w:history="1">
        <w:r w:rsidR="00A77B3E">
          <w:rPr>
            <w:rStyle w:val="Hyperlink"/>
            <w:rFonts w:ascii="Times New Roman" w:hAnsi="Times New Roman" w:cs="Times New Roman"/>
          </w:rPr>
          <w:t>2. Specifični cilji in tehnična pomoč</w:t>
        </w:r>
        <w:r>
          <w:tab/>
        </w:r>
        <w:r>
          <w:fldChar w:fldCharType="begin"/>
        </w:r>
        <w:r>
          <w:instrText xml:space="preserve"> PAGEREF _Toc256000047 \h </w:instrText>
        </w:r>
        <w:r>
          <w:fldChar w:fldCharType="separate"/>
        </w:r>
        <w:r>
          <w:t>8</w:t>
        </w:r>
        <w:r>
          <w:fldChar w:fldCharType="end"/>
        </w:r>
      </w:hyperlink>
    </w:p>
    <w:p>
      <w:pPr>
        <w:pStyle w:val="TOC2"/>
        <w:tabs>
          <w:tab w:val="end" w:leader="dot" w:pos="10240"/>
        </w:tabs>
        <w:rPr>
          <w:rFonts w:ascii="Calibri" w:hAnsi="Calibri"/>
          <w:noProof/>
          <w:sz w:val="22"/>
        </w:rPr>
      </w:pPr>
      <w:hyperlink w:anchor="_Toc256000048" w:history="1">
        <w:r w:rsidR="00A77B3E">
          <w:rPr>
            <w:rStyle w:val="Hyperlink"/>
            <w:rFonts w:ascii="TimesNewRoman" w:eastAsia="TimesNewRoman" w:hAnsi="TimesNewRoman" w:cs="TimesNewRoman"/>
          </w:rPr>
          <w:t>2.1. Specifični cilj: 1. Evropsko integrirano upravljanje meja</w:t>
        </w:r>
        <w:r>
          <w:tab/>
        </w:r>
        <w:r>
          <w:fldChar w:fldCharType="begin"/>
        </w:r>
        <w:r>
          <w:instrText xml:space="preserve"> PAGEREF _Toc256000048 \h </w:instrText>
        </w:r>
        <w:r>
          <w:fldChar w:fldCharType="separate"/>
        </w:r>
        <w:r>
          <w:t>9</w:t>
        </w:r>
        <w:r>
          <w:fldChar w:fldCharType="end"/>
        </w:r>
      </w:hyperlink>
    </w:p>
    <w:p>
      <w:pPr>
        <w:pStyle w:val="TOC3"/>
        <w:tabs>
          <w:tab w:val="end" w:leader="dot" w:pos="10240"/>
        </w:tabs>
        <w:rPr>
          <w:rFonts w:ascii="Calibri" w:hAnsi="Calibri"/>
          <w:noProof/>
          <w:sz w:val="22"/>
        </w:rPr>
      </w:pPr>
      <w:hyperlink w:anchor="_Toc256000049" w:history="1">
        <w:r w:rsidR="00A77B3E">
          <w:rPr>
            <w:rStyle w:val="Hyperlink"/>
            <w:rFonts w:ascii="TimesNewRoman" w:eastAsia="TimesNewRoman" w:hAnsi="TimesNewRoman" w:cs="TimesNewRoman"/>
          </w:rPr>
          <w:t>2.1.1. Opis specifičnega cilja</w:t>
        </w:r>
        <w:r>
          <w:tab/>
        </w:r>
        <w:r>
          <w:fldChar w:fldCharType="begin"/>
        </w:r>
        <w:r>
          <w:instrText xml:space="preserve"> PAGEREF _Toc256000049 \h </w:instrText>
        </w:r>
        <w:r>
          <w:fldChar w:fldCharType="separate"/>
        </w:r>
        <w:r>
          <w:t>9</w:t>
        </w:r>
        <w:r>
          <w:fldChar w:fldCharType="end"/>
        </w:r>
      </w:hyperlink>
    </w:p>
    <w:p>
      <w:pPr>
        <w:pStyle w:val="TOC3"/>
        <w:tabs>
          <w:tab w:val="end" w:leader="dot" w:pos="10240"/>
        </w:tabs>
        <w:rPr>
          <w:rFonts w:ascii="Calibri" w:hAnsi="Calibri"/>
          <w:noProof/>
          <w:sz w:val="22"/>
        </w:rPr>
      </w:pPr>
      <w:hyperlink w:anchor="_Toc256000050" w:history="1">
        <w:r w:rsidR="00A77B3E">
          <w:rPr>
            <w:rStyle w:val="Hyperlink"/>
            <w:rFonts w:ascii="Times New Roman" w:hAnsi="Times New Roman" w:cs="Times New Roman"/>
          </w:rPr>
          <w:t>2.1.2. Kazalniki</w:t>
        </w:r>
        <w:r>
          <w:tab/>
        </w:r>
        <w:r>
          <w:fldChar w:fldCharType="begin"/>
        </w:r>
        <w:r>
          <w:instrText xml:space="preserve"> PAGEREF _Toc256000050 \h </w:instrText>
        </w:r>
        <w:r>
          <w:fldChar w:fldCharType="separate"/>
        </w:r>
        <w:r>
          <w:t>15</w:t>
        </w:r>
        <w:r>
          <w:fldChar w:fldCharType="end"/>
        </w:r>
      </w:hyperlink>
    </w:p>
    <w:p>
      <w:pPr>
        <w:pStyle w:val="TOC4"/>
        <w:tabs>
          <w:tab w:val="end" w:leader="dot" w:pos="10240"/>
        </w:tabs>
        <w:rPr>
          <w:rFonts w:ascii="Calibri" w:hAnsi="Calibri"/>
          <w:noProof/>
          <w:sz w:val="22"/>
        </w:rPr>
      </w:pPr>
      <w:hyperlink w:anchor="_Toc256000051" w:history="1">
        <w:r w:rsidR="00A77B3E">
          <w:rPr>
            <w:rStyle w:val="Hyperlink"/>
          </w:rPr>
          <w:t>Tabela 1: Kazalniki učinka</w:t>
        </w:r>
        <w:r>
          <w:tab/>
        </w:r>
        <w:r>
          <w:fldChar w:fldCharType="begin"/>
        </w:r>
        <w:r>
          <w:instrText xml:space="preserve"> PAGEREF _Toc256000051 \h </w:instrText>
        </w:r>
        <w:r>
          <w:fldChar w:fldCharType="separate"/>
        </w:r>
        <w:r>
          <w:t>15</w:t>
        </w:r>
        <w:r>
          <w:fldChar w:fldCharType="end"/>
        </w:r>
      </w:hyperlink>
    </w:p>
    <w:p>
      <w:pPr>
        <w:pStyle w:val="TOC4"/>
        <w:tabs>
          <w:tab w:val="end" w:leader="dot" w:pos="10240"/>
        </w:tabs>
        <w:rPr>
          <w:rFonts w:ascii="Calibri" w:hAnsi="Calibri"/>
          <w:noProof/>
          <w:sz w:val="22"/>
        </w:rPr>
      </w:pPr>
      <w:hyperlink w:anchor="_Toc256000052" w:history="1">
        <w:r w:rsidR="00A77B3E">
          <w:rPr>
            <w:rStyle w:val="Hyperlink"/>
          </w:rPr>
          <w:t>Tabela 2: Kazalniki rezultatov</w:t>
        </w:r>
        <w:r>
          <w:tab/>
        </w:r>
        <w:r>
          <w:fldChar w:fldCharType="begin"/>
        </w:r>
        <w:r>
          <w:instrText xml:space="preserve"> PAGEREF _Toc256000052 \h </w:instrText>
        </w:r>
        <w:r>
          <w:fldChar w:fldCharType="separate"/>
        </w:r>
        <w:r>
          <w:t>16</w:t>
        </w:r>
        <w:r>
          <w:fldChar w:fldCharType="end"/>
        </w:r>
      </w:hyperlink>
    </w:p>
    <w:p>
      <w:pPr>
        <w:pStyle w:val="TOC3"/>
        <w:tabs>
          <w:tab w:val="end" w:leader="dot" w:pos="10240"/>
        </w:tabs>
        <w:rPr>
          <w:rFonts w:ascii="Calibri" w:hAnsi="Calibri"/>
          <w:noProof/>
          <w:sz w:val="22"/>
        </w:rPr>
      </w:pPr>
      <w:hyperlink w:anchor="_Toc256000053" w:history="1">
        <w:r w:rsidR="00A77B3E">
          <w:rPr>
            <w:rStyle w:val="Hyperlink"/>
            <w:rFonts w:ascii="Times New Roman" w:hAnsi="Times New Roman" w:cs="Times New Roman"/>
          </w:rPr>
          <w:t>2.1.3. Okvirna razčlenitev programskih sredstev (EU) po vrsti ukrepa</w:t>
        </w:r>
        <w:r>
          <w:tab/>
        </w:r>
        <w:r>
          <w:fldChar w:fldCharType="begin"/>
        </w:r>
        <w:r>
          <w:instrText xml:space="preserve"> PAGEREF _Toc256000053 \h </w:instrText>
        </w:r>
        <w:r>
          <w:fldChar w:fldCharType="separate"/>
        </w:r>
        <w:r>
          <w:t>18</w:t>
        </w:r>
        <w:r>
          <w:fldChar w:fldCharType="end"/>
        </w:r>
      </w:hyperlink>
    </w:p>
    <w:p>
      <w:pPr>
        <w:pStyle w:val="TOC4"/>
        <w:tabs>
          <w:tab w:val="end" w:leader="dot" w:pos="10240"/>
        </w:tabs>
        <w:rPr>
          <w:rFonts w:ascii="Calibri" w:hAnsi="Calibri"/>
          <w:noProof/>
          <w:sz w:val="22"/>
        </w:rPr>
      </w:pPr>
      <w:hyperlink w:anchor="_Toc256000054" w:history="1">
        <w:r w:rsidR="00A77B3E">
          <w:rPr>
            <w:rStyle w:val="Hyperlink"/>
          </w:rPr>
          <w:t>Tabela 3: Okvirna razčlenitev</w:t>
        </w:r>
        <w:r>
          <w:tab/>
        </w:r>
        <w:r>
          <w:fldChar w:fldCharType="begin"/>
        </w:r>
        <w:r>
          <w:instrText xml:space="preserve"> PAGEREF _Toc256000054 \h </w:instrText>
        </w:r>
        <w:r>
          <w:fldChar w:fldCharType="separate"/>
        </w:r>
        <w:r>
          <w:t>18</w:t>
        </w:r>
        <w:r>
          <w:fldChar w:fldCharType="end"/>
        </w:r>
      </w:hyperlink>
    </w:p>
    <w:p>
      <w:pPr>
        <w:pStyle w:val="TOC2"/>
        <w:tabs>
          <w:tab w:val="end" w:leader="dot" w:pos="10240"/>
        </w:tabs>
        <w:rPr>
          <w:rFonts w:ascii="Calibri" w:hAnsi="Calibri"/>
          <w:noProof/>
          <w:sz w:val="22"/>
        </w:rPr>
      </w:pPr>
      <w:hyperlink w:anchor="_Toc256000055" w:history="1">
        <w:r w:rsidR="00A77B3E">
          <w:rPr>
            <w:rStyle w:val="Hyperlink"/>
            <w:rFonts w:ascii="TimesNewRoman" w:eastAsia="TimesNewRoman" w:hAnsi="TimesNewRoman" w:cs="TimesNewRoman"/>
          </w:rPr>
          <w:t>2.1. Specifični cilj: 2. Skupna vizumska politika</w:t>
        </w:r>
        <w:r>
          <w:tab/>
        </w:r>
        <w:r>
          <w:fldChar w:fldCharType="begin"/>
        </w:r>
        <w:r>
          <w:instrText xml:space="preserve"> PAGEREF _Toc256000055 \h </w:instrText>
        </w:r>
        <w:r>
          <w:fldChar w:fldCharType="separate"/>
        </w:r>
        <w:r>
          <w:t>21</w:t>
        </w:r>
        <w:r>
          <w:fldChar w:fldCharType="end"/>
        </w:r>
      </w:hyperlink>
    </w:p>
    <w:p>
      <w:pPr>
        <w:pStyle w:val="TOC3"/>
        <w:tabs>
          <w:tab w:val="end" w:leader="dot" w:pos="10240"/>
        </w:tabs>
        <w:rPr>
          <w:rFonts w:ascii="Calibri" w:hAnsi="Calibri"/>
          <w:noProof/>
          <w:sz w:val="22"/>
        </w:rPr>
      </w:pPr>
      <w:hyperlink w:anchor="_Toc256000056" w:history="1">
        <w:r w:rsidR="00A77B3E">
          <w:rPr>
            <w:rStyle w:val="Hyperlink"/>
            <w:rFonts w:ascii="TimesNewRoman" w:eastAsia="TimesNewRoman" w:hAnsi="TimesNewRoman" w:cs="TimesNewRoman"/>
          </w:rPr>
          <w:t>2.1.1. Opis specifičnega cilja</w:t>
        </w:r>
        <w:r>
          <w:tab/>
        </w:r>
        <w:r>
          <w:fldChar w:fldCharType="begin"/>
        </w:r>
        <w:r>
          <w:instrText xml:space="preserve"> PAGEREF _Toc256000056 \h </w:instrText>
        </w:r>
        <w:r>
          <w:fldChar w:fldCharType="separate"/>
        </w:r>
        <w:r>
          <w:t>21</w:t>
        </w:r>
        <w:r>
          <w:fldChar w:fldCharType="end"/>
        </w:r>
      </w:hyperlink>
    </w:p>
    <w:p>
      <w:pPr>
        <w:pStyle w:val="TOC3"/>
        <w:tabs>
          <w:tab w:val="end" w:leader="dot" w:pos="10240"/>
        </w:tabs>
        <w:rPr>
          <w:rFonts w:ascii="Calibri" w:hAnsi="Calibri"/>
          <w:noProof/>
          <w:sz w:val="22"/>
        </w:rPr>
      </w:pPr>
      <w:hyperlink w:anchor="_Toc256000057" w:history="1">
        <w:r w:rsidR="00A77B3E">
          <w:rPr>
            <w:rStyle w:val="Hyperlink"/>
            <w:rFonts w:ascii="Times New Roman" w:hAnsi="Times New Roman" w:cs="Times New Roman"/>
          </w:rPr>
          <w:t>2.1.2. Kazalniki</w:t>
        </w:r>
        <w:r>
          <w:tab/>
        </w:r>
        <w:r>
          <w:fldChar w:fldCharType="begin"/>
        </w:r>
        <w:r>
          <w:instrText xml:space="preserve"> PAGEREF _Toc256000057 \h </w:instrText>
        </w:r>
        <w:r>
          <w:fldChar w:fldCharType="separate"/>
        </w:r>
        <w:r>
          <w:t>26</w:t>
        </w:r>
        <w:r>
          <w:fldChar w:fldCharType="end"/>
        </w:r>
      </w:hyperlink>
    </w:p>
    <w:p>
      <w:pPr>
        <w:pStyle w:val="TOC4"/>
        <w:tabs>
          <w:tab w:val="end" w:leader="dot" w:pos="10240"/>
        </w:tabs>
        <w:rPr>
          <w:rFonts w:ascii="Calibri" w:hAnsi="Calibri"/>
          <w:noProof/>
          <w:sz w:val="22"/>
        </w:rPr>
      </w:pPr>
      <w:hyperlink w:anchor="_Toc256000058" w:history="1">
        <w:r w:rsidR="00A77B3E">
          <w:rPr>
            <w:rStyle w:val="Hyperlink"/>
          </w:rPr>
          <w:t>Tabela 1: Kazalniki učinka</w:t>
        </w:r>
        <w:r>
          <w:tab/>
        </w:r>
        <w:r>
          <w:fldChar w:fldCharType="begin"/>
        </w:r>
        <w:r>
          <w:instrText xml:space="preserve"> PAGEREF _Toc256000058 \h </w:instrText>
        </w:r>
        <w:r>
          <w:fldChar w:fldCharType="separate"/>
        </w:r>
        <w:r>
          <w:t>26</w:t>
        </w:r>
        <w:r>
          <w:fldChar w:fldCharType="end"/>
        </w:r>
      </w:hyperlink>
    </w:p>
    <w:p>
      <w:pPr>
        <w:pStyle w:val="TOC4"/>
        <w:tabs>
          <w:tab w:val="end" w:leader="dot" w:pos="10240"/>
        </w:tabs>
        <w:rPr>
          <w:rFonts w:ascii="Calibri" w:hAnsi="Calibri"/>
          <w:noProof/>
          <w:sz w:val="22"/>
        </w:rPr>
      </w:pPr>
      <w:hyperlink w:anchor="_Toc256000059" w:history="1">
        <w:r w:rsidR="00A77B3E">
          <w:rPr>
            <w:rStyle w:val="Hyperlink"/>
          </w:rPr>
          <w:t>Tabela 2: Kazalniki rezultatov</w:t>
        </w:r>
        <w:r>
          <w:tab/>
        </w:r>
        <w:r>
          <w:fldChar w:fldCharType="begin"/>
        </w:r>
        <w:r>
          <w:instrText xml:space="preserve"> PAGEREF _Toc256000059 \h </w:instrText>
        </w:r>
        <w:r>
          <w:fldChar w:fldCharType="separate"/>
        </w:r>
        <w:r>
          <w:t>27</w:t>
        </w:r>
        <w:r>
          <w:fldChar w:fldCharType="end"/>
        </w:r>
      </w:hyperlink>
    </w:p>
    <w:p>
      <w:pPr>
        <w:pStyle w:val="TOC3"/>
        <w:tabs>
          <w:tab w:val="end" w:leader="dot" w:pos="10240"/>
        </w:tabs>
        <w:rPr>
          <w:rFonts w:ascii="Calibri" w:hAnsi="Calibri"/>
          <w:noProof/>
          <w:sz w:val="22"/>
        </w:rPr>
      </w:pPr>
      <w:hyperlink w:anchor="_Toc256000060" w:history="1">
        <w:r w:rsidR="00A77B3E">
          <w:rPr>
            <w:rStyle w:val="Hyperlink"/>
            <w:rFonts w:ascii="Times New Roman" w:hAnsi="Times New Roman" w:cs="Times New Roman"/>
          </w:rPr>
          <w:t>2.1.3. Okvirna razčlenitev programskih sredstev (EU) po vrsti ukrepa</w:t>
        </w:r>
        <w:r>
          <w:tab/>
        </w:r>
        <w:r>
          <w:fldChar w:fldCharType="begin"/>
        </w:r>
        <w:r>
          <w:instrText xml:space="preserve"> PAGEREF _Toc256000060 \h </w:instrText>
        </w:r>
        <w:r>
          <w:fldChar w:fldCharType="separate"/>
        </w:r>
        <w:r>
          <w:t>29</w:t>
        </w:r>
        <w:r>
          <w:fldChar w:fldCharType="end"/>
        </w:r>
      </w:hyperlink>
    </w:p>
    <w:p>
      <w:pPr>
        <w:pStyle w:val="TOC4"/>
        <w:tabs>
          <w:tab w:val="end" w:leader="dot" w:pos="10240"/>
        </w:tabs>
        <w:rPr>
          <w:rFonts w:ascii="Calibri" w:hAnsi="Calibri"/>
          <w:noProof/>
          <w:sz w:val="22"/>
        </w:rPr>
      </w:pPr>
      <w:hyperlink w:anchor="_Toc256000061" w:history="1">
        <w:r w:rsidR="00A77B3E">
          <w:rPr>
            <w:rStyle w:val="Hyperlink"/>
          </w:rPr>
          <w:t>Tabela 3: Okvirna razčlenitev</w:t>
        </w:r>
        <w:r>
          <w:tab/>
        </w:r>
        <w:r>
          <w:fldChar w:fldCharType="begin"/>
        </w:r>
        <w:r>
          <w:instrText xml:space="preserve"> PAGEREF _Toc256000061 \h </w:instrText>
        </w:r>
        <w:r>
          <w:fldChar w:fldCharType="separate"/>
        </w:r>
        <w:r>
          <w:t>29</w:t>
        </w:r>
        <w:r>
          <w:fldChar w:fldCharType="end"/>
        </w:r>
      </w:hyperlink>
    </w:p>
    <w:p>
      <w:pPr>
        <w:pStyle w:val="TOC2"/>
        <w:tabs>
          <w:tab w:val="end" w:leader="dot" w:pos="10240"/>
        </w:tabs>
        <w:rPr>
          <w:rFonts w:ascii="Calibri" w:hAnsi="Calibri"/>
          <w:noProof/>
          <w:sz w:val="22"/>
        </w:rPr>
      </w:pPr>
      <w:hyperlink w:anchor="_Toc256000062" w:history="1">
        <w:r w:rsidR="00A77B3E">
          <w:rPr>
            <w:rStyle w:val="Hyperlink"/>
            <w:rFonts w:ascii="TimesNewRoman" w:eastAsia="TimesNewRoman" w:hAnsi="TimesNewRoman" w:cs="TimesNewRoman"/>
          </w:rPr>
          <w:t>2.2. Tehnična pomoč: TA.36(5). Tehnična pomoč – pavšalna stopnja (člen 36(5) uredbe o skupnih določbah)</w:t>
        </w:r>
        <w:r>
          <w:tab/>
        </w:r>
        <w:r>
          <w:fldChar w:fldCharType="begin"/>
        </w:r>
        <w:r>
          <w:instrText xml:space="preserve"> PAGEREF _Toc256000062 \h </w:instrText>
        </w:r>
        <w:r>
          <w:fldChar w:fldCharType="separate"/>
        </w:r>
        <w:r>
          <w:t>30</w:t>
        </w:r>
        <w:r>
          <w:fldChar w:fldCharType="end"/>
        </w:r>
      </w:hyperlink>
    </w:p>
    <w:p>
      <w:pPr>
        <w:pStyle w:val="TOC3"/>
        <w:tabs>
          <w:tab w:val="end" w:leader="dot" w:pos="10240"/>
        </w:tabs>
        <w:rPr>
          <w:rFonts w:ascii="Calibri" w:hAnsi="Calibri"/>
          <w:noProof/>
          <w:sz w:val="22"/>
        </w:rPr>
      </w:pPr>
      <w:hyperlink w:anchor="_Toc256000063" w:history="1">
        <w:r w:rsidR="00A77B3E">
          <w:rPr>
            <w:rStyle w:val="Hyperlink"/>
            <w:rFonts w:ascii="TimesNewRoman" w:eastAsia="TimesNewRoman" w:hAnsi="TimesNewRoman" w:cs="TimesNewRoman"/>
          </w:rPr>
          <w:t>2.2.1. Opis</w:t>
        </w:r>
        <w:r>
          <w:tab/>
        </w:r>
        <w:r>
          <w:fldChar w:fldCharType="begin"/>
        </w:r>
        <w:r>
          <w:instrText xml:space="preserve"> PAGEREF _Toc256000063 \h </w:instrText>
        </w:r>
        <w:r>
          <w:fldChar w:fldCharType="separate"/>
        </w:r>
        <w:r>
          <w:t>30</w:t>
        </w:r>
        <w:r>
          <w:fldChar w:fldCharType="end"/>
        </w:r>
      </w:hyperlink>
    </w:p>
    <w:p>
      <w:pPr>
        <w:pStyle w:val="TOC3"/>
        <w:tabs>
          <w:tab w:val="end" w:leader="dot" w:pos="10240"/>
        </w:tabs>
        <w:rPr>
          <w:rFonts w:ascii="Calibri" w:hAnsi="Calibri"/>
          <w:noProof/>
          <w:sz w:val="22"/>
        </w:rPr>
      </w:pPr>
      <w:hyperlink w:anchor="_Toc256000064" w:history="1">
        <w:r w:rsidR="00A77B3E">
          <w:rPr>
            <w:rStyle w:val="Hyperlink"/>
            <w:rFonts w:ascii="Times New Roman" w:hAnsi="Times New Roman" w:cs="Times New Roman"/>
          </w:rPr>
          <w:t>2.2.2. Okvirna razčlenitev tehnične pomoči v skladu s členom 37 uredbe o skupnih določbah</w:t>
        </w:r>
        <w:r>
          <w:tab/>
        </w:r>
        <w:r>
          <w:fldChar w:fldCharType="begin"/>
        </w:r>
        <w:r>
          <w:instrText xml:space="preserve"> PAGEREF _Toc256000064 \h </w:instrText>
        </w:r>
        <w:r>
          <w:fldChar w:fldCharType="separate"/>
        </w:r>
        <w:r>
          <w:t>31</w:t>
        </w:r>
        <w:r>
          <w:fldChar w:fldCharType="end"/>
        </w:r>
      </w:hyperlink>
    </w:p>
    <w:p>
      <w:pPr>
        <w:pStyle w:val="TOC4"/>
        <w:tabs>
          <w:tab w:val="end" w:leader="dot" w:pos="10240"/>
        </w:tabs>
        <w:rPr>
          <w:rFonts w:ascii="Calibri" w:hAnsi="Calibri"/>
          <w:noProof/>
          <w:sz w:val="22"/>
        </w:rPr>
      </w:pPr>
      <w:hyperlink w:anchor="_Toc256000065" w:history="1">
        <w:r w:rsidR="00A77B3E">
          <w:rPr>
            <w:rStyle w:val="Hyperlink"/>
          </w:rPr>
          <w:t>Tabela 4: Okvirna razčlenitev</w:t>
        </w:r>
        <w:r>
          <w:tab/>
        </w:r>
        <w:r>
          <w:fldChar w:fldCharType="begin"/>
        </w:r>
        <w:r>
          <w:instrText xml:space="preserve"> PAGEREF _Toc256000065 \h </w:instrText>
        </w:r>
        <w:r>
          <w:fldChar w:fldCharType="separate"/>
        </w:r>
        <w:r>
          <w:t>31</w:t>
        </w:r>
        <w:r>
          <w:fldChar w:fldCharType="end"/>
        </w:r>
      </w:hyperlink>
    </w:p>
    <w:p>
      <w:pPr>
        <w:pStyle w:val="TOC1"/>
        <w:tabs>
          <w:tab w:val="end" w:leader="dot" w:pos="10240"/>
        </w:tabs>
        <w:rPr>
          <w:rFonts w:ascii="Calibri" w:hAnsi="Calibri"/>
          <w:noProof/>
          <w:sz w:val="22"/>
        </w:rPr>
      </w:pPr>
      <w:hyperlink w:anchor="_Toc256000066" w:history="1">
        <w:r w:rsidR="00A77B3E">
          <w:rPr>
            <w:rStyle w:val="Hyperlink"/>
            <w:rFonts w:ascii="Times New Roman" w:hAnsi="Times New Roman" w:cs="Times New Roman"/>
          </w:rPr>
          <w:t>3. Načrt financiranja</w:t>
        </w:r>
        <w:r>
          <w:tab/>
        </w:r>
        <w:r>
          <w:fldChar w:fldCharType="begin"/>
        </w:r>
        <w:r>
          <w:instrText xml:space="preserve"> PAGEREF _Toc256000066 \h </w:instrText>
        </w:r>
        <w:r>
          <w:fldChar w:fldCharType="separate"/>
        </w:r>
        <w:r>
          <w:t>32</w:t>
        </w:r>
        <w:r>
          <w:fldChar w:fldCharType="end"/>
        </w:r>
      </w:hyperlink>
    </w:p>
    <w:p>
      <w:pPr>
        <w:pStyle w:val="TOC2"/>
        <w:tabs>
          <w:tab w:val="end" w:leader="dot" w:pos="10240"/>
        </w:tabs>
        <w:rPr>
          <w:rFonts w:ascii="Calibri" w:hAnsi="Calibri"/>
          <w:noProof/>
          <w:sz w:val="22"/>
        </w:rPr>
      </w:pPr>
      <w:hyperlink w:anchor="_Toc256000067" w:history="1">
        <w:r w:rsidR="00A77B3E">
          <w:rPr>
            <w:rStyle w:val="Hyperlink"/>
            <w:rFonts w:ascii="TimesNewRoman" w:eastAsia="TimesNewRoman" w:hAnsi="TimesNewRoman" w:cs="TimesNewRoman"/>
          </w:rPr>
          <w:t>3.1. Finančna sredstva po letih</w:t>
        </w:r>
        <w:r>
          <w:tab/>
        </w:r>
        <w:r>
          <w:fldChar w:fldCharType="begin"/>
        </w:r>
        <w:r>
          <w:instrText xml:space="preserve"> PAGEREF _Toc256000067 \h </w:instrText>
        </w:r>
        <w:r>
          <w:fldChar w:fldCharType="separate"/>
        </w:r>
        <w:r>
          <w:t>32</w:t>
        </w:r>
        <w:r>
          <w:fldChar w:fldCharType="end"/>
        </w:r>
      </w:hyperlink>
    </w:p>
    <w:p>
      <w:pPr>
        <w:pStyle w:val="TOC4"/>
        <w:tabs>
          <w:tab w:val="end" w:leader="dot" w:pos="10240"/>
        </w:tabs>
        <w:rPr>
          <w:rFonts w:ascii="Calibri" w:hAnsi="Calibri"/>
          <w:noProof/>
          <w:sz w:val="22"/>
        </w:rPr>
      </w:pPr>
      <w:hyperlink w:anchor="_Toc256000068" w:history="1">
        <w:r w:rsidR="00A77B3E">
          <w:rPr>
            <w:rStyle w:val="Hyperlink"/>
            <w:rFonts w:ascii="TimesNewRoman" w:eastAsia="TimesNewRoman" w:hAnsi="TimesNewRoman" w:cs="TimesNewRoman"/>
          </w:rPr>
          <w:t>Tabela 5: Finančna sredstva po letih</w:t>
        </w:r>
        <w:r>
          <w:tab/>
        </w:r>
        <w:r>
          <w:fldChar w:fldCharType="begin"/>
        </w:r>
        <w:r>
          <w:instrText xml:space="preserve"> PAGEREF _Toc256000068 \h </w:instrText>
        </w:r>
        <w:r>
          <w:fldChar w:fldCharType="separate"/>
        </w:r>
        <w:r>
          <w:t>32</w:t>
        </w:r>
        <w:r>
          <w:fldChar w:fldCharType="end"/>
        </w:r>
      </w:hyperlink>
    </w:p>
    <w:p>
      <w:pPr>
        <w:pStyle w:val="TOC2"/>
        <w:tabs>
          <w:tab w:val="end" w:leader="dot" w:pos="10240"/>
        </w:tabs>
        <w:rPr>
          <w:rFonts w:ascii="Calibri" w:hAnsi="Calibri"/>
          <w:noProof/>
          <w:sz w:val="22"/>
        </w:rPr>
      </w:pPr>
      <w:hyperlink w:anchor="_Toc256000069" w:history="1">
        <w:r w:rsidR="00A77B3E">
          <w:rPr>
            <w:rStyle w:val="Hyperlink"/>
            <w:rFonts w:ascii="TimesNewRoman" w:eastAsia="TimesNewRoman" w:hAnsi="TimesNewRoman" w:cs="TimesNewRoman"/>
          </w:rPr>
          <w:t>3.2. Skupna dodelitev finančnih sredstev</w:t>
        </w:r>
        <w:r>
          <w:tab/>
        </w:r>
        <w:r>
          <w:fldChar w:fldCharType="begin"/>
        </w:r>
        <w:r>
          <w:instrText xml:space="preserve"> PAGEREF _Toc256000069 \h </w:instrText>
        </w:r>
        <w:r>
          <w:fldChar w:fldCharType="separate"/>
        </w:r>
        <w:r>
          <w:t>33</w:t>
        </w:r>
        <w:r>
          <w:fldChar w:fldCharType="end"/>
        </w:r>
      </w:hyperlink>
    </w:p>
    <w:p>
      <w:pPr>
        <w:pStyle w:val="TOC4"/>
        <w:tabs>
          <w:tab w:val="end" w:leader="dot" w:pos="10240"/>
        </w:tabs>
        <w:rPr>
          <w:rFonts w:ascii="Calibri" w:hAnsi="Calibri"/>
          <w:noProof/>
          <w:sz w:val="22"/>
        </w:rPr>
      </w:pPr>
      <w:hyperlink w:anchor="_Toc256000070" w:history="1">
        <w:r w:rsidR="00A77B3E">
          <w:rPr>
            <w:rStyle w:val="Hyperlink"/>
            <w:rFonts w:ascii="TimesNewRoman" w:eastAsia="TimesNewRoman" w:hAnsi="TimesNewRoman" w:cs="TimesNewRoman"/>
          </w:rPr>
          <w:t>Tabela 6: Skupna dodelitev finančnih sredstev po skladih in nacionalni prispevek</w:t>
        </w:r>
        <w:r>
          <w:tab/>
        </w:r>
        <w:r>
          <w:fldChar w:fldCharType="begin"/>
        </w:r>
        <w:r>
          <w:instrText xml:space="preserve"> PAGEREF _Toc256000070 \h </w:instrText>
        </w:r>
        <w:r>
          <w:fldChar w:fldCharType="separate"/>
        </w:r>
        <w:r>
          <w:t>33</w:t>
        </w:r>
        <w:r>
          <w:fldChar w:fldCharType="end"/>
        </w:r>
      </w:hyperlink>
    </w:p>
    <w:p>
      <w:pPr>
        <w:pStyle w:val="TOC2"/>
        <w:tabs>
          <w:tab w:val="end" w:leader="dot" w:pos="10240"/>
        </w:tabs>
        <w:rPr>
          <w:rFonts w:ascii="Calibri" w:hAnsi="Calibri"/>
          <w:noProof/>
          <w:sz w:val="22"/>
        </w:rPr>
      </w:pPr>
      <w:hyperlink w:anchor="_Toc256000071" w:history="1">
        <w:r w:rsidR="00A77B3E">
          <w:rPr>
            <w:rStyle w:val="Hyperlink"/>
            <w:rFonts w:ascii="TimesNewRoman" w:eastAsia="TimesNewRoman" w:hAnsi="TimesNewRoman" w:cs="TimesNewRoman"/>
          </w:rPr>
          <w:t>3.3. Prerazporeditve</w:t>
        </w:r>
        <w:r>
          <w:tab/>
        </w:r>
        <w:r>
          <w:fldChar w:fldCharType="begin"/>
        </w:r>
        <w:r>
          <w:instrText xml:space="preserve"> PAGEREF _Toc256000071 \h </w:instrText>
        </w:r>
        <w:r>
          <w:fldChar w:fldCharType="separate"/>
        </w:r>
        <w:r>
          <w:t>34</w:t>
        </w:r>
        <w:r>
          <w:fldChar w:fldCharType="end"/>
        </w:r>
      </w:hyperlink>
    </w:p>
    <w:p>
      <w:pPr>
        <w:pStyle w:val="TOC1"/>
        <w:tabs>
          <w:tab w:val="end" w:leader="dot" w:pos="10240"/>
        </w:tabs>
        <w:rPr>
          <w:rFonts w:ascii="Calibri" w:hAnsi="Calibri"/>
          <w:noProof/>
          <w:sz w:val="22"/>
        </w:rPr>
      </w:pPr>
      <w:hyperlink w:anchor="_Toc256000072" w:history="1">
        <w:r w:rsidR="00A77B3E">
          <w:rPr>
            <w:rStyle w:val="Hyperlink"/>
            <w:rFonts w:ascii="Times New Roman" w:hAnsi="Times New Roman" w:cs="Times New Roman"/>
          </w:rPr>
          <w:t>4. Omogočitveni pogoji</w:t>
        </w:r>
        <w:r>
          <w:tab/>
        </w:r>
        <w:r>
          <w:fldChar w:fldCharType="begin"/>
        </w:r>
        <w:r>
          <w:instrText xml:space="preserve"> PAGEREF _Toc256000072 \h </w:instrText>
        </w:r>
        <w:r>
          <w:fldChar w:fldCharType="separate"/>
        </w:r>
        <w:r>
          <w:t>36</w:t>
        </w:r>
        <w:r>
          <w:fldChar w:fldCharType="end"/>
        </w:r>
      </w:hyperlink>
    </w:p>
    <w:p>
      <w:pPr>
        <w:pStyle w:val="TOC2"/>
        <w:tabs>
          <w:tab w:val="end" w:leader="dot" w:pos="10240"/>
        </w:tabs>
        <w:rPr>
          <w:rFonts w:ascii="Calibri" w:hAnsi="Calibri"/>
          <w:noProof/>
          <w:sz w:val="22"/>
        </w:rPr>
      </w:pPr>
      <w:hyperlink w:anchor="_Toc256000073" w:history="1">
        <w:r w:rsidR="00A77B3E">
          <w:rPr>
            <w:rStyle w:val="Hyperlink"/>
            <w:rFonts w:ascii="Times New Roman" w:hAnsi="Times New Roman" w:cs="Times New Roman"/>
          </w:rPr>
          <w:t>Tabela 9: Horizontalni omogočitveni pogoji</w:t>
        </w:r>
        <w:r>
          <w:tab/>
        </w:r>
        <w:r>
          <w:fldChar w:fldCharType="begin"/>
        </w:r>
        <w:r>
          <w:instrText xml:space="preserve"> PAGEREF _Toc256000073 \h </w:instrText>
        </w:r>
        <w:r>
          <w:fldChar w:fldCharType="separate"/>
        </w:r>
        <w:r>
          <w:t>36</w:t>
        </w:r>
        <w:r>
          <w:fldChar w:fldCharType="end"/>
        </w:r>
      </w:hyperlink>
    </w:p>
    <w:p>
      <w:pPr>
        <w:pStyle w:val="TOC1"/>
        <w:tabs>
          <w:tab w:val="end" w:leader="dot" w:pos="10240"/>
        </w:tabs>
        <w:rPr>
          <w:rFonts w:ascii="Calibri" w:hAnsi="Calibri"/>
          <w:noProof/>
          <w:sz w:val="22"/>
        </w:rPr>
      </w:pPr>
      <w:hyperlink w:anchor="_Toc256000074" w:history="1">
        <w:r w:rsidR="00A77B3E">
          <w:rPr>
            <w:rStyle w:val="Hyperlink"/>
            <w:rFonts w:ascii="Times New Roman" w:hAnsi="Times New Roman" w:cs="Times New Roman"/>
          </w:rPr>
          <w:t>5. Organi, pristojni za program</w:t>
        </w:r>
        <w:r>
          <w:tab/>
        </w:r>
        <w:r>
          <w:fldChar w:fldCharType="begin"/>
        </w:r>
        <w:r>
          <w:instrText xml:space="preserve"> PAGEREF _Toc256000074 \h </w:instrText>
        </w:r>
        <w:r>
          <w:fldChar w:fldCharType="separate"/>
        </w:r>
        <w:r>
          <w:t>44</w:t>
        </w:r>
        <w:r>
          <w:fldChar w:fldCharType="end"/>
        </w:r>
      </w:hyperlink>
    </w:p>
    <w:p>
      <w:pPr>
        <w:pStyle w:val="TOC2"/>
        <w:tabs>
          <w:tab w:val="end" w:leader="dot" w:pos="10240"/>
        </w:tabs>
        <w:rPr>
          <w:rFonts w:ascii="Calibri" w:hAnsi="Calibri"/>
          <w:noProof/>
          <w:sz w:val="22"/>
        </w:rPr>
      </w:pPr>
      <w:hyperlink w:anchor="_Toc256000075" w:history="1">
        <w:r w:rsidR="00A77B3E">
          <w:rPr>
            <w:rStyle w:val="Hyperlink"/>
            <w:rFonts w:ascii="Times New Roman" w:hAnsi="Times New Roman" w:cs="Times New Roman"/>
          </w:rPr>
          <w:t>Tabela 10: Organi, pristojni za program</w:t>
        </w:r>
        <w:r>
          <w:tab/>
        </w:r>
        <w:r>
          <w:fldChar w:fldCharType="begin"/>
        </w:r>
        <w:r>
          <w:instrText xml:space="preserve"> PAGEREF _Toc256000075 \h </w:instrText>
        </w:r>
        <w:r>
          <w:fldChar w:fldCharType="separate"/>
        </w:r>
        <w:r>
          <w:t>44</w:t>
        </w:r>
        <w:r>
          <w:fldChar w:fldCharType="end"/>
        </w:r>
      </w:hyperlink>
    </w:p>
    <w:p>
      <w:pPr>
        <w:pStyle w:val="TOC1"/>
        <w:tabs>
          <w:tab w:val="end" w:leader="dot" w:pos="10240"/>
        </w:tabs>
        <w:rPr>
          <w:rFonts w:ascii="Calibri" w:hAnsi="Calibri"/>
          <w:noProof/>
          <w:sz w:val="22"/>
        </w:rPr>
      </w:pPr>
      <w:hyperlink w:anchor="_Toc256000076" w:history="1">
        <w:r w:rsidR="00A77B3E">
          <w:rPr>
            <w:rStyle w:val="Hyperlink"/>
            <w:rFonts w:ascii="Times New Roman" w:hAnsi="Times New Roman" w:cs="Times New Roman"/>
          </w:rPr>
          <w:t>6. Partnerstvo</w:t>
        </w:r>
        <w:r>
          <w:tab/>
        </w:r>
        <w:r>
          <w:fldChar w:fldCharType="begin"/>
        </w:r>
        <w:r>
          <w:instrText xml:space="preserve"> PAGEREF _Toc256000076 \h </w:instrText>
        </w:r>
        <w:r>
          <w:fldChar w:fldCharType="separate"/>
        </w:r>
        <w:r>
          <w:t>45</w:t>
        </w:r>
        <w:r>
          <w:fldChar w:fldCharType="end"/>
        </w:r>
      </w:hyperlink>
    </w:p>
    <w:p>
      <w:pPr>
        <w:pStyle w:val="TOC1"/>
        <w:tabs>
          <w:tab w:val="end" w:leader="dot" w:pos="10240"/>
        </w:tabs>
        <w:rPr>
          <w:rFonts w:ascii="Calibri" w:hAnsi="Calibri"/>
          <w:noProof/>
          <w:sz w:val="22"/>
        </w:rPr>
      </w:pPr>
      <w:hyperlink w:anchor="_Toc256000077" w:history="1">
        <w:r w:rsidR="00A77B3E">
          <w:rPr>
            <w:rStyle w:val="Hyperlink"/>
            <w:rFonts w:ascii="Times New Roman" w:hAnsi="Times New Roman" w:cs="Times New Roman"/>
          </w:rPr>
          <w:t>7. Komuniciranje in prepoznavnost</w:t>
        </w:r>
        <w:r>
          <w:tab/>
        </w:r>
        <w:r>
          <w:fldChar w:fldCharType="begin"/>
        </w:r>
        <w:r>
          <w:instrText xml:space="preserve"> PAGEREF _Toc256000077 \h </w:instrText>
        </w:r>
        <w:r>
          <w:fldChar w:fldCharType="separate"/>
        </w:r>
        <w:r>
          <w:t>48</w:t>
        </w:r>
        <w:r>
          <w:fldChar w:fldCharType="end"/>
        </w:r>
      </w:hyperlink>
    </w:p>
    <w:p>
      <w:pPr>
        <w:pStyle w:val="TOC1"/>
        <w:tabs>
          <w:tab w:val="end" w:leader="dot" w:pos="10240"/>
        </w:tabs>
        <w:rPr>
          <w:rFonts w:ascii="Calibri" w:hAnsi="Calibri"/>
          <w:noProof/>
          <w:sz w:val="22"/>
        </w:rPr>
      </w:pPr>
      <w:hyperlink w:anchor="_Toc256000078" w:history="1">
        <w:r w:rsidR="00A77B3E">
          <w:rPr>
            <w:rStyle w:val="Hyperlink"/>
            <w:rFonts w:ascii="Times New Roman" w:hAnsi="Times New Roman" w:cs="Times New Roman"/>
          </w:rPr>
          <w:t>8. Uporaba stroškov na enoto, pavšalnih zneskov, pavšalnih stopenj in financiranja, ki ni povezano s stroški</w:t>
        </w:r>
        <w:r>
          <w:tab/>
        </w:r>
        <w:r>
          <w:fldChar w:fldCharType="begin"/>
        </w:r>
        <w:r>
          <w:instrText xml:space="preserve"> PAGEREF _Toc256000078 \h </w:instrText>
        </w:r>
        <w:r>
          <w:fldChar w:fldCharType="separate"/>
        </w:r>
        <w:r>
          <w:t>50</w:t>
        </w:r>
        <w:r>
          <w:fldChar w:fldCharType="end"/>
        </w:r>
      </w:hyperlink>
    </w:p>
    <w:p>
      <w:pPr>
        <w:pStyle w:val="TOC1"/>
        <w:tabs>
          <w:tab w:val="end" w:leader="dot" w:pos="10240"/>
        </w:tabs>
        <w:rPr>
          <w:rFonts w:ascii="Calibri" w:hAnsi="Calibri"/>
          <w:noProof/>
          <w:sz w:val="22"/>
        </w:rPr>
      </w:pPr>
      <w:hyperlink w:anchor="_Toc256000079" w:history="1">
        <w:r w:rsidR="00A77B3E">
          <w:rPr>
            <w:rStyle w:val="Hyperlink"/>
            <w:rFonts w:ascii="Times New Roman" w:hAnsi="Times New Roman" w:cs="Times New Roman"/>
          </w:rPr>
          <w:t>Dodatek 1: Prispevek Unije na podlagi stroškov na enoto, pavšalnih zneskov in pavšalnih stopenj</w:t>
        </w:r>
        <w:r>
          <w:tab/>
        </w:r>
        <w:r>
          <w:fldChar w:fldCharType="begin"/>
        </w:r>
        <w:r>
          <w:instrText xml:space="preserve"> PAGEREF _Toc256000079 \h </w:instrText>
        </w:r>
        <w:r>
          <w:fldChar w:fldCharType="separate"/>
        </w:r>
        <w:r>
          <w:t>51</w:t>
        </w:r>
        <w:r>
          <w:fldChar w:fldCharType="end"/>
        </w:r>
      </w:hyperlink>
    </w:p>
    <w:p>
      <w:pPr>
        <w:pStyle w:val="TOC2"/>
        <w:tabs>
          <w:tab w:val="end" w:leader="dot" w:pos="10240"/>
        </w:tabs>
        <w:rPr>
          <w:rFonts w:ascii="Calibri" w:hAnsi="Calibri"/>
          <w:noProof/>
          <w:sz w:val="22"/>
        </w:rPr>
      </w:pPr>
      <w:hyperlink w:anchor="_Toc256000080" w:history="1">
        <w:r w:rsidR="00A77B3E">
          <w:rPr>
            <w:rStyle w:val="Hyperlink"/>
            <w:rFonts w:ascii="Times New Roman" w:hAnsi="Times New Roman" w:cs="Times New Roman"/>
          </w:rPr>
          <w:t>A. Povzetek glavnih elementov</w:t>
        </w:r>
        <w:r>
          <w:tab/>
        </w:r>
        <w:r>
          <w:fldChar w:fldCharType="begin"/>
        </w:r>
        <w:r>
          <w:instrText xml:space="preserve"> PAGEREF _Toc256000080 \h </w:instrText>
        </w:r>
        <w:r>
          <w:fldChar w:fldCharType="separate"/>
        </w:r>
        <w:r>
          <w:t>51</w:t>
        </w:r>
        <w:r>
          <w:fldChar w:fldCharType="end"/>
        </w:r>
      </w:hyperlink>
    </w:p>
    <w:p>
      <w:pPr>
        <w:pStyle w:val="TOC2"/>
        <w:tabs>
          <w:tab w:val="end" w:leader="dot" w:pos="10240"/>
        </w:tabs>
        <w:rPr>
          <w:rFonts w:ascii="Calibri" w:hAnsi="Calibri"/>
          <w:noProof/>
          <w:sz w:val="22"/>
        </w:rPr>
      </w:pPr>
      <w:hyperlink w:anchor="_Toc256000081" w:history="1">
        <w:r w:rsidR="00A77B3E">
          <w:rPr>
            <w:rStyle w:val="Hyperlink"/>
            <w:rFonts w:ascii="Times New Roman" w:hAnsi="Times New Roman" w:cs="Times New Roman"/>
          </w:rPr>
          <w:t>B. Podrobnosti glede na vrsto operacije</w:t>
        </w:r>
        <w:r>
          <w:tab/>
        </w:r>
        <w:r>
          <w:fldChar w:fldCharType="begin"/>
        </w:r>
        <w:r>
          <w:instrText xml:space="preserve"> PAGEREF _Toc256000081 \h </w:instrText>
        </w:r>
        <w:r>
          <w:fldChar w:fldCharType="separate"/>
        </w:r>
        <w:r>
          <w:t>52</w:t>
        </w:r>
        <w:r>
          <w:fldChar w:fldCharType="end"/>
        </w:r>
      </w:hyperlink>
    </w:p>
    <w:p>
      <w:pPr>
        <w:pStyle w:val="TOC2"/>
        <w:tabs>
          <w:tab w:val="end" w:leader="dot" w:pos="10240"/>
        </w:tabs>
        <w:rPr>
          <w:rFonts w:ascii="Calibri" w:hAnsi="Calibri"/>
          <w:noProof/>
          <w:sz w:val="22"/>
        </w:rPr>
      </w:pPr>
      <w:hyperlink w:anchor="_Toc256000082" w:history="1">
        <w:r w:rsidR="00A77B3E">
          <w:rPr>
            <w:rStyle w:val="Hyperlink"/>
            <w:rFonts w:ascii="TimesNewRoman" w:eastAsia="TimesNewRoman" w:hAnsi="TimesNewRoman" w:cs="TimesNewRoman"/>
          </w:rPr>
          <w:t>C. Izračun standardnih stroškov na enoto, pavšalnih zneskov in pavšalnih stopenj</w:t>
        </w:r>
        <w:r>
          <w:tab/>
        </w:r>
        <w:r>
          <w:fldChar w:fldCharType="begin"/>
        </w:r>
        <w:r>
          <w:instrText xml:space="preserve"> PAGEREF _Toc256000082 \h </w:instrText>
        </w:r>
        <w:r>
          <w:fldChar w:fldCharType="separate"/>
        </w:r>
        <w:r>
          <w:t>53</w:t>
        </w:r>
        <w:r>
          <w:fldChar w:fldCharType="end"/>
        </w:r>
      </w:hyperlink>
    </w:p>
    <w:p>
      <w:pPr>
        <w:pStyle w:val="TOC4"/>
        <w:tabs>
          <w:tab w:val="end" w:leader="dot" w:pos="10240"/>
        </w:tabs>
        <w:rPr>
          <w:rFonts w:ascii="Calibri" w:hAnsi="Calibri"/>
          <w:noProof/>
          <w:sz w:val="22"/>
        </w:rPr>
      </w:pPr>
      <w:hyperlink w:anchor="_Toc256000083" w:history="1">
        <w:r w:rsidR="00A77B3E">
          <w:rPr>
            <w:rStyle w:val="Hyperlink"/>
            <w:rFonts w:ascii="TimesNewRoman" w:eastAsia="TimesNewRoman" w:hAnsi="TimesNewRoman" w:cs="TimesNewRoman"/>
          </w:rPr>
          <w:t>1. Vir podatkov, uporabljenih za izračun standardnih stroškov na enoto, pavšalnih zneskov ali pavšalnih stopenj (kdo je predložil, zbral in evidentiral podatke; kje so podatki shranjeni; presečni datumi; potrjevanje itd.)</w:t>
        </w:r>
        <w:r>
          <w:tab/>
        </w:r>
        <w:r>
          <w:fldChar w:fldCharType="begin"/>
        </w:r>
        <w:r>
          <w:instrText xml:space="preserve"> PAGEREF _Toc256000083 \h </w:instrText>
        </w:r>
        <w:r>
          <w:fldChar w:fldCharType="separate"/>
        </w:r>
        <w:r>
          <w:t>53</w:t>
        </w:r>
        <w:r>
          <w:fldChar w:fldCharType="end"/>
        </w:r>
      </w:hyperlink>
    </w:p>
    <w:p>
      <w:pPr>
        <w:pStyle w:val="TOC4"/>
        <w:tabs>
          <w:tab w:val="end" w:leader="dot" w:pos="10240"/>
        </w:tabs>
        <w:rPr>
          <w:rFonts w:ascii="Calibri" w:hAnsi="Calibri"/>
          <w:noProof/>
          <w:sz w:val="22"/>
        </w:rPr>
      </w:pPr>
      <w:hyperlink w:anchor="_Toc256000084" w:history="1">
        <w:r w:rsidR="00A77B3E">
          <w:rPr>
            <w:rStyle w:val="Hyperlink"/>
          </w:rPr>
          <w:t>2. Navedite, zakaj sta predlagana metoda in izračun na podlagi člena 94(2) uredbe o skupnih določbah relevantna za vrsto operacije.</w:t>
        </w:r>
        <w:r>
          <w:tab/>
        </w:r>
        <w:r>
          <w:fldChar w:fldCharType="begin"/>
        </w:r>
        <w:r>
          <w:instrText xml:space="preserve"> PAGEREF _Toc256000084 \h </w:instrText>
        </w:r>
        <w:r>
          <w:fldChar w:fldCharType="separate"/>
        </w:r>
        <w:r>
          <w:t>54</w:t>
        </w:r>
        <w:r>
          <w:fldChar w:fldCharType="end"/>
        </w:r>
      </w:hyperlink>
    </w:p>
    <w:p>
      <w:pPr>
        <w:pStyle w:val="TOC4"/>
        <w:tabs>
          <w:tab w:val="end" w:leader="dot" w:pos="10240"/>
        </w:tabs>
        <w:rPr>
          <w:rFonts w:ascii="Calibri" w:hAnsi="Calibri"/>
          <w:noProof/>
          <w:sz w:val="22"/>
        </w:rPr>
      </w:pPr>
      <w:hyperlink w:anchor="_Toc256000085" w:history="1">
        <w:r w:rsidR="00A77B3E">
          <w:rPr>
            <w:rStyle w:val="Hyperlink"/>
          </w:rPr>
          <w:t>3. Navedite, kako so bili izračuni narejeni, vključno zlasti s predpostavkami v smislu kakovosti ali količin. Če je to relevantno, je treba uporabiti in na zahtevo predložiti statistične dokaze in referenčne vrednosti v obliki, ki jo lahko uporabi Evropska komisija.</w:t>
        </w:r>
        <w:r>
          <w:tab/>
        </w:r>
        <w:r>
          <w:fldChar w:fldCharType="begin"/>
        </w:r>
        <w:r>
          <w:instrText xml:space="preserve"> PAGEREF _Toc256000085 \h </w:instrText>
        </w:r>
        <w:r>
          <w:fldChar w:fldCharType="separate"/>
        </w:r>
        <w:r>
          <w:t>55</w:t>
        </w:r>
        <w:r>
          <w:fldChar w:fldCharType="end"/>
        </w:r>
      </w:hyperlink>
    </w:p>
    <w:p>
      <w:pPr>
        <w:pStyle w:val="TOC4"/>
        <w:tabs>
          <w:tab w:val="end" w:leader="dot" w:pos="10240"/>
        </w:tabs>
        <w:rPr>
          <w:rFonts w:ascii="Calibri" w:hAnsi="Calibri"/>
          <w:noProof/>
          <w:sz w:val="22"/>
        </w:rPr>
      </w:pPr>
      <w:hyperlink w:anchor="_Toc256000086" w:history="1">
        <w:r w:rsidR="00A77B3E">
          <w:rPr>
            <w:rStyle w:val="Hyperlink"/>
          </w:rPr>
          <w:t>4. Pojasnite, kako ste zagotovili, da so bili v izračun standardnih stroškov na enoto, pavšalnega zneska ali pavšalne stopnje vključeni le upravičeni izdatki.</w:t>
        </w:r>
        <w:r>
          <w:tab/>
        </w:r>
        <w:r>
          <w:fldChar w:fldCharType="begin"/>
        </w:r>
        <w:r>
          <w:instrText xml:space="preserve"> PAGEREF _Toc256000086 \h </w:instrText>
        </w:r>
        <w:r>
          <w:fldChar w:fldCharType="separate"/>
        </w:r>
        <w:r>
          <w:t>56</w:t>
        </w:r>
        <w:r>
          <w:fldChar w:fldCharType="end"/>
        </w:r>
      </w:hyperlink>
    </w:p>
    <w:p>
      <w:pPr>
        <w:pStyle w:val="TOC4"/>
        <w:tabs>
          <w:tab w:val="end" w:leader="dot" w:pos="10240"/>
        </w:tabs>
        <w:rPr>
          <w:rFonts w:ascii="Calibri" w:hAnsi="Calibri"/>
          <w:noProof/>
          <w:sz w:val="22"/>
        </w:rPr>
      </w:pPr>
      <w:hyperlink w:anchor="_Toc256000087" w:history="1">
        <w:r w:rsidR="00A77B3E">
          <w:rPr>
            <w:rStyle w:val="Hyperlink"/>
          </w:rPr>
          <w:t>5. Ocena revizijskega organa v zvezi z metodologijo za izračun in zneski ter ureditvijo za zagotovitev potrjevanja, kakovosti, zbiranja in shranjevanja podatkov.</w:t>
        </w:r>
        <w:r>
          <w:tab/>
        </w:r>
        <w:r>
          <w:fldChar w:fldCharType="begin"/>
        </w:r>
        <w:r>
          <w:instrText xml:space="preserve"> PAGEREF _Toc256000087 \h </w:instrText>
        </w:r>
        <w:r>
          <w:fldChar w:fldCharType="separate"/>
        </w:r>
        <w:r>
          <w:t>57</w:t>
        </w:r>
        <w:r>
          <w:fldChar w:fldCharType="end"/>
        </w:r>
      </w:hyperlink>
    </w:p>
    <w:p>
      <w:pPr>
        <w:pStyle w:val="TOC1"/>
        <w:tabs>
          <w:tab w:val="end" w:leader="dot" w:pos="10240"/>
        </w:tabs>
        <w:rPr>
          <w:rFonts w:ascii="Calibri" w:hAnsi="Calibri"/>
          <w:noProof/>
          <w:sz w:val="22"/>
        </w:rPr>
      </w:pPr>
      <w:hyperlink w:anchor="_Toc256000088" w:history="1">
        <w:r w:rsidR="00A77B3E">
          <w:rPr>
            <w:rStyle w:val="Hyperlink"/>
            <w:rFonts w:ascii="Times New Roman" w:hAnsi="Times New Roman" w:cs="Times New Roman"/>
          </w:rPr>
          <w:t>Dodatek 2: Prispevek Unije, temelječ na financiranju, ki ni povezano s stroški</w:t>
        </w:r>
        <w:r>
          <w:tab/>
        </w:r>
        <w:r>
          <w:fldChar w:fldCharType="begin"/>
        </w:r>
        <w:r>
          <w:instrText xml:space="preserve"> PAGEREF _Toc256000088 \h </w:instrText>
        </w:r>
        <w:r>
          <w:fldChar w:fldCharType="separate"/>
        </w:r>
        <w:r>
          <w:t>58</w:t>
        </w:r>
        <w:r>
          <w:fldChar w:fldCharType="end"/>
        </w:r>
      </w:hyperlink>
    </w:p>
    <w:p>
      <w:pPr>
        <w:pStyle w:val="TOC2"/>
        <w:tabs>
          <w:tab w:val="end" w:leader="dot" w:pos="10240"/>
        </w:tabs>
        <w:rPr>
          <w:rFonts w:ascii="Calibri" w:hAnsi="Calibri"/>
          <w:noProof/>
          <w:sz w:val="22"/>
        </w:rPr>
      </w:pPr>
      <w:hyperlink w:anchor="_Toc256000089" w:history="1">
        <w:r w:rsidR="00A77B3E">
          <w:rPr>
            <w:rStyle w:val="Hyperlink"/>
            <w:rFonts w:ascii="Times New Roman" w:hAnsi="Times New Roman" w:cs="Times New Roman"/>
          </w:rPr>
          <w:t>A. Povzetek glavnih elementov</w:t>
        </w:r>
        <w:r>
          <w:tab/>
        </w:r>
        <w:r>
          <w:fldChar w:fldCharType="begin"/>
        </w:r>
        <w:r>
          <w:instrText xml:space="preserve"> PAGEREF _Toc256000089 \h </w:instrText>
        </w:r>
        <w:r>
          <w:fldChar w:fldCharType="separate"/>
        </w:r>
        <w:r>
          <w:t>58</w:t>
        </w:r>
        <w:r>
          <w:fldChar w:fldCharType="end"/>
        </w:r>
      </w:hyperlink>
    </w:p>
    <w:p>
      <w:pPr>
        <w:pStyle w:val="TOC2"/>
        <w:tabs>
          <w:tab w:val="end" w:leader="dot" w:pos="10240"/>
        </w:tabs>
        <w:rPr>
          <w:rFonts w:ascii="Calibri" w:hAnsi="Calibri"/>
          <w:noProof/>
          <w:sz w:val="22"/>
        </w:rPr>
      </w:pPr>
      <w:hyperlink w:anchor="_Toc256000090" w:history="1">
        <w:r w:rsidR="00A77B3E">
          <w:rPr>
            <w:rStyle w:val="Hyperlink"/>
            <w:rFonts w:ascii="TimesNewRoman" w:eastAsia="TimesNewRoman" w:hAnsi="TimesNewRoman" w:cs="TimesNewRoman"/>
          </w:rPr>
          <w:t>B. Podrobnosti glede na vrsto operacije</w:t>
        </w:r>
        <w:r>
          <w:tab/>
        </w:r>
        <w:r>
          <w:fldChar w:fldCharType="begin"/>
        </w:r>
        <w:r>
          <w:instrText xml:space="preserve"> PAGEREF _Toc256000090 \h </w:instrText>
        </w:r>
        <w:r>
          <w:fldChar w:fldCharType="separate"/>
        </w:r>
        <w:r>
          <w:t>59</w:t>
        </w:r>
        <w:r>
          <w:fldChar w:fldCharType="end"/>
        </w:r>
      </w:hyperlink>
    </w:p>
    <w:p>
      <w:pPr>
        <w:pStyle w:val="TOC1"/>
        <w:tabs>
          <w:tab w:val="end" w:leader="dot" w:pos="10240"/>
        </w:tabs>
        <w:rPr>
          <w:rFonts w:ascii="Calibri" w:hAnsi="Calibri"/>
          <w:noProof/>
          <w:sz w:val="22"/>
        </w:rPr>
      </w:pPr>
      <w:hyperlink w:anchor="_Toc256000091" w:history="1">
        <w:r w:rsidR="00A77B3E">
          <w:rPr>
            <w:rStyle w:val="Hyperlink"/>
            <w:rFonts w:ascii="TimesNewRoman" w:eastAsia="TimesNewRoman" w:hAnsi="TimesNewRoman" w:cs="TimesNewRoman"/>
          </w:rPr>
          <w:t>DOKUMENTI</w:t>
        </w:r>
        <w:r>
          <w:tab/>
        </w:r>
        <w:r>
          <w:fldChar w:fldCharType="begin"/>
        </w:r>
        <w:r>
          <w:instrText xml:space="preserve"> PAGEREF _Toc256000091 \h </w:instrText>
        </w:r>
        <w:r>
          <w:fldChar w:fldCharType="separate"/>
        </w:r>
        <w:r>
          <w:t>60</w:t>
        </w:r>
        <w:r>
          <w:fldChar w:fldCharType="end"/>
        </w:r>
      </w:hyperlink>
    </w:p>
    <w:p w:rsidR="00A77B3E">
      <w:pPr>
        <w:pStyle w:val="Heading1"/>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vanish w:val="0"/>
          <w:color w:val="000000"/>
          <w:sz w:val="24"/>
        </w:rPr>
        <w:fldChar w:fldCharType="end"/>
      </w:r>
      <w:r>
        <w:rPr>
          <w:rFonts w:ascii="Times New Roman" w:eastAsia="Times New Roman" w:hAnsi="Times New Roman" w:cs="Times New Roman"/>
          <w:b w:val="0"/>
          <w:vanish w:val="0"/>
          <w:color w:val="000000"/>
          <w:sz w:val="24"/>
        </w:rPr>
        <w:br w:type="page"/>
      </w:r>
      <w:bookmarkStart w:id="0" w:name="_Toc256000046"/>
      <w:r>
        <w:rPr>
          <w:rFonts w:ascii="Times New Roman" w:eastAsia="Times New Roman" w:hAnsi="Times New Roman" w:cs="Times New Roman"/>
          <w:b w:val="0"/>
          <w:i w:val="0"/>
          <w:vanish w:val="0"/>
          <w:color w:val="000000"/>
          <w:sz w:val="24"/>
        </w:rPr>
        <w:t>1. Strategija programa: glavni izzivi in odzivi politik</w:t>
      </w:r>
      <w:bookmarkEnd w:id="0"/>
    </w:p>
    <w:p w:rsidR="00A77B3E">
      <w:pPr>
        <w:jc w:val="start"/>
        <w:rPr>
          <w:rFonts w:ascii="Times New Roman" w:eastAsia="Times New Roman" w:hAnsi="Times New Roman" w:cs="Times New Roman"/>
          <w:b w:val="0"/>
          <w:i w:val="0"/>
          <w:vanish w:val="0"/>
          <w:color w:val="000000"/>
          <w:sz w:val="16"/>
        </w:rPr>
      </w:pPr>
      <w:r>
        <w:rPr>
          <w:rFonts w:ascii="Times New Roman" w:eastAsia="Times New Roman" w:hAnsi="Times New Roman" w:cs="Times New Roman"/>
          <w:b w:val="0"/>
          <w:i w:val="0"/>
          <w:vanish w:val="0"/>
          <w:color w:val="000000"/>
          <w:sz w:val="24"/>
        </w:rPr>
        <w:t>Sklic: člen 22(3)(a)(iii), (iv), (v) in (ix) Uredbe (EU) 2021/1060 (uredba o skupnih določbah)</w:t>
      </w:r>
    </w:p>
    <w:p w:rsidR="00A77B3E">
      <w:pPr>
        <w:jc w:val="start"/>
        <w:rPr>
          <w:rFonts w:ascii="Times New Roman" w:eastAsia="Times New Roman" w:hAnsi="Times New Roman" w:cs="Times New Roman"/>
          <w:b w:val="0"/>
          <w:i w:val="0"/>
          <w:vanish w:val="0"/>
          <w:color w:val="000000"/>
          <w:sz w:val="12"/>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5.4pt" w:type="dxa"/>
          <w:end w:w="5.4pt" w:type="dxa"/>
        </w:tblCellMar>
      </w:tblPr>
      <w:tblGrid>
        <w:gridCol w:w="10240"/>
      </w:tblGrid>
      <w:tr>
        <w:tblPrEx>
          <w:tblW w:w="100%" w:type="pct"/>
          <w:tblLayout w:type="fixed"/>
        </w:tblPrEx>
        <w:trPr>
          <w:trHeight w:val="240"/>
        </w:trPr>
        <w:tc>
          <w:tcPr>
            <w:tcW w:w="100%" w:type="pct"/>
            <w:tcBorders>
              <w:top w:val="single" w:sz="4" w:space="0" w:color="auto"/>
              <w:start w:val="single" w:sz="4" w:space="0" w:color="auto"/>
              <w:bottom w:val="single" w:sz="4" w:space="0" w:color="auto"/>
              <w:end w:val="single" w:sz="4" w:space="0" w:color="auto"/>
            </w:tcBorders>
            <w:tcMar>
              <w:start w:w="5pt" w:type="dxa"/>
              <w:end w:w="5pt" w:type="dxa"/>
            </w:tcMar>
            <w:vAlign w:val="top"/>
          </w:tcPr>
          <w:p w:rsidR="00A77B3E">
            <w:pPr>
              <w:jc w:val="start"/>
              <w:rPr>
                <w:rFonts w:ascii="Times New Roman" w:eastAsia="Times New Roman" w:hAnsi="Times New Roman" w:cs="Times New Roman"/>
                <w:b w:val="0"/>
                <w:i w:val="0"/>
                <w:vanish w:val="0"/>
                <w:color w:val="000000"/>
                <w:sz w:val="0"/>
              </w:rPr>
            </w:pP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bCs/>
                <w:i w:val="0"/>
                <w:vanish w:val="0"/>
                <w:color w:val="000000"/>
                <w:sz w:val="24"/>
              </w:rPr>
              <w:t xml:space="preserve">SO1: </w:t>
            </w:r>
            <w:r>
              <w:rPr>
                <w:rFonts w:ascii="Times New Roman" w:eastAsia="Times New Roman" w:hAnsi="Times New Roman" w:cs="Times New Roman"/>
                <w:b w:val="0"/>
                <w:i w:val="0"/>
                <w:vanish w:val="0"/>
                <w:color w:val="000000"/>
                <w:sz w:val="24"/>
              </w:rPr>
              <w:t>Vseobsegajoči cilj na področju evropskega integriranega upravljanja meja je okrepljeno preprečevanje in odkrivanje nedovoljenih migracij in z njimi povezanim čezmejnim kriminalom, krepitev migracijskih tokov na način, da se olajša pretok potnikov prek mejnih prehodov in varovanje prostega gibanja v schengenskem območju.</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 xml:space="preserve">Slovenija (SI) je 2007 vstopila v schengensko območje. Za izpolnjevanje schengenskih standardov je bilo potrebno prilagoditi zakonodajo. Kompleksen del je predstavljala infrastruktura na skupni meji s Hrvaško (HR), glede na racionalnost pa so bile sprejete začasne rešitve. Notranja meja EU SI-HR je bila do vstopa HR v EU začasna zunanja schengenska meja in je zahtevala vzdrževanje in osnovne investicije za ohranjanje schengenskih standardov nadzora. Dolžina zunanje schengenske meje je bila 670 km, z 62 mejnimi prehodi (MP) (57 kopenskih, 2 pomorska, 3 zračni), s približno 60 mio potnikov letno (v obdobju 2014-2020 skoraj 400 mio potnikov). </w:t>
            </w:r>
          </w:p>
          <w:p w:rsidR="00A77B3E">
            <w:pPr>
              <w:jc w:val="start"/>
              <w:rPr>
                <w:rFonts w:ascii="Times New Roman" w:eastAsia="Times New Roman" w:hAnsi="Times New Roman" w:cs="Times New Roman"/>
                <w:b w:val="0"/>
                <w:i w:val="0"/>
                <w:vanish w:val="0"/>
                <w:color w:val="000000"/>
                <w:sz w:val="24"/>
              </w:rPr>
            </w:pP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bCs/>
                <w:i w:val="0"/>
                <w:vanish w:val="0"/>
                <w:color w:val="000000"/>
                <w:sz w:val="24"/>
              </w:rPr>
              <w:t>Z dnem vstopa HR v schengensko območje se določene operacije, ki so bile prvotno predvidene za financiranje iz IUMV, ne izvajajo več. Posledično se skladno s 26. členom Uredbe (EU) 2021/1060 prerazporedi 5 % začetnih dodeljenih sredstev IUMV v program SNV. Ta verzija programa odraža le prerazporeditev sredstev, ne pa tudi ostalih sprememb operacij.</w:t>
            </w:r>
          </w:p>
          <w:p w:rsidR="00A77B3E">
            <w:pPr>
              <w:jc w:val="start"/>
              <w:rPr>
                <w:rFonts w:ascii="Times New Roman" w:eastAsia="Times New Roman" w:hAnsi="Times New Roman" w:cs="Times New Roman"/>
                <w:b w:val="0"/>
                <w:i w:val="0"/>
                <w:vanish w:val="0"/>
                <w:color w:val="000000"/>
                <w:sz w:val="24"/>
              </w:rPr>
            </w:pP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 xml:space="preserve">V finančnem obdobju 2003 - 2013 je SI vzpostavila infrastrukturne rešitve za večino kopenskih MP, 1 letališki in 1 pomorski MP. V obdobju 2014-2020 je nadaljevala z vlaganjem v infrastrukturne objekte MP (popravilo nujne obrabe, ohranjanje schengenskih standardov) ter se osredotočala v naložbe v najbolj obremenjene/največje MP, zaradi povečanega pretoka potnikov in izvajanja »kontrol na eni točki« na MP SI-HR. Poleg nujnih, so bile izvedene investicije v tehnično opremo in prevozna sredstva, posodabljanje nacionalnega komunikacijskega sistema ter usposabljanje za mejne policiste. SIS II je polno delujoč od leta 2013, zahteva pa investicije v strojno in programsko opremo ter usposabljanje. Nacionalni sistem SIS teče v primarnem okviru IBM in na sekundarni rezervni lokaciji, ker je glavni okvir zastarel in je bil že zamenjan. </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 xml:space="preserve">V obdobju 2021-2027 HR izpolnjuje pogoje za pristop, zato je SI do pristopa nadaljevala s polnim izvajanjem schengenskega pravnega reda na kopenski meji s HR, kjer kontrola še ni bila odpravljena - do pristopa HR k schengenskem območju. Iz IUMV so bila namenjena sredstva za investicije za zagotovitev vzdrževanja in izpolnjevanja schengenskih standardov; implementacijo priporočil schengenske evalvacije in ocene ranljivosti; potrebne nadgradnje v kontekstu sprejetih ukrepov za dvig zaščite schengenskih meja; izboljšanje upravljanja migracijskih tokov. </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Aktivnosti, povezane z mejo s HR, bodo ponovno ocenjene v naslednji fazi sprememb programa.</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Po vstopu HR v schengensko območje bo SI policija nadaljevala z delom na zračnih in morskih mejah ter izvajala potrebne tehnične in operativne ukrepe mejnega nadzora znotraj schengenskega območja.</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 xml:space="preserve">Med nova orodja, ki jih mora SI upoštevati pri izvajanju pravnega reda na tem področju, sodijo Uredba 2019/817, Uredba 2019/818 ter spremembe uredb 767/2008, 2016/399, 2017/2226, 2018/1240, 2018/1726 in 2018/1861, 2018/1862, Odločbe Sveta 2004/512/ES in Sklep Sveta 2008/633/PNZ. Cilj interoperabilnosti EES, ETIAS, ECRIS ter nadgradnja obstoječih sistemov SIS, EURODAC in VIS je izboljšanje pogojev za učinkovit pretok informacij med DČ in povečan nadzor meja, migracij, obravnave vlog za azil ter nudenje večje opore DČ v njihovem boju proti kriminalu in terorizmu. Stanje EES: kupljena oprema, pripravljeni scenariji za potrebno opremo in načrt dela na posameznih MP, razvoj in namestitev različnih programskih rešitev, pred testiranje/testiranje programske in strojne opreme. Stanje ETIAS: priprava pravnih aktov ter drugih pogojev za ustanovitev nac. enote, aktivno sodelovanje v delovnih skupinah na nivoju EU in bilateralni ravni sosednjih držav. Centralni IT ETIAS sistem izdeluje eu-LISA, SI bo poskrbela za izdelavo vmesnikov, aplikacije za eno od komponent (watchlista) ter vzpostavitev interoperabilnosti. </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SI je na meji s HR beležila visoko število ilegalnih migrantov ter poskusov ilegalnega vstopa na schengensko območje. Glede na nestabilne razmere na vzhodu, je pričakovati, da bo trend ostal enak. Tudi število potnikov na MP je povečano (večjega št. prebivalcev v EU, večja mobilnost). Investicije IUMV bodo izvedene po priporočilih schengenske evalvacije iz leta 2019 (nadgradnja, posodobitve oz. zamenjava opreme za varovanje meje, opreme za varovanje meje v nočnem času in opreme za izvajanje učinkovite mejne kontrole). SI je tudi relativno gorata in na nekaterih mestih težko prehodna država, kar se izkorišča za čezmejni kriminal. Zato je potrebna različna oprema za nadzor, orodja in transportna sredstva. Med priporočili schengenske evalvacije je bilo tudi povečanje števila službenih živali in njihova uporaba pri varovanju državne meje.</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Tudi priporočila Frontex ocene »Vulnerability Assessment« zadnjih 4 let kažejo na potrebne investicije v vozila, analitično programsko opremo, termovizijske naprave, nadgradnjo operativnih zmogljivosti na morju, sisteme za izmenjavo podatkov ter sodobno opremo za odkrivanje oseb, skritih v vozilih. Oprema za nadzor državne meje (varovanje in mejna kontrola) v okviru IUMV je zelo specifična in namenska, zato pri drugih policijskih nalogah ni uporabna ali pa v zelo omejenem obsegu.</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Predvideno je nadaljevanje investicij iz obdobja 2014-2020, nove pa bodo usmerjene v uvedbo sodobnejših in naprednejših tehnologij za lažje, hitrejše in učinkovitejše delo. Predvideno je zagotavljanje daljše operativnosti obstoječe tehnične opreme s trajnim vzdrževanjem, upravljanjem in majhnimi investicijami ter s posodabljanjem MP. Na MP je potekalo vzdrževanje naprav in objektov, s ciljem zagotoviti nemoteno opravljanje mejne kontrole in varovanja zunanje schengenske meje. Objekti so zastareli in energetsko neučinkoviti, ne zagotavljajo ustreznih delovnih pogojev (klima/ogrevanje).</w:t>
            </w:r>
          </w:p>
          <w:p w:rsidR="00A77B3E">
            <w:pPr>
              <w:jc w:val="start"/>
              <w:rPr>
                <w:rFonts w:ascii="Times New Roman" w:eastAsia="Times New Roman" w:hAnsi="Times New Roman" w:cs="Times New Roman"/>
                <w:b w:val="0"/>
                <w:i w:val="0"/>
                <w:vanish w:val="0"/>
                <w:color w:val="000000"/>
                <w:sz w:val="24"/>
              </w:rPr>
            </w:pP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Ključni poudarki v 2021-2027:</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-Zagotavljanje interoperabilnosti sistemov: Načrtovana je prenova SIS II (SIS recast), posodobitev programske opreme (NS SIS in SIRENE), posodobitev »data recovery sistema« na sekundarni lokaciji ter prenos NS SIS na novo odprto kodno platformo.</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-Investicije v posodobitev in zamenjavo tehnologij na zunanji meji, v velike IT sisteme in ostalo opremo, nujno za nadzor meje (vozila za mejne patrulje, IT, zaščitna oprema).</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-SI policija je odgovorna za Nacionalni koordinacijski center (NCC), EUROSUR in vozlišče ter aktivnosti razširitve radarskega pokritja (celotno teritorialno morje), kar bi plovilom, namenjenim v pomorski MP Koper preprečilo izognitev mejni kontroli. Radar Luke Koper je financiran kombinirano (nakup EBF, vzdrževanje ISF-B). Za pripravo in izmenjavo poročil o tveganjih s sosednjimi NCC je potreben dostop do plačljivih baz podatkov (Seasearcher) s podatki o plovilih, lastnikih, itinerarjih plovil. Investicije bodo usmerjene tudi v nadgradnjo oz. zamenjavo radarjev in obratovalno infrastrukturo.</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 xml:space="preserve">-Posodobitev izvajanja mejne kontrole: investicije v vozila, IT opremo, čolne in helikopter. Izzivi ostajajo na področju paketov Pametne meje (Smart Borders), načrtuje se nadgradnja IT sistemov na MP (ETIAS, ESS) nadaljnje aktivnosti za zagotavljanje interoperabilnosti (ESP, SMMS, CIR) in usposobljeno osebje na novih področjih. </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Ena od prednostnih nalog SI je zagotoviti skladnost z uporabo pravnega reda Unije o mejah in vizumih ter po potrebi akcijskih načrtov v celotnem obdobju programa.</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Zakonodaja, vezana na digitalizacijo potovalnih dokumentov je še v sprejemanju, zato bodo te vsebine naknadno vključene v Program.</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SI izvaja aktivnosti priprave in usposabljanja osebja vezano na aktivnosti razvoja Evropske mejne in obalne straže (EBCG) ter se financirajo iz nacionalnih sredstev.</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V skladu z uredbo bo vsa večja oprema načrtovana za nakup skladna z operativnimi standardi Frontex in registrirana v Frontexovem naboru opreme (TEP).</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 xml:space="preserve">Glede na povečan pritok beguncev (Ukrajina) je SI aktivirala Zakon o začasni zaščiti razseljenih oseb (AMIF). V primeru vpliva na upravljanje meja SI, bi se aktivnosti lahko financirale iz IUMV. </w:t>
            </w:r>
          </w:p>
          <w:p w:rsidR="00A77B3E">
            <w:pPr>
              <w:jc w:val="start"/>
              <w:rPr>
                <w:rFonts w:ascii="Times New Roman" w:eastAsia="Times New Roman" w:hAnsi="Times New Roman" w:cs="Times New Roman"/>
                <w:b w:val="0"/>
                <w:i w:val="0"/>
                <w:vanish w:val="0"/>
                <w:color w:val="000000"/>
                <w:sz w:val="24"/>
              </w:rPr>
            </w:pP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bCs/>
                <w:i w:val="0"/>
                <w:vanish w:val="0"/>
                <w:color w:val="000000"/>
                <w:sz w:val="24"/>
              </w:rPr>
              <w:t xml:space="preserve">SO2: </w:t>
            </w:r>
            <w:r>
              <w:rPr>
                <w:rFonts w:ascii="Times New Roman" w:eastAsia="Times New Roman" w:hAnsi="Times New Roman" w:cs="Times New Roman"/>
                <w:b w:val="0"/>
                <w:i w:val="0"/>
                <w:vanish w:val="0"/>
                <w:color w:val="000000"/>
                <w:sz w:val="24"/>
              </w:rPr>
              <w:t xml:space="preserve">Cilj aktivnosti SI s podporo IUMV na področju vizumske politike je zagotoviti učinkovite vizumske postopke, ki lajšajo zakonita potovanja in preprečujejo migracijska in varnostna tveganja. </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 xml:space="preserve">SI kot dejavna članica schengenskega območja izvaja vizno poslovanje na 50 diplomatskih predstavništvih in konzulatih v tujini (DKP) ter si prizadeva za načrtovanje in izvajanje standardov na vseh lokacijah. V zadnjih letih so bili odprti novi DKP (Sofija, Bukarešta, Abu Dabi, Seul) z novimi izzivi na področju opremljanja lokacij, zagotavljanja podpore in iskanja ustreznih kadrov. V 2019 je SI izvedla 29.724 vizumskih postopkov, v 2020 pa le 5.436 (vpliv COVID-19). V 2021 je bilo zaznati rahel trend rasti, a normalnega poslovanja še nekaj let ni pričakovati. </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 xml:space="preserve">Uredba 810/2009 - Vizumski zakonik, Uredba 2018/1806 - Vizumski režim ter Uredba 767/2008 - VIS (Vizumski informacijski sistem) urejajo področje vizumov – ker so predvidene spremembe, bo njihova implementacija izziv za majhno slovensko administracijo. </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Uredba 810/2009 določa zbiranje biometričnih identifikatorjev (fotografijo in 10 prstov) v vizumskih postopkih, preverjanje pogojev za vstop in oceno tveganja, namestitev primernega števila osebja za obravnavo vlog ter funkcionalnost, gradnjo prostorov in omogočanje izvajanja ustreznih varnostnih ukrepov. Centralni organi DČ morajo zagotoviti usposabljanje osebja na delu v tujini in lokalnega osebja ter popolne, natančne in posodobljene podatke o ustrezni zakonodaji EU in nacionalni zakonodaji.</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 xml:space="preserve">V SI za sistem vizumskega poslovanja skrbi Ministrstvo za zunanje in evropske zadeve (MZEZ) preko DKP in je na ustrezni ravni za uresničevanje skupne vizumske politike EU. Za izvajanje harmoniziranega pristopa k izdajanju vizumov je nujno redno vzdrževanje in posodabljanje programske opreme, kot jo zahtevajo spremembe skupne vizumske politike EU, nadomeščanje, posodabljanje ter nadgradnja IKT strojne opreme na DKP ter v podatkovnem centru MZEZ (zaradi hitrega tehnološkega razvoja, amortizacije sredstev). Pomembno je zagotavljanje kakovostne povezljivosti med DKP in MZEZ, še posebej, kjer je povezljivost problematična, ustreznih prostorskih pogojev in varnostnih standardov, usposobljenosti kadra ter kadrovskih zmogljivostih za vizno poslovanje na DKP. </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SI na srednji rok načrtuje izboljšanje vizumskih IKT sistemov prek aplikacij, baz, komunikacijskih povezav ter posodabljanja strojne opreme. Načrtuje naložbe v izboljšanje varnostnih standardov (opreme, prostorov in protokolov) v konzularnih prostorih, pozornost bo namenjena delovnim procesom in usposabljanju osebja. Namen je izboljšano delovanje vizumskega sistema, krajši čas obdelave prošenj za vize, okrepljeno odkrivanje lažnih dokumentov in manj napak pri vnosu podatkov, s ciljem zagotavljanja učinkovitejših, preglednejših in za prosilce prijaznejših vizumskih postopkov.</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Razvoj področij je začrtan v Strategiji zunanje politike SI, schengenski in nacionalni zakonodaji, ki ureja področje vizumov, tujcev in migracij. Znotraj EU se bo SI zavzemala za vizumsko politiko, ki spodbuja prihod tujih turistov, mednarodno sodelovanje na gospodarskem, znanstvenem, izobraževalnem in kulturnem področju. Gostejša konzularna mreža, ki bi odprla možnost pridobitve vizumov na novih, bolj oddaljenih lokacijah v svetu, je mogoča le z dodatnimi naložbami v konzularno infrastrukturo, kar bo omogočalo sledenje trendom povečevanja vizumskih postopkov. SI bo preko delovanja DKP dejavno uresničevala migracijsko politiko EU. Pozornost bo usmerjena tudi v boj proti trgovini z ljudmi in nezakonitim migracijam, s čimer bo okrepljeno sodelovanje na področju migracij in mobilnosti v okviru EU ter s tretjimi državami.</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V okviru vizumske politike EU SI aktivno sodeluje pri sprejemanju in implementaciji zakonodaje, ki krepi varnost območja EU in upravljanje zunanjih meja. V letu 2010 je postal operativen VIS z novimi funkcionalnostmi v vizumskih postopkih, dodatno varnostjo in preglednostjo postopkov. Nato je na ravni EU prišlo do večjih premikov pri digitalizaciji procesov in uvajanju novih rešitev na področju informacijske tehnologije. V letih 2012 in 2019 je potekalo ocenjevanje uporabe schengenskega pravnega reda na DKP, na podlagi česar si SI prizadeva za redno vzdrževanje schengenskih standardov.</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Vzpostavitev prihodnjih velikih sistemov informacijske tehnologije (EES, ETIAS) in protokolov povezave v okviru interoperabilnosti, ki jih razvija in upravlja Evropska agencija za upravljanje velikih sistemov informacijske tehnologije (eu-LISA), postavlja nove izzive, kot je vzpostavitev sodelovanja med relevantnimi državnimi organi in zagotovitev zadostnih človeških virov. SI bo s pravočasnim pristopom in aktivacijo teh sistemov odgovorno skrbela za upravljanje migracij na vizumskem področju in prehajanju meja.</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Prenovo sistema VIS in njegove povezave z EES skupaj izvajata MZEZ in Policija, ki sodelujeta tudi na področju operacije ETIAS in interoperabilnosti.</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 xml:space="preserve">Še naprej se načrtuje razvoj in izboljšanje vizumskih informacijskih sistemov s ključno vlogo pri vizumskem poslovanju. Načrtovana je digitalizacija vizumskega poslovanja. Delovanje, posodabljanje in nadgradnja sistemov predstavljajo velik kadrovski in finančni zalogaj, zato je financiranje iz IUMV strateškega pomena za izvajanje vizumskih postopkov, ki morajo biti zakoniti, hkrati enostavni in pregledni, slediti morajo trendom digitalizacije in približevanju prosilcem za vizume. </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 xml:space="preserve">Ključni izzivi so hiter napredek IKT tehnologije in hitra zastarelost programske in strojne opreme, nedostopnost posodobljenih podatkov in nadgradenj ter nedosegljivost komunikacijskih linij. Preko IUMV SI načrtuje vzdrževanje, posodabljanje, optimizacijo in zamenjavo strojne opreme ter zagotavljanje kakovostnih podatkovnih povezav. </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 xml:space="preserve">Del vizumske politike je tudi varno delovno okolje za uslužbence, zato je potrebno slediti trendom na področju varnosti, zaščite prostorov in oseb. SI načrtuje izboljšanje varnostnih standardov na DKP na področju alarmne tehnike, videonadzorih sistemov, komunikacijskih sistemov, sistemov nadzora pristopa in drugih področjih (upravičeni delež, t.j. del konzulatov v zvezi z vizumsko politiko, se bo financiral samo iz IUMV, kjer je razdelitev izvedljiva). Pozornost bo namenjena varnosti osebja, hrambi in distribuciji vizumskih nalepk. Pri infrastrukturnih posegih v prostore za vizno poslovanje je pomemben vidik prijaznost ureditve do prosilcev za vizum. </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Ker se znanje, aplikacije, baze in oprema na področju vizumske politike EU hitro spreminjajo, se morajo usposabljati vsi pristojni uslužbenci v obliki rednih in izrednih usposabljanj o pravnem redu EU, tehnologijah in delovnih metodah. SI je s pomočjo skladov EU že sedaj skrbela za učinkovito usposabljanje na področju odkrivanja ponarejenih in prenarejenih dokumentov, zato je cilj nadaljevanje prakse z dodatnimi vsebinami, ki bodo znanje in izmenjavo izkušenj uslužbencev dodatno izboljšali.</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Dinamike schengenskih evalvacij ni mogoče predvideti, zadnja redna je bila izvedena v letu 2019 s sprejetjem priporočil junija 2020. Morebitna priporočila se lahko izvajajo v okviru aktivnosti po posameznih izvedbenih ukrepih oz. v okviru nove dejavnosti, ki se jo podrobneje opredeli po prejetih in obravnavanih priporočilih.</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MZEZ bo operativno podporo IUMV namenil zagotavljanju stalne in ustrezne kadrovske podpore za izvedbo postopkov za izdajanje vizumov na DKP.</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SI se zavezuje, da bodo sredstva sklada uporabljena za izvajanje kakršnih koli operativnih posledic priporočil schengenske evalvacije in ocene ranljivosti v obdobju 2021–2027.</w:t>
            </w:r>
          </w:p>
          <w:p w:rsidR="00A77B3E">
            <w:pPr>
              <w:jc w:val="start"/>
              <w:rPr>
                <w:rFonts w:ascii="Times New Roman" w:eastAsia="Times New Roman" w:hAnsi="Times New Roman" w:cs="Times New Roman"/>
                <w:b w:val="0"/>
                <w:i w:val="0"/>
                <w:vanish w:val="0"/>
                <w:color w:val="000000"/>
                <w:sz w:val="24"/>
              </w:rPr>
            </w:pP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bCs/>
                <w:i w:val="0"/>
                <w:vanish w:val="0"/>
                <w:color w:val="000000"/>
                <w:sz w:val="24"/>
              </w:rPr>
              <w:t>Sistem upravljanja in nadzora</w:t>
            </w:r>
            <w:r>
              <w:rPr>
                <w:rFonts w:ascii="Times New Roman" w:eastAsia="Times New Roman" w:hAnsi="Times New Roman" w:cs="Times New Roman"/>
                <w:b w:val="0"/>
                <w:i w:val="0"/>
                <w:vanish w:val="0"/>
                <w:color w:val="000000"/>
                <w:sz w:val="24"/>
              </w:rPr>
              <w:t>: SI bo ohranila sistem iz obstoječe finančne sheme. OU je MNZ, Služba za evropska sredstva, Projektna enota za sklade notranje varnosti in migracij, revizijski organ (RO) je Ministrstvo za finance, Urad za nadzor proračuna ter dve posredniški telesi izvajata prenesene naloge OU. Za izvajanje finančnih transakcij med EU in državnim proračunom je pooblaščeno MF, Sektor za upravljanje s sredstvi EU/CA, za izvedbo javnih razpisov pa posredniško telo za operacije, ki se izvajajo na podlagi javnih razpisov. Operacije, financirane iz skladov, izvajajo upravičenci - osebe javnega prava (na podlagi neposredne dodelitve, zaradi posebne narave operacije, tehnične ali administrativne pristojnosti) ali organizacije, izbrane na podlagi javnega razpisa.</w:t>
            </w:r>
          </w:p>
          <w:p w:rsidR="00A77B3E">
            <w:pPr>
              <w:jc w:val="start"/>
              <w:rPr>
                <w:rFonts w:ascii="Times New Roman" w:eastAsia="Times New Roman" w:hAnsi="Times New Roman" w:cs="Times New Roman"/>
                <w:b w:val="0"/>
                <w:i w:val="0"/>
                <w:vanish w:val="0"/>
                <w:color w:val="000000"/>
                <w:sz w:val="24"/>
              </w:rPr>
            </w:pP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SI bo prejela bistveno več sredstev kot v prejšnji shemi, zato bodo organi morali vlagati v krepitev kadrovskih zmogljivosti (OU iz 5 na 10, RO iz 2 na 3), poenostavitev stroškov in kontrol (kontrole na vzorcih).</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SI bo skladno z izkušnjami iz sheme 2014-2020 in priporočili EK pri javnih razpisih uporabila poenostavitev izračuna neposrednih stroškov dela, po 55. členu CPR. Uporabili bomo poenostavljene stroške na enoto, ki jih bo za DG HOME izračunal Public Policy and Management Institute. Zaenkrat ni predvidena uporaba finančnih instrumentov ali mešanega financiranja.</w:t>
            </w:r>
          </w:p>
          <w:p w:rsidR="00A77B3E">
            <w:pPr>
              <w:jc w:val="start"/>
              <w:rPr>
                <w:rFonts w:ascii="Times New Roman" w:eastAsia="Times New Roman" w:hAnsi="Times New Roman" w:cs="Times New Roman"/>
                <w:b w:val="0"/>
                <w:i w:val="0"/>
                <w:vanish w:val="0"/>
                <w:color w:val="000000"/>
                <w:sz w:val="24"/>
              </w:rPr>
            </w:pP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Vrste intervencij z vrednostjo 0 EUR v tabeli 3, so v Program vključene v primeru morebitnih prihodnjih potreb, povezanih z izvajanjem tematskega instrumenta, v skladu s členom 22(4)(d) CPR.</w:t>
            </w:r>
          </w:p>
          <w:p w:rsidR="00A77B3E">
            <w:pPr>
              <w:jc w:val="start"/>
              <w:rPr>
                <w:rFonts w:ascii="Times New Roman" w:eastAsia="Times New Roman" w:hAnsi="Times New Roman" w:cs="Times New Roman"/>
                <w:b w:val="0"/>
                <w:i w:val="0"/>
                <w:vanish w:val="0"/>
                <w:color w:val="000000"/>
                <w:sz w:val="6"/>
              </w:rPr>
            </w:pPr>
          </w:p>
          <w:p w:rsidR="00A77B3E">
            <w:pPr>
              <w:jc w:val="start"/>
              <w:rPr>
                <w:rFonts w:ascii="Times New Roman" w:eastAsia="Times New Roman" w:hAnsi="Times New Roman" w:cs="Times New Roman"/>
                <w:b w:val="0"/>
                <w:i w:val="0"/>
                <w:vanish w:val="0"/>
                <w:color w:val="000000"/>
                <w:sz w:val="6"/>
              </w:rPr>
            </w:pPr>
          </w:p>
        </w:tc>
      </w:tr>
    </w:tbl>
    <w:p w:rsidR="00A77B3E">
      <w:pPr>
        <w:jc w:val="start"/>
        <w:rPr>
          <w:rFonts w:ascii="Times New Roman" w:eastAsia="Times New Roman" w:hAnsi="Times New Roman" w:cs="Times New Roman"/>
          <w:b w:val="0"/>
          <w:i w:val="0"/>
          <w:vanish w:val="0"/>
          <w:color w:val="000000"/>
          <w:sz w:val="24"/>
        </w:rPr>
        <w:sectPr>
          <w:headerReference w:type="even" r:id="rId4"/>
          <w:headerReference w:type="default" r:id="rId5"/>
          <w:footerReference w:type="even" r:id="rId6"/>
          <w:footerReference w:type="default" r:id="rId7"/>
          <w:headerReference w:type="first" r:id="rId8"/>
          <w:footerReference w:type="first" r:id="rId9"/>
          <w:pgSz w:w="11906" w:h="16838"/>
          <w:pgMar w:top="720" w:right="936" w:bottom="864" w:left="720" w:header="0" w:footer="72" w:gutter="0"/>
          <w:cols w:space="720"/>
          <w:noEndnote/>
          <w:docGrid w:linePitch="360"/>
        </w:sectPr>
      </w:pPr>
    </w:p>
    <w:p w:rsidR="00A77B3E">
      <w:pPr>
        <w:pStyle w:val="Heading1"/>
        <w:spacing w:before="100" w:after="0"/>
        <w:jc w:val="start"/>
        <w:rPr>
          <w:rFonts w:ascii="Times New Roman" w:eastAsia="Times New Roman" w:hAnsi="Times New Roman" w:cs="Times New Roman"/>
          <w:b w:val="0"/>
          <w:i w:val="0"/>
          <w:vanish w:val="0"/>
          <w:color w:val="000000"/>
          <w:sz w:val="24"/>
        </w:rPr>
      </w:pPr>
      <w:bookmarkStart w:id="1" w:name="_Toc256000047"/>
      <w:r>
        <w:rPr>
          <w:rFonts w:ascii="Times New Roman" w:eastAsia="Times New Roman" w:hAnsi="Times New Roman" w:cs="Times New Roman"/>
          <w:b w:val="0"/>
          <w:i w:val="0"/>
          <w:vanish w:val="0"/>
          <w:color w:val="000000"/>
          <w:sz w:val="24"/>
        </w:rPr>
        <w:t>2. Specifični cilji in tehnična pomoč</w:t>
      </w:r>
      <w:bookmarkEnd w:id="1"/>
    </w:p>
    <w:p w:rsidR="00A77B3E">
      <w:pPr>
        <w:spacing w:before="100" w:after="0"/>
        <w:jc w:val="start"/>
        <w:rPr>
          <w:rFonts w:ascii="Times New Roman" w:eastAsia="Times New Roman" w:hAnsi="Times New Roman" w:cs="Times New Roman"/>
          <w:b w:val="0"/>
          <w:i w:val="0"/>
          <w:vanish w:val="0"/>
          <w:color w:val="000000"/>
          <w:sz w:val="0"/>
        </w:rPr>
      </w:pPr>
    </w:p>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24"/>
        </w:rPr>
        <w:t>Sklic: člen 22(2) in (4) uredbe o skupnih določbah</w:t>
      </w: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2592"/>
        <w:gridCol w:w="5185"/>
        <w:gridCol w:w="2593"/>
      </w:tblGrid>
      <w:tr>
        <w:tblPrEx>
          <w:tblW w:w="100%" w:type="pct"/>
        </w:tblPrEx>
        <w:trPr>
          <w:cantSplit w:val="0"/>
          <w:trHeight w:val="160"/>
          <w:tblHeader/>
        </w:trPr>
        <w:tc>
          <w:tcPr>
            <w:tcW w:w="3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Izbrano</w:t>
            </w:r>
          </w:p>
        </w:tc>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Specifični cilj ali tehnična pomoč</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Vrsta ukrepa</w:t>
            </w:r>
          </w:p>
        </w:tc>
      </w:tr>
      <w:tr>
        <w:tblPrEx>
          <w:tblW w:w="100%" w:type="pct"/>
        </w:tblPrEx>
        <w:trPr>
          <w:cantSplit w:val="0"/>
          <w:trHeight w:val="160"/>
          <w:tblHeader w:val="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fldChar w:fldCharType="begin">
                <w:ffData>
                  <w:name w:val=""/>
                  <w:enabled/>
                  <w:calcOnExit w:val="0"/>
                  <w:checkBox>
                    <w:size w:val="20"/>
                    <w:default w:val="1"/>
                    <w:checked w:val="1"/>
                  </w:checkBox>
                </w:ffData>
              </w:fldChar>
            </w:r>
            <w:r>
              <w:rPr>
                <w:rFonts w:ascii="Times New Roman" w:eastAsia="Times New Roman" w:hAnsi="Times New Roman" w:cs="Times New Roman"/>
                <w:b w:val="0"/>
                <w:i w:val="0"/>
                <w:vanish w:val="0"/>
                <w:color w:val="000000"/>
                <w:sz w:val="24"/>
              </w:rPr>
              <w:instrText xml:space="preserve"> FORMCHECKBOX </w:instrText>
            </w:r>
            <w:r>
              <w:rPr>
                <w:rFonts w:ascii="Times New Roman" w:eastAsia="Times New Roman" w:hAnsi="Times New Roman" w:cs="Times New Roman"/>
                <w:b w:val="0"/>
                <w:i w:val="0"/>
                <w:vanish w:val="0"/>
                <w:color w:val="000000"/>
                <w:sz w:val="24"/>
              </w:rPr>
              <w:fldChar w:fldCharType="end"/>
            </w:r>
            <w:r>
              <w:rPr>
                <w:rFonts w:ascii="Times New Roman" w:eastAsia="Times New Roman" w:hAnsi="Times New Roman" w:cs="Times New Roman"/>
                <w:b w:val="0"/>
                <w:i w:val="0"/>
                <w:vanish w:val="0"/>
                <w:color w:val="000000"/>
                <w:sz w:val="24"/>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1. Evropsko integrirano upravljanje meja</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Redni ukrepi</w:t>
            </w:r>
          </w:p>
        </w:tc>
      </w:tr>
      <w:tr>
        <w:tblPrEx>
          <w:tblW w:w="100%" w:type="pct"/>
        </w:tblPrEx>
        <w:trPr>
          <w:cantSplit w:val="0"/>
          <w:trHeight w:val="160"/>
          <w:tblHeader w:val="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fldChar w:fldCharType="begin">
                <w:ffData>
                  <w:name w:val=""/>
                  <w:enabled/>
                  <w:calcOnExit w:val="0"/>
                  <w:checkBox>
                    <w:size w:val="20"/>
                    <w:default w:val="0"/>
                    <w:checked w:val="0"/>
                  </w:checkBox>
                </w:ffData>
              </w:fldChar>
            </w:r>
            <w:r>
              <w:rPr>
                <w:rFonts w:ascii="Times New Roman" w:eastAsia="Times New Roman" w:hAnsi="Times New Roman" w:cs="Times New Roman"/>
                <w:b w:val="0"/>
                <w:i w:val="0"/>
                <w:vanish w:val="0"/>
                <w:color w:val="000000"/>
                <w:sz w:val="24"/>
              </w:rPr>
              <w:instrText xml:space="preserve"> FORMCHECKBOX </w:instrText>
            </w:r>
            <w:r>
              <w:rPr>
                <w:rFonts w:ascii="Times New Roman" w:eastAsia="Times New Roman" w:hAnsi="Times New Roman" w:cs="Times New Roman"/>
                <w:b w:val="0"/>
                <w:i w:val="0"/>
                <w:vanish w:val="0"/>
                <w:color w:val="000000"/>
                <w:sz w:val="24"/>
              </w:rPr>
              <w:fldChar w:fldCharType="end"/>
            </w:r>
            <w:r>
              <w:rPr>
                <w:rFonts w:ascii="Times New Roman" w:eastAsia="Times New Roman" w:hAnsi="Times New Roman" w:cs="Times New Roman"/>
                <w:b w:val="0"/>
                <w:i w:val="0"/>
                <w:vanish w:val="0"/>
                <w:color w:val="000000"/>
                <w:sz w:val="24"/>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1. Evropsko integrirano upravljanje meja</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Posebni ukrepi</w:t>
            </w:r>
          </w:p>
        </w:tc>
      </w:tr>
      <w:tr>
        <w:tblPrEx>
          <w:tblW w:w="100%" w:type="pct"/>
        </w:tblPrEx>
        <w:trPr>
          <w:cantSplit w:val="0"/>
          <w:trHeight w:val="160"/>
          <w:tblHeader w:val="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fldChar w:fldCharType="begin">
                <w:ffData>
                  <w:name w:val=""/>
                  <w:enabled/>
                  <w:calcOnExit w:val="0"/>
                  <w:checkBox>
                    <w:size w:val="20"/>
                    <w:default w:val="1"/>
                    <w:checked w:val="1"/>
                  </w:checkBox>
                </w:ffData>
              </w:fldChar>
            </w:r>
            <w:r>
              <w:rPr>
                <w:rFonts w:ascii="Times New Roman" w:eastAsia="Times New Roman" w:hAnsi="Times New Roman" w:cs="Times New Roman"/>
                <w:b w:val="0"/>
                <w:i w:val="0"/>
                <w:vanish w:val="0"/>
                <w:color w:val="000000"/>
                <w:sz w:val="24"/>
              </w:rPr>
              <w:instrText xml:space="preserve"> FORMCHECKBOX </w:instrText>
            </w:r>
            <w:r>
              <w:rPr>
                <w:rFonts w:ascii="Times New Roman" w:eastAsia="Times New Roman" w:hAnsi="Times New Roman" w:cs="Times New Roman"/>
                <w:b w:val="0"/>
                <w:i w:val="0"/>
                <w:vanish w:val="0"/>
                <w:color w:val="000000"/>
                <w:sz w:val="24"/>
              </w:rPr>
              <w:fldChar w:fldCharType="end"/>
            </w:r>
            <w:r>
              <w:rPr>
                <w:rFonts w:ascii="Times New Roman" w:eastAsia="Times New Roman" w:hAnsi="Times New Roman" w:cs="Times New Roman"/>
                <w:b w:val="0"/>
                <w:i w:val="0"/>
                <w:vanish w:val="0"/>
                <w:color w:val="000000"/>
                <w:sz w:val="24"/>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1. Evropsko integrirano upravljanje meja</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Ukrepi iz Priloge IV</w:t>
            </w:r>
          </w:p>
        </w:tc>
      </w:tr>
      <w:tr>
        <w:tblPrEx>
          <w:tblW w:w="100%" w:type="pct"/>
        </w:tblPrEx>
        <w:trPr>
          <w:cantSplit w:val="0"/>
          <w:trHeight w:val="160"/>
          <w:tblHeader w:val="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fldChar w:fldCharType="begin">
                <w:ffData>
                  <w:name w:val=""/>
                  <w:enabled/>
                  <w:calcOnExit w:val="0"/>
                  <w:checkBox>
                    <w:size w:val="20"/>
                    <w:default w:val="1"/>
                    <w:checked w:val="1"/>
                  </w:checkBox>
                </w:ffData>
              </w:fldChar>
            </w:r>
            <w:r>
              <w:rPr>
                <w:rFonts w:ascii="Times New Roman" w:eastAsia="Times New Roman" w:hAnsi="Times New Roman" w:cs="Times New Roman"/>
                <w:b w:val="0"/>
                <w:i w:val="0"/>
                <w:vanish w:val="0"/>
                <w:color w:val="000000"/>
                <w:sz w:val="24"/>
              </w:rPr>
              <w:instrText xml:space="preserve"> FORMCHECKBOX </w:instrText>
            </w:r>
            <w:r>
              <w:rPr>
                <w:rFonts w:ascii="Times New Roman" w:eastAsia="Times New Roman" w:hAnsi="Times New Roman" w:cs="Times New Roman"/>
                <w:b w:val="0"/>
                <w:i w:val="0"/>
                <w:vanish w:val="0"/>
                <w:color w:val="000000"/>
                <w:sz w:val="24"/>
              </w:rPr>
              <w:fldChar w:fldCharType="end"/>
            </w:r>
            <w:r>
              <w:rPr>
                <w:rFonts w:ascii="Times New Roman" w:eastAsia="Times New Roman" w:hAnsi="Times New Roman" w:cs="Times New Roman"/>
                <w:b w:val="0"/>
                <w:i w:val="0"/>
                <w:vanish w:val="0"/>
                <w:color w:val="000000"/>
                <w:sz w:val="24"/>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1. Evropsko integrirano upravljanje meja</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Operativna podpora</w:t>
            </w:r>
          </w:p>
        </w:tc>
      </w:tr>
      <w:tr>
        <w:tblPrEx>
          <w:tblW w:w="100%" w:type="pct"/>
        </w:tblPrEx>
        <w:trPr>
          <w:cantSplit w:val="0"/>
          <w:trHeight w:val="160"/>
          <w:tblHeader w:val="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fldChar w:fldCharType="begin">
                <w:ffData>
                  <w:name w:val=""/>
                  <w:enabled/>
                  <w:calcOnExit w:val="0"/>
                  <w:checkBox>
                    <w:size w:val="20"/>
                    <w:default w:val="0"/>
                    <w:checked w:val="0"/>
                  </w:checkBox>
                </w:ffData>
              </w:fldChar>
            </w:r>
            <w:r>
              <w:rPr>
                <w:rFonts w:ascii="Times New Roman" w:eastAsia="Times New Roman" w:hAnsi="Times New Roman" w:cs="Times New Roman"/>
                <w:b w:val="0"/>
                <w:i w:val="0"/>
                <w:vanish w:val="0"/>
                <w:color w:val="000000"/>
                <w:sz w:val="24"/>
              </w:rPr>
              <w:instrText xml:space="preserve"> FORMCHECKBOX </w:instrText>
            </w:r>
            <w:r>
              <w:rPr>
                <w:rFonts w:ascii="Times New Roman" w:eastAsia="Times New Roman" w:hAnsi="Times New Roman" w:cs="Times New Roman"/>
                <w:b w:val="0"/>
                <w:i w:val="0"/>
                <w:vanish w:val="0"/>
                <w:color w:val="000000"/>
                <w:sz w:val="24"/>
              </w:rPr>
              <w:fldChar w:fldCharType="end"/>
            </w:r>
            <w:r>
              <w:rPr>
                <w:rFonts w:ascii="Times New Roman" w:eastAsia="Times New Roman" w:hAnsi="Times New Roman" w:cs="Times New Roman"/>
                <w:b w:val="0"/>
                <w:i w:val="0"/>
                <w:vanish w:val="0"/>
                <w:color w:val="000000"/>
                <w:sz w:val="24"/>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1. Evropsko integrirano upravljanje meja</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STS</w:t>
            </w:r>
          </w:p>
        </w:tc>
      </w:tr>
      <w:tr>
        <w:tblPrEx>
          <w:tblW w:w="100%" w:type="pct"/>
        </w:tblPrEx>
        <w:trPr>
          <w:cantSplit w:val="0"/>
          <w:trHeight w:val="160"/>
          <w:tblHeader w:val="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fldChar w:fldCharType="begin">
                <w:ffData>
                  <w:name w:val=""/>
                  <w:enabled/>
                  <w:calcOnExit w:val="0"/>
                  <w:checkBox>
                    <w:size w:val="20"/>
                    <w:default w:val="0"/>
                    <w:checked w:val="0"/>
                  </w:checkBox>
                </w:ffData>
              </w:fldChar>
            </w:r>
            <w:r>
              <w:rPr>
                <w:rFonts w:ascii="Times New Roman" w:eastAsia="Times New Roman" w:hAnsi="Times New Roman" w:cs="Times New Roman"/>
                <w:b w:val="0"/>
                <w:i w:val="0"/>
                <w:vanish w:val="0"/>
                <w:color w:val="000000"/>
                <w:sz w:val="24"/>
              </w:rPr>
              <w:instrText xml:space="preserve"> FORMCHECKBOX </w:instrText>
            </w:r>
            <w:r>
              <w:rPr>
                <w:rFonts w:ascii="Times New Roman" w:eastAsia="Times New Roman" w:hAnsi="Times New Roman" w:cs="Times New Roman"/>
                <w:b w:val="0"/>
                <w:i w:val="0"/>
                <w:vanish w:val="0"/>
                <w:color w:val="000000"/>
                <w:sz w:val="24"/>
              </w:rPr>
              <w:fldChar w:fldCharType="end"/>
            </w:r>
            <w:r>
              <w:rPr>
                <w:rFonts w:ascii="Times New Roman" w:eastAsia="Times New Roman" w:hAnsi="Times New Roman" w:cs="Times New Roman"/>
                <w:b w:val="0"/>
                <w:i w:val="0"/>
                <w:vanish w:val="0"/>
                <w:color w:val="000000"/>
                <w:sz w:val="24"/>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1. Evropsko integrirano upravljanje meja</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Nujna pomoč</w:t>
            </w:r>
          </w:p>
        </w:tc>
      </w:tr>
      <w:tr>
        <w:tblPrEx>
          <w:tblW w:w="100%" w:type="pct"/>
        </w:tblPrEx>
        <w:trPr>
          <w:cantSplit w:val="0"/>
          <w:trHeight w:val="160"/>
          <w:tblHeader w:val="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fldChar w:fldCharType="begin">
                <w:ffData>
                  <w:name w:val=""/>
                  <w:enabled/>
                  <w:calcOnExit w:val="0"/>
                  <w:checkBox>
                    <w:size w:val="20"/>
                    <w:default w:val="1"/>
                    <w:checked w:val="1"/>
                  </w:checkBox>
                </w:ffData>
              </w:fldChar>
            </w:r>
            <w:r>
              <w:rPr>
                <w:rFonts w:ascii="Times New Roman" w:eastAsia="Times New Roman" w:hAnsi="Times New Roman" w:cs="Times New Roman"/>
                <w:b w:val="0"/>
                <w:i w:val="0"/>
                <w:vanish w:val="0"/>
                <w:color w:val="000000"/>
                <w:sz w:val="24"/>
              </w:rPr>
              <w:instrText xml:space="preserve"> FORMCHECKBOX </w:instrText>
            </w:r>
            <w:r>
              <w:rPr>
                <w:rFonts w:ascii="Times New Roman" w:eastAsia="Times New Roman" w:hAnsi="Times New Roman" w:cs="Times New Roman"/>
                <w:b w:val="0"/>
                <w:i w:val="0"/>
                <w:vanish w:val="0"/>
                <w:color w:val="000000"/>
                <w:sz w:val="24"/>
              </w:rPr>
              <w:fldChar w:fldCharType="end"/>
            </w:r>
            <w:r>
              <w:rPr>
                <w:rFonts w:ascii="Times New Roman" w:eastAsia="Times New Roman" w:hAnsi="Times New Roman" w:cs="Times New Roman"/>
                <w:b w:val="0"/>
                <w:i w:val="0"/>
                <w:vanish w:val="0"/>
                <w:color w:val="000000"/>
                <w:sz w:val="24"/>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1. Evropsko integrirano upravljanje meja</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Uredba ETIAS, člen 85(2)</w:t>
            </w:r>
          </w:p>
        </w:tc>
      </w:tr>
      <w:tr>
        <w:tblPrEx>
          <w:tblW w:w="100%" w:type="pct"/>
        </w:tblPrEx>
        <w:trPr>
          <w:cantSplit w:val="0"/>
          <w:trHeight w:val="160"/>
          <w:tblHeader w:val="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fldChar w:fldCharType="begin">
                <w:ffData>
                  <w:name w:val=""/>
                  <w:enabled/>
                  <w:calcOnExit w:val="0"/>
                  <w:checkBox>
                    <w:size w:val="20"/>
                    <w:default w:val="1"/>
                    <w:checked w:val="1"/>
                  </w:checkBox>
                </w:ffData>
              </w:fldChar>
            </w:r>
            <w:r>
              <w:rPr>
                <w:rFonts w:ascii="Times New Roman" w:eastAsia="Times New Roman" w:hAnsi="Times New Roman" w:cs="Times New Roman"/>
                <w:b w:val="0"/>
                <w:i w:val="0"/>
                <w:vanish w:val="0"/>
                <w:color w:val="000000"/>
                <w:sz w:val="24"/>
              </w:rPr>
              <w:instrText xml:space="preserve"> FORMCHECKBOX </w:instrText>
            </w:r>
            <w:r>
              <w:rPr>
                <w:rFonts w:ascii="Times New Roman" w:eastAsia="Times New Roman" w:hAnsi="Times New Roman" w:cs="Times New Roman"/>
                <w:b w:val="0"/>
                <w:i w:val="0"/>
                <w:vanish w:val="0"/>
                <w:color w:val="000000"/>
                <w:sz w:val="24"/>
              </w:rPr>
              <w:fldChar w:fldCharType="end"/>
            </w:r>
            <w:r>
              <w:rPr>
                <w:rFonts w:ascii="Times New Roman" w:eastAsia="Times New Roman" w:hAnsi="Times New Roman" w:cs="Times New Roman"/>
                <w:b w:val="0"/>
                <w:i w:val="0"/>
                <w:vanish w:val="0"/>
                <w:color w:val="000000"/>
                <w:sz w:val="24"/>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1. Evropsko integrirano upravljanje meja</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Uredba ETIAS, člen 85(3)</w:t>
            </w:r>
          </w:p>
        </w:tc>
      </w:tr>
      <w:tr>
        <w:tblPrEx>
          <w:tblW w:w="100%" w:type="pct"/>
        </w:tblPrEx>
        <w:trPr>
          <w:cantSplit w:val="0"/>
          <w:trHeight w:val="160"/>
          <w:tblHeader w:val="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fldChar w:fldCharType="begin">
                <w:ffData>
                  <w:name w:val=""/>
                  <w:enabled/>
                  <w:calcOnExit w:val="0"/>
                  <w:checkBox>
                    <w:size w:val="20"/>
                    <w:default w:val="1"/>
                    <w:checked w:val="1"/>
                  </w:checkBox>
                </w:ffData>
              </w:fldChar>
            </w:r>
            <w:r>
              <w:rPr>
                <w:rFonts w:ascii="Times New Roman" w:eastAsia="Times New Roman" w:hAnsi="Times New Roman" w:cs="Times New Roman"/>
                <w:b w:val="0"/>
                <w:i w:val="0"/>
                <w:vanish w:val="0"/>
                <w:color w:val="000000"/>
                <w:sz w:val="24"/>
              </w:rPr>
              <w:instrText xml:space="preserve"> FORMCHECKBOX </w:instrText>
            </w:r>
            <w:r>
              <w:rPr>
                <w:rFonts w:ascii="Times New Roman" w:eastAsia="Times New Roman" w:hAnsi="Times New Roman" w:cs="Times New Roman"/>
                <w:b w:val="0"/>
                <w:i w:val="0"/>
                <w:vanish w:val="0"/>
                <w:color w:val="000000"/>
                <w:sz w:val="24"/>
              </w:rPr>
              <w:fldChar w:fldCharType="end"/>
            </w:r>
            <w:r>
              <w:rPr>
                <w:rFonts w:ascii="Times New Roman" w:eastAsia="Times New Roman" w:hAnsi="Times New Roman" w:cs="Times New Roman"/>
                <w:b w:val="0"/>
                <w:i w:val="0"/>
                <w:vanish w:val="0"/>
                <w:color w:val="000000"/>
                <w:sz w:val="24"/>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 Skupna vizumska politika</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Redni ukrepi</w:t>
            </w:r>
          </w:p>
        </w:tc>
      </w:tr>
      <w:tr>
        <w:tblPrEx>
          <w:tblW w:w="100%" w:type="pct"/>
        </w:tblPrEx>
        <w:trPr>
          <w:cantSplit w:val="0"/>
          <w:trHeight w:val="160"/>
          <w:tblHeader w:val="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fldChar w:fldCharType="begin">
                <w:ffData>
                  <w:name w:val=""/>
                  <w:enabled/>
                  <w:calcOnExit w:val="0"/>
                  <w:checkBox>
                    <w:size w:val="20"/>
                    <w:default w:val="0"/>
                    <w:checked w:val="0"/>
                  </w:checkBox>
                </w:ffData>
              </w:fldChar>
            </w:r>
            <w:r>
              <w:rPr>
                <w:rFonts w:ascii="Times New Roman" w:eastAsia="Times New Roman" w:hAnsi="Times New Roman" w:cs="Times New Roman"/>
                <w:b w:val="0"/>
                <w:i w:val="0"/>
                <w:vanish w:val="0"/>
                <w:color w:val="000000"/>
                <w:sz w:val="24"/>
              </w:rPr>
              <w:instrText xml:space="preserve"> FORMCHECKBOX </w:instrText>
            </w:r>
            <w:r>
              <w:rPr>
                <w:rFonts w:ascii="Times New Roman" w:eastAsia="Times New Roman" w:hAnsi="Times New Roman" w:cs="Times New Roman"/>
                <w:b w:val="0"/>
                <w:i w:val="0"/>
                <w:vanish w:val="0"/>
                <w:color w:val="000000"/>
                <w:sz w:val="24"/>
              </w:rPr>
              <w:fldChar w:fldCharType="end"/>
            </w:r>
            <w:r>
              <w:rPr>
                <w:rFonts w:ascii="Times New Roman" w:eastAsia="Times New Roman" w:hAnsi="Times New Roman" w:cs="Times New Roman"/>
                <w:b w:val="0"/>
                <w:i w:val="0"/>
                <w:vanish w:val="0"/>
                <w:color w:val="000000"/>
                <w:sz w:val="24"/>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 Skupna vizumska politika</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Posebni ukrepi</w:t>
            </w:r>
          </w:p>
        </w:tc>
      </w:tr>
      <w:tr>
        <w:tblPrEx>
          <w:tblW w:w="100%" w:type="pct"/>
        </w:tblPrEx>
        <w:trPr>
          <w:cantSplit w:val="0"/>
          <w:trHeight w:val="160"/>
          <w:tblHeader w:val="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fldChar w:fldCharType="begin">
                <w:ffData>
                  <w:name w:val=""/>
                  <w:enabled/>
                  <w:calcOnExit w:val="0"/>
                  <w:checkBox>
                    <w:size w:val="20"/>
                    <w:default w:val="1"/>
                    <w:checked w:val="1"/>
                  </w:checkBox>
                </w:ffData>
              </w:fldChar>
            </w:r>
            <w:r>
              <w:rPr>
                <w:rFonts w:ascii="Times New Roman" w:eastAsia="Times New Roman" w:hAnsi="Times New Roman" w:cs="Times New Roman"/>
                <w:b w:val="0"/>
                <w:i w:val="0"/>
                <w:vanish w:val="0"/>
                <w:color w:val="000000"/>
                <w:sz w:val="24"/>
              </w:rPr>
              <w:instrText xml:space="preserve"> FORMCHECKBOX </w:instrText>
            </w:r>
            <w:r>
              <w:rPr>
                <w:rFonts w:ascii="Times New Roman" w:eastAsia="Times New Roman" w:hAnsi="Times New Roman" w:cs="Times New Roman"/>
                <w:b w:val="0"/>
                <w:i w:val="0"/>
                <w:vanish w:val="0"/>
                <w:color w:val="000000"/>
                <w:sz w:val="24"/>
              </w:rPr>
              <w:fldChar w:fldCharType="end"/>
            </w:r>
            <w:r>
              <w:rPr>
                <w:rFonts w:ascii="Times New Roman" w:eastAsia="Times New Roman" w:hAnsi="Times New Roman" w:cs="Times New Roman"/>
                <w:b w:val="0"/>
                <w:i w:val="0"/>
                <w:vanish w:val="0"/>
                <w:color w:val="000000"/>
                <w:sz w:val="24"/>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 Skupna vizumska politika</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Ukrepi iz Priloge IV</w:t>
            </w:r>
          </w:p>
        </w:tc>
      </w:tr>
      <w:tr>
        <w:tblPrEx>
          <w:tblW w:w="100%" w:type="pct"/>
        </w:tblPrEx>
        <w:trPr>
          <w:cantSplit w:val="0"/>
          <w:trHeight w:val="160"/>
          <w:tblHeader w:val="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fldChar w:fldCharType="begin">
                <w:ffData>
                  <w:name w:val=""/>
                  <w:enabled/>
                  <w:calcOnExit w:val="0"/>
                  <w:checkBox>
                    <w:size w:val="20"/>
                    <w:default w:val="1"/>
                    <w:checked w:val="1"/>
                  </w:checkBox>
                </w:ffData>
              </w:fldChar>
            </w:r>
            <w:r>
              <w:rPr>
                <w:rFonts w:ascii="Times New Roman" w:eastAsia="Times New Roman" w:hAnsi="Times New Roman" w:cs="Times New Roman"/>
                <w:b w:val="0"/>
                <w:i w:val="0"/>
                <w:vanish w:val="0"/>
                <w:color w:val="000000"/>
                <w:sz w:val="24"/>
              </w:rPr>
              <w:instrText xml:space="preserve"> FORMCHECKBOX </w:instrText>
            </w:r>
            <w:r>
              <w:rPr>
                <w:rFonts w:ascii="Times New Roman" w:eastAsia="Times New Roman" w:hAnsi="Times New Roman" w:cs="Times New Roman"/>
                <w:b w:val="0"/>
                <w:i w:val="0"/>
                <w:vanish w:val="0"/>
                <w:color w:val="000000"/>
                <w:sz w:val="24"/>
              </w:rPr>
              <w:fldChar w:fldCharType="end"/>
            </w:r>
            <w:r>
              <w:rPr>
                <w:rFonts w:ascii="Times New Roman" w:eastAsia="Times New Roman" w:hAnsi="Times New Roman" w:cs="Times New Roman"/>
                <w:b w:val="0"/>
                <w:i w:val="0"/>
                <w:vanish w:val="0"/>
                <w:color w:val="000000"/>
                <w:sz w:val="24"/>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 Skupna vizumska politika</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Operativna podpora</w:t>
            </w:r>
          </w:p>
        </w:tc>
      </w:tr>
      <w:tr>
        <w:tblPrEx>
          <w:tblW w:w="100%" w:type="pct"/>
        </w:tblPrEx>
        <w:trPr>
          <w:cantSplit w:val="0"/>
          <w:trHeight w:val="160"/>
          <w:tblHeader w:val="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fldChar w:fldCharType="begin">
                <w:ffData>
                  <w:name w:val=""/>
                  <w:enabled/>
                  <w:calcOnExit w:val="0"/>
                  <w:checkBox>
                    <w:size w:val="20"/>
                    <w:default w:val="0"/>
                    <w:checked w:val="0"/>
                  </w:checkBox>
                </w:ffData>
              </w:fldChar>
            </w:r>
            <w:r>
              <w:rPr>
                <w:rFonts w:ascii="Times New Roman" w:eastAsia="Times New Roman" w:hAnsi="Times New Roman" w:cs="Times New Roman"/>
                <w:b w:val="0"/>
                <w:i w:val="0"/>
                <w:vanish w:val="0"/>
                <w:color w:val="000000"/>
                <w:sz w:val="24"/>
              </w:rPr>
              <w:instrText xml:space="preserve"> FORMCHECKBOX </w:instrText>
            </w:r>
            <w:r>
              <w:rPr>
                <w:rFonts w:ascii="Times New Roman" w:eastAsia="Times New Roman" w:hAnsi="Times New Roman" w:cs="Times New Roman"/>
                <w:b w:val="0"/>
                <w:i w:val="0"/>
                <w:vanish w:val="0"/>
                <w:color w:val="000000"/>
                <w:sz w:val="24"/>
              </w:rPr>
              <w:fldChar w:fldCharType="end"/>
            </w:r>
            <w:r>
              <w:rPr>
                <w:rFonts w:ascii="Times New Roman" w:eastAsia="Times New Roman" w:hAnsi="Times New Roman" w:cs="Times New Roman"/>
                <w:b w:val="0"/>
                <w:i w:val="0"/>
                <w:vanish w:val="0"/>
                <w:color w:val="000000"/>
                <w:sz w:val="24"/>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 Skupna vizumska politika</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Nujna pomoč</w:t>
            </w:r>
          </w:p>
        </w:tc>
      </w:tr>
      <w:tr>
        <w:tblPrEx>
          <w:tblW w:w="100%" w:type="pct"/>
        </w:tblPrEx>
        <w:trPr>
          <w:cantSplit w:val="0"/>
          <w:trHeight w:val="160"/>
          <w:tblHeader w:val="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fldChar w:fldCharType="begin">
                <w:ffData>
                  <w:name w:val=""/>
                  <w:enabled/>
                  <w:calcOnExit w:val="0"/>
                  <w:checkBox>
                    <w:size w:val="20"/>
                    <w:default w:val="1"/>
                    <w:checked w:val="1"/>
                  </w:checkBox>
                </w:ffData>
              </w:fldChar>
            </w:r>
            <w:r>
              <w:rPr>
                <w:rFonts w:ascii="Times New Roman" w:eastAsia="Times New Roman" w:hAnsi="Times New Roman" w:cs="Times New Roman"/>
                <w:b w:val="0"/>
                <w:i w:val="0"/>
                <w:vanish w:val="0"/>
                <w:color w:val="000000"/>
                <w:sz w:val="24"/>
              </w:rPr>
              <w:instrText xml:space="preserve"> FORMCHECKBOX </w:instrText>
            </w:r>
            <w:r>
              <w:rPr>
                <w:rFonts w:ascii="Times New Roman" w:eastAsia="Times New Roman" w:hAnsi="Times New Roman" w:cs="Times New Roman"/>
                <w:b w:val="0"/>
                <w:i w:val="0"/>
                <w:vanish w:val="0"/>
                <w:color w:val="000000"/>
                <w:sz w:val="24"/>
              </w:rPr>
              <w:fldChar w:fldCharType="end"/>
            </w:r>
            <w:r>
              <w:rPr>
                <w:rFonts w:ascii="Times New Roman" w:eastAsia="Times New Roman" w:hAnsi="Times New Roman" w:cs="Times New Roman"/>
                <w:b w:val="0"/>
                <w:i w:val="0"/>
                <w:vanish w:val="0"/>
                <w:color w:val="000000"/>
                <w:sz w:val="24"/>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TA.36(5). Tehnična pomoč – pavšalna stopnja (člen 36(5) uredbe o skupnih določbah)</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p>
        </w:tc>
      </w:tr>
      <w:tr>
        <w:tblPrEx>
          <w:tblW w:w="100%" w:type="pct"/>
        </w:tblPrEx>
        <w:trPr>
          <w:cantSplit w:val="0"/>
          <w:trHeight w:val="160"/>
          <w:tblHeader w:val="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fldChar w:fldCharType="begin">
                <w:ffData>
                  <w:name w:val=""/>
                  <w:enabled/>
                  <w:calcOnExit w:val="0"/>
                  <w:checkBox>
                    <w:size w:val="20"/>
                    <w:default w:val="0"/>
                    <w:checked w:val="0"/>
                  </w:checkBox>
                </w:ffData>
              </w:fldChar>
            </w:r>
            <w:r>
              <w:rPr>
                <w:rFonts w:ascii="Times New Roman" w:eastAsia="Times New Roman" w:hAnsi="Times New Roman" w:cs="Times New Roman"/>
                <w:b w:val="0"/>
                <w:i w:val="0"/>
                <w:vanish w:val="0"/>
                <w:color w:val="000000"/>
                <w:sz w:val="24"/>
              </w:rPr>
              <w:instrText xml:space="preserve"> FORMCHECKBOX </w:instrText>
            </w:r>
            <w:r>
              <w:rPr>
                <w:rFonts w:ascii="Times New Roman" w:eastAsia="Times New Roman" w:hAnsi="Times New Roman" w:cs="Times New Roman"/>
                <w:b w:val="0"/>
                <w:i w:val="0"/>
                <w:vanish w:val="0"/>
                <w:color w:val="000000"/>
                <w:sz w:val="24"/>
              </w:rPr>
              <w:fldChar w:fldCharType="end"/>
            </w:r>
            <w:r>
              <w:rPr>
                <w:rFonts w:ascii="Times New Roman" w:eastAsia="Times New Roman" w:hAnsi="Times New Roman" w:cs="Times New Roman"/>
                <w:b w:val="0"/>
                <w:i w:val="0"/>
                <w:vanish w:val="0"/>
                <w:color w:val="000000"/>
                <w:sz w:val="24"/>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TA.37. Tehnična pomoč – brez povezanih stroškov (člen 37 uredbe o skupnih določbah)</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p>
        </w:tc>
      </w:tr>
    </w:tbl>
    <w:p w:rsidR="00A77B3E">
      <w:pPr>
        <w:spacing w:before="100" w:after="0"/>
        <w:jc w:val="center"/>
        <w:rPr>
          <w:rFonts w:ascii="Times New Roman" w:eastAsia="Times New Roman" w:hAnsi="Times New Roman" w:cs="Times New Roman"/>
          <w:b w:val="0"/>
          <w:i w:val="0"/>
          <w:vanish w:val="0"/>
          <w:color w:val="000000"/>
          <w:sz w:val="24"/>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720" w:right="936" w:bottom="864" w:left="720" w:header="0" w:footer="72" w:gutter="0"/>
          <w:cols w:space="720"/>
          <w:noEndnote/>
          <w:docGrid w:linePitch="360"/>
        </w:sectPr>
      </w:pPr>
    </w:p>
    <w:p w:rsidR="00A77B3E">
      <w:pPr>
        <w:pStyle w:val="Heading2"/>
        <w:spacing w:before="100" w:after="0"/>
        <w:jc w:val="start"/>
        <w:rPr>
          <w:rFonts w:ascii="TimesNewRoman" w:eastAsia="TimesNewRoman" w:hAnsi="TimesNewRoman" w:cs="TimesNewRoman"/>
          <w:b w:val="0"/>
          <w:i w:val="0"/>
          <w:vanish w:val="0"/>
          <w:color w:val="000000"/>
          <w:sz w:val="24"/>
        </w:rPr>
      </w:pPr>
      <w:bookmarkStart w:id="2" w:name="_Toc256000048"/>
      <w:r>
        <w:rPr>
          <w:rFonts w:ascii="TimesNewRoman" w:eastAsia="TimesNewRoman" w:hAnsi="TimesNewRoman" w:cs="TimesNewRoman"/>
          <w:b w:val="0"/>
          <w:i w:val="0"/>
          <w:vanish w:val="0"/>
          <w:color w:val="000000"/>
          <w:sz w:val="24"/>
        </w:rPr>
        <w:t>2.1. Specifični cilj: 1. Evropsko integrirano upravljanje meja</w:t>
      </w:r>
      <w:bookmarkEnd w:id="2"/>
    </w:p>
    <w:p w:rsidR="00A77B3E">
      <w:pPr>
        <w:spacing w:before="100" w:after="0"/>
        <w:jc w:val="start"/>
        <w:rPr>
          <w:rFonts w:ascii="TimesNewRoman" w:eastAsia="TimesNewRoman" w:hAnsi="TimesNewRoman" w:cs="TimesNewRoman"/>
          <w:b w:val="0"/>
          <w:i w:val="0"/>
          <w:vanish w:val="0"/>
          <w:color w:val="000000"/>
          <w:sz w:val="0"/>
        </w:rPr>
      </w:pPr>
    </w:p>
    <w:p w:rsidR="00A77B3E">
      <w:pPr>
        <w:pStyle w:val="Heading3"/>
        <w:spacing w:before="100" w:after="0"/>
        <w:jc w:val="start"/>
        <w:rPr>
          <w:rFonts w:ascii="TimesNewRoman" w:eastAsia="TimesNewRoman" w:hAnsi="TimesNewRoman" w:cs="TimesNewRoman"/>
          <w:b w:val="0"/>
          <w:i w:val="0"/>
          <w:vanish w:val="0"/>
          <w:color w:val="000000"/>
          <w:sz w:val="24"/>
        </w:rPr>
      </w:pPr>
      <w:bookmarkStart w:id="3" w:name="_Toc256000049"/>
      <w:r>
        <w:rPr>
          <w:rFonts w:ascii="TimesNewRoman" w:eastAsia="TimesNewRoman" w:hAnsi="TimesNewRoman" w:cs="TimesNewRoman"/>
          <w:b w:val="0"/>
          <w:i w:val="0"/>
          <w:vanish w:val="0"/>
          <w:color w:val="000000"/>
          <w:sz w:val="24"/>
        </w:rPr>
        <w:t>2.1.1. Opis specifičnega cilja</w:t>
      </w:r>
      <w:bookmarkEnd w:id="3"/>
    </w:p>
    <w:p w:rsidR="00A77B3E">
      <w:pPr>
        <w:spacing w:before="100" w:after="0"/>
        <w:jc w:val="start"/>
        <w:rPr>
          <w:rFonts w:ascii="TimesNewRoman" w:eastAsia="TimesNewRoman" w:hAnsi="TimesNewRoman" w:cs="TimesNewRoman"/>
          <w:b w:val="0"/>
          <w:i w:val="0"/>
          <w:vanish w:val="0"/>
          <w:color w:val="000000"/>
          <w:sz w:val="0"/>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5.4pt" w:type="dxa"/>
          <w:end w:w="5.4pt" w:type="dxa"/>
        </w:tblCellMar>
      </w:tblPr>
      <w:tblGrid>
        <w:gridCol w:w="10240"/>
      </w:tblGrid>
      <w:tr>
        <w:tblPrEx>
          <w:tblW w:w="100%" w:type="pct"/>
          <w:tblLayout w:type="fixed"/>
        </w:tblPrEx>
        <w:trPr>
          <w:cantSplit w:val="0"/>
          <w:trHeight w:val="160"/>
          <w:tblHeader w:val="0"/>
        </w:trPr>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0"/>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Z dnem vstopa HR v schengensko območje se določene operacije, ki so bile prvotno predvidene za financiranje iz IUMV, ne izvajajo več. Posledično se skladno s 26. členom Uredbe (EU) 2021/1060 prerazporedi 5 % začetnih dodeljenih sredstev IUMV v program SNV. Ta verzija programa odraža le prerazporeditev sredstev, ne pa tudi ostalih sprememb operacij.</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Ukrepi Slovenije (SI) bodo v okviru SO1 še naprej osredotočeni na preprečevanje nedovoljenih prehodov meja, nezakonitega priseljevanja in čezmejnih kaznivih dejanj ter krepitev migracijskih tokov na način, da se olajša pretok potnikov prek MP in varuje prosto gibanje v schengenskem območju.</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Finančno podporo IUMV 2021-2027 bo SI uporabila za doseganje zastavljenih ciljev t.j. posodabljanje opreme za mejno kontrolo in varovanje meja. Načrt temelji tudi na priporočilih schengenske evalvacije, Frontexovi oceni »Vulnerability Assessment« za delovanje sistemov EU in opreme in daje prednost ukrepom za odpravo ugotovljenih pomanjkljivosti. Financiralo se bo nadaljnje aktivnosti iz pretekle finančne sheme ter odpravljalo na novo nastale izzive in vrzeli, vezane tudi na delovanje informacijskih sistemov EU (IS EU).</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Stanje EES/ETIAS: Zagotovili smo planirano IT opremo za varovanje kopenskih, zračnih in morskih mej, potrebno je dokončati razvoj aplikativnih rešitev, tudi pripravo Androidne rešitve za mobilne naprave ter izvesti predpisana testiranja. Načrtovana je zamenjava amortizirane IT opreme, vzdrževanje in optimizacija EES rešitev. Načrtovana je izdelava rešitve za ETIAS Watchlist in za dostop LEA do sistema ETIAS. Za delo nacionalne enote bo uporabljen ETIAS SW. Načrtovana je izvedba vseh predpisanih testiranj ter zamenjava amortizirane IT opreme.</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Ključni resor na področju evropskega integriranega upravljanja meja (IBM) je Ministrstvo za notranje zadeve, Policija. Sredstva dodeljena preko neposredne dodelitve (zakonske pristojnosti s področja) predstavljajo le del sredstev za uresničevanje zastavljenih ciljev. Drugi del bo zagotovljen iz nacionalnega proračuna SI, namenjen bo za plače zaposlenih, komplementarno opremo, IS (inf. sisteme) in posege v infrastrukturo.</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Znotraj spodaj navedenih izvedbenih ukrepov iz Priloge II (a(i), a(iii), d, e) se bo SI usmerila na področja podpore 1 (b, c, d g, l) iz Priloge III in točk 2, 4 in 12 iz Priloge IV.</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rezultati:</w:t>
            </w:r>
          </w:p>
          <w:p w:rsidR="00A77B3E">
            <w:pPr>
              <w:numPr>
                <w:ilvl w:val="0"/>
                <w:numId w:val="1"/>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Povečana zmožnost odkrivanja tihotapskega blaga, oseb, ki poizkušajo nedovoljeno vstopiti na schengensko ozemlje v dnevnem/nočnem času in zvišana mobilnost. Zagotovljena uporaba sodobne opreme, potrebne za uspešno odkrivanje in preprečevanje kaznivih dejanj in prekrškov, na področju varovanja meja.</w:t>
            </w:r>
          </w:p>
          <w:p w:rsidR="00A77B3E">
            <w:pPr>
              <w:numPr>
                <w:ilvl w:val="0"/>
                <w:numId w:val="1"/>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Primerno delovno okolje za policiste in nova analitičnima orodja za zagotovitev enostavnega podprtja dela operativnih enot na terenu.</w:t>
            </w:r>
          </w:p>
          <w:p w:rsidR="00A77B3E">
            <w:pPr>
              <w:numPr>
                <w:ilvl w:val="0"/>
                <w:numId w:val="1"/>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Sodobna oprema za zagotovitev neprekinjenega učinkovitega varovanja zunanje meje, združljivost z novimi IS EU, boljša interoperabilnost, nemoteno delovanje IS za uporabo SIS in učinkovitejše pridobivanje in analiza podatkov.</w:t>
            </w:r>
          </w:p>
          <w:p w:rsidR="00A77B3E">
            <w:pPr>
              <w:numPr>
                <w:ilvl w:val="0"/>
                <w:numId w:val="1"/>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Vzdrževanje in nujna zamenjava opreme za zagotavljanje funkcionalnosti na MP.</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1)  </w:t>
            </w:r>
            <w:r>
              <w:rPr>
                <w:rFonts w:ascii="TimesNewRoman" w:eastAsia="TimesNewRoman" w:hAnsi="TimesNewRoman" w:cs="TimesNewRoman"/>
                <w:b w:val="0"/>
                <w:i w:val="0"/>
                <w:vanish w:val="0"/>
                <w:color w:val="000000"/>
                <w:sz w:val="24"/>
                <w:u w:val="single"/>
              </w:rPr>
              <w:t>Izvedbeni ukrep 1a(i)</w:t>
            </w:r>
            <w:r>
              <w:rPr>
                <w:rFonts w:ascii="TimesNewRoman" w:eastAsia="TimesNewRoman" w:hAnsi="TimesNewRoman" w:cs="TimesNewRoman"/>
                <w:b w:val="0"/>
                <w:i w:val="0"/>
                <w:vanish w:val="0"/>
                <w:color w:val="000000"/>
                <w:sz w:val="24"/>
              </w:rPr>
              <w:t>:</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xml:space="preserve">Tehnična oprema za izvajanje kontrol na zunanjih mejah </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Kombinirana vozila</w:t>
            </w:r>
            <w:r>
              <w:rPr>
                <w:rFonts w:ascii="TimesNewRoman" w:eastAsia="TimesNewRoman" w:hAnsi="TimesNewRoman" w:cs="TimesNewRoman"/>
                <w:b w:val="0"/>
                <w:i w:val="0"/>
                <w:vanish w:val="0"/>
                <w:color w:val="000000"/>
                <w:sz w:val="24"/>
              </w:rPr>
              <w:t xml:space="preserve"> </w:t>
            </w:r>
            <w:r>
              <w:rPr>
                <w:rFonts w:ascii="TimesNewRoman" w:eastAsia="TimesNewRoman" w:hAnsi="TimesNewRoman" w:cs="TimesNewRoman"/>
                <w:b/>
                <w:bCs/>
                <w:i w:val="0"/>
                <w:vanish w:val="0"/>
                <w:color w:val="000000"/>
                <w:sz w:val="24"/>
              </w:rPr>
              <w:t xml:space="preserve">za prevoze policistov za izvajanje varovanja meje po ZSM </w:t>
            </w:r>
            <w:r>
              <w:rPr>
                <w:rFonts w:ascii="TimesNewRoman" w:eastAsia="TimesNewRoman" w:hAnsi="TimesNewRoman" w:cs="TimesNewRoman"/>
                <w:b w:val="0"/>
                <w:i w:val="0"/>
                <w:vanish w:val="0"/>
                <w:color w:val="000000"/>
                <w:sz w:val="24"/>
              </w:rPr>
              <w:t>so potrebna zaradi povečanega pritiska migrantov na zunanjo sch. mejo. Vozila v uporabi so starejša, nezanesljiva, z veliko prevoženih kilometrov, ker vzdrževanje ni smotrno je smiselna nadomestitev.</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Minibusi za prevoz nelegalnih migrantov:</w:t>
            </w:r>
            <w:r>
              <w:rPr>
                <w:rFonts w:ascii="TimesNewRoman" w:eastAsia="TimesNewRoman" w:hAnsi="TimesNewRoman" w:cs="TimesNewRoman"/>
                <w:b w:val="0"/>
                <w:i w:val="0"/>
                <w:vanish w:val="0"/>
                <w:color w:val="000000"/>
                <w:sz w:val="24"/>
              </w:rPr>
              <w:t xml:space="preserve"> Povečan pritisk nelegalnih migrantov na zunanjo sch. mejo zahteva prevoz zajetih na lokacije izvajanja policijskih postopkov po ZSM in bilateralnih sporazumih. Na tak način bo omogočen prevoza celotne skupine migrantov na lokacijo obravnave.</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Naprave za preverjanje pristnosti dokumentov</w:t>
            </w:r>
            <w:r>
              <w:rPr>
                <w:rFonts w:ascii="TimesNewRoman" w:eastAsia="TimesNewRoman" w:hAnsi="TimesNewRoman" w:cs="TimesNewRoman"/>
                <w:b w:val="0"/>
                <w:i w:val="0"/>
                <w:vanish w:val="0"/>
                <w:color w:val="000000"/>
                <w:sz w:val="24"/>
              </w:rPr>
              <w:t xml:space="preserve"> so nujne za opravljanje mejne kontrole, izvajanje tehničnih in operativnih ukrepov v sch. območju (ZSM in EES zakonodaji). Gre za sodobne (fiksne in prenosne) naprave za preverjanje pristnosti dokumentov, ki omogočajo povečave in osvetlitve pri preverjanju pristnosti dokumentov (skladno s Frontex standardi).</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Oprema</w:t>
            </w:r>
            <w:r>
              <w:rPr>
                <w:rFonts w:ascii="TimesNewRoman" w:eastAsia="TimesNewRoman" w:hAnsi="TimesNewRoman" w:cs="TimesNewRoman"/>
                <w:b w:val="0"/>
                <w:i w:val="0"/>
                <w:vanish w:val="0"/>
                <w:color w:val="000000"/>
                <w:sz w:val="24"/>
              </w:rPr>
              <w:t xml:space="preserve"> </w:t>
            </w:r>
            <w:r>
              <w:rPr>
                <w:rFonts w:ascii="TimesNewRoman" w:eastAsia="TimesNewRoman" w:hAnsi="TimesNewRoman" w:cs="TimesNewRoman"/>
                <w:b/>
                <w:bCs/>
                <w:i w:val="0"/>
                <w:vanish w:val="0"/>
                <w:color w:val="000000"/>
                <w:sz w:val="24"/>
              </w:rPr>
              <w:t xml:space="preserve">za tehnično varovanje zelene meje: </w:t>
            </w:r>
            <w:r>
              <w:rPr>
                <w:rFonts w:ascii="TimesNewRoman" w:eastAsia="TimesNewRoman" w:hAnsi="TimesNewRoman" w:cs="TimesNewRoman"/>
                <w:b w:val="0"/>
                <w:i w:val="0"/>
                <w:vanish w:val="0"/>
                <w:color w:val="000000"/>
                <w:sz w:val="24"/>
              </w:rPr>
              <w:t>Potrebna je vzpostavitev nadzora ilegalnih prehodov meje z senzorskim nadzorom (premična oprema) t.j. z optičnimi senzorji ustrezne tehnologije. Za delovanje je potrebna aktivna IKT oprema za obdelavo, analiziranje in prenos signalov v videonadzore centre, usposabljanje kadrov, uporabnikov in vzdrževanje. S tem bi olajšali izzive varovanja zunanje meje, sledili razvoju opreme ter ukrepom (ZSM).</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Helikopter: </w:t>
            </w:r>
            <w:r>
              <w:rPr>
                <w:rFonts w:ascii="TimesNewRoman" w:eastAsia="TimesNewRoman" w:hAnsi="TimesNewRoman" w:cs="TimesNewRoman"/>
                <w:b w:val="0"/>
                <w:i w:val="0"/>
                <w:vanish w:val="0"/>
                <w:color w:val="000000"/>
                <w:sz w:val="24"/>
              </w:rPr>
              <w:t>Za izvajanje mejne kontrole po ZSM je ključen helikopter. Naloge nadzora državne meje in tega območja se opravljajo s patruljno-izvidniškimi helikopterji na linijskih (državna meja) ali točkovnih ciljnih območjih (mejni prehodi, počivališča, zapore na cestah). Uporablja se videokamera z veliko povečavo, snemanje in prenos slike na daljavo. S to tehnologijo je helikopter izvidnik operativnega štaba ali kot operativni štab v zraku. Helikopter mora imeti sistem za nočno opazovanje, termovizijski senzor in iskalni reflektor za osvetljevanje območij iskanja ali označevanje ciljev zemeljskim ekipam.</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Investicijsko vzdrževanje sedanje flote ni smiselno, zaradi previsokih investicijskih vlaganj, zastarele tehnologije, visokih cen ter dolgih dobavnih rokov nadomestnih delov, razen EC135 in pogojno AW109E (zaradi starosti modifikacija ekonomsko ni upravičena). Le 2 helikopterja v celoti ustrezata potrebam policije (EC135, AW169). Za potrebe policije je potrebno zmanjšati stroške, povečati letalsko varnost in čim prej zagotoviti zamenjavo flote in nadgradnjo videonadzornega sistema.</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Za učinkovito izvajanje sch. priporočila bo nabavljen 1 patruljno izvidniški helikopter z opremo visokozmogljivih sistemov kamere za delo podnevi in ponoči, skladno s Frontex standardi ter financirana po ključu delitve (mejna problematika).</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xml:space="preserve">Čolni – pomorska plovila za varovanje meje: </w:t>
            </w:r>
            <w:r>
              <w:rPr>
                <w:rFonts w:ascii="TimesNewRoman" w:eastAsia="TimesNewRoman" w:hAnsi="TimesNewRoman" w:cs="TimesNewRoman"/>
                <w:b w:val="0"/>
                <w:i w:val="0"/>
                <w:vanish w:val="0"/>
                <w:color w:val="000000"/>
                <w:sz w:val="24"/>
              </w:rPr>
              <w:t>Policija je iz prejšnje perspektive kupila 2 plovili za izvajanje varovanja morske meje, katerih delovanje sta schengenska evalvacija in Frontexov »Vulnerability Assessment« ocenila kot primerno, v prihodnosti pa bo potrebna nadgradnja, posodobitev in obnova za izvajanje nalog po sch. standardih. V kolikor se bo nadgradnja izkazala za nesmotrno, zaradi iztrošenosti, ju bomo nadomestili.</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xml:space="preserve">Specialno opremljena vozila </w:t>
            </w:r>
            <w:r>
              <w:rPr>
                <w:rFonts w:ascii="TimesNewRoman" w:eastAsia="TimesNewRoman" w:hAnsi="TimesNewRoman" w:cs="TimesNewRoman"/>
                <w:b w:val="0"/>
                <w:i w:val="0"/>
                <w:vanish w:val="0"/>
                <w:color w:val="000000"/>
                <w:sz w:val="24"/>
              </w:rPr>
              <w:t>so potrebna</w:t>
            </w:r>
            <w:r>
              <w:rPr>
                <w:rFonts w:ascii="TimesNewRoman" w:eastAsia="TimesNewRoman" w:hAnsi="TimesNewRoman" w:cs="TimesNewRoman"/>
                <w:b/>
                <w:bCs/>
                <w:i w:val="0"/>
                <w:vanish w:val="0"/>
                <w:color w:val="000000"/>
                <w:sz w:val="24"/>
              </w:rPr>
              <w:t xml:space="preserve"> </w:t>
            </w:r>
            <w:r>
              <w:rPr>
                <w:rFonts w:ascii="TimesNewRoman" w:eastAsia="TimesNewRoman" w:hAnsi="TimesNewRoman" w:cs="TimesNewRoman"/>
                <w:b w:val="0"/>
                <w:i w:val="0"/>
                <w:vanish w:val="0"/>
                <w:color w:val="000000"/>
                <w:sz w:val="24"/>
              </w:rPr>
              <w:t>za opravljanje aktivnosti vezanih na mejno tematiko (namensko opremljena vozila za delo z brezpilotnimi zrakoplovi; za delo z brezpilotnimi zrakoplovi in delo z video sistemi na meji ter namensko opremljena kombinirana vozila za potrebe nadzora prometa z video sistemi).</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Vzpostavitev tehničnega nadzora mejnega območja</w:t>
            </w:r>
            <w:r>
              <w:rPr>
                <w:rFonts w:ascii="TimesNewRoman" w:eastAsia="TimesNewRoman" w:hAnsi="TimesNewRoman" w:cs="TimesNewRoman"/>
                <w:b w:val="0"/>
                <w:i w:val="0"/>
                <w:vanish w:val="0"/>
                <w:color w:val="000000"/>
                <w:sz w:val="24"/>
              </w:rPr>
              <w:t xml:space="preserve"> zahteva analitične kapacitete, za kar je nujna menjava videonadzornih sistemov na vseh MP (kamere, snemalniki in pripadajoča premična oprema). Cilj je vzpostavitev sodobne opreme za zagotavljanje neprekinjenega učinkovitega varovanja državne meje. Načrtovan je nakup dodatnih brezpilotnih zrakoplovov z ustrezno opremo za nadzor državne meje in z oskrbovalnimi sistemi za povečanje avtonomije, ki so se izkazali za koristne pri nadzoru manj dostopnega terena, odkrivanju, spremljanju in sledenju večjih skupin nelegalnih migrantov, ki prečkajo mejo. Ker jih uporabljajo tudi trgovci z migranti, mora SI Policija zagotoviti protidronsko obrambo. Potrebna je tudi specialna programska oprema za analitiko video posnetkov in usposobljeni operaterji.</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Za spremljanje mejnega območja, zunaj MP je potrebna namestitev več </w:t>
            </w:r>
            <w:r>
              <w:rPr>
                <w:rFonts w:ascii="TimesNewRoman" w:eastAsia="TimesNewRoman" w:hAnsi="TimesNewRoman" w:cs="TimesNewRoman"/>
                <w:b/>
                <w:bCs/>
                <w:i w:val="0"/>
                <w:vanish w:val="0"/>
                <w:color w:val="000000"/>
                <w:sz w:val="24"/>
              </w:rPr>
              <w:t>specialnih kamer</w:t>
            </w:r>
            <w:r>
              <w:rPr>
                <w:rFonts w:ascii="TimesNewRoman" w:eastAsia="TimesNewRoman" w:hAnsi="TimesNewRoman" w:cs="TimesNewRoman"/>
                <w:b w:val="0"/>
                <w:i w:val="0"/>
                <w:vanish w:val="0"/>
                <w:color w:val="000000"/>
                <w:sz w:val="24"/>
              </w:rPr>
              <w:t>. Ker je v pripravi spremembe zakonodaje bo omogočena tudi uporaba posebnih orodij.</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Zaščitna oprema za operativno delo mejnih policistov</w:t>
            </w:r>
            <w:r>
              <w:rPr>
                <w:rFonts w:ascii="TimesNewRoman" w:eastAsia="TimesNewRoman" w:hAnsi="TimesNewRoman" w:cs="TimesNewRoman"/>
                <w:b w:val="0"/>
                <w:i w:val="0"/>
                <w:vanish w:val="0"/>
                <w:color w:val="000000"/>
                <w:sz w:val="24"/>
              </w:rPr>
              <w:t>, ki se ukvarjajo z nelegalnimi migranti in tujci pri nadzoru njihovih osebnih stvari in varnostnem nadzoru.</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 (PR): učinkovito izvajanje kontrol na zunanjih mejah; boljša opremljenost, odzivnost in učinkovitost pri nadzoru zunanje meje.</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Mednarodni prostor za zavrnjene državljane tretjih držav</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Postaja letališke policije (PLP) Brnik je zadolžena za izvajanje mejne kontrole na zunanjih sch. mejah, kamor spada letališče Jožeta Pučnika, Ljubljana. Zavrnjene potnike - DTD, ki ne izpolnjujejo pogojev za vstop v sch. območje, se namesti v posebni prostor - Mednarodni prostor za zavrnjene tujce, kjer se jim nudi nadzor, prenočišče in prehrano.</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 zagotavljanje kakovostne namestitve in oskrbe zavrnjenih DTD (zagotavljanje varovanje človekovih pravic in njihovega dostojanstva).</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Zamenjava dotrajane opreme za MP</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Vključeni so MP na zunanji sch. meji s HR, kjer bo nujna zamenjava opreme omogočala normalne pogoje za delo policije (funkcionalnost objektov). To lahko obsega tudi zamenjavo dotrajanih kontrolnih kabin in zabojnikov, klimatskih in drugih naprav za hlajenje in ogrevanje prostorov, naprav za neprekinjeno napajanje in agregatov, delovnih postaj in monitorjev za nadzor prometa na MP, zamenjavo zapornic na MP, naprav za obveščanje in usmerjanje prometa na MP.</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 boljši pogoji za delo policije za varovanje meje.</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Napotitev uradnikov za zvezo za priseljevanje ter mejnih policistov v tretje države (90%)</w:t>
            </w:r>
            <w:r>
              <w:rPr>
                <w:rFonts w:ascii="TimesNewRoman" w:eastAsia="TimesNewRoman" w:hAnsi="TimesNewRoman" w:cs="TimesNewRoman"/>
                <w:b w:val="0"/>
                <w:i w:val="0"/>
                <w:vanish w:val="0"/>
                <w:color w:val="000000"/>
                <w:sz w:val="24"/>
              </w:rPr>
              <w:t>.</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Do leta 2024 bodo napotene 4 osebe na območje Zahodnega Balkana - v Bosno in Hercegovino, R. Srbijo, R. Severno Makedonijo in Črno goro, nato pa še 2 osebi v R. Albanijo in Kosovo. Mandat traja praviloma štiri leta, možno podaljšanje na 6 let. V okviru bilateralnega policijskega sodelovanja SI z R. Severno Makedonijo in R. Srbijo na področju preprečevanja nedovoljenih migracij, bo letno napotenih 8 skupin SI policistov (do 10 v skupini).</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u w:val="single"/>
              </w:rPr>
              <w:t xml:space="preserve">2) Izvedbeni </w:t>
            </w:r>
            <w:r>
              <w:rPr>
                <w:rFonts w:ascii="TimesNewRoman" w:eastAsia="TimesNewRoman" w:hAnsi="TimesNewRoman" w:cs="TimesNewRoman"/>
                <w:b w:val="0"/>
                <w:i w:val="0"/>
                <w:vanish w:val="0"/>
                <w:color w:val="000000"/>
                <w:sz w:val="24"/>
                <w:u w:val="single"/>
              </w:rPr>
              <w:t>ukrep 1a(iii)</w:t>
            </w:r>
            <w:r>
              <w:rPr>
                <w:rFonts w:ascii="TimesNewRoman" w:eastAsia="TimesNewRoman" w:hAnsi="TimesNewRoman" w:cs="TimesNewRoman"/>
                <w:b w:val="0"/>
                <w:i w:val="0"/>
                <w:vanish w:val="0"/>
                <w:color w:val="000000"/>
                <w:sz w:val="24"/>
              </w:rPr>
              <w:t>:</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xml:space="preserve">Analitični programi za izdelavo naprednih analiz tveganja </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Schengenska evalvacija in Frontexova ocena »Vulnerability Assessment« kažeta potrebo po izboljšanju sistema dela in usposobljenosti na področju priprav analiz tveganja. Z nakupom posebnih specialnih programskih orodij bo olajšano delo in izboljšana kakovost analiz tveganj. Policija uporablja programsko opremo, ki omogoča pridobivanje različnih podatkov o plovilih in njihovih poteh.</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 nabava analitičnih programov za izdelavo naprednih analiz tveganja.</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xml:space="preserve">Izboljšanje analitskih zmogljivosti za naprednejša ocenjevanja tveganj v smeri "hot spot" analiz in odkrivanja zapletenih povezav v podatkih: </w:t>
            </w:r>
            <w:r>
              <w:rPr>
                <w:rFonts w:ascii="TimesNewRoman" w:eastAsia="TimesNewRoman" w:hAnsi="TimesNewRoman" w:cs="TimesNewRoman"/>
                <w:b w:val="0"/>
                <w:i w:val="0"/>
                <w:vanish w:val="0"/>
                <w:color w:val="000000"/>
                <w:sz w:val="24"/>
              </w:rPr>
              <w:t>Za</w:t>
            </w:r>
            <w:r>
              <w:rPr>
                <w:rFonts w:ascii="TimesNewRoman" w:eastAsia="TimesNewRoman" w:hAnsi="TimesNewRoman" w:cs="TimesNewRoman"/>
                <w:b/>
                <w:bCs/>
                <w:i w:val="0"/>
                <w:vanish w:val="0"/>
                <w:color w:val="000000"/>
                <w:sz w:val="24"/>
              </w:rPr>
              <w:t xml:space="preserve"> </w:t>
            </w:r>
            <w:r>
              <w:rPr>
                <w:rFonts w:ascii="TimesNewRoman" w:eastAsia="TimesNewRoman" w:hAnsi="TimesNewRoman" w:cs="TimesNewRoman"/>
                <w:b w:val="0"/>
                <w:i w:val="0"/>
                <w:vanish w:val="0"/>
                <w:color w:val="000000"/>
                <w:sz w:val="24"/>
              </w:rPr>
              <w:t>učinkovitejše pridobivanje in analizo podatkov za ocenjevanje situacij, izvajanje ukrepov in proaktivno delovanje je predvidena vzpostavitev analitike in Geografskega informacijskega sistema (GIS) za mejo, dodatne licence za GIS in Power BI, avtomatska izmenjava podatkov z zunanjimi organizacijami, geografske podlage ter vzdrževanje mobilne rešitve za vnos podatkov na terenu.</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3) </w:t>
            </w:r>
            <w:r>
              <w:rPr>
                <w:rFonts w:ascii="TimesNewRoman" w:eastAsia="TimesNewRoman" w:hAnsi="TimesNewRoman" w:cs="TimesNewRoman"/>
                <w:b w:val="0"/>
                <w:i w:val="0"/>
                <w:vanish w:val="0"/>
                <w:color w:val="000000"/>
                <w:sz w:val="24"/>
                <w:u w:val="single"/>
              </w:rPr>
              <w:t>Izvedbeni ukrep 1d</w:t>
            </w:r>
            <w:r>
              <w:rPr>
                <w:rFonts w:ascii="TimesNewRoman" w:eastAsia="TimesNewRoman" w:hAnsi="TimesNewRoman" w:cs="TimesNewRoman"/>
                <w:b w:val="0"/>
                <w:i w:val="0"/>
                <w:vanish w:val="0"/>
                <w:color w:val="000000"/>
                <w:sz w:val="24"/>
              </w:rPr>
              <w:t>:</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xml:space="preserve">Tehnična oprema za varovanje kopenske meje in nadzor meje </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Priporočila </w:t>
            </w:r>
            <w:r>
              <w:rPr>
                <w:rFonts w:ascii="TimesNewRoman" w:eastAsia="TimesNewRoman" w:hAnsi="TimesNewRoman" w:cs="TimesNewRoman"/>
                <w:b w:val="0"/>
                <w:i w:val="0"/>
                <w:vanish w:val="0"/>
                <w:color w:val="000000"/>
                <w:sz w:val="24"/>
                <w:u w:val="single"/>
              </w:rPr>
              <w:t>Frontexova ocena »Vulnerability Assessment« iz 2020 ter schengenske evalvacije SCHEVAL 2019</w:t>
            </w:r>
            <w:r>
              <w:rPr>
                <w:rFonts w:ascii="TimesNewRoman" w:eastAsia="TimesNewRoman" w:hAnsi="TimesNewRoman" w:cs="TimesNewRoman"/>
                <w:b w:val="0"/>
                <w:i w:val="0"/>
                <w:vanish w:val="0"/>
                <w:color w:val="000000"/>
                <w:sz w:val="24"/>
              </w:rPr>
              <w:t xml:space="preserve"> kažejo na zastarelo opremo, pomanjkanje in izboljšave opreme za varovanje kopenske meje, zato so načrtovane spodaj navedene aktivnosti:</w:t>
            </w:r>
          </w:p>
          <w:p w:rsidR="00A77B3E">
            <w:pPr>
              <w:numPr>
                <w:ilvl w:val="0"/>
                <w:numId w:val="2"/>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Nabava </w:t>
            </w:r>
            <w:r>
              <w:rPr>
                <w:rFonts w:ascii="TimesNewRoman" w:eastAsia="TimesNewRoman" w:hAnsi="TimesNewRoman" w:cs="TimesNewRoman"/>
                <w:b/>
                <w:bCs/>
                <w:i w:val="0"/>
                <w:vanish w:val="0"/>
                <w:color w:val="000000"/>
                <w:sz w:val="24"/>
              </w:rPr>
              <w:t>ročnih in mobilnih termovizij</w:t>
            </w:r>
            <w:r>
              <w:rPr>
                <w:rFonts w:ascii="TimesNewRoman" w:eastAsia="TimesNewRoman" w:hAnsi="TimesNewRoman" w:cs="TimesNewRoman"/>
                <w:b w:val="0"/>
                <w:i w:val="0"/>
                <w:vanish w:val="0"/>
                <w:color w:val="000000"/>
                <w:sz w:val="24"/>
              </w:rPr>
              <w:t>. Policija ima v uporabi 9 mobilnih, 32 ročnih termovizij in 106 žepnih termovizijskih naprav.</w:t>
            </w:r>
          </w:p>
          <w:p w:rsidR="00A77B3E">
            <w:pPr>
              <w:numPr>
                <w:ilvl w:val="0"/>
                <w:numId w:val="2"/>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Zamenjava iztrošenih </w:t>
            </w:r>
            <w:r>
              <w:rPr>
                <w:rFonts w:ascii="TimesNewRoman" w:eastAsia="TimesNewRoman" w:hAnsi="TimesNewRoman" w:cs="TimesNewRoman"/>
                <w:b/>
                <w:bCs/>
                <w:i w:val="0"/>
                <w:vanish w:val="0"/>
                <w:color w:val="000000"/>
                <w:sz w:val="24"/>
              </w:rPr>
              <w:t>prevoznih sredstev za nadzor kopenske meje in mejno kontrolo,</w:t>
            </w:r>
            <w:r>
              <w:rPr>
                <w:rFonts w:ascii="TimesNewRoman" w:eastAsia="TimesNewRoman" w:hAnsi="TimesNewRoman" w:cs="TimesNewRoman"/>
                <w:b w:val="0"/>
                <w:i w:val="0"/>
                <w:vanish w:val="0"/>
                <w:color w:val="000000"/>
                <w:sz w:val="24"/>
              </w:rPr>
              <w:t xml:space="preserve"> nominacija patruljnih vozil v Frontex TEP ter nakup patruljnih vozil za napotene mejne policiste v tretje države.</w:t>
            </w:r>
          </w:p>
          <w:p w:rsidR="00A77B3E">
            <w:pPr>
              <w:numPr>
                <w:ilvl w:val="0"/>
                <w:numId w:val="2"/>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Detektorji CO2 in srčnega utripa za odkrivanje oseb, skritih v vozilih</w:t>
            </w:r>
            <w:r>
              <w:rPr>
                <w:rFonts w:ascii="TimesNewRoman" w:eastAsia="TimesNewRoman" w:hAnsi="TimesNewRoman" w:cs="TimesNewRoman"/>
                <w:b w:val="0"/>
                <w:i w:val="0"/>
                <w:vanish w:val="0"/>
                <w:color w:val="000000"/>
                <w:sz w:val="24"/>
              </w:rPr>
              <w:t xml:space="preserve"> kot nadgradnja obstoječe opreme.</w:t>
            </w:r>
          </w:p>
          <w:p w:rsidR="00A77B3E">
            <w:pPr>
              <w:numPr>
                <w:ilvl w:val="0"/>
                <w:numId w:val="2"/>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Pridobitev dodatnih </w:t>
            </w:r>
            <w:r>
              <w:rPr>
                <w:rFonts w:ascii="TimesNewRoman" w:eastAsia="TimesNewRoman" w:hAnsi="TimesNewRoman" w:cs="TimesNewRoman"/>
                <w:b/>
                <w:bCs/>
                <w:i w:val="0"/>
                <w:vanish w:val="0"/>
                <w:color w:val="000000"/>
                <w:sz w:val="24"/>
              </w:rPr>
              <w:t>službenih živali za nadzor in varovanje meje</w:t>
            </w:r>
            <w:r>
              <w:rPr>
                <w:rFonts w:ascii="TimesNewRoman" w:eastAsia="TimesNewRoman" w:hAnsi="TimesNewRoman" w:cs="TimesNewRoman"/>
                <w:b w:val="0"/>
                <w:i w:val="0"/>
                <w:vanish w:val="0"/>
                <w:color w:val="000000"/>
                <w:sz w:val="24"/>
              </w:rPr>
              <w:t>.</w:t>
            </w:r>
          </w:p>
          <w:p w:rsidR="00A77B3E">
            <w:pPr>
              <w:numPr>
                <w:ilvl w:val="0"/>
                <w:numId w:val="2"/>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Nabava kakovostne </w:t>
            </w:r>
            <w:r>
              <w:rPr>
                <w:rFonts w:ascii="TimesNewRoman" w:eastAsia="TimesNewRoman" w:hAnsi="TimesNewRoman" w:cs="TimesNewRoman"/>
                <w:b/>
                <w:bCs/>
                <w:i w:val="0"/>
                <w:vanish w:val="0"/>
                <w:color w:val="000000"/>
                <w:sz w:val="24"/>
              </w:rPr>
              <w:t>opreme za nočno opazovanje/nadzor</w:t>
            </w:r>
            <w:r>
              <w:rPr>
                <w:rFonts w:ascii="TimesNewRoman" w:eastAsia="TimesNewRoman" w:hAnsi="TimesNewRoman" w:cs="TimesNewRoman"/>
                <w:b w:val="0"/>
                <w:i w:val="0"/>
                <w:vanish w:val="0"/>
                <w:color w:val="000000"/>
                <w:sz w:val="24"/>
              </w:rPr>
              <w:t>.</w:t>
            </w:r>
          </w:p>
          <w:p w:rsidR="00A77B3E">
            <w:pPr>
              <w:numPr>
                <w:ilvl w:val="0"/>
                <w:numId w:val="2"/>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Obstoječ sistem varovanja t.j. </w:t>
            </w:r>
            <w:r>
              <w:rPr>
                <w:rFonts w:ascii="TimesNewRoman" w:eastAsia="TimesNewRoman" w:hAnsi="TimesNewRoman" w:cs="TimesNewRoman"/>
                <w:b/>
                <w:bCs/>
                <w:i w:val="0"/>
                <w:vanish w:val="0"/>
                <w:color w:val="000000"/>
                <w:sz w:val="24"/>
              </w:rPr>
              <w:t>radarski sistem s kamerami</w:t>
            </w:r>
            <w:r>
              <w:rPr>
                <w:rFonts w:ascii="TimesNewRoman" w:eastAsia="TimesNewRoman" w:hAnsi="TimesNewRoman" w:cs="TimesNewRoman"/>
                <w:b w:val="0"/>
                <w:i w:val="0"/>
                <w:vanish w:val="0"/>
                <w:color w:val="000000"/>
                <w:sz w:val="24"/>
              </w:rPr>
              <w:t xml:space="preserve"> je primeren, v prihodnosti pa bo potrebno poskrbeti za nadgradnjo in nadaljnjo operativnost sistema, v skladu z razvojem tehnologije, da bo omogočena izmenjava situacijske slike s sosednjimi državami.</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xml:space="preserve">Eurosur: </w:t>
            </w:r>
            <w:r>
              <w:rPr>
                <w:rFonts w:ascii="TimesNewRoman" w:eastAsia="TimesNewRoman" w:hAnsi="TimesNewRoman" w:cs="TimesNewRoman"/>
                <w:b w:val="0"/>
                <w:i w:val="0"/>
                <w:vanish w:val="0"/>
                <w:color w:val="000000"/>
                <w:sz w:val="24"/>
              </w:rPr>
              <w:t>Investicije v pomorsko opremo in celovit sistem EUROSUR za avtomatizirano izmenjavo podatkov in prilagoditev za obravnavo tajnih podatkov s stopnjo CONFIDENTIAL so nujne za vzpostavitev sistema do predvidoma 2025, skladno z Uredbo o evropski mejni in obalni straži EBCG (2019/1896) ter Uredbo EU 2021/581. SI trenutno izvaja NCC samo na morski meji, za poročanje je odgovorna pomorska policija. Obstoječi informacijski tokovi, skladni z izmenjavo zaupnih informacij, še niso vzpostavljeni, SI še ni zaznala nobene nevarnosti.</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Stroški sodelovanja ekspertov pri izvedbi schengenskih evalvacij</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SI bo uporabila fin. IUMV za stroške sodelovanja ekspertov pri izvedbi schengenskih evalvacijah.</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Priporočila schengenske evalvacije in ocene ranljivosti v obdobju 2021-2029</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w:t>
            </w:r>
            <w:r>
              <w:rPr>
                <w:rFonts w:ascii="TimesNewRoman" w:eastAsia="TimesNewRoman" w:hAnsi="TimesNewRoman" w:cs="TimesNewRoman"/>
                <w:b w:val="0"/>
                <w:i w:val="0"/>
                <w:vanish w:val="0"/>
                <w:color w:val="000000"/>
                <w:sz w:val="24"/>
              </w:rPr>
              <w:t>SI bo uporabila fin. IUMV za zagotavljanje enotnega pravnega reda EU in za vključitev ukrepov za podporo akcijskemu načrtu/izvajanju priporočil sch. evalvacije izdanih v obdobju 2021-2029.</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u w:val="single"/>
              </w:rPr>
              <w:t>4) Izvedbeni ukrep 1e</w:t>
            </w:r>
            <w:r>
              <w:rPr>
                <w:rFonts w:ascii="TimesNewRoman" w:eastAsia="TimesNewRoman" w:hAnsi="TimesNewRoman" w:cs="TimesNewRoman"/>
                <w:b w:val="0"/>
                <w:i w:val="0"/>
                <w:vanish w:val="0"/>
                <w:color w:val="000000"/>
                <w:sz w:val="24"/>
              </w:rPr>
              <w:t>:</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xml:space="preserve">Obsežni informacijski sistemi in interoperabilnost </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xml:space="preserve">IKT oprema za izvajanje tehničnih in operativnih ukrepov na meji, mejne kontrole (za obsežne IS in interoperabilnost): </w:t>
            </w:r>
            <w:r>
              <w:rPr>
                <w:rFonts w:ascii="TimesNewRoman" w:eastAsia="TimesNewRoman" w:hAnsi="TimesNewRoman" w:cs="TimesNewRoman"/>
                <w:b w:val="0"/>
                <w:i w:val="0"/>
                <w:vanish w:val="0"/>
                <w:color w:val="000000"/>
                <w:sz w:val="24"/>
              </w:rPr>
              <w:t>Skladno z ZSM in Uredbo EES za združljivost obstoječih in novih velikih IS EU, mora SI Policija posodobiti, nadgraditi in zamenjati opremo in programsko opremo za izvajanje ukrepov na meji: računalniki, zasloni, kamere, biometrične knjižnice, OCR prepoznava, obrazna prepoznava, oprema za omogočanje fiksnega govornega povezovanja/klicev, enote, omrežni sistemi in druge naprave - LAN stikala, usmerjevalniki, zaščitna in kriptografska oprema, IKT oprema za mobilno preverjanje in licence MDM za upravljanje z mobilnimi napravami za izvajanje mejne kontrole ter oprema za zajem podatkov (fotografija, prstni odtisi).</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xml:space="preserve">Uporaba nacionalnega SIS II sistema: </w:t>
            </w:r>
            <w:r>
              <w:rPr>
                <w:rFonts w:ascii="TimesNewRoman" w:eastAsia="TimesNewRoman" w:hAnsi="TimesNewRoman" w:cs="TimesNewRoman"/>
                <w:b w:val="0"/>
                <w:i w:val="0"/>
                <w:vanish w:val="0"/>
                <w:color w:val="000000"/>
                <w:sz w:val="24"/>
              </w:rPr>
              <w:t>Za zagotovitev nemoteno delovanje SIS je potrebno financiranje najema licenc centralnega računalniškega sistema (centralni računalnik, diskovni sistemi tračne knjižnice) po ključu delitve (cca 20%).</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xml:space="preserve">Razvoj in nacionalna implementacija EU operacij v sklopu interoperabilnosti: </w:t>
            </w:r>
            <w:r>
              <w:rPr>
                <w:rFonts w:ascii="TimesNewRoman" w:eastAsia="TimesNewRoman" w:hAnsi="TimesNewRoman" w:cs="TimesNewRoman"/>
                <w:b w:val="0"/>
                <w:i w:val="0"/>
                <w:vanish w:val="0"/>
                <w:color w:val="000000"/>
                <w:sz w:val="24"/>
              </w:rPr>
              <w:t>V sklopu interoperabilnosti bo potrebno vzpostaviti oz. prenoviti več komponent:</w:t>
            </w:r>
          </w:p>
          <w:p w:rsidR="00A77B3E">
            <w:pPr>
              <w:numPr>
                <w:ilvl w:val="0"/>
                <w:numId w:val="3"/>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Celovit </w:t>
            </w:r>
            <w:r>
              <w:rPr>
                <w:rFonts w:ascii="TimesNewRoman" w:eastAsia="TimesNewRoman" w:hAnsi="TimesNewRoman" w:cs="TimesNewRoman"/>
                <w:b/>
                <w:bCs/>
                <w:i w:val="0"/>
                <w:vanish w:val="0"/>
                <w:color w:val="000000"/>
                <w:sz w:val="24"/>
              </w:rPr>
              <w:t>IS za ilegalne migracije</w:t>
            </w:r>
            <w:r>
              <w:rPr>
                <w:rFonts w:ascii="TimesNewRoman" w:eastAsia="TimesNewRoman" w:hAnsi="TimesNewRoman" w:cs="TimesNewRoman"/>
                <w:b w:val="0"/>
                <w:i w:val="0"/>
                <w:vanish w:val="0"/>
                <w:color w:val="000000"/>
                <w:sz w:val="24"/>
              </w:rPr>
              <w:t>, ki bo povezoval registracijo, zavrnitve, namestitve.</w:t>
            </w:r>
          </w:p>
          <w:p w:rsidR="00A77B3E">
            <w:pPr>
              <w:numPr>
                <w:ilvl w:val="0"/>
                <w:numId w:val="3"/>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Izdelan iskalni portal Policije</w:t>
            </w:r>
            <w:r>
              <w:rPr>
                <w:rFonts w:ascii="TimesNewRoman" w:eastAsia="TimesNewRoman" w:hAnsi="TimesNewRoman" w:cs="TimesNewRoman"/>
                <w:b w:val="0"/>
                <w:i w:val="0"/>
                <w:vanish w:val="0"/>
                <w:color w:val="000000"/>
                <w:sz w:val="24"/>
              </w:rPr>
              <w:t xml:space="preserve">, ki bo omogočal dostop do centralnih EU IS in interoperabilnostnih komponent </w:t>
            </w:r>
            <w:r>
              <w:rPr>
                <w:rFonts w:ascii="TimesNewRoman" w:eastAsia="TimesNewRoman" w:hAnsi="TimesNewRoman" w:cs="TimesNewRoman"/>
                <w:b/>
                <w:bCs/>
                <w:i w:val="0"/>
                <w:vanish w:val="0"/>
                <w:color w:val="000000"/>
                <w:sz w:val="24"/>
              </w:rPr>
              <w:t>(fin. 90%)</w:t>
            </w:r>
            <w:r>
              <w:rPr>
                <w:rFonts w:ascii="TimesNewRoman" w:eastAsia="TimesNewRoman" w:hAnsi="TimesNewRoman" w:cs="TimesNewRoman"/>
                <w:b w:val="0"/>
                <w:i w:val="0"/>
                <w:vanish w:val="0"/>
                <w:color w:val="000000"/>
                <w:sz w:val="24"/>
              </w:rPr>
              <w:t>.</w:t>
            </w:r>
          </w:p>
          <w:p w:rsidR="00A77B3E">
            <w:pPr>
              <w:numPr>
                <w:ilvl w:val="0"/>
                <w:numId w:val="3"/>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SI bo skladno z EES zakonodajo prilagodila sistem policije za izmenjavo podatkov s centralnim </w:t>
            </w:r>
            <w:r>
              <w:rPr>
                <w:rFonts w:ascii="TimesNewRoman" w:eastAsia="TimesNewRoman" w:hAnsi="TimesNewRoman" w:cs="TimesNewRoman"/>
                <w:b/>
                <w:bCs/>
                <w:i w:val="0"/>
                <w:vanish w:val="0"/>
                <w:color w:val="000000"/>
                <w:sz w:val="24"/>
              </w:rPr>
              <w:t xml:space="preserve">EES </w:t>
            </w:r>
            <w:r>
              <w:rPr>
                <w:rFonts w:ascii="TimesNewRoman" w:eastAsia="TimesNewRoman" w:hAnsi="TimesNewRoman" w:cs="TimesNewRoman"/>
                <w:b w:val="0"/>
                <w:i w:val="0"/>
                <w:vanish w:val="0"/>
                <w:color w:val="000000"/>
                <w:sz w:val="24"/>
              </w:rPr>
              <w:t>sistemom.</w:t>
            </w:r>
          </w:p>
          <w:p w:rsidR="00A77B3E">
            <w:pPr>
              <w:numPr>
                <w:ilvl w:val="0"/>
                <w:numId w:val="3"/>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Po sprejeti </w:t>
            </w:r>
            <w:r>
              <w:rPr>
                <w:rFonts w:ascii="TimesNewRoman" w:eastAsia="TimesNewRoman" w:hAnsi="TimesNewRoman" w:cs="TimesNewRoman"/>
                <w:b/>
                <w:bCs/>
                <w:i w:val="0"/>
                <w:vanish w:val="0"/>
                <w:color w:val="000000"/>
                <w:sz w:val="24"/>
              </w:rPr>
              <w:t>SIS-Recast</w:t>
            </w:r>
            <w:r>
              <w:rPr>
                <w:rFonts w:ascii="TimesNewRoman" w:eastAsia="TimesNewRoman" w:hAnsi="TimesNewRoman" w:cs="TimesNewRoman"/>
                <w:b w:val="0"/>
                <w:i w:val="0"/>
                <w:vanish w:val="0"/>
                <w:color w:val="000000"/>
                <w:sz w:val="24"/>
              </w:rPr>
              <w:t xml:space="preserve"> zakonodaji bo prilagojen sistem za izmenjavo podatkov s centralnim SIS II sistemom.</w:t>
            </w:r>
          </w:p>
          <w:p w:rsidR="00A77B3E">
            <w:pPr>
              <w:numPr>
                <w:ilvl w:val="0"/>
                <w:numId w:val="3"/>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V tem sklopu je predvideno tudi vzdrževanje in nadgradnja rešitve </w:t>
            </w:r>
            <w:r>
              <w:rPr>
                <w:rFonts w:ascii="TimesNewRoman" w:eastAsia="TimesNewRoman" w:hAnsi="TimesNewRoman" w:cs="TimesNewRoman"/>
                <w:b/>
                <w:bCs/>
                <w:i w:val="0"/>
                <w:vanish w:val="0"/>
                <w:color w:val="000000"/>
                <w:sz w:val="24"/>
              </w:rPr>
              <w:t>API</w:t>
            </w:r>
            <w:r>
              <w:rPr>
                <w:rFonts w:ascii="TimesNewRoman" w:eastAsia="TimesNewRoman" w:hAnsi="TimesNewRoman" w:cs="TimesNewRoman"/>
                <w:b w:val="0"/>
                <w:i w:val="0"/>
                <w:vanish w:val="0"/>
                <w:color w:val="000000"/>
                <w:sz w:val="24"/>
              </w:rPr>
              <w:t>.</w:t>
            </w:r>
          </w:p>
          <w:p w:rsidR="00A77B3E">
            <w:pPr>
              <w:numPr>
                <w:ilvl w:val="0"/>
                <w:numId w:val="3"/>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S ciljem varne obdelave tajnih podatkov bo SI prenovila IS za </w:t>
            </w:r>
            <w:r>
              <w:rPr>
                <w:rFonts w:ascii="TimesNewRoman" w:eastAsia="TimesNewRoman" w:hAnsi="TimesNewRoman" w:cs="TimesNewRoman"/>
                <w:b/>
                <w:bCs/>
                <w:i w:val="0"/>
                <w:vanish w:val="0"/>
                <w:color w:val="000000"/>
                <w:sz w:val="24"/>
              </w:rPr>
              <w:t>elektronsko obdelavo tajnih podatkov</w:t>
            </w:r>
            <w:r>
              <w:rPr>
                <w:rFonts w:ascii="TimesNewRoman" w:eastAsia="TimesNewRoman" w:hAnsi="TimesNewRoman" w:cs="TimesNewRoman"/>
                <w:b w:val="0"/>
                <w:i w:val="0"/>
                <w:vanish w:val="0"/>
                <w:color w:val="000000"/>
                <w:sz w:val="24"/>
              </w:rPr>
              <w:t>.</w:t>
            </w:r>
          </w:p>
          <w:p w:rsidR="00A77B3E">
            <w:pPr>
              <w:numPr>
                <w:ilvl w:val="0"/>
                <w:numId w:val="3"/>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Pripravili bomo tudi rešitve za uveljavljanje pravic posameznikov iz naslova varstva osebnih podatkov.</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xml:space="preserve">ETIAS: </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Po ETIAS zakonodaji bo prilagojen sistem za izmenjavo podatkov s centralnim </w:t>
            </w:r>
            <w:r>
              <w:rPr>
                <w:rFonts w:ascii="TimesNewRoman" w:eastAsia="TimesNewRoman" w:hAnsi="TimesNewRoman" w:cs="TimesNewRoman"/>
                <w:b/>
                <w:bCs/>
                <w:i w:val="0"/>
                <w:vanish w:val="0"/>
                <w:color w:val="000000"/>
                <w:sz w:val="24"/>
              </w:rPr>
              <w:t xml:space="preserve">ETIAS sistemom </w:t>
            </w:r>
            <w:r>
              <w:rPr>
                <w:rFonts w:ascii="TimesNewRoman" w:eastAsia="TimesNewRoman" w:hAnsi="TimesNewRoman" w:cs="TimesNewRoman"/>
                <w:b w:val="0"/>
                <w:i w:val="0"/>
                <w:vanish w:val="0"/>
                <w:color w:val="000000"/>
                <w:sz w:val="24"/>
              </w:rPr>
              <w:t>(100 % - 85 (3) člen Uredbe 2018/1240) ter kriti bodo stroški operaterjev Centralne enote ETIAS (ENU) za obravnavo zadetkov v sistemu in nadgradnja in vzdrževanje vzpostavljenih IT rešitev (100 % - 85 (2) člen Uredbe 2018/1240).</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Izdelana bo aplikacija za dostop Policije do EES in ETIAS ter aplikacija za ETIAS listo nadzorovanih oseb (ETIAS WL) (75 % - 85 (1) člen Uredbe 2018/1240).</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Izvedena bodo usposabljanja (npr. postopki zaprosil, operativno znanje za preverjanje prošenj, sodelovanje z ETIAS centralno enoto, ki je stacionirana na Frontexu, Europolom, Interpolom in SIS bazami), študijski obiski za izmenjavo dobrih praks in različni delovni sestanki.</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xml:space="preserve">Posodobitev aplikacij za izmenjavo podatkov: </w:t>
            </w:r>
            <w:r>
              <w:rPr>
                <w:rFonts w:ascii="TimesNewRoman" w:eastAsia="TimesNewRoman" w:hAnsi="TimesNewRoman" w:cs="TimesNewRoman"/>
                <w:b w:val="0"/>
                <w:i w:val="0"/>
                <w:vanish w:val="0"/>
                <w:color w:val="000000"/>
                <w:sz w:val="24"/>
              </w:rPr>
              <w:t>poštne aplikacije za EUROPOL, INTERPOL in SIRENE so zastarele, zato bodo razvite nove.</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xml:space="preserve">PKI infrastruktura - pasivna avtentikacija, terminalska avtentikacija </w:t>
            </w:r>
            <w:r>
              <w:rPr>
                <w:rFonts w:ascii="TimesNewRoman" w:eastAsia="TimesNewRoman" w:hAnsi="TimesNewRoman" w:cs="TimesNewRoman"/>
                <w:b w:val="0"/>
                <w:i w:val="0"/>
                <w:vanish w:val="0"/>
                <w:color w:val="000000"/>
                <w:sz w:val="24"/>
              </w:rPr>
              <w:t>je potrebna za izvajanje popolne mejne kontrole vključno s pasivno in terminalsko avtentikacijo ter možnostjo dostopov do prstnih odtisov na e-potovalnih listinah.</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5) </w:t>
            </w:r>
            <w:r>
              <w:rPr>
                <w:rFonts w:ascii="TimesNewRoman" w:eastAsia="TimesNewRoman" w:hAnsi="TimesNewRoman" w:cs="TimesNewRoman"/>
                <w:b w:val="0"/>
                <w:i w:val="0"/>
                <w:vanish w:val="0"/>
                <w:color w:val="000000"/>
                <w:sz w:val="24"/>
                <w:u w:val="single"/>
              </w:rPr>
              <w:t>Operativna podpora</w:t>
            </w:r>
            <w:r>
              <w:rPr>
                <w:rFonts w:ascii="TimesNewRoman" w:eastAsia="TimesNewRoman" w:hAnsi="TimesNewRoman" w:cs="TimesNewRoman"/>
                <w:b w:val="0"/>
                <w:i w:val="0"/>
                <w:vanish w:val="0"/>
                <w:color w:val="000000"/>
                <w:sz w:val="24"/>
              </w:rPr>
              <w:t>:</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V okviru SO1 bo operativna podpora usmerjena na spodaj opisane aktivnosti, ki so v pristojnosti Policije in MNZ (Zakon o državni upravi, Zakon o nalogah in pooblastilih policije, Zakon o nadzoru državne meje).</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Vzdrževanje MP</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V vzdrževanje so vključeni MP na zunanji sch. meji s HR, kjer bo investicijsko vzdrževanje objektov izboljšalo pogoje za delo mejnih policistov - ohranjena funkcionalnost.</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Vzdrževanje posebne namenske tehnične opreme videonadzorne in IKT opreme</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 nadzoru meje se uporablja širok nabor tehnične opreme, ki jo je potrebno vzdrževati za zagotovitev popolnega in neprekinjenega delovanja:</w:t>
            </w:r>
          </w:p>
          <w:p w:rsidR="00A77B3E">
            <w:pPr>
              <w:numPr>
                <w:ilvl w:val="0"/>
                <w:numId w:val="4"/>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Brezpilotni letalniki, specialna oprema v vozilih za tehnično podporo enotam, pomorski radarski sistem in termovizijski sistemi.</w:t>
            </w:r>
          </w:p>
          <w:p w:rsidR="00A77B3E">
            <w:pPr>
              <w:numPr>
                <w:ilvl w:val="0"/>
                <w:numId w:val="4"/>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Tehnična oprema za videonadzor meje: stroški popravil, varnostne in funkcionalne nadgradnje programske opreme za brezhibno delovanje opreme (ZSM).</w:t>
            </w:r>
          </w:p>
          <w:p w:rsidR="00A77B3E">
            <w:pPr>
              <w:numPr>
                <w:ilvl w:val="0"/>
                <w:numId w:val="4"/>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Oprema za fiksno govorno povezovanje/klicev enot, omrežni sistemi in naprave, požarne pregrade, drugi varnostni mehanizmi za zagotavljanje višje stopnje kibernetske varnosti pri upravljanju z informacijsko opremo.</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Stroški mejnih policistov</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Stroški mejnih policistov, ki izvajajo mejno kontrolo.</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Usposabljanje za nadzor zunanje schengenske meje</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Uspešen nadzor zunanje sch. meje zahteva specialistična usposabljanja policistov in novih nadzornikov zunanje schengenske meje. Usposabljanja po sch. priročniku in standardih zagotavljajo visoke sch. standarde mejne kontrole, varovanja državne meje, izvajanja ukrepov v notranjosti in preprečevanja čezmejnega kriminala, vključno z usposabljani o človekovih pravicah - identifikacija žrtev trgovine z ljudmi in ranljivih oseb na meji. Upoštevani so programi Frontexa.</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Izvedeno bo usposabljanje pilotov in tehnikov.</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xml:space="preserve">Vzdrževanje IS </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Vzdrževanje SIB vmesnika in nacionalnega SIS II sistema za nemoten dostop in uporabo schengenskih podatkov. Za nacionalne implementacije EU operacij interoperabilnosti bodo razvite aplikativne rešitve, ki jih bo potrebno vzdrževati.</w:t>
            </w:r>
          </w:p>
          <w:p w:rsidR="00A77B3E">
            <w:pPr>
              <w:spacing w:before="100" w:after="0"/>
              <w:jc w:val="start"/>
              <w:rPr>
                <w:rFonts w:ascii="TimesNewRoman" w:eastAsia="TimesNewRoman" w:hAnsi="TimesNewRoman" w:cs="TimesNewRoman"/>
                <w:b w:val="0"/>
                <w:i w:val="0"/>
                <w:vanish w:val="0"/>
                <w:color w:val="000000"/>
                <w:sz w:val="6"/>
              </w:rPr>
            </w:pPr>
          </w:p>
          <w:p w:rsidR="00A77B3E">
            <w:pPr>
              <w:spacing w:before="100" w:after="0"/>
              <w:jc w:val="start"/>
              <w:rPr>
                <w:rFonts w:ascii="TimesNewRoman" w:eastAsia="TimesNewRoman" w:hAnsi="TimesNewRoman" w:cs="TimesNewRoman"/>
                <w:b w:val="0"/>
                <w:i w:val="0"/>
                <w:vanish w:val="0"/>
                <w:color w:val="000000"/>
                <w:sz w:val="6"/>
              </w:rPr>
            </w:pPr>
          </w:p>
        </w:tc>
      </w:tr>
    </w:tbl>
    <w:p w:rsidR="00A77B3E">
      <w:pPr>
        <w:spacing w:before="100" w:after="0"/>
        <w:jc w:val="start"/>
        <w:rPr>
          <w:rFonts w:ascii="TimesNewRoman" w:eastAsia="TimesNewRoman" w:hAnsi="TimesNewRoman" w:cs="TimesNewRoman"/>
          <w:b w:val="0"/>
          <w:i w:val="0"/>
          <w:vanish w:val="0"/>
          <w:color w:val="000000"/>
          <w:sz w:val="2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720" w:right="936" w:bottom="864" w:left="720" w:header="0" w:footer="72" w:gutter="0"/>
          <w:cols w:space="720"/>
          <w:noEndnote/>
          <w:docGrid w:linePitch="360"/>
        </w:sectPr>
      </w:pPr>
    </w:p>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2.1. Specifični cilj 1. Evropsko integrirano upravljanje meja</w:t>
      </w:r>
    </w:p>
    <w:p w:rsidR="00A77B3E">
      <w:pPr>
        <w:pStyle w:val="Heading3"/>
        <w:spacing w:before="100" w:after="0"/>
        <w:jc w:val="start"/>
        <w:rPr>
          <w:rFonts w:ascii="Times New Roman" w:eastAsia="Times New Roman" w:hAnsi="Times New Roman" w:cs="Times New Roman"/>
          <w:b w:val="0"/>
          <w:i w:val="0"/>
          <w:vanish w:val="0"/>
          <w:color w:val="000000"/>
          <w:sz w:val="24"/>
        </w:rPr>
      </w:pPr>
      <w:bookmarkStart w:id="4" w:name="_Toc256000050"/>
      <w:r>
        <w:rPr>
          <w:rFonts w:ascii="Times New Roman" w:eastAsia="Times New Roman" w:hAnsi="Times New Roman" w:cs="Times New Roman"/>
          <w:b w:val="0"/>
          <w:i w:val="0"/>
          <w:vanish w:val="0"/>
          <w:color w:val="000000"/>
          <w:sz w:val="24"/>
        </w:rPr>
        <w:t>2.1.2. Kazalniki</w:t>
      </w:r>
      <w:bookmarkEnd w:id="4"/>
    </w:p>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24"/>
        </w:rPr>
        <w:t>Sklic: člen 22(4)(e) uredbe o skupnih določbah</w:t>
      </w:r>
    </w:p>
    <w:p w:rsidR="00A77B3E">
      <w:pPr>
        <w:pStyle w:val="Heading4"/>
        <w:spacing w:before="100" w:after="0"/>
        <w:jc w:val="start"/>
        <w:rPr>
          <w:rFonts w:ascii="Times New Roman" w:eastAsia="Times New Roman" w:hAnsi="Times New Roman" w:cs="Times New Roman"/>
          <w:b w:val="0"/>
          <w:i w:val="0"/>
          <w:vanish w:val="0"/>
          <w:color w:val="000000"/>
          <w:sz w:val="24"/>
        </w:rPr>
      </w:pPr>
      <w:bookmarkStart w:id="5" w:name="_Toc256000051"/>
      <w:r>
        <w:rPr>
          <w:rFonts w:ascii="Times New Roman" w:eastAsia="Times New Roman" w:hAnsi="Times New Roman" w:cs="Times New Roman"/>
          <w:b w:val="0"/>
          <w:i w:val="0"/>
          <w:vanish w:val="0"/>
          <w:color w:val="000000"/>
          <w:sz w:val="24"/>
        </w:rPr>
        <w:t>Tabela 1: Kazalniki učinka</w:t>
      </w:r>
      <w:bookmarkEnd w:id="5"/>
    </w:p>
    <w:p w:rsidR="00A77B3E">
      <w:pPr>
        <w:spacing w:before="100" w:after="0"/>
        <w:jc w:val="start"/>
        <w:rPr>
          <w:rFonts w:ascii="Times New Roman" w:eastAsia="Times New Roman" w:hAnsi="Times New Roman" w:cs="Times New Roman"/>
          <w:b w:val="0"/>
          <w:i w:val="0"/>
          <w:vanish w:val="0"/>
          <w:color w:val="000000"/>
          <w:sz w:val="0"/>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1344"/>
        <w:gridCol w:w="9769"/>
        <w:gridCol w:w="1445"/>
        <w:gridCol w:w="1538"/>
        <w:gridCol w:w="1206"/>
      </w:tblGrid>
      <w:tr>
        <w:tblPrEx>
          <w:tblW w:w="100%" w:type="pct"/>
        </w:tblPrEx>
        <w:trPr>
          <w:cantSplit w:val="0"/>
          <w:trHeight w:hRule="auto" w:val="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Identifikator</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Kazalnik</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Merska enota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Mejnik (2024)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Cilj (2029)</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kosov opreme, kupljene za mejne prehode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3.550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6.062</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O.1.1.1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od tega število nabavljenih vrat za avtomatizirani nadzor meje/samopostrežnih sistemov/e-prehodov</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O.1.2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elementov vzdrževane/popravljene infrastrukture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62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62</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O.1.3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podprtih žariščnih območij</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O.1.4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zgrajenih/nadgrajenih objektov za mejne prehode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30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49</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O.1.5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kupljenih zrakoplovov</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65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66</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O.1.5.1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od tega število kupljenih brezpilotnih zrakoplovov</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65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65</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O.1.6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kupljenih pomorskih prevoznih sredstev</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O.1.7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kupljenih kopenskih prevoznih sredstev</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140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190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udeležencev, ki so prejeli podporo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1.007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3.400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O.1.8.1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od tega število udeležencev dejavnosti usposabljanja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995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3.358</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O.1.9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skupnih uradnikov za zvezo, napotenih v tretje države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6</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O.1.10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razvitih/vzdrževanih/nadgrajenih funkcij informacijskih sistemov</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11</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O.1.11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razvitih/vzdrževanih/nadgrajenih obsežnih sistemov IT</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6</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O.1.11.1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od tega število razvitih obsežnih sistemov IT</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O.1.12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projektov sodelovanja s tretjimi državami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O.1.13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oseb, ki so zaprosile za mednarodno zaščito na mejnih prehodih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400</w:t>
            </w:r>
          </w:p>
        </w:tc>
      </w:tr>
    </w:tbl>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0"/>
        </w:rPr>
        <w:br w:type="page"/>
      </w:r>
      <w:r>
        <w:rPr>
          <w:rFonts w:ascii="Times New Roman" w:eastAsia="Times New Roman" w:hAnsi="Times New Roman" w:cs="Times New Roman"/>
          <w:b w:val="0"/>
          <w:i w:val="0"/>
          <w:vanish w:val="0"/>
          <w:color w:val="000000"/>
          <w:sz w:val="24"/>
        </w:rPr>
        <w:t>2.1. Specifični cilj 1. Evropsko integrirano upravljanje meja</w:t>
      </w:r>
    </w:p>
    <w:p w:rsidR="00A77B3E">
      <w:pPr>
        <w:spacing w:before="100" w:after="0"/>
        <w:jc w:val="start"/>
        <w:rPr>
          <w:rFonts w:ascii="Times New Roman" w:eastAsia="Times New Roman" w:hAnsi="Times New Roman" w:cs="Times New Roman"/>
          <w:b w:val="0"/>
          <w:i w:val="0"/>
          <w:vanish w:val="0"/>
          <w:color w:val="000000"/>
          <w:sz w:val="0"/>
        </w:rPr>
      </w:pPr>
      <w:r>
        <w:rPr>
          <w:rFonts w:ascii="Times New Roman" w:eastAsia="Times New Roman" w:hAnsi="Times New Roman" w:cs="Times New Roman"/>
          <w:b w:val="0"/>
          <w:i w:val="0"/>
          <w:vanish w:val="0"/>
          <w:color w:val="000000"/>
          <w:sz w:val="24"/>
        </w:rPr>
        <w:t>2.1.2. Kazalniki</w:t>
      </w:r>
    </w:p>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24"/>
        </w:rPr>
        <w:t>Sklic: člen 22(4)(e) uredbe o skupnih določbah</w:t>
      </w:r>
    </w:p>
    <w:p w:rsidR="00A77B3E">
      <w:pPr>
        <w:pStyle w:val="Heading4"/>
        <w:spacing w:before="100" w:after="0"/>
        <w:jc w:val="start"/>
        <w:rPr>
          <w:rFonts w:ascii="Times New Roman" w:eastAsia="Times New Roman" w:hAnsi="Times New Roman" w:cs="Times New Roman"/>
          <w:b w:val="0"/>
          <w:i w:val="0"/>
          <w:vanish w:val="0"/>
          <w:color w:val="000000"/>
          <w:sz w:val="24"/>
        </w:rPr>
      </w:pPr>
      <w:bookmarkStart w:id="6" w:name="_Toc256000052"/>
      <w:r>
        <w:rPr>
          <w:rFonts w:ascii="Times New Roman" w:eastAsia="Times New Roman" w:hAnsi="Times New Roman" w:cs="Times New Roman"/>
          <w:b w:val="0"/>
          <w:i w:val="0"/>
          <w:vanish w:val="0"/>
          <w:color w:val="000000"/>
          <w:sz w:val="24"/>
        </w:rPr>
        <w:t>Tabela 2: Kazalniki rezultatov</w:t>
      </w:r>
      <w:bookmarkEnd w:id="6"/>
    </w:p>
    <w:p w:rsidR="00A77B3E">
      <w:pPr>
        <w:spacing w:before="100" w:after="0"/>
        <w:jc w:val="start"/>
        <w:rPr>
          <w:rFonts w:ascii="Times New Roman" w:eastAsia="Times New Roman" w:hAnsi="Times New Roman" w:cs="Times New Roman"/>
          <w:b w:val="0"/>
          <w:i w:val="0"/>
          <w:vanish w:val="0"/>
          <w:color w:val="000000"/>
          <w:sz w:val="0"/>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5.4pt" w:type="dxa"/>
          <w:end w:w="5.4pt" w:type="dxa"/>
        </w:tblCellMar>
      </w:tblPr>
      <w:tblGrid>
        <w:gridCol w:w="760"/>
        <w:gridCol w:w="2276"/>
        <w:gridCol w:w="1517"/>
        <w:gridCol w:w="1517"/>
        <w:gridCol w:w="1517"/>
        <w:gridCol w:w="1517"/>
        <w:gridCol w:w="1517"/>
        <w:gridCol w:w="1517"/>
        <w:gridCol w:w="1517"/>
        <w:gridCol w:w="1517"/>
      </w:tblGrid>
      <w:tr>
        <w:tblPrEx>
          <w:tblW w:w="100%" w:type="pct"/>
          <w:tblLayout w:type="fixed"/>
        </w:tblPrEx>
        <w:trPr>
          <w:cantSplit w:val="0"/>
          <w:trHeight w:hRule="auto" w:val="0"/>
          <w:tblHeader/>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Identifikator</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Kazalnik</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Merska enota</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Izhodišče</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Merska enota za izhodišče</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Referenčna leta</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Cilj (2029)</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Merska enota za cilj</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Vir podatkov</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Opombe</w:t>
            </w: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R.1.14</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kosov opreme, registriranih v naboru tehnične opreme Evropske agencije za mejno in obalno stražo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61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Frontexova aplikacija Opera EVO.</w:t>
            </w:r>
          </w:p>
          <w:p w:rsidR="00A77B3E">
            <w:pPr>
              <w:spacing w:before="100" w:after="0"/>
              <w:jc w:val="start"/>
              <w:rPr>
                <w:rFonts w:ascii="Times New Roman" w:eastAsia="Times New Roman" w:hAnsi="Times New Roman" w:cs="Times New Roman"/>
                <w:b w:val="0"/>
                <w:i w:val="0"/>
                <w:vanish w:val="0"/>
                <w:color w:val="000000"/>
                <w:sz w:val="20"/>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R.1.15</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kosov opreme, danih na razpolago Evropski agenciji za mejno in obalno stražo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71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Poročilo agencije Frontex Evropskemu parlamentu.</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R.1.16</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vzpostavljenih/izboljšanih oblik sodelovanja med nacionalnimi organi in nacionalnimi koordinacijskimi centri EUROSUR</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Interne evidence policije.</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R.1.17</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prehajanj meje preko sistema za avtomatizirani nadzor meje in e-prehodov</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delež</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300.000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Podatki iz ABC naprav, ki omogočajo beleženje prehodov skozi vrata;</w:t>
            </w:r>
          </w:p>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interne evidence policije.</w:t>
            </w:r>
          </w:p>
          <w:p w:rsidR="00A77B3E">
            <w:pPr>
              <w:spacing w:before="100" w:after="0"/>
              <w:jc w:val="start"/>
              <w:rPr>
                <w:rFonts w:ascii="Times New Roman" w:eastAsia="Times New Roman" w:hAnsi="Times New Roman" w:cs="Times New Roman"/>
                <w:b w:val="0"/>
                <w:i w:val="0"/>
                <w:vanish w:val="0"/>
                <w:color w:val="000000"/>
                <w:sz w:val="20"/>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R.1.18</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obravnavanih priporočil na podlagi schengenskih ocenjevanj in ocen ranljivosti na področju upravljanja meja</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odstotek</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Priporočila schengenske evalvacije;</w:t>
            </w:r>
          </w:p>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Frontexova ocena ranljivosti.</w:t>
            </w:r>
          </w:p>
          <w:p w:rsidR="00A77B3E">
            <w:pPr>
              <w:spacing w:before="100" w:after="0"/>
              <w:jc w:val="start"/>
              <w:rPr>
                <w:rFonts w:ascii="Times New Roman" w:eastAsia="Times New Roman" w:hAnsi="Times New Roman" w:cs="Times New Roman"/>
                <w:b w:val="0"/>
                <w:i w:val="0"/>
                <w:vanish w:val="0"/>
                <w:color w:val="000000"/>
                <w:sz w:val="20"/>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R.1.19</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udeležencev, ki tri mesece po usposabljanju poročajo, da uporabljajo spretnosti in kompetence, pridobljene med usposabljanjem</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delež</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3.027</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Liste prisotnosti na usposabljanjih; anketni listi; interne evidence MNZ in policije.</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R.1.20</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oseb, ki so jim mejni organi zavrnili vstop</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17.000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Interne evidence MNZ in policije;</w:t>
            </w:r>
          </w:p>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statistični podatki.</w:t>
            </w:r>
          </w:p>
          <w:p w:rsidR="00A77B3E">
            <w:pPr>
              <w:spacing w:before="100" w:after="0"/>
              <w:jc w:val="start"/>
              <w:rPr>
                <w:rFonts w:ascii="Times New Roman" w:eastAsia="Times New Roman" w:hAnsi="Times New Roman" w:cs="Times New Roman"/>
                <w:b w:val="0"/>
                <w:i w:val="0"/>
                <w:vanish w:val="0"/>
                <w:color w:val="000000"/>
                <w:sz w:val="20"/>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bl>
    <w:p w:rsidR="00A77B3E">
      <w:pPr>
        <w:spacing w:before="100" w:after="0"/>
        <w:jc w:val="start"/>
        <w:rPr>
          <w:rFonts w:ascii="Times New Roman" w:eastAsia="Times New Roman" w:hAnsi="Times New Roman" w:cs="Times New Roman"/>
          <w:b w:val="0"/>
          <w:i w:val="0"/>
          <w:vanish w:val="0"/>
          <w:color w:val="000000"/>
          <w:sz w:val="20"/>
        </w:rPr>
        <w:sectPr>
          <w:headerReference w:type="even" r:id="rId22"/>
          <w:headerReference w:type="default" r:id="rId23"/>
          <w:footerReference w:type="even" r:id="rId24"/>
          <w:footerReference w:type="default" r:id="rId25"/>
          <w:headerReference w:type="first" r:id="rId26"/>
          <w:footerReference w:type="first" r:id="rId27"/>
          <w:type w:val="nextPage"/>
          <w:pgSz w:w="16838" w:h="11906" w:orient="landscape"/>
          <w:pgMar w:top="720" w:right="720" w:bottom="864" w:left="936" w:header="288" w:footer="72" w:gutter="0"/>
          <w:cols w:space="720"/>
          <w:noEndnote/>
          <w:docGrid w:linePitch="360"/>
        </w:sectPr>
      </w:pPr>
    </w:p>
    <w:p w:rsidR="00A77B3E">
      <w:pPr>
        <w:spacing w:before="100" w:after="0"/>
        <w:jc w:val="start"/>
        <w:rPr>
          <w:rFonts w:ascii="Times New Roman" w:eastAsia="Times New Roman" w:hAnsi="Times New Roman" w:cs="Times New Roman"/>
          <w:b w:val="0"/>
          <w:i w:val="0"/>
          <w:vanish w:val="0"/>
          <w:color w:val="000000"/>
          <w:sz w:val="0"/>
        </w:rPr>
      </w:pPr>
      <w:r>
        <w:rPr>
          <w:rFonts w:ascii="Times New Roman" w:eastAsia="Times New Roman" w:hAnsi="Times New Roman" w:cs="Times New Roman"/>
          <w:b w:val="0"/>
          <w:i w:val="0"/>
          <w:vanish w:val="0"/>
          <w:color w:val="000000"/>
          <w:sz w:val="24"/>
        </w:rPr>
        <w:t>2.1. Specifični cilj 1. Evropsko integrirano upravljanje meja</w:t>
      </w:r>
    </w:p>
    <w:p w:rsidR="00A77B3E">
      <w:pPr>
        <w:pStyle w:val="Heading3"/>
        <w:spacing w:before="100" w:after="0"/>
        <w:jc w:val="start"/>
        <w:rPr>
          <w:rFonts w:ascii="Times New Roman" w:eastAsia="Times New Roman" w:hAnsi="Times New Roman" w:cs="Times New Roman"/>
          <w:b w:val="0"/>
          <w:i w:val="0"/>
          <w:vanish w:val="0"/>
          <w:color w:val="000000"/>
          <w:sz w:val="24"/>
        </w:rPr>
      </w:pPr>
      <w:bookmarkStart w:id="7" w:name="_Toc256000053"/>
      <w:r>
        <w:rPr>
          <w:rFonts w:ascii="Times New Roman" w:eastAsia="Times New Roman" w:hAnsi="Times New Roman" w:cs="Times New Roman"/>
          <w:b w:val="0"/>
          <w:i w:val="0"/>
          <w:vanish w:val="0"/>
          <w:color w:val="000000"/>
          <w:sz w:val="24"/>
        </w:rPr>
        <w:t>2.1.3. Okvirna razčlenitev programskih sredstev (EU) po vrsti ukrepa</w:t>
      </w:r>
      <w:bookmarkEnd w:id="7"/>
    </w:p>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Sklic: člen 22(5) uredbe o skupnih določbah, člen 16(2) uredbe o AMIF, člen 13(12) uredbe o SNV ali člen 13(18) uredbe o IUMV</w:t>
      </w:r>
    </w:p>
    <w:p w:rsidR="00A77B3E">
      <w:pPr>
        <w:pStyle w:val="Heading4"/>
        <w:spacing w:before="100" w:after="0"/>
        <w:jc w:val="start"/>
        <w:rPr>
          <w:rFonts w:ascii="Times New Roman" w:eastAsia="Times New Roman" w:hAnsi="Times New Roman" w:cs="Times New Roman"/>
          <w:b w:val="0"/>
          <w:i w:val="0"/>
          <w:vanish w:val="0"/>
          <w:color w:val="000000"/>
          <w:sz w:val="24"/>
        </w:rPr>
      </w:pPr>
      <w:bookmarkStart w:id="8" w:name="_Toc256000054"/>
      <w:r>
        <w:rPr>
          <w:rFonts w:ascii="Times New Roman" w:eastAsia="Times New Roman" w:hAnsi="Times New Roman" w:cs="Times New Roman"/>
          <w:b w:val="0"/>
          <w:i w:val="0"/>
          <w:vanish w:val="0"/>
          <w:color w:val="000000"/>
          <w:sz w:val="24"/>
        </w:rPr>
        <w:t>Tabela 3: Okvirna razčlenitev</w:t>
      </w:r>
      <w:bookmarkEnd w:id="8"/>
    </w:p>
    <w:p w:rsidR="00A77B3E">
      <w:pPr>
        <w:spacing w:before="100" w:after="0"/>
        <w:jc w:val="start"/>
        <w:rPr>
          <w:rFonts w:ascii="Times New Roman" w:eastAsia="Times New Roman" w:hAnsi="Times New Roman" w:cs="Times New Roman"/>
          <w:b w:val="0"/>
          <w:i w:val="0"/>
          <w:vanish w:val="0"/>
          <w:color w:val="000000"/>
          <w:sz w:val="0"/>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1574"/>
        <w:gridCol w:w="11923"/>
        <w:gridCol w:w="1805"/>
      </w:tblGrid>
      <w:tr>
        <w:tblPrEx>
          <w:tblW w:w="100%" w:type="pct"/>
        </w:tblPrEx>
        <w:trPr>
          <w:cantSplit w:val="0"/>
          <w:trHeight w:hRule="auto" w:val="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Oznaka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Okvirni znesek (v EUR)</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 xml:space="preserve">001.Mejna kontrola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3.150.000,00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002.Varovanje meja – zračna oprema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5.799.999,60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003.Varovanje meja – kopenska oprema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15.660.000,00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004.Varovanje meja – pomorska oprema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3.000.000,00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005.Varovanje meja – sistemi avtomatiziranega varovanja meja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6.740.000,00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006.Varovanje meja – drugi ukrepi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750.000,00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007.Tehnični in operativni ukrepi na schengenskem območju, ki so povezani z nadzorom meja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9.578.200,00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008.Situacijsko zavedanje in izmenjava informacij</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009.Analiza tveganja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130.000,00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 xml:space="preserve">010.Obdelava podatkov in informacij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3.240.000,00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011.Žariščne točke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012.Ukrepi v zvezi z identifikacijo in napotitvijo ranljivih oseb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 xml:space="preserve">013.Ukrepi v zvezi z identifikacijo in napotitvijo oseb, ki potrebujejo mednarodno zaščito ali želijo zaprositi zanjo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014.Razvoj evropske mejne in obalne straže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015.Medagencijsko sodelovanje na nacionalni ravni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016.Medagencijsko sodelovanje na ravni Evropske unije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017.Medagencijsko sodelovanje s tretjimi državami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018.Skupna napotitev uradnikov za zvezo za priseljevanje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10.360.000,00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019.Obsežni informacijski sistemi – Eurodac za namene upravljanja meja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020.Obsežni informacijski sistemi – sistem vstopa/izstopa (SVI)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1.225.000,00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021.Obsežni informacijski sistemi – evropski sistem za potovalne informacije in odobritve (ETIAS) – drugo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443.000,00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022.Obsežni informacijski sistemi – Evropski sistem za potovalne informacije in odobritve (ETIAS) – člen 85(2) Uredbe (EU) 2018/1240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560.000,00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023.Obsežni informacijski sistemi – Evropski sistem za potovalne informacije in odobritve (ETIAS) – člen 85(3) Uredbe (EU) 2018/1240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150.000,00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 xml:space="preserve">024.Obsežni informacijski sistemi – schengenski informacijski sistem (SIS)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4.064.880,00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025.Obsežni informacijski sistemi – interoperabilnost</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3.938.000,00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026.Operativna podpora – integrirano upravljanje meja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20.765.309,38</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027.Operativna podpora – obsežni informacijski sistemi za namene upravljanja meja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979.840,00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028.Operativna podpora – posebna tranzitna shema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029.Kakovost podatkov in pravice posameznikov, na katere se nanašajo osebni podatki, do informacij ter dostopa do, popravka in izbrisa njihovih osebnih podatkov ter do omejitve obdelave navedenih podatkov</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100.000,00</w:t>
            </w:r>
          </w:p>
        </w:tc>
      </w:tr>
    </w:tbl>
    <w:p w:rsidR="00A77B3E">
      <w:pPr>
        <w:spacing w:before="100" w:after="0"/>
        <w:jc w:val="start"/>
        <w:rPr>
          <w:rFonts w:ascii="Times New Roman" w:eastAsia="Times New Roman" w:hAnsi="Times New Roman" w:cs="Times New Roman"/>
          <w:b w:val="0"/>
          <w:i w:val="0"/>
          <w:vanish w:val="0"/>
          <w:color w:val="000000"/>
          <w:sz w:val="20"/>
        </w:rPr>
        <w:sectPr>
          <w:type w:val="nextPage"/>
          <w:pgSz w:w="16838" w:h="11906" w:orient="landscape"/>
          <w:pgMar w:top="720" w:right="720" w:bottom="864" w:left="936" w:header="288" w:footer="72" w:gutter="0"/>
          <w:cols w:space="720"/>
          <w:noEndnote/>
          <w:docGrid w:linePitch="360"/>
        </w:sectPr>
      </w:pPr>
    </w:p>
    <w:p w:rsidR="00A77B3E">
      <w:pPr>
        <w:pStyle w:val="Heading2"/>
        <w:spacing w:before="100" w:after="0"/>
        <w:jc w:val="start"/>
        <w:rPr>
          <w:rFonts w:ascii="TimesNewRoman" w:eastAsia="TimesNewRoman" w:hAnsi="TimesNewRoman" w:cs="TimesNewRoman"/>
          <w:b w:val="0"/>
          <w:i w:val="0"/>
          <w:vanish w:val="0"/>
          <w:color w:val="000000"/>
          <w:sz w:val="24"/>
        </w:rPr>
      </w:pPr>
      <w:bookmarkStart w:id="9" w:name="_Toc256000055"/>
      <w:r>
        <w:rPr>
          <w:rFonts w:ascii="TimesNewRoman" w:eastAsia="TimesNewRoman" w:hAnsi="TimesNewRoman" w:cs="TimesNewRoman"/>
          <w:b w:val="0"/>
          <w:i w:val="0"/>
          <w:vanish w:val="0"/>
          <w:color w:val="000000"/>
          <w:sz w:val="24"/>
        </w:rPr>
        <w:t>2.1. Specifični cilj: 2. Skupna vizumska politika</w:t>
      </w:r>
      <w:bookmarkEnd w:id="9"/>
    </w:p>
    <w:p w:rsidR="00A77B3E">
      <w:pPr>
        <w:spacing w:before="100" w:after="0"/>
        <w:jc w:val="start"/>
        <w:rPr>
          <w:rFonts w:ascii="TimesNewRoman" w:eastAsia="TimesNewRoman" w:hAnsi="TimesNewRoman" w:cs="TimesNewRoman"/>
          <w:b w:val="0"/>
          <w:i w:val="0"/>
          <w:vanish w:val="0"/>
          <w:color w:val="000000"/>
          <w:sz w:val="0"/>
        </w:rPr>
      </w:pPr>
    </w:p>
    <w:p w:rsidR="00A77B3E">
      <w:pPr>
        <w:pStyle w:val="Heading3"/>
        <w:spacing w:before="100" w:after="0"/>
        <w:jc w:val="start"/>
        <w:rPr>
          <w:rFonts w:ascii="TimesNewRoman" w:eastAsia="TimesNewRoman" w:hAnsi="TimesNewRoman" w:cs="TimesNewRoman"/>
          <w:b w:val="0"/>
          <w:i w:val="0"/>
          <w:vanish w:val="0"/>
          <w:color w:val="000000"/>
          <w:sz w:val="24"/>
        </w:rPr>
      </w:pPr>
      <w:bookmarkStart w:id="10" w:name="_Toc256000056"/>
      <w:r>
        <w:rPr>
          <w:rFonts w:ascii="TimesNewRoman" w:eastAsia="TimesNewRoman" w:hAnsi="TimesNewRoman" w:cs="TimesNewRoman"/>
          <w:b w:val="0"/>
          <w:i w:val="0"/>
          <w:vanish w:val="0"/>
          <w:color w:val="000000"/>
          <w:sz w:val="24"/>
        </w:rPr>
        <w:t>2.1.1. Opis specifičnega cilja</w:t>
      </w:r>
      <w:bookmarkEnd w:id="10"/>
    </w:p>
    <w:p w:rsidR="00A77B3E">
      <w:pPr>
        <w:spacing w:before="100" w:after="0"/>
        <w:jc w:val="start"/>
        <w:rPr>
          <w:rFonts w:ascii="TimesNewRoman" w:eastAsia="TimesNewRoman" w:hAnsi="TimesNewRoman" w:cs="TimesNewRoman"/>
          <w:b w:val="0"/>
          <w:i w:val="0"/>
          <w:vanish w:val="0"/>
          <w:color w:val="000000"/>
          <w:sz w:val="0"/>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5.4pt" w:type="dxa"/>
          <w:end w:w="5.4pt" w:type="dxa"/>
        </w:tblCellMar>
      </w:tblPr>
      <w:tblGrid>
        <w:gridCol w:w="10240"/>
      </w:tblGrid>
      <w:tr>
        <w:tblPrEx>
          <w:tblW w:w="100%" w:type="pct"/>
          <w:tblLayout w:type="fixed"/>
        </w:tblPrEx>
        <w:trPr>
          <w:cantSplit w:val="0"/>
          <w:trHeight w:hRule="auto" w:val="0"/>
          <w:tblHeader w:val="0"/>
        </w:trPr>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0"/>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V okviru specifičnega cilja SO2 se SI usmerja zlasti v izvedbene ukrepe za zagotavljanje učinkovitih in strankam prijaznih storitev za prosilce za vizum ob ohranjanju varnosti in celovitosti vizumskih postopkov, zagotavljanje enotne uporabe pravnega reda Unije glede vizumov, razvoj različnih oblik sodelovanja med DČ pri obravnavi vlog za izdajo vizuma, vzpostavitev, delovanje in vzdrževanje obsežnih informacijskih sistemov v skladu s pravom Unije na področju skupne vizumske politike, zlasti VIS, vključno z interoperabilnostjo teh obsežnih informacijskih sistemov in njihove komunikacijske infrastrukture.</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Vizumski postopki trenutno niso digitalizirani, vendar se vse vizumske vloge evidentirajo v nacionalnem vizumskem informacijskem sistemu VIZIS. Delovna obremenitev je zelo velika v vseh diplomatsko-konzularnih predstavništvih na lokacijah zunaj schengenskega območja. Konzulom običajno pomaga en lokalni uslužbenec na diplomatsko/konzularno predstavništvo, ki pa lahko izvaja le tiste dele procesa, ki niso povezani s preverjanji v bazah podatkov in odločanjem.</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Dosežki v preteklem programskem obdobju: v preteklem programskem obdobju smo vizumski sistem prevedli v angleščino in uredili vse dodatne prilagoditve, ki jih zahtevajo spremembe zakonodaje. Najnovejši napredek je uvedba 2D črtne kode pri personalizaciji vizumskih nalepk.</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Ključni resor na področju skupne vizumske politike je MZEZ, ki bo prejel sredstva IUMV preko neposredne dodelitve, in sicer zaradi zakonskih pristojnosti s predmetnega področja. MZEZ bo za uresničevanje zastavljenih ciljev na področju vizumske politike namenil tudi nacionalna proračunska sredstva, ki bodo namenjena financiranju ustreznega lastnega deleža, za plače zaposlenih, komplementarno opremo, sistem informacijske tehnologije, nekatera izobraževanja (npr. jezikovne tečaje) in predvsem posege v infrastrukturo.</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Znotraj spodaj navedenih izvedbenih ukrepov iz Priloge II (a, b, c, e) se bo SI usmerila na področja podpore 2 (a, b, c, j, k) in 3 b iz Priloge III.</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rezultati:</w:t>
            </w:r>
          </w:p>
          <w:p w:rsidR="00A77B3E">
            <w:pPr>
              <w:numPr>
                <w:ilvl w:val="0"/>
                <w:numId w:val="5"/>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Kakovostne, učinkovite in strankam prijazne storitve za prosilce za vizume ob ohranjanju varnosti in celovitosti vizumskih postopkov ter zagotavljanje enotne uporabe pravnega reda Unije glede vizumov.</w:t>
            </w:r>
          </w:p>
          <w:p w:rsidR="00A77B3E">
            <w:pPr>
              <w:numPr>
                <w:ilvl w:val="0"/>
                <w:numId w:val="5"/>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Vzdrževanje nacionalnega vizumskega sistema v ažurnem stanju glede zahtevanih povezav z informacijskimi sistemi EU.</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1) </w:t>
            </w:r>
            <w:r>
              <w:rPr>
                <w:rFonts w:ascii="TimesNewRoman" w:eastAsia="TimesNewRoman" w:hAnsi="TimesNewRoman" w:cs="TimesNewRoman"/>
                <w:b w:val="0"/>
                <w:i w:val="0"/>
                <w:vanish w:val="0"/>
                <w:color w:val="000000"/>
                <w:sz w:val="24"/>
                <w:u w:val="single"/>
              </w:rPr>
              <w:t>Izvedbeni ukrep 2a:</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Nacionalni vizumski sistem je temelj za izvajanje vizumskih postopkov. SI načrtuje več sklopov posodobitev in naložb v aplikacije, povezave in digitalizacijo postopkov.</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Nakup programskih komponent nacionalnega vizumskega informacijskega sistema</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SI uporablja nacionalni vizumski sistem VIZIS, ki je preko vmesnika SI.VIS priključen na vizumski sistem EU na 62 lokacijah v tujini in v SI. Sistem deluje na podlagi replikacij oziroma t.i. satelitnega sistema znotraj HCL Lotus Notes okolja. VIZIS za svoje delovanje in komuniciranje z VIS uporablja aplikacijo Skupno zajemno mesto (SZM). Preko spletnih storitev je v sistem vključeno tudi centralno orodje za dostop do VIS in posvetovalno omrežje Vis-Mail. Prosilcem za vizum je omogočen tudi samostojen vnos podatkov in zajem fotografije preko spletnih vizumskih vlog (SVV), ki ga uporabljajo tudi zunanji ponudniki storitev na podlagi določb Uredbe (ES) 810/2009. SI potrebuje zanesljiv vizumski sistem, ki ga bo dosegala tudi z razvojem in z zagotavljanjem zanesljivih komunikacijskih povezav, možnostjo hitre ponovne vzpostavitve delovanja delovnega procesa v primeru izpada ter uporabo orodij za učinkovito upravljanje sistema.</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Z namenom zagotavljanja usklajenosti z zakonodajo EU je predviden nakup programskih komponent nacionalnega vizumskega informacijskega sistema, ki vključuje predvsem redno vzdrževanje in nadgradnjo VIZIS, SI.VIS, renew VIS, digitalizacijo in zagotavljanje interoperabilnosti. V prihodnosti pa bo potrebna tudi temeljita prenova VIZIS.</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Nadaljevalo se bo tudi delo na spletnem dostopu za različne funkcije, npr. oddajo vizumske vloge ali pregled stanja vloge, kot sestavnem delu nacionalnega vizumskega informacijskega sistema. SI načrtuje več sklopov posodobitev in naložb v aplikacije, povezave in digitalizacijo postopkov. Načrtuje se posodobitev v obliki aplikacije za mobilne naprave z namenom približanja postopkov strankam. V okviru operacije bo predvidoma posodobljen tudi sistem beleženja garantnih pisem in izmenjave podatkov z drugimi schengenskimi državami v okviru vizumskega zastopanja.</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Vključeno je tudi ustrezno posodabljanje licenc za licenčno programsko opremo, ki je potrebna za delovanje nacionalnega vizumskega sistema.</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Nakup strojne opreme za podporo obdelavi vizumskih vlog</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Zaradi hitrega razvoja tehnologije je sodobna programska in strojna oprema ključnega pomena.</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Načrtovani so nakupi strojne opreme za podporo obdelavi vizumskih vlog – osebnih računalnikov, aplikacijskih strežnikov, strežnikov baz podatkov, prenosnih računalnikov, namenskih tiskalnikov in čitalcev, komunikacijske opreme, multimedijske opreme, UPS napajalnikov, električnega napajanja za sistemske prostore, klimatskih naprav in podobno.</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Poleg navedenega bo potrebno redno posodabljati strojno opremo za skeniranje prstnih odtisov in opremo za odkrivanje ponarejenih dokumentov. Potrebno bo zagotavljati delujoče dostope do posodobljene baze varnostnih elementov potnih listin, vključujoč nove potrebe po preverjanju certifikatov izdajatelja.</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Zagotavljanje kvalitetne povezljivosti</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Doslej že zagotovljene izboljšane komunikacijske povezave na nekaterih lokacijah – do sedaj jih je SI vključila 8, zadnje stanje pa je 7 lokacij – se bodo na podlagi pozitivnih izkušenj v smislu zagotavljanja stalne povezljivosti, ki omogoča nemoteno delovanje vseh vizumskih podsistemov, ohranjale in dopolnjevale. S tem se močno zmanjša tveganje nedostopnosti sistema in celovito krizno upravljanje v primeru komunikacijskih mrkov, do katerih prihaja v posameznih manj razvitih državah.</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 rezultat: gladko delovanje IKT sistemov z manj izpadi in okvarami.</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Dodatne aktivnosti v podporo digitalizaciji obravnave vlog za izdajo vizumov</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Za krepitev spletnega poslovanja je predviden tudi razvoj novih funkcionalnosti in platform, ki bi prosilcem omogočili spletno plačevanje taks, sklepanje potovalnih zdravstvenih zavarovanj, kot jih zahteva vizumska zakonodaja, in oddaljeno komunikacijo z uradnimi osebami (spletna platforma za videoklice). Z namenom približanja storitev prosilcem je predviden tudi pilotni razvoj in preizkus uporabe kioskov za zajemanje biometričnih podatkov. </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xml:space="preserve">Izboljšanje standardov (vključno z varnostnimi), funkcij in procesov na konzulatih </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S ciljem zagotavljanja nemotenega delovanja v čim bolj varnih razmerah bodo aktivnosti usmerjene v </w:t>
            </w:r>
            <w:r>
              <w:rPr>
                <w:rFonts w:ascii="TimesNewRoman" w:eastAsia="TimesNewRoman" w:hAnsi="TimesNewRoman" w:cs="TimesNewRoman"/>
                <w:b/>
                <w:bCs/>
                <w:i w:val="0"/>
                <w:vanish w:val="0"/>
                <w:color w:val="000000"/>
                <w:sz w:val="24"/>
              </w:rPr>
              <w:t>nakup opreme za izboljšanje varnostnih standardov</w:t>
            </w:r>
            <w:r>
              <w:rPr>
                <w:rFonts w:ascii="TimesNewRoman" w:eastAsia="TimesNewRoman" w:hAnsi="TimesNewRoman" w:cs="TimesNewRoman"/>
                <w:b w:val="0"/>
                <w:i w:val="0"/>
                <w:vanish w:val="0"/>
                <w:color w:val="000000"/>
                <w:sz w:val="24"/>
              </w:rPr>
              <w:t xml:space="preserve"> in funkcij ter delovnih procesov v konzularnih oddelkih predstavništev RS. Z izvedbo operacije se bo dodatno izboljšala varnost na vseh predstavništvih, kjer se izvaja vizumska dejavnost. S tem se bo prosilcem za vizum omogočilo zagotavljanje učinkovitih in strankam prijaznih storitev za vizum ob ohranjanju varnosti in celovitosti vizumskih postopkov ter ob polnem spoštovanju človekovega dostojanstva in integritete prosilcev za vizum in imetnikov vizumov v skladu s členom 7(2) Uredbe (ES) 767/2008. Upravičeni delež, tj. del konzulatov v zvezi z VISA, se bo financiral samo iz IUMV, kjer je razdelitev izvedljiva.</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Visoko stopnjo varnosti na predstavništvih je potrebno zagotavljati tudi zaradi varovanja podatkov na informacijskih sistemih, ki podpirajo izvajanje vizumske dejavnosti. Krovna podlaga za izvajanje ustreznih varnostnih ukrepov na DKP, kjer se izvaja vizumska dejavnost, je Uredba EU 810/2009, in sicer predvsem prvi in drugi odstavek 37. člena ter drugi odstavek 38. člena. Prav tako varnostne ukrepe določa Uredba (ES) 767/2008, in sicer v 32. členu, ki med drugim določa, da vsaka država zagotavlja ustrezno varnost podatkov VIS. V operacijo bi bili vključeni vsi DKP izven schengenskega območja, ki izvajajo vizumsko poslovanje, katerih število po širitvi schengenskega območja v 2023 je 27, a se številka lahko spremeni zaradi morebitnega odpiranja novih predstavništev ali širitve schengenskega območja. Visoka stopnja varovanja/varnosti je v predstavništvih, kjer se izvaja vizumska dejavnost, že zagotovljena, a to je potrebno stalno nadgrajevati in izboljševati, predvsem v luči prilagajanja novim varnostnim trendom, ki sledijo najnovejšim oblikam groženj (zdravstvena tveganja, terorizem, vandalizem, kraje in drug kriminal).</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 dosledno izpolnjevanje zakonskih zahtev ter višja stopnja varnosti za stranke in uslužbence na DKP.</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V luči izboljšanja standardov in </w:t>
            </w:r>
            <w:r>
              <w:rPr>
                <w:rFonts w:ascii="TimesNewRoman" w:eastAsia="TimesNewRoman" w:hAnsi="TimesNewRoman" w:cs="TimesNewRoman"/>
                <w:b/>
                <w:bCs/>
                <w:i w:val="0"/>
                <w:vanish w:val="0"/>
                <w:color w:val="000000"/>
                <w:sz w:val="24"/>
              </w:rPr>
              <w:t>infrastrukturne posodobitve stavb</w:t>
            </w:r>
            <w:r>
              <w:rPr>
                <w:rFonts w:ascii="TimesNewRoman" w:eastAsia="TimesNewRoman" w:hAnsi="TimesNewRoman" w:cs="TimesNewRoman"/>
                <w:b w:val="0"/>
                <w:i w:val="0"/>
                <w:vanish w:val="0"/>
                <w:color w:val="000000"/>
                <w:sz w:val="24"/>
              </w:rPr>
              <w:t>, ki so potrebne za obravnavo vlog za izdajo vizumov in konzularno sodelovanje, namenjene predvsem izboljšanju kakovosti storitev za prosilce za vizum, so predvidene posamezne naložbe v obnovo in prilagoditev prostorov, dostopnost za stranke, ureditev inštalacij in opreme, ki je namenjena delovnemu procesu in varnosti zaposlenih in strank, in sicer s smiselno uporabo priporočil iz schengenskih ocenjevanj in ob upoštevanju omejitev, ki jih postavljajo najemne pogodbe.</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Predvidena je tudi nabava </w:t>
            </w:r>
            <w:r>
              <w:rPr>
                <w:rFonts w:ascii="TimesNewRoman" w:eastAsia="TimesNewRoman" w:hAnsi="TimesNewRoman" w:cs="TimesNewRoman"/>
                <w:b/>
                <w:bCs/>
                <w:i w:val="0"/>
                <w:vanish w:val="0"/>
                <w:color w:val="000000"/>
                <w:sz w:val="24"/>
              </w:rPr>
              <w:t>kombiniranega vozila</w:t>
            </w:r>
            <w:r>
              <w:rPr>
                <w:rFonts w:ascii="TimesNewRoman" w:eastAsia="TimesNewRoman" w:hAnsi="TimesNewRoman" w:cs="TimesNewRoman"/>
                <w:b w:val="0"/>
                <w:i w:val="0"/>
                <w:vanish w:val="0"/>
                <w:color w:val="000000"/>
                <w:sz w:val="24"/>
              </w:rPr>
              <w:t xml:space="preserve"> za prevoz in vzdrževanje opreme (IKT, varnostna oprema) kot tudi dostavo dokumentacije in vizumskih nalepk na lokacije, na katerih se izvaja vizumsko poslovanje in kjer je to smiselno z vidika geografske oddaljenosti. Prevozna sredstva so pomemben element pri zagotavljanju varnosti logistike prevoza opreme in vizumskih nalepk na DKP ter za učinkovit in varen nadzor nad delom DKP. Nakup bo izvršen po amortizaciji vozila, ki je bilo kupljeno v okviru finančne perspektive 2014 – 2020 (Sklad za notranjo varnost – meje), t.j. predvidoma proti koncu aktualne finančne perspektive.  </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Za zagotavljanje ustreznih prostorskih pogojev za izvajanje vizumske dejavnosti so v srednjeročni perspektivi predvideni tudi nakupi nepremičnin na nekaterih lokacijah, ki bodo zahtevali tudi </w:t>
            </w:r>
            <w:r>
              <w:rPr>
                <w:rFonts w:ascii="TimesNewRoman" w:eastAsia="TimesNewRoman" w:hAnsi="TimesNewRoman" w:cs="TimesNewRoman"/>
                <w:b/>
                <w:bCs/>
                <w:i w:val="0"/>
                <w:vanish w:val="0"/>
                <w:color w:val="000000"/>
                <w:sz w:val="24"/>
              </w:rPr>
              <w:t>preureditev prostorov za namen izvajanja vizumskih postopkov</w:t>
            </w:r>
            <w:r>
              <w:rPr>
                <w:rFonts w:ascii="TimesNewRoman" w:eastAsia="TimesNewRoman" w:hAnsi="TimesNewRoman" w:cs="TimesNewRoman"/>
                <w:b w:val="0"/>
                <w:i w:val="0"/>
                <w:vanish w:val="0"/>
                <w:color w:val="000000"/>
                <w:sz w:val="24"/>
              </w:rPr>
              <w:t xml:space="preserve">, kar velja tudi za morebitne selitve v nove prostore ob sklepanju novih najemnih poslov. Identificiran bo en večji investicijski projekt letno, za katerega bo uveljavljano sofinanciranje iz Instrumenta. Na posameznih lokacijah DKP se kažejo priložnosti </w:t>
            </w:r>
            <w:r>
              <w:rPr>
                <w:rFonts w:ascii="TimesNewRoman" w:eastAsia="TimesNewRoman" w:hAnsi="TimesNewRoman" w:cs="TimesNewRoman"/>
                <w:b/>
                <w:bCs/>
                <w:i w:val="0"/>
                <w:vanish w:val="0"/>
                <w:color w:val="000000"/>
                <w:sz w:val="24"/>
              </w:rPr>
              <w:t>nakupa nepremičnin</w:t>
            </w:r>
            <w:r>
              <w:rPr>
                <w:rFonts w:ascii="TimesNewRoman" w:eastAsia="TimesNewRoman" w:hAnsi="TimesNewRoman" w:cs="TimesNewRoman"/>
                <w:b w:val="0"/>
                <w:i w:val="0"/>
                <w:vanish w:val="0"/>
                <w:color w:val="000000"/>
                <w:sz w:val="24"/>
              </w:rPr>
              <w:t>, ki so pogojene tako s poslovnimi razlogi kot tudi z možnostjo nadaljnjih naložb v te prostore za zagotavljanje večje funkcionalnosti, vključno s prijaznostjo infrastrukture za stranke postopkov, ki jih v najetih prostorih ni mogoče ali smotrno izvajati v večjem obsegu. Za sofinanciranje iz Instrumenta se v časovnem okviru aktualne finančne perspektive predvideva vključitev do dveh tovrstnih nakupov, in sicer v okvirnem deležu 20 - 30 %, pri čemer bo metodologija izračuna upravičenega deleža temeljila na deležu prostorov, namenjenih vizumskemu poslovanju.</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2)   </w:t>
            </w:r>
            <w:r>
              <w:rPr>
                <w:rFonts w:ascii="TimesNewRoman" w:eastAsia="TimesNewRoman" w:hAnsi="TimesNewRoman" w:cs="TimesNewRoman"/>
                <w:b w:val="0"/>
                <w:i w:val="0"/>
                <w:vanish w:val="0"/>
                <w:color w:val="000000"/>
                <w:sz w:val="24"/>
                <w:u w:val="single"/>
              </w:rPr>
              <w:t>Izvedbeni ukrep 2b:</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Nakup storitve preverjanja dokumentacije</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SI v okviru tega izvedbenega ukrepa načrtuje uporabo storitev zunanjega ponudnika za preverjanje dokumentacije (dokazil), predložene v vizumskem postopku, ko se konzul odloči, da je uporaba te storitve smiselna. </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3)   </w:t>
            </w:r>
            <w:r>
              <w:rPr>
                <w:rFonts w:ascii="TimesNewRoman" w:eastAsia="TimesNewRoman" w:hAnsi="TimesNewRoman" w:cs="TimesNewRoman"/>
                <w:b w:val="0"/>
                <w:i w:val="0"/>
                <w:vanish w:val="0"/>
                <w:color w:val="000000"/>
                <w:sz w:val="24"/>
                <w:u w:val="single"/>
              </w:rPr>
              <w:t>Izvedbeni ukrep 2c:</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Usposabljanja kadrov</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Glede na pozitivne izkušnje iz operacij v okviru finančne perspektive 2014 – 2020 (ISF-B), bo SI nadaljevala z aktivnostmi na področju usposabljanja kadrov, odgovornih za izvajanje vizumskih postopkov na DKP in na MZEZ.</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Usposabljanje poteka v obliki rednih letnih konzularnih posvetov za vse konzularne uslužbence DKP enkrat letno na MZEZ v Ljubljani in drugih lokacijah po SI, dvakrat letno v obliki regionalnih posvetov na izbranih lokacijah v tretjih državah ter v okviru priprav osebja pred ​​napotitvijo v tujino.</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Tematike usposabljanja vključujejo predvsem posodobitve pravnega reda EU, nove tehnologije, delovne metode na področju vizumov ter prepoznavanje prenarejenih in ponarejenih dokumentov.</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Prizadevali si bomo za polno usposobljeno osebje na DKP, ki se ukvarja z obdelavo vizumskih vlog, ter za delovanje vzpostavljenega sistema usposabljanja, kar bo znatno izboljšalo preprečevanje nezakonitih migracij in določitev stopnje tveganja v posameznem vizumskem postopku.</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Usposabljanja se izvaja v obliki predavanj, simulacij, izmenjave izkušenj in praktičnega dela. MZEZ v usposabljanja vključuje strokovnjake z različnih področij in iz različnih držav. Z usposabljanjem udeleženci pridobijo veščine za olajšanje vizumskih postopkov. Hkrati se krepi sodelovanje med različnimi nacionalnimi organi v SI in med DČ, ki sodelujejo v izobraževanjih.</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Uresničevanje priporočil iz schengenskih ocenjevanj</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Dinamike schengenskih ocenjevanj ni mogoče predvideti, zadnje redno ocenjevanje je potekalo v letu 2019 s sprejetjem priporočil junija 2020. Predvidoma bo mogoče vsa morebitna priporočila uresničiti v okviru aktivnosti, predvidenih pod posameznimi izvedbenimi ukrepi, sicer pa v okviru nove aktivnosti, ki jo bo mogoče podrobneje opredeliti po prejemu in obravnavi priporočil.</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 kakovostne, učinkovite in strankam prijazne storitve za prosilce za vizume ob ohranjanju varnosti in celovitosti vizumskih postopkov ter zagotavljanje enotne uporabe pravnega reda Unije glede vizumov.</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4)   </w:t>
            </w:r>
            <w:r>
              <w:rPr>
                <w:rFonts w:ascii="TimesNewRoman" w:eastAsia="TimesNewRoman" w:hAnsi="TimesNewRoman" w:cs="TimesNewRoman"/>
                <w:b w:val="0"/>
                <w:i w:val="0"/>
                <w:vanish w:val="0"/>
                <w:color w:val="000000"/>
                <w:sz w:val="24"/>
                <w:u w:val="single"/>
              </w:rPr>
              <w:t>Izvedbeni ukrep 2e:</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Razvoj vmesnikov za VIS, EES ter ostale velike sisteme in platforme EU</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MZEZ namerava vlagati tudi v izboljšanje pogojev za gostovanje obsežnih informacijskih sistemov in povezanih komponent komunikacijske infrastrukture. Investicija se načrtuje zaradi napovedanega razvoja obsežnih IT sistemov EU. Morda bo to zahtevalo naložbo v prilagoditev pogojev na nacionalni centralni točki, kjer bo nameščena povezava z obsežnimi IT sistemi EU. To lahko vključuje nadgradnjo ali spremembo lokacije strežniške sobe, priključek za napajanje in hlajenje. Morda bo potrebna hitrejša povezovalna linija med primarno in sekundarno lokacijo TAP. MZEZ načrtuje tudi posodobitev in prenovo informacijskih statističnih orodij za beleženje vizumskih postopkov. Informacije o postopkih se mesečno in letno izmenjujejo med DČ in Evropsko komisijo, DČ pa imajo tudi obvezo poročanja EUROSTAT-u.</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Cilj je zagotovitev dostopa do ostalih obsežnih informacijskih sistemov EU preko VIS. Potrebno pa bo dodatno razviti tudi neposreden dostop do EES in vmesnik za povezavo med nacionalnim vizumskim sistemom in platformo EU za pridobitev vizuma.</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 rezultat: vzdrževanje nacionalnega viznega sistema v ažurnem stanju glede zahtevanih povezav z informacijskimi sistemi EU.</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5)   </w:t>
            </w:r>
            <w:r>
              <w:rPr>
                <w:rFonts w:ascii="TimesNewRoman" w:eastAsia="TimesNewRoman" w:hAnsi="TimesNewRoman" w:cs="TimesNewRoman"/>
                <w:b w:val="0"/>
                <w:i w:val="0"/>
                <w:vanish w:val="0"/>
                <w:color w:val="000000"/>
                <w:sz w:val="24"/>
                <w:u w:val="single"/>
              </w:rPr>
              <w:t>Operativna podpora</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V okviru SO2 se bo operativna podpora usmerjala predvsem na stroške zaposlenih, napotenih na DKP, upoštevana pa bo tudi ustrezna podpora vizumskim procesom na sedežu. Upravičenec je MZEZ.</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Stroški dela in drugi stroški, povezani z napotitvijo zaposlenih na DKP za izvajanje viznih postopkov, so se že financirali v okviru finančne perspektive 2014 – 2020, in sicer na osmih predstavništvih - Veleposlaništvih Republike Slovenije v Kairu (Egipt), Ankari (Turčija), Abu Dabhiju (Združeni Arabski Emirati), Moskvi (Rusija), Kijevu (Ukrajina), Teheranu (Iran), Pekingu (Kitajska) in Prištini (Kosovo), kar se je izkazalo za zelo učinkovito.</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S tem je in bo omogočeno zagotavljanje kakovostnih, učinkovitih in strankam prijaznih storitev za prosilce za vizum, ohranjanje varnosti in celovitosti postopka za izdajo vizuma (večje število obdelanih vizumskih vlog, skrajšanje trajanja vizumskega postopka, zagotovitev nemotenega dela z redno zasedbo delovnega mesta) ter zagotavljanje enotne uporabe pravnega reda EU glede vizumov.</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 kakovostne, učinkovite in strankam prijazne storitve za prosilce za vizume ob ohranjanju varnosti in celovitosti vizumskih postopkov ter zagotavljanje enotne uporabe pravnega reda Unije glede vizumov.</w:t>
            </w:r>
          </w:p>
          <w:p w:rsidR="00A77B3E">
            <w:pPr>
              <w:spacing w:before="100" w:after="0"/>
              <w:jc w:val="start"/>
              <w:rPr>
                <w:rFonts w:ascii="TimesNewRoman" w:eastAsia="TimesNewRoman" w:hAnsi="TimesNewRoman" w:cs="TimesNewRoman"/>
                <w:b w:val="0"/>
                <w:i w:val="0"/>
                <w:vanish w:val="0"/>
                <w:color w:val="000000"/>
                <w:sz w:val="6"/>
              </w:rPr>
            </w:pPr>
          </w:p>
          <w:p w:rsidR="00A77B3E">
            <w:pPr>
              <w:spacing w:before="100" w:after="0"/>
              <w:jc w:val="start"/>
              <w:rPr>
                <w:rFonts w:ascii="TimesNewRoman" w:eastAsia="TimesNewRoman" w:hAnsi="TimesNewRoman" w:cs="TimesNewRoman"/>
                <w:b w:val="0"/>
                <w:i w:val="0"/>
                <w:vanish w:val="0"/>
                <w:color w:val="000000"/>
                <w:sz w:val="6"/>
              </w:rPr>
            </w:pPr>
          </w:p>
        </w:tc>
      </w:tr>
    </w:tbl>
    <w:p w:rsidR="00A77B3E">
      <w:pPr>
        <w:spacing w:before="100" w:after="0"/>
        <w:jc w:val="start"/>
        <w:rPr>
          <w:rFonts w:ascii="TimesNewRoman" w:eastAsia="TimesNewRoman" w:hAnsi="TimesNewRoman" w:cs="TimesNewRoman"/>
          <w:b w:val="0"/>
          <w:i w:val="0"/>
          <w:vanish w:val="0"/>
          <w:color w:val="000000"/>
          <w:sz w:val="24"/>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orient="portrait"/>
          <w:pgMar w:top="720" w:right="936" w:bottom="864" w:left="720" w:header="0" w:footer="72" w:gutter="0"/>
          <w:cols w:space="720"/>
          <w:noEndnote/>
          <w:docGrid w:linePitch="360"/>
        </w:sectPr>
      </w:pPr>
    </w:p>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2.1. Specifični cilj 2. Skupna vizumska politika</w:t>
      </w:r>
    </w:p>
    <w:p w:rsidR="00A77B3E">
      <w:pPr>
        <w:pStyle w:val="Heading3"/>
        <w:spacing w:before="100" w:after="0"/>
        <w:jc w:val="start"/>
        <w:rPr>
          <w:rFonts w:ascii="Times New Roman" w:eastAsia="Times New Roman" w:hAnsi="Times New Roman" w:cs="Times New Roman"/>
          <w:b w:val="0"/>
          <w:i w:val="0"/>
          <w:vanish w:val="0"/>
          <w:color w:val="000000"/>
          <w:sz w:val="24"/>
        </w:rPr>
      </w:pPr>
      <w:bookmarkStart w:id="11" w:name="_Toc256000057"/>
      <w:r>
        <w:rPr>
          <w:rFonts w:ascii="Times New Roman" w:eastAsia="Times New Roman" w:hAnsi="Times New Roman" w:cs="Times New Roman"/>
          <w:b w:val="0"/>
          <w:i w:val="0"/>
          <w:vanish w:val="0"/>
          <w:color w:val="000000"/>
          <w:sz w:val="24"/>
        </w:rPr>
        <w:t>2.1.2. Kazalniki</w:t>
      </w:r>
      <w:bookmarkEnd w:id="11"/>
    </w:p>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24"/>
        </w:rPr>
        <w:t>Sklic: člen 22(4)(e) uredbe o skupnih določbah</w:t>
      </w:r>
    </w:p>
    <w:p w:rsidR="00A77B3E">
      <w:pPr>
        <w:pStyle w:val="Heading4"/>
        <w:spacing w:before="100" w:after="0"/>
        <w:jc w:val="start"/>
        <w:rPr>
          <w:rFonts w:ascii="Times New Roman" w:eastAsia="Times New Roman" w:hAnsi="Times New Roman" w:cs="Times New Roman"/>
          <w:b w:val="0"/>
          <w:i w:val="0"/>
          <w:vanish w:val="0"/>
          <w:color w:val="000000"/>
          <w:sz w:val="24"/>
        </w:rPr>
      </w:pPr>
      <w:bookmarkStart w:id="12" w:name="_Toc256000058"/>
      <w:r>
        <w:rPr>
          <w:rFonts w:ascii="Times New Roman" w:eastAsia="Times New Roman" w:hAnsi="Times New Roman" w:cs="Times New Roman"/>
          <w:b w:val="0"/>
          <w:i w:val="0"/>
          <w:vanish w:val="0"/>
          <w:color w:val="000000"/>
          <w:sz w:val="24"/>
        </w:rPr>
        <w:t>Tabela 1: Kazalniki učinka</w:t>
      </w:r>
      <w:bookmarkEnd w:id="12"/>
    </w:p>
    <w:p w:rsidR="00A77B3E">
      <w:pPr>
        <w:spacing w:before="100" w:after="0"/>
        <w:jc w:val="start"/>
        <w:rPr>
          <w:rFonts w:ascii="Times New Roman" w:eastAsia="Times New Roman" w:hAnsi="Times New Roman" w:cs="Times New Roman"/>
          <w:b w:val="0"/>
          <w:i w:val="0"/>
          <w:vanish w:val="0"/>
          <w:color w:val="000000"/>
          <w:sz w:val="0"/>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1643"/>
        <w:gridCol w:w="8543"/>
        <w:gridCol w:w="1764"/>
        <w:gridCol w:w="1879"/>
        <w:gridCol w:w="1473"/>
      </w:tblGrid>
      <w:tr>
        <w:tblPrEx>
          <w:tblW w:w="100%" w:type="pct"/>
        </w:tblPrEx>
        <w:trPr>
          <w:cantSplit w:val="0"/>
          <w:trHeight w:hRule="auto" w:val="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Identifikator</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Kazalnik</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Merska enota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Mejnik (2024)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Cilj (2029)</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O.2.1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projektov v podporo digitalizaciji obravnave vizumskih vlog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O.2.2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udeležencev, ki so prejeli podporo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70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O.2.2.1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od tega število udeležencev dejavnosti usposabljanja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70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O.2.3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zaposlenih, ki so napoteni na konzulate v tretjih državah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7</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O.2.3.1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 xml:space="preserve">od tega število zaposlenih, ki so napoteni za obravnavo vizumskih vlog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7</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O.2.4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razvitih/vzdrževanih/nadgrajenih funkcionalnosti IT</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30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O.2.5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razvitih/vzdrževanih/nadgrajenih obsežnih sistemov IT</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O.2.5.1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 xml:space="preserve">od tega število razvitih obsežnih sistemov IT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O.2.6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kosov vzdrževane/popravljene infrastrukture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5</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O.2.7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v najem oddanih/amortiziranih nepremičnin</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r>
    </w:tbl>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0"/>
        </w:rPr>
        <w:br w:type="page"/>
      </w:r>
      <w:r>
        <w:rPr>
          <w:rFonts w:ascii="Times New Roman" w:eastAsia="Times New Roman" w:hAnsi="Times New Roman" w:cs="Times New Roman"/>
          <w:b w:val="0"/>
          <w:i w:val="0"/>
          <w:vanish w:val="0"/>
          <w:color w:val="000000"/>
          <w:sz w:val="24"/>
        </w:rPr>
        <w:t>2.1. Specifični cilj 2. Skupna vizumska politika</w:t>
      </w:r>
    </w:p>
    <w:p w:rsidR="00A77B3E">
      <w:pPr>
        <w:spacing w:before="100" w:after="0"/>
        <w:jc w:val="start"/>
        <w:rPr>
          <w:rFonts w:ascii="Times New Roman" w:eastAsia="Times New Roman" w:hAnsi="Times New Roman" w:cs="Times New Roman"/>
          <w:b w:val="0"/>
          <w:i w:val="0"/>
          <w:vanish w:val="0"/>
          <w:color w:val="000000"/>
          <w:sz w:val="0"/>
        </w:rPr>
      </w:pPr>
      <w:r>
        <w:rPr>
          <w:rFonts w:ascii="Times New Roman" w:eastAsia="Times New Roman" w:hAnsi="Times New Roman" w:cs="Times New Roman"/>
          <w:b w:val="0"/>
          <w:i w:val="0"/>
          <w:vanish w:val="0"/>
          <w:color w:val="000000"/>
          <w:sz w:val="24"/>
        </w:rPr>
        <w:t>2.1.2. Kazalniki</w:t>
      </w:r>
    </w:p>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24"/>
        </w:rPr>
        <w:t>Sklic: člen 22(4)(e) uredbe o skupnih določbah</w:t>
      </w:r>
    </w:p>
    <w:p w:rsidR="00A77B3E">
      <w:pPr>
        <w:pStyle w:val="Heading4"/>
        <w:spacing w:before="100" w:after="0"/>
        <w:jc w:val="start"/>
        <w:rPr>
          <w:rFonts w:ascii="Times New Roman" w:eastAsia="Times New Roman" w:hAnsi="Times New Roman" w:cs="Times New Roman"/>
          <w:b w:val="0"/>
          <w:i w:val="0"/>
          <w:vanish w:val="0"/>
          <w:color w:val="000000"/>
          <w:sz w:val="24"/>
        </w:rPr>
      </w:pPr>
      <w:bookmarkStart w:id="13" w:name="_Toc256000059"/>
      <w:r>
        <w:rPr>
          <w:rFonts w:ascii="Times New Roman" w:eastAsia="Times New Roman" w:hAnsi="Times New Roman" w:cs="Times New Roman"/>
          <w:b w:val="0"/>
          <w:i w:val="0"/>
          <w:vanish w:val="0"/>
          <w:color w:val="000000"/>
          <w:sz w:val="24"/>
        </w:rPr>
        <w:t>Tabela 2: Kazalniki rezultatov</w:t>
      </w:r>
      <w:bookmarkEnd w:id="13"/>
    </w:p>
    <w:p w:rsidR="00A77B3E">
      <w:pPr>
        <w:spacing w:before="100" w:after="0"/>
        <w:jc w:val="start"/>
        <w:rPr>
          <w:rFonts w:ascii="Times New Roman" w:eastAsia="Times New Roman" w:hAnsi="Times New Roman" w:cs="Times New Roman"/>
          <w:b w:val="0"/>
          <w:i w:val="0"/>
          <w:vanish w:val="0"/>
          <w:color w:val="000000"/>
          <w:sz w:val="0"/>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5.4pt" w:type="dxa"/>
          <w:end w:w="5.4pt" w:type="dxa"/>
        </w:tblCellMar>
      </w:tblPr>
      <w:tblGrid>
        <w:gridCol w:w="760"/>
        <w:gridCol w:w="2276"/>
        <w:gridCol w:w="1517"/>
        <w:gridCol w:w="1517"/>
        <w:gridCol w:w="1517"/>
        <w:gridCol w:w="1517"/>
        <w:gridCol w:w="1517"/>
        <w:gridCol w:w="1517"/>
        <w:gridCol w:w="1517"/>
        <w:gridCol w:w="1517"/>
      </w:tblGrid>
      <w:tr>
        <w:tblPrEx>
          <w:tblW w:w="100%" w:type="pct"/>
          <w:tblLayout w:type="fixed"/>
        </w:tblPrEx>
        <w:trPr>
          <w:cantSplit w:val="0"/>
          <w:trHeight w:hRule="auto" w:val="0"/>
          <w:tblHeader/>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Identifikator</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Kazalnik</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Merska enota</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Izhodišče</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Merska enota za izhodišče</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Referenčna leta</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Cilj (2029)</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Merska enota za cilj</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Vir podatkov</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Opombe</w:t>
            </w: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R.2.8</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novih/posodobljenih konzulatov zunaj schengenskega območja</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27</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Sklenjene pogodbe o dobavi, izvedbi;</w:t>
            </w:r>
          </w:p>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primopredajni zapisniki, dobavnice;</w:t>
            </w:r>
          </w:p>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interne evidence MZZ.</w:t>
            </w:r>
          </w:p>
          <w:p w:rsidR="00A77B3E">
            <w:pPr>
              <w:spacing w:before="100" w:after="0"/>
              <w:jc w:val="start"/>
              <w:rPr>
                <w:rFonts w:ascii="Times New Roman" w:eastAsia="Times New Roman" w:hAnsi="Times New Roman" w:cs="Times New Roman"/>
                <w:b w:val="0"/>
                <w:i w:val="0"/>
                <w:vanish w:val="0"/>
                <w:color w:val="000000"/>
                <w:sz w:val="20"/>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R.2.8.1</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od tega število konzulatov, ki so bili posodobljeni, da bi bili prijaznejši do prosilcev za vizum</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27</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Sklenjene pogodbe o dobavi, izvedbi;</w:t>
            </w:r>
          </w:p>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primopredajni zapisniki, dobavnice;</w:t>
            </w:r>
          </w:p>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interne evidence MZZ.</w:t>
            </w:r>
          </w:p>
          <w:p w:rsidR="00A77B3E">
            <w:pPr>
              <w:spacing w:before="100" w:after="0"/>
              <w:jc w:val="start"/>
              <w:rPr>
                <w:rFonts w:ascii="Times New Roman" w:eastAsia="Times New Roman" w:hAnsi="Times New Roman" w:cs="Times New Roman"/>
                <w:b w:val="0"/>
                <w:i w:val="0"/>
                <w:vanish w:val="0"/>
                <w:color w:val="000000"/>
                <w:sz w:val="20"/>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R.2.9</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obravnavanih priporočil na podlagi schengenskih ocenjevanj na področju skupne vizumske politike</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odstotek</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Priporočila  schengenske evalvacije.</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R.2.10</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vizumskih vlog, predloženih v digitalni obliki</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delež</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3.000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Vizumska statistika.</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R.2.11</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vzpostavljenih/izboljšanih oblik sodelovanja med državami članicami na področju obravnave vizumskih vlog</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R.2.12</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udeležencev, ki tri mesece po usposabljanju poročajo, da uporabljajo spretnosti in kompetence, pridobljene med usposabljanjem</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delež</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80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Liste prisotnosti na usposabljanjih;</w:t>
            </w:r>
          </w:p>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anketni listi;</w:t>
            </w:r>
          </w:p>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interne evidence MZZ.</w:t>
            </w:r>
          </w:p>
          <w:p w:rsidR="00A77B3E">
            <w:pPr>
              <w:spacing w:before="100" w:after="0"/>
              <w:jc w:val="start"/>
              <w:rPr>
                <w:rFonts w:ascii="Times New Roman" w:eastAsia="Times New Roman" w:hAnsi="Times New Roman" w:cs="Times New Roman"/>
                <w:b w:val="0"/>
                <w:i w:val="0"/>
                <w:vanish w:val="0"/>
                <w:color w:val="000000"/>
                <w:sz w:val="20"/>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bl>
    <w:p w:rsidR="00A77B3E">
      <w:pPr>
        <w:spacing w:before="100" w:after="0"/>
        <w:jc w:val="start"/>
        <w:rPr>
          <w:rFonts w:ascii="Times New Roman" w:eastAsia="Times New Roman" w:hAnsi="Times New Roman" w:cs="Times New Roman"/>
          <w:b w:val="0"/>
          <w:i w:val="0"/>
          <w:vanish w:val="0"/>
          <w:color w:val="000000"/>
          <w:sz w:val="20"/>
        </w:rPr>
        <w:sectPr>
          <w:headerReference w:type="even" r:id="rId34"/>
          <w:headerReference w:type="default" r:id="rId35"/>
          <w:footerReference w:type="even" r:id="rId36"/>
          <w:footerReference w:type="default" r:id="rId37"/>
          <w:headerReference w:type="first" r:id="rId38"/>
          <w:footerReference w:type="first" r:id="rId39"/>
          <w:type w:val="nextPage"/>
          <w:pgSz w:w="16838" w:h="11906" w:orient="landscape"/>
          <w:pgMar w:top="720" w:right="720" w:bottom="864" w:left="936" w:header="288" w:footer="72" w:gutter="0"/>
          <w:cols w:space="720"/>
          <w:noEndnote/>
          <w:docGrid w:linePitch="360"/>
        </w:sectPr>
      </w:pPr>
    </w:p>
    <w:p w:rsidR="00A77B3E">
      <w:pPr>
        <w:spacing w:before="100" w:after="0"/>
        <w:jc w:val="start"/>
        <w:rPr>
          <w:rFonts w:ascii="Times New Roman" w:eastAsia="Times New Roman" w:hAnsi="Times New Roman" w:cs="Times New Roman"/>
          <w:b w:val="0"/>
          <w:i w:val="0"/>
          <w:vanish w:val="0"/>
          <w:color w:val="000000"/>
          <w:sz w:val="0"/>
        </w:rPr>
      </w:pPr>
      <w:r>
        <w:rPr>
          <w:rFonts w:ascii="Times New Roman" w:eastAsia="Times New Roman" w:hAnsi="Times New Roman" w:cs="Times New Roman"/>
          <w:b w:val="0"/>
          <w:i w:val="0"/>
          <w:vanish w:val="0"/>
          <w:color w:val="000000"/>
          <w:sz w:val="24"/>
        </w:rPr>
        <w:t>2.1. Specifični cilj 2. Skupna vizumska politika</w:t>
      </w:r>
    </w:p>
    <w:p w:rsidR="00A77B3E">
      <w:pPr>
        <w:pStyle w:val="Heading3"/>
        <w:spacing w:before="100" w:after="0"/>
        <w:jc w:val="start"/>
        <w:rPr>
          <w:rFonts w:ascii="Times New Roman" w:eastAsia="Times New Roman" w:hAnsi="Times New Roman" w:cs="Times New Roman"/>
          <w:b w:val="0"/>
          <w:i w:val="0"/>
          <w:vanish w:val="0"/>
          <w:color w:val="000000"/>
          <w:sz w:val="24"/>
        </w:rPr>
      </w:pPr>
      <w:bookmarkStart w:id="14" w:name="_Toc256000060"/>
      <w:r>
        <w:rPr>
          <w:rFonts w:ascii="Times New Roman" w:eastAsia="Times New Roman" w:hAnsi="Times New Roman" w:cs="Times New Roman"/>
          <w:b w:val="0"/>
          <w:i w:val="0"/>
          <w:vanish w:val="0"/>
          <w:color w:val="000000"/>
          <w:sz w:val="24"/>
        </w:rPr>
        <w:t>2.1.3. Okvirna razčlenitev programskih sredstev (EU) po vrsti ukrepa</w:t>
      </w:r>
      <w:bookmarkEnd w:id="14"/>
    </w:p>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Sklic: člen 22(5) uredbe o skupnih določbah, člen 16(2) uredbe o AMIF, člen 13(12) uredbe o SNV ali člen 13(18) uredbe o IUMV</w:t>
      </w:r>
    </w:p>
    <w:p w:rsidR="00A77B3E">
      <w:pPr>
        <w:pStyle w:val="Heading4"/>
        <w:spacing w:before="100" w:after="0"/>
        <w:jc w:val="start"/>
        <w:rPr>
          <w:rFonts w:ascii="Times New Roman" w:eastAsia="Times New Roman" w:hAnsi="Times New Roman" w:cs="Times New Roman"/>
          <w:b w:val="0"/>
          <w:i w:val="0"/>
          <w:vanish w:val="0"/>
          <w:color w:val="000000"/>
          <w:sz w:val="24"/>
        </w:rPr>
      </w:pPr>
      <w:bookmarkStart w:id="15" w:name="_Toc256000061"/>
      <w:r>
        <w:rPr>
          <w:rFonts w:ascii="Times New Roman" w:eastAsia="Times New Roman" w:hAnsi="Times New Roman" w:cs="Times New Roman"/>
          <w:b w:val="0"/>
          <w:i w:val="0"/>
          <w:vanish w:val="0"/>
          <w:color w:val="000000"/>
          <w:sz w:val="24"/>
        </w:rPr>
        <w:t>Tabela 3: Okvirna razčlenitev</w:t>
      </w:r>
      <w:bookmarkEnd w:id="15"/>
    </w:p>
    <w:p w:rsidR="00A77B3E">
      <w:pPr>
        <w:spacing w:before="100" w:after="0"/>
        <w:jc w:val="start"/>
        <w:rPr>
          <w:rFonts w:ascii="Times New Roman" w:eastAsia="Times New Roman" w:hAnsi="Times New Roman" w:cs="Times New Roman"/>
          <w:b w:val="0"/>
          <w:i w:val="0"/>
          <w:vanish w:val="0"/>
          <w:color w:val="000000"/>
          <w:sz w:val="0"/>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1570"/>
        <w:gridCol w:w="11963"/>
        <w:gridCol w:w="1769"/>
      </w:tblGrid>
      <w:tr>
        <w:tblPrEx>
          <w:tblW w:w="100%" w:type="pct"/>
        </w:tblPrEx>
        <w:trPr>
          <w:cantSplit w:val="0"/>
          <w:trHeight w:hRule="auto" w:val="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Oznaka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Okvirni znesek (v EUR)</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001.Izboljšanje obravnave vlog za izdajo vizuma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768.750,00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002.Izboljšanje učinkovitosti, strankam prijaznega okolja in varnosti na konzulatih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832.500,00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003.Varnost dokumentov/svetovalci za dokumente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481.750,00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004.Konzularno sodelovanje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005.Konzularna zastopanost</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006.Obsežni informacijski sistemi – vizumski informacijski sistem (VIS)</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2.167.126,00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007.Drugi sistemi IKT za namene obravnave vlog za izdajo vizuma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2.818.974,00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008.Operativna podpora – skupna vizumska politika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4.214.900,00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009.Operativna podpora – obsežni informacijski sistemi za namene obravnave vlog za izdajo vizuma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010.Operativna podpora – posebna tranzitna shema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011.Izdajanje vizumov z omejeno ozemeljsko veljavnostjo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012.Kakovost podatkov in pravice posameznikov, na katere se nanašajo osebni podatki, do informacij ter dostopa do, popravka in izbrisa njihovih osebnih podatkov ter do omejitve obdelave navedenih podatkov</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100.000,00</w:t>
            </w:r>
          </w:p>
        </w:tc>
      </w:tr>
    </w:tbl>
    <w:p w:rsidR="00A77B3E">
      <w:pPr>
        <w:spacing w:before="100" w:after="0"/>
        <w:jc w:val="start"/>
        <w:rPr>
          <w:rFonts w:ascii="Times New Roman" w:eastAsia="Times New Roman" w:hAnsi="Times New Roman" w:cs="Times New Roman"/>
          <w:b w:val="0"/>
          <w:i w:val="0"/>
          <w:vanish w:val="0"/>
          <w:color w:val="000000"/>
          <w:sz w:val="20"/>
        </w:rPr>
        <w:sectPr>
          <w:type w:val="nextPage"/>
          <w:pgSz w:w="16838" w:h="11906" w:orient="landscape"/>
          <w:pgMar w:top="720" w:right="720" w:bottom="864" w:left="936" w:header="288" w:footer="72" w:gutter="0"/>
          <w:cols w:space="720"/>
          <w:noEndnote/>
          <w:docGrid w:linePitch="360"/>
        </w:sectPr>
      </w:pPr>
    </w:p>
    <w:p w:rsidR="00A77B3E">
      <w:pPr>
        <w:pStyle w:val="Heading2"/>
        <w:spacing w:before="100" w:after="0"/>
        <w:jc w:val="start"/>
        <w:rPr>
          <w:rFonts w:ascii="TimesNewRoman" w:eastAsia="TimesNewRoman" w:hAnsi="TimesNewRoman" w:cs="TimesNewRoman"/>
          <w:b w:val="0"/>
          <w:i w:val="0"/>
          <w:vanish w:val="0"/>
          <w:color w:val="000000"/>
          <w:sz w:val="24"/>
        </w:rPr>
      </w:pPr>
      <w:bookmarkStart w:id="16" w:name="_Toc256000062"/>
      <w:r>
        <w:rPr>
          <w:rFonts w:ascii="TimesNewRoman" w:eastAsia="TimesNewRoman" w:hAnsi="TimesNewRoman" w:cs="TimesNewRoman"/>
          <w:b w:val="0"/>
          <w:i w:val="0"/>
          <w:vanish w:val="0"/>
          <w:color w:val="000000"/>
          <w:sz w:val="24"/>
        </w:rPr>
        <w:t>2.2. Tehnična pomoč: TA.36(5). Tehnična pomoč – pavšalna stopnja (člen 36(5) uredbe o skupnih določbah)</w:t>
      </w:r>
      <w:bookmarkEnd w:id="16"/>
    </w:p>
    <w:p w:rsidR="00A77B3E">
      <w:pPr>
        <w:spacing w:before="100" w:after="0"/>
        <w:jc w:val="start"/>
        <w:rPr>
          <w:rFonts w:ascii="TimesNewRoman" w:eastAsia="TimesNewRoman" w:hAnsi="TimesNewRoman" w:cs="TimesNewRoman"/>
          <w:b w:val="0"/>
          <w:i w:val="0"/>
          <w:vanish w:val="0"/>
          <w:color w:val="000000"/>
          <w:sz w:val="0"/>
        </w:rPr>
      </w:pPr>
    </w:p>
    <w:p w:rsidR="00A77B3E">
      <w:pPr>
        <w:spacing w:before="100" w:after="0"/>
        <w:jc w:val="start"/>
        <w:rPr>
          <w:rFonts w:ascii="TimesNewRoman" w:eastAsia="TimesNewRoman" w:hAnsi="TimesNewRoman" w:cs="TimesNewRoman"/>
          <w:b w:val="0"/>
          <w:i w:val="0"/>
          <w:vanish w:val="0"/>
          <w:color w:val="000000"/>
          <w:sz w:val="0"/>
        </w:rPr>
      </w:pPr>
      <w:r>
        <w:rPr>
          <w:rFonts w:ascii="TimesNewRoman" w:eastAsia="TimesNewRoman" w:hAnsi="TimesNewRoman" w:cs="TimesNewRoman"/>
          <w:b w:val="0"/>
          <w:i w:val="0"/>
          <w:vanish w:val="0"/>
          <w:color w:val="000000"/>
          <w:sz w:val="24"/>
        </w:rPr>
        <w:t>Sklic: člen 22(3)(f), člen 36(5) ter člena 37 in 95 uredbe o skupnih določbah</w:t>
      </w:r>
    </w:p>
    <w:p w:rsidR="00A77B3E">
      <w:pPr>
        <w:pStyle w:val="Heading3"/>
        <w:spacing w:before="100" w:after="0"/>
        <w:jc w:val="start"/>
        <w:rPr>
          <w:rFonts w:ascii="TimesNewRoman" w:eastAsia="TimesNewRoman" w:hAnsi="TimesNewRoman" w:cs="TimesNewRoman"/>
          <w:b w:val="0"/>
          <w:i w:val="0"/>
          <w:vanish w:val="0"/>
          <w:color w:val="000000"/>
          <w:sz w:val="24"/>
        </w:rPr>
      </w:pPr>
      <w:bookmarkStart w:id="17" w:name="_Toc256000063"/>
      <w:r>
        <w:rPr>
          <w:rFonts w:ascii="TimesNewRoman" w:eastAsia="TimesNewRoman" w:hAnsi="TimesNewRoman" w:cs="TimesNewRoman"/>
          <w:b w:val="0"/>
          <w:i w:val="0"/>
          <w:vanish w:val="0"/>
          <w:color w:val="000000"/>
          <w:sz w:val="24"/>
        </w:rPr>
        <w:t>2.2.1. Opis</w:t>
      </w:r>
      <w:bookmarkEnd w:id="17"/>
    </w:p>
    <w:p w:rsidR="00A77B3E">
      <w:pPr>
        <w:spacing w:before="100" w:after="0"/>
        <w:jc w:val="start"/>
        <w:rPr>
          <w:rFonts w:ascii="TimesNewRoman" w:eastAsia="TimesNewRoman" w:hAnsi="TimesNewRoman" w:cs="TimesNewRoman"/>
          <w:b w:val="0"/>
          <w:i w:val="0"/>
          <w:vanish w:val="0"/>
          <w:color w:val="000000"/>
          <w:sz w:val="0"/>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5.4pt" w:type="dxa"/>
          <w:end w:w="5.4pt" w:type="dxa"/>
        </w:tblCellMar>
      </w:tblPr>
      <w:tblGrid>
        <w:gridCol w:w="10240"/>
      </w:tblGrid>
      <w:tr>
        <w:tblPrEx>
          <w:tblW w:w="100%" w:type="pct"/>
          <w:tblLayout w:type="fixed"/>
        </w:tblPrEx>
        <w:trPr>
          <w:cantSplit w:val="0"/>
          <w:trHeight w:hRule="auto" w:val="0"/>
          <w:tblHeader w:val="0"/>
        </w:trPr>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0"/>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Sredstva tehnične pomoči (TP) bodo v večini namenjena za krepitev zmogljivosti (t.j. plače osebja, izobraževanja in usposabljanja, itd.) v okviru organa upravljanja t.j. MNZ, Služba za evropska sredstva, Projektna enota za sklade notranje varnosti in migracije, ki se bo skladno s povečanim obsegom dodeljenih sredstev in posledično povečanim številom operacij okrepila. Sredstva TP bodo namenjena tudi za delovanje revizijskega organa t.j. Ministrstva za finance, Urada za nadzor proračuna ter dveh posredniških teles. To sta Ministrstvo za finance, Sektor za upravljanje s sredstvi EU/CA za izvajanje finančnih transakcij med EU in nacionalnim proračunom ter posredniško telo za operacije, ki se izvajajo na podlagi javnih razpisov. Načrtovani stroški so vezani na stroške osebja, usposabljanj in tekoče stroške delovanja v vseh fazah programiranja (priprava, upravljanje in nadzor, spremljanje in vrednotenje).</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Del sredstev bo namenjenih za postavitev, nadgradnjo in vzdrževanje informacijskega sistema MIGRA III, ki je namenjen upravljanju in nadzoru EU sredstev skladov s področja notranje varnosti in migracij. Uporablja se za načrtovanje, izvajanje, spremljanje operacij, tako z vsebinskega, kot tudi finančnega vidika.</w:t>
            </w:r>
          </w:p>
          <w:p w:rsidR="00A77B3E">
            <w:pPr>
              <w:spacing w:before="100" w:after="0"/>
              <w:jc w:val="start"/>
              <w:rPr>
                <w:rFonts w:ascii="TimesNewRoman" w:eastAsia="TimesNewRoman" w:hAnsi="TimesNewRoman" w:cs="TimesNewRoman"/>
                <w:b w:val="0"/>
                <w:i w:val="0"/>
                <w:vanish w:val="0"/>
                <w:color w:val="000000"/>
                <w:sz w:val="6"/>
              </w:rPr>
            </w:pPr>
          </w:p>
          <w:p w:rsidR="00A77B3E">
            <w:pPr>
              <w:spacing w:before="100" w:after="0"/>
              <w:jc w:val="start"/>
              <w:rPr>
                <w:rFonts w:ascii="TimesNewRoman" w:eastAsia="TimesNewRoman" w:hAnsi="TimesNewRoman" w:cs="TimesNewRoman"/>
                <w:b w:val="0"/>
                <w:i w:val="0"/>
                <w:vanish w:val="0"/>
                <w:color w:val="000000"/>
                <w:sz w:val="6"/>
              </w:rPr>
            </w:pPr>
          </w:p>
        </w:tc>
      </w:tr>
    </w:tbl>
    <w:p w:rsidR="00A77B3E">
      <w:pPr>
        <w:spacing w:before="100" w:after="0"/>
        <w:jc w:val="start"/>
        <w:rPr>
          <w:rFonts w:ascii="TimesNewRoman" w:eastAsia="TimesNewRoman" w:hAnsi="TimesNewRoman" w:cs="TimesNewRoman"/>
          <w:b w:val="0"/>
          <w:i w:val="0"/>
          <w:vanish w:val="0"/>
          <w:color w:val="000000"/>
          <w:sz w:val="24"/>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orient="portrait"/>
          <w:pgMar w:top="720" w:right="936" w:bottom="864" w:left="720" w:header="0" w:footer="72" w:gutter="0"/>
          <w:cols w:space="720"/>
          <w:noEndnote/>
          <w:docGrid w:linePitch="360"/>
        </w:sectPr>
      </w:pPr>
    </w:p>
    <w:p w:rsidR="00A77B3E">
      <w:pPr>
        <w:spacing w:before="100" w:after="0"/>
        <w:jc w:val="start"/>
        <w:rPr>
          <w:rFonts w:ascii="Times New Roman" w:eastAsia="Times New Roman" w:hAnsi="Times New Roman" w:cs="Times New Roman"/>
          <w:b w:val="0"/>
          <w:i w:val="0"/>
          <w:vanish w:val="0"/>
          <w:color w:val="000000"/>
          <w:sz w:val="0"/>
        </w:rPr>
      </w:pPr>
      <w:r>
        <w:rPr>
          <w:rFonts w:ascii="Times New Roman" w:eastAsia="Times New Roman" w:hAnsi="Times New Roman" w:cs="Times New Roman"/>
          <w:b w:val="0"/>
          <w:i w:val="0"/>
          <w:vanish w:val="0"/>
          <w:color w:val="000000"/>
          <w:sz w:val="24"/>
        </w:rPr>
        <w:t>2.2. Tehnična pomoč TA.36(5). Tehnična pomoč – pavšalna stopnja (člen 36(5) uredbe o skupnih določbah)</w:t>
      </w:r>
    </w:p>
    <w:p w:rsidR="00A77B3E">
      <w:pPr>
        <w:pStyle w:val="Heading3"/>
        <w:spacing w:before="100" w:after="0"/>
        <w:jc w:val="start"/>
        <w:rPr>
          <w:rFonts w:ascii="Times New Roman" w:eastAsia="Times New Roman" w:hAnsi="Times New Roman" w:cs="Times New Roman"/>
          <w:b w:val="0"/>
          <w:i w:val="0"/>
          <w:vanish w:val="0"/>
          <w:color w:val="000000"/>
          <w:sz w:val="24"/>
        </w:rPr>
      </w:pPr>
      <w:bookmarkStart w:id="18" w:name="_Toc256000064"/>
      <w:r>
        <w:rPr>
          <w:rFonts w:ascii="Times New Roman" w:eastAsia="Times New Roman" w:hAnsi="Times New Roman" w:cs="Times New Roman"/>
          <w:b w:val="0"/>
          <w:i w:val="0"/>
          <w:vanish w:val="0"/>
          <w:color w:val="000000"/>
          <w:sz w:val="24"/>
        </w:rPr>
        <w:t>2.2.2. Okvirna razčlenitev tehnične pomoči v skladu s členom 37 uredbe o skupnih določbah</w:t>
      </w:r>
      <w:bookmarkEnd w:id="18"/>
    </w:p>
    <w:p w:rsidR="00A77B3E">
      <w:pPr>
        <w:pStyle w:val="Heading4"/>
        <w:spacing w:before="100" w:after="0"/>
        <w:jc w:val="start"/>
        <w:rPr>
          <w:rFonts w:ascii="Times New Roman" w:eastAsia="Times New Roman" w:hAnsi="Times New Roman" w:cs="Times New Roman"/>
          <w:b w:val="0"/>
          <w:i w:val="0"/>
          <w:vanish w:val="0"/>
          <w:color w:val="000000"/>
          <w:sz w:val="24"/>
        </w:rPr>
      </w:pPr>
      <w:bookmarkStart w:id="19" w:name="_Toc256000065"/>
      <w:r>
        <w:rPr>
          <w:rFonts w:ascii="Times New Roman" w:eastAsia="Times New Roman" w:hAnsi="Times New Roman" w:cs="Times New Roman"/>
          <w:b w:val="0"/>
          <w:i w:val="0"/>
          <w:vanish w:val="0"/>
          <w:color w:val="000000"/>
          <w:sz w:val="24"/>
        </w:rPr>
        <w:t>Tabela 4: Okvirna razčlenitev</w:t>
      </w:r>
      <w:bookmarkEnd w:id="19"/>
    </w:p>
    <w:p w:rsidR="00A77B3E">
      <w:pPr>
        <w:spacing w:before="100" w:after="0"/>
        <w:jc w:val="start"/>
        <w:rPr>
          <w:rFonts w:ascii="Times New Roman" w:eastAsia="Times New Roman" w:hAnsi="Times New Roman" w:cs="Times New Roman"/>
          <w:b w:val="0"/>
          <w:i w:val="0"/>
          <w:vanish w:val="0"/>
          <w:color w:val="000000"/>
          <w:sz w:val="0"/>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2404"/>
        <w:gridCol w:w="5238"/>
        <w:gridCol w:w="2728"/>
      </w:tblGrid>
      <w:tr>
        <w:tblPrEx>
          <w:tblW w:w="100%" w:type="pct"/>
        </w:tblPrEx>
        <w:trPr>
          <w:cantSplit w:val="0"/>
          <w:trHeight w:hRule="auto" w:val="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Oznaka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Okvirni znesek (v EUR)</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001.Informacijske in komunikacijske dejavnosti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200.000,00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002.Priprava, izvajanje, spremljanje in kontrola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5.721.093,73</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003.Ocenjevanje in študije, zbiranje podatkov</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200.000,00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004.Krepitev zmogljivosti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0,00</w:t>
            </w:r>
          </w:p>
        </w:tc>
      </w:tr>
    </w:tbl>
    <w:p w:rsidR="00A77B3E">
      <w:pPr>
        <w:spacing w:before="100" w:after="0"/>
        <w:jc w:val="start"/>
        <w:rPr>
          <w:rFonts w:ascii="Times New Roman" w:eastAsia="Times New Roman" w:hAnsi="Times New Roman" w:cs="Times New Roman"/>
          <w:b w:val="0"/>
          <w:i w:val="0"/>
          <w:vanish w:val="0"/>
          <w:color w:val="000000"/>
          <w:sz w:val="20"/>
        </w:rPr>
        <w:sectPr>
          <w:type w:val="nextPage"/>
          <w:pgSz w:w="11906" w:h="16838" w:orient="portrait"/>
          <w:pgMar w:top="720" w:right="936" w:bottom="864" w:left="720" w:header="0" w:footer="72" w:gutter="0"/>
          <w:cols w:space="720"/>
          <w:noEndnote/>
          <w:docGrid w:linePitch="360"/>
        </w:sectPr>
      </w:pPr>
    </w:p>
    <w:p w:rsidR="00A77B3E">
      <w:pPr>
        <w:pStyle w:val="Heading1"/>
        <w:spacing w:before="100" w:after="0"/>
        <w:jc w:val="start"/>
        <w:rPr>
          <w:rFonts w:ascii="Times New Roman" w:eastAsia="Times New Roman" w:hAnsi="Times New Roman" w:cs="Times New Roman"/>
          <w:b w:val="0"/>
          <w:i w:val="0"/>
          <w:vanish w:val="0"/>
          <w:color w:val="000000"/>
          <w:sz w:val="24"/>
        </w:rPr>
      </w:pPr>
      <w:bookmarkStart w:id="20" w:name="_Toc256000066"/>
      <w:r>
        <w:rPr>
          <w:rFonts w:ascii="Times New Roman" w:eastAsia="Times New Roman" w:hAnsi="Times New Roman" w:cs="Times New Roman"/>
          <w:b w:val="0"/>
          <w:i w:val="0"/>
          <w:vanish w:val="0"/>
          <w:color w:val="000000"/>
          <w:sz w:val="24"/>
        </w:rPr>
        <w:t>3. Načrt financiranja</w:t>
      </w:r>
      <w:bookmarkEnd w:id="20"/>
    </w:p>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24"/>
        </w:rPr>
        <w:t>Sklic: člen 22(3)(g) uredbe o skupnih določbah</w:t>
      </w:r>
    </w:p>
    <w:p w:rsidR="00A77B3E">
      <w:pPr>
        <w:pStyle w:val="Heading2"/>
        <w:spacing w:before="100" w:after="0"/>
        <w:jc w:val="start"/>
        <w:rPr>
          <w:rFonts w:ascii="TimesNewRoman" w:eastAsia="TimesNewRoman" w:hAnsi="TimesNewRoman" w:cs="TimesNewRoman"/>
          <w:b w:val="0"/>
          <w:i w:val="0"/>
          <w:vanish w:val="0"/>
          <w:color w:val="000000"/>
          <w:sz w:val="24"/>
        </w:rPr>
      </w:pPr>
      <w:bookmarkStart w:id="21" w:name="_Toc256000067"/>
      <w:r>
        <w:rPr>
          <w:rFonts w:ascii="TimesNewRoman" w:eastAsia="TimesNewRoman" w:hAnsi="TimesNewRoman" w:cs="TimesNewRoman"/>
          <w:b w:val="0"/>
          <w:i w:val="0"/>
          <w:vanish w:val="0"/>
          <w:color w:val="000000"/>
          <w:sz w:val="24"/>
        </w:rPr>
        <w:t>3.1. Finančna sredstva po letih</w:t>
      </w:r>
      <w:bookmarkEnd w:id="21"/>
    </w:p>
    <w:p w:rsidR="00A77B3E">
      <w:pPr>
        <w:pStyle w:val="Heading4"/>
        <w:spacing w:before="100" w:after="0"/>
        <w:jc w:val="start"/>
        <w:rPr>
          <w:rFonts w:ascii="TimesNewRoman" w:eastAsia="TimesNewRoman" w:hAnsi="TimesNewRoman" w:cs="TimesNewRoman"/>
          <w:b w:val="0"/>
          <w:i w:val="0"/>
          <w:vanish w:val="0"/>
          <w:color w:val="000000"/>
          <w:sz w:val="24"/>
        </w:rPr>
      </w:pPr>
      <w:bookmarkStart w:id="22" w:name="_Toc256000068"/>
      <w:r>
        <w:rPr>
          <w:rFonts w:ascii="TimesNewRoman" w:eastAsia="TimesNewRoman" w:hAnsi="TimesNewRoman" w:cs="TimesNewRoman"/>
          <w:b w:val="0"/>
          <w:i w:val="0"/>
          <w:vanish w:val="0"/>
          <w:color w:val="000000"/>
          <w:sz w:val="24"/>
        </w:rPr>
        <w:t>Tabela 5: Finančna sredstva po letih</w:t>
      </w:r>
      <w:bookmarkEnd w:id="22"/>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4094"/>
        <w:gridCol w:w="630"/>
        <w:gridCol w:w="1488"/>
        <w:gridCol w:w="1488"/>
        <w:gridCol w:w="1488"/>
        <w:gridCol w:w="1504"/>
        <w:gridCol w:w="1504"/>
        <w:gridCol w:w="1504"/>
        <w:gridCol w:w="1602"/>
      </w:tblGrid>
      <w:tr>
        <w:tblPrEx>
          <w:tblW w:w="100%" w:type="pct"/>
        </w:tblPrEx>
        <w:trPr>
          <w:cantSplit w:val="0"/>
          <w:trHeight w:hRule="auto" w:val="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Vrsta dodelitve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2021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2022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2023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2024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2025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2026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2027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Skupaj</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Začetna dodelitev</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18.267.787,00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22.195.503,00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23.938.254,00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18.535.093,00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15.342.589,00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15.551.640,00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113.830.866,00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Vmesni pregled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Tematski instrument – delovni program 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Tematski instrument – delovni program II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Tematski instrument – delovni program III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Premestitev (v)</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Premesitev (iz)</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−1.897.181,09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−1.897.181,10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−1.897.181,10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−5.691.543,29</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MFF Mid-term review</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SACs contribution</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Skupaj</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18.267.787,00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22.195.503,00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23.938.254,00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16.637.911,91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13.445.407,90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13.654.458,90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108.139.322,71</w:t>
            </w:r>
          </w:p>
        </w:tc>
      </w:tr>
    </w:tbl>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16"/>
        </w:rPr>
        <w:br w:type="page"/>
      </w:r>
    </w:p>
    <w:p w:rsidR="00A77B3E">
      <w:pPr>
        <w:pStyle w:val="Heading2"/>
        <w:spacing w:before="100" w:after="0"/>
        <w:jc w:val="start"/>
        <w:rPr>
          <w:rFonts w:ascii="TimesNewRoman" w:eastAsia="TimesNewRoman" w:hAnsi="TimesNewRoman" w:cs="TimesNewRoman"/>
          <w:b w:val="0"/>
          <w:i w:val="0"/>
          <w:vanish w:val="0"/>
          <w:color w:val="000000"/>
          <w:sz w:val="24"/>
        </w:rPr>
      </w:pPr>
      <w:bookmarkStart w:id="23" w:name="_Toc256000069"/>
      <w:r>
        <w:rPr>
          <w:rFonts w:ascii="TimesNewRoman" w:eastAsia="TimesNewRoman" w:hAnsi="TimesNewRoman" w:cs="TimesNewRoman"/>
          <w:b w:val="0"/>
          <w:i w:val="0"/>
          <w:vanish w:val="0"/>
          <w:color w:val="000000"/>
          <w:sz w:val="24"/>
        </w:rPr>
        <w:t>3.2. Skupna dodelitev finančnih sredstev</w:t>
      </w:r>
      <w:bookmarkEnd w:id="23"/>
    </w:p>
    <w:p w:rsidR="00A77B3E">
      <w:pPr>
        <w:pStyle w:val="Heading4"/>
        <w:spacing w:before="100" w:after="0"/>
        <w:jc w:val="start"/>
        <w:rPr>
          <w:rFonts w:ascii="TimesNewRoman" w:eastAsia="TimesNewRoman" w:hAnsi="TimesNewRoman" w:cs="TimesNewRoman"/>
          <w:b w:val="0"/>
          <w:i w:val="0"/>
          <w:vanish w:val="0"/>
          <w:color w:val="000000"/>
          <w:sz w:val="24"/>
        </w:rPr>
      </w:pPr>
      <w:bookmarkStart w:id="24" w:name="_Toc256000070"/>
      <w:r>
        <w:rPr>
          <w:rFonts w:ascii="TimesNewRoman" w:eastAsia="TimesNewRoman" w:hAnsi="TimesNewRoman" w:cs="TimesNewRoman"/>
          <w:b w:val="0"/>
          <w:i w:val="0"/>
          <w:vanish w:val="0"/>
          <w:color w:val="000000"/>
          <w:sz w:val="24"/>
        </w:rPr>
        <w:t>Tabela 6: Skupna dodelitev finančnih sredstev po skladih in nacionalni prispevek</w:t>
      </w:r>
      <w:bookmarkEnd w:id="24"/>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3061"/>
        <w:gridCol w:w="1531"/>
        <w:gridCol w:w="1530"/>
        <w:gridCol w:w="1530"/>
        <w:gridCol w:w="1530"/>
        <w:gridCol w:w="1530"/>
        <w:gridCol w:w="1530"/>
        <w:gridCol w:w="1530"/>
        <w:gridCol w:w="1530"/>
      </w:tblGrid>
      <w:tr>
        <w:tblPrEx>
          <w:tblW w:w="100%" w:type="pct"/>
        </w:tblPrEx>
        <w:trPr>
          <w:cantSplit w:val="0"/>
          <w:trHeight w:hRule="auto" w:val="0"/>
          <w:tblHeader/>
        </w:trPr>
        <w:tc>
          <w:tcPr>
            <w:tcW w:w="20%" w:type="pct"/>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Specifični cilji (SC)</w:t>
            </w:r>
          </w:p>
        </w:tc>
        <w:tc>
          <w:tcPr>
            <w:tcW w:w="10%" w:type="pct"/>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Vrsta ukrepa</w:t>
            </w:r>
          </w:p>
        </w:tc>
        <w:tc>
          <w:tcPr>
            <w:tcW w:w="10%" w:type="pct"/>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Osnova za izračun podpore Unije (skupne ali javne)</w:t>
            </w:r>
          </w:p>
        </w:tc>
        <w:tc>
          <w:tcPr>
            <w:tcW w:w="10%" w:type="pct"/>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Prispevek Unije (a)</w:t>
            </w:r>
          </w:p>
        </w:tc>
        <w:tc>
          <w:tcPr>
            <w:tcW w:w="10%" w:type="pct"/>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Nacionalni prispevek (b) = (c) + (d)</w:t>
            </w:r>
          </w:p>
        </w:tc>
        <w:tc>
          <w:tcPr>
            <w:tcW w:w="10%" w:type="pct"/>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Okvirna razčlenitev nacionalnega prispevka</w:t>
            </w:r>
          </w:p>
        </w:tc>
        <w:tc>
          <w:tcPr>
            <w:tcW w:w="10%" w:type="pct"/>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Skupaj (e) = (a) + (b)</w:t>
            </w:r>
          </w:p>
        </w:tc>
        <w:tc>
          <w:tcPr>
            <w:tcW w:w="10%" w:type="pct"/>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Stopnja sofinanciranja (f) = (a) / (e)</w:t>
            </w:r>
          </w:p>
        </w:tc>
      </w:tr>
      <w:tr>
        <w:tblPrEx>
          <w:tblW w:w="100%" w:type="pct"/>
        </w:tblPrEx>
        <w:trPr>
          <w:cantSplit w:val="0"/>
          <w:trHeight w:hRule="auto" w:val="0"/>
          <w:tblHeader/>
        </w:trPr>
        <w:tc>
          <w:tcPr>
            <w:tcW w:w="10%" w:type="pct"/>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p>
        </w:tc>
        <w:tc>
          <w:tcPr>
            <w:tcW w:w="10%" w:type="pct"/>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p>
        </w:tc>
        <w:tc>
          <w:tcPr>
            <w:tcW w:w="10%" w:type="pct"/>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p>
        </w:tc>
        <w:tc>
          <w:tcPr>
            <w:tcW w:w="10%" w:type="pct"/>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p>
        </w:tc>
        <w:tc>
          <w:tcPr>
            <w:tcW w:w="10%" w:type="pct"/>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Javno (c)</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Zasebno (d)</w:t>
            </w:r>
          </w:p>
        </w:tc>
        <w:tc>
          <w:tcPr>
            <w:tcW w:w="10%" w:type="pct"/>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p>
        </w:tc>
        <w:tc>
          <w:tcPr>
            <w:tcW w:w="10%" w:type="pct"/>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p>
        </w:tc>
      </w:tr>
      <w:tr>
        <w:tblPrEx>
          <w:tblW w:w="100%" w:type="pct"/>
        </w:tblPrEx>
        <w:trPr>
          <w:cantSplit w:val="0"/>
          <w:trHeight w:hRule="auto" w:val="0"/>
          <w:tblHeader w:val="0"/>
        </w:trPr>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Evropsko integrirano upravljanje meja</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Redni ukrepi</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Skupaj</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53.881.079,60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17.960.359,87</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17.960.359,87</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71.841.439,47</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74,9999999965%</w:t>
            </w:r>
          </w:p>
        </w:tc>
      </w:tr>
      <w:tr>
        <w:tblPrEx>
          <w:tblW w:w="100%" w:type="pct"/>
        </w:tblPrEx>
        <w:trPr>
          <w:cantSplit w:val="0"/>
          <w:trHeight w:hRule="auto" w:val="0"/>
          <w:tblHeader w:val="0"/>
        </w:trPr>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Evropsko integrirano upravljanje meja</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Ukrepi iz Priloge IV</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Skupaj</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14.298.000,00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1.588.666,67</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1.588.666,67</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15.886.666,67</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89,9999999811%</w:t>
            </w:r>
          </w:p>
        </w:tc>
      </w:tr>
      <w:tr>
        <w:tblPrEx>
          <w:tblW w:w="100%" w:type="pct"/>
        </w:tblPrEx>
        <w:trPr>
          <w:cantSplit w:val="0"/>
          <w:trHeight w:hRule="auto" w:val="0"/>
          <w:tblHeader w:val="0"/>
        </w:trPr>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Evropsko integrirano upravljanje meja</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Operativna podpora</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Skupaj</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21.745.149,38</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21.745.149,38</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100,0000000000%</w:t>
            </w:r>
          </w:p>
        </w:tc>
      </w:tr>
      <w:tr>
        <w:tblPrEx>
          <w:tblW w:w="100%" w:type="pct"/>
        </w:tblPrEx>
        <w:trPr>
          <w:cantSplit w:val="0"/>
          <w:trHeight w:hRule="auto" w:val="0"/>
          <w:tblHeader w:val="0"/>
        </w:trPr>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Evropsko integrirano upravljanje meja</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Uredba ETIAS, člen 85(2)</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Skupaj</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560.000,00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560.000,00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100,0000000000%</w:t>
            </w:r>
          </w:p>
        </w:tc>
      </w:tr>
      <w:tr>
        <w:tblPrEx>
          <w:tblW w:w="100%" w:type="pct"/>
        </w:tblPrEx>
        <w:trPr>
          <w:cantSplit w:val="0"/>
          <w:trHeight w:hRule="auto" w:val="0"/>
          <w:tblHeader w:val="0"/>
        </w:trPr>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Evropsko integrirano upravljanje meja</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Uredba ETIAS, člen 85(3)</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Skupaj</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150.000,00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150.000,00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100,0000000000%</w:t>
            </w:r>
          </w:p>
        </w:tc>
      </w:tr>
      <w:tr>
        <w:tblPrEx>
          <w:tblW w:w="100%" w:type="pct"/>
        </w:tblPrEx>
        <w:trPr>
          <w:cantSplit w:val="0"/>
          <w:trHeight w:hRule="auto" w:val="0"/>
          <w:tblHeader w:val="0"/>
        </w:trPr>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Skupaj Evropsko integrirano upravljanje meja</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90.634.228,98</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19.549.026,54</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19.549.026,54</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110.183.255,52</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82,2577156141%</w:t>
            </w:r>
          </w:p>
        </w:tc>
      </w:tr>
      <w:tr>
        <w:tblPrEx>
          <w:tblW w:w="100%" w:type="pct"/>
        </w:tblPrEx>
        <w:trPr>
          <w:cantSplit w:val="0"/>
          <w:trHeight w:hRule="auto" w:val="0"/>
          <w:tblHeader w:val="0"/>
        </w:trPr>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Skupna vizumska politika</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Redni ukrepi</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Skupaj</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7.169.100,00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2.389.700,00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2.389.700,00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9.558.800,00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75,0000000000%</w:t>
            </w:r>
          </w:p>
        </w:tc>
      </w:tr>
      <w:tr>
        <w:tblPrEx>
          <w:tblW w:w="100%" w:type="pct"/>
        </w:tblPrEx>
        <w:trPr>
          <w:cantSplit w:val="0"/>
          <w:trHeight w:hRule="auto" w:val="0"/>
          <w:tblHeader w:val="0"/>
        </w:trPr>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Skupna vizumska politika</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Ukrepi iz Priloge IV</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Skupaj</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r>
      <w:tr>
        <w:tblPrEx>
          <w:tblW w:w="100%" w:type="pct"/>
        </w:tblPrEx>
        <w:trPr>
          <w:cantSplit w:val="0"/>
          <w:trHeight w:hRule="auto" w:val="0"/>
          <w:tblHeader w:val="0"/>
        </w:trPr>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Skupna vizumska politika</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Operativna podpora</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Skupaj</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4.214.900,00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4.214.900,00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100,0000000000%</w:t>
            </w:r>
          </w:p>
        </w:tc>
      </w:tr>
      <w:tr>
        <w:tblPrEx>
          <w:tblW w:w="100%" w:type="pct"/>
        </w:tblPrEx>
        <w:trPr>
          <w:cantSplit w:val="0"/>
          <w:trHeight w:hRule="auto" w:val="0"/>
          <w:tblHeader w:val="0"/>
        </w:trPr>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Skupaj Skupna vizumska politika</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11.384.000,00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2.389.700,00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2.389.700,00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13.773.700,00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82,6502682649%</w:t>
            </w:r>
          </w:p>
        </w:tc>
      </w:tr>
      <w:tr>
        <w:tblPrEx>
          <w:tblW w:w="100%" w:type="pct"/>
        </w:tblPrEx>
        <w:trPr>
          <w:cantSplit w:val="0"/>
          <w:trHeight w:hRule="auto" w:val="0"/>
          <w:tblHeader w:val="0"/>
        </w:trPr>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Tehnična pomoč – pavšalna stopnja (člen 36(5) uredbe o skupnih določbah)</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6.121.093,73</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6.121.093,73</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100,0000000000%</w:t>
            </w:r>
          </w:p>
        </w:tc>
      </w:tr>
      <w:tr>
        <w:tblPrEx>
          <w:tblW w:w="100%" w:type="pct"/>
        </w:tblPrEx>
        <w:trPr>
          <w:cantSplit w:val="0"/>
          <w:trHeight w:hRule="auto" w:val="0"/>
          <w:tblHeader w:val="0"/>
        </w:trPr>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Skupaj</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108.139.322,71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21.938.726,54</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21.938.726,54</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130.078.049,25</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83,1341823878%</w:t>
            </w:r>
          </w:p>
        </w:tc>
      </w:tr>
    </w:tbl>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16"/>
        </w:rPr>
        <w:br w:type="page"/>
      </w:r>
    </w:p>
    <w:p w:rsidR="00A77B3E">
      <w:pPr>
        <w:pStyle w:val="Heading2"/>
        <w:spacing w:before="100" w:after="0"/>
        <w:jc w:val="start"/>
        <w:rPr>
          <w:rFonts w:ascii="TimesNewRoman" w:eastAsia="TimesNewRoman" w:hAnsi="TimesNewRoman" w:cs="TimesNewRoman"/>
          <w:b w:val="0"/>
          <w:i w:val="0"/>
          <w:vanish w:val="0"/>
          <w:color w:val="000000"/>
          <w:sz w:val="24"/>
        </w:rPr>
      </w:pPr>
      <w:bookmarkStart w:id="25" w:name="_Toc256000071"/>
      <w:r>
        <w:rPr>
          <w:rFonts w:ascii="TimesNewRoman" w:eastAsia="TimesNewRoman" w:hAnsi="TimesNewRoman" w:cs="TimesNewRoman"/>
          <w:b w:val="0"/>
          <w:i w:val="0"/>
          <w:vanish w:val="0"/>
          <w:color w:val="000000"/>
          <w:sz w:val="24"/>
        </w:rPr>
        <w:t>3.3. Prerazporeditve</w:t>
      </w:r>
      <w:bookmarkEnd w:id="25"/>
    </w:p>
    <w:p w:rsidR="00A77B3E">
      <w:pPr>
        <w:spacing w:before="100" w:after="0"/>
        <w:jc w:val="start"/>
        <w:rPr>
          <w:rFonts w:ascii="TimesNewRoman" w:eastAsia="TimesNewRoman" w:hAnsi="TimesNewRoman" w:cs="TimesNewRoman"/>
          <w:b w:val="0"/>
          <w:i w:val="0"/>
          <w:vanish w:val="0"/>
          <w:color w:val="000000"/>
          <w:sz w:val="0"/>
          <w:vertAlign w:val="baseline"/>
        </w:rPr>
      </w:pPr>
      <w:r>
        <w:rPr>
          <w:rFonts w:ascii="TimesNewRoman" w:eastAsia="TimesNewRoman" w:hAnsi="TimesNewRoman" w:cs="TimesNewRoman"/>
          <w:b w:val="0"/>
          <w:i w:val="0"/>
          <w:vanish w:val="0"/>
          <w:color w:val="000000"/>
          <w:sz w:val="24"/>
        </w:rPr>
        <w:t>Tabela 7: Prerazporeditve med skladi z deljenim upravljanjem</w:t>
      </w:r>
      <w:r>
        <w:rPr>
          <w:rFonts w:ascii="TimesNewRoman" w:eastAsia="TimesNewRoman" w:hAnsi="TimesNewRoman" w:cs="TimesNewRoman"/>
          <w:b w:val="0"/>
          <w:i w:val="0"/>
          <w:vanish w:val="0"/>
          <w:color w:val="000000"/>
          <w:sz w:val="24"/>
          <w:vertAlign w:val="superscript"/>
        </w:rPr>
        <w:t>1</w:t>
      </w:r>
    </w:p>
    <w:p w:rsidR="00A77B3E">
      <w:pPr>
        <w:spacing w:before="100" w:after="0"/>
        <w:jc w:val="start"/>
        <w:rPr>
          <w:rFonts w:ascii="TimesNewRoman" w:eastAsia="TimesNewRoman" w:hAnsi="TimesNewRoman" w:cs="TimesNewRoman"/>
          <w:b w:val="0"/>
          <w:i w:val="0"/>
          <w:vanish w:val="0"/>
          <w:color w:val="000000"/>
          <w:sz w:val="12"/>
          <w:vertAlign w:val="baseline"/>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3782"/>
        <w:gridCol w:w="1139"/>
        <w:gridCol w:w="2180"/>
        <w:gridCol w:w="1139"/>
        <w:gridCol w:w="1057"/>
        <w:gridCol w:w="2729"/>
        <w:gridCol w:w="1096"/>
        <w:gridCol w:w="2180"/>
      </w:tblGrid>
      <w:tr>
        <w:tblPrEx>
          <w:tblW w:w="100%" w:type="pct"/>
        </w:tblPrEx>
        <w:trPr>
          <w:cantSplit w:val="0"/>
          <w:trHeight w:val="160"/>
          <w:tblHeader/>
        </w:trPr>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24"/>
                <w:vertAlign w:val="baseline"/>
              </w:rPr>
            </w:pPr>
            <w:r>
              <w:rPr>
                <w:rFonts w:ascii="TimesNewRoman" w:eastAsia="TimesNewRoman" w:hAnsi="TimesNewRoman" w:cs="TimesNewRoman"/>
                <w:b w:val="0"/>
                <w:i w:val="0"/>
                <w:vanish w:val="0"/>
                <w:color w:val="000000"/>
                <w:sz w:val="24"/>
                <w:vertAlign w:val="baseline"/>
              </w:rPr>
              <w:t>Prerazporeditveni sklad</w:t>
            </w:r>
          </w:p>
        </w:tc>
        <w:tc>
          <w:tcPr>
            <w:gridSpan w:val="7"/>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24"/>
                <w:vertAlign w:val="baseline"/>
              </w:rPr>
            </w:pPr>
            <w:r>
              <w:rPr>
                <w:rFonts w:ascii="TimesNewRoman" w:eastAsia="TimesNewRoman" w:hAnsi="TimesNewRoman" w:cs="TimesNewRoman"/>
                <w:b w:val="0"/>
                <w:i w:val="0"/>
                <w:vanish w:val="0"/>
                <w:color w:val="000000"/>
                <w:sz w:val="24"/>
                <w:vertAlign w:val="baseline"/>
              </w:rPr>
              <w:t>Sklad prejemnik</w:t>
            </w:r>
          </w:p>
        </w:tc>
      </w:tr>
      <w:tr>
        <w:tblPrEx>
          <w:tblW w:w="100%" w:type="pct"/>
        </w:tblPrEx>
        <w:trPr>
          <w:cantSplit w:val="0"/>
          <w:trHeight w:val="160"/>
          <w:tblHeader/>
        </w:trPr>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24"/>
                <w:vertAlign w:val="baseline"/>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24"/>
                <w:vertAlign w:val="baseline"/>
              </w:rPr>
            </w:pPr>
            <w:r>
              <w:rPr>
                <w:rFonts w:ascii="TimesNewRoman" w:eastAsia="TimesNewRoman" w:hAnsi="TimesNewRoman" w:cs="TimesNewRoman"/>
                <w:b w:val="0"/>
                <w:i w:val="0"/>
                <w:vanish w:val="0"/>
                <w:color w:val="000000"/>
                <w:sz w:val="24"/>
                <w:vertAlign w:val="baseline"/>
              </w:rPr>
              <w:t>AMIF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24"/>
                <w:vertAlign w:val="baseline"/>
              </w:rPr>
            </w:pPr>
            <w:r>
              <w:rPr>
                <w:rFonts w:ascii="TimesNewRoman" w:eastAsia="TimesNewRoman" w:hAnsi="TimesNewRoman" w:cs="TimesNewRoman"/>
                <w:b w:val="0"/>
                <w:i w:val="0"/>
                <w:vanish w:val="0"/>
                <w:color w:val="000000"/>
                <w:sz w:val="24"/>
                <w:vertAlign w:val="baseline"/>
              </w:rPr>
              <w:t>SNV</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24"/>
                <w:vertAlign w:val="baseline"/>
              </w:rPr>
            </w:pPr>
            <w:r>
              <w:rPr>
                <w:rFonts w:ascii="TimesNewRoman" w:eastAsia="TimesNewRoman" w:hAnsi="TimesNewRoman" w:cs="TimesNewRoman"/>
                <w:b w:val="0"/>
                <w:i w:val="0"/>
                <w:vanish w:val="0"/>
                <w:color w:val="000000"/>
                <w:sz w:val="24"/>
                <w:vertAlign w:val="baseline"/>
              </w:rPr>
              <w:t>ESRR</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24"/>
                <w:vertAlign w:val="baseline"/>
              </w:rPr>
            </w:pPr>
            <w:r>
              <w:rPr>
                <w:rFonts w:ascii="TimesNewRoman" w:eastAsia="TimesNewRoman" w:hAnsi="TimesNewRoman" w:cs="TimesNewRoman"/>
                <w:b w:val="0"/>
                <w:i w:val="0"/>
                <w:vanish w:val="0"/>
                <w:color w:val="000000"/>
                <w:sz w:val="24"/>
                <w:vertAlign w:val="baseline"/>
              </w:rPr>
              <w:t>ESS+</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24"/>
                <w:vertAlign w:val="baseline"/>
              </w:rPr>
            </w:pPr>
            <w:r>
              <w:rPr>
                <w:rFonts w:ascii="TimesNewRoman" w:eastAsia="TimesNewRoman" w:hAnsi="TimesNewRoman" w:cs="TimesNewRoman"/>
                <w:b w:val="0"/>
                <w:i w:val="0"/>
                <w:vanish w:val="0"/>
                <w:color w:val="000000"/>
                <w:sz w:val="24"/>
                <w:vertAlign w:val="baseline"/>
              </w:rPr>
              <w:t>Kohezijski sklad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24"/>
                <w:vertAlign w:val="baseline"/>
              </w:rPr>
            </w:pPr>
            <w:r>
              <w:rPr>
                <w:rFonts w:ascii="TimesNewRoman" w:eastAsia="TimesNewRoman" w:hAnsi="TimesNewRoman" w:cs="TimesNewRoman"/>
                <w:b w:val="0"/>
                <w:i w:val="0"/>
                <w:vanish w:val="0"/>
                <w:color w:val="000000"/>
                <w:sz w:val="24"/>
                <w:vertAlign w:val="baseline"/>
              </w:rPr>
              <w:t>ESPR</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24"/>
                <w:vertAlign w:val="baseline"/>
              </w:rPr>
            </w:pPr>
            <w:r>
              <w:rPr>
                <w:rFonts w:ascii="TimesNewRoman" w:eastAsia="TimesNewRoman" w:hAnsi="TimesNewRoman" w:cs="TimesNewRoman"/>
                <w:b w:val="0"/>
                <w:i w:val="0"/>
                <w:vanish w:val="0"/>
                <w:color w:val="000000"/>
                <w:sz w:val="24"/>
                <w:vertAlign w:val="baseline"/>
              </w:rPr>
              <w:t>Skupaj</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24"/>
                <w:vertAlign w:val="baseline"/>
              </w:rPr>
            </w:pPr>
            <w:r>
              <w:rPr>
                <w:rFonts w:ascii="TimesNewRoman" w:eastAsia="TimesNewRoman" w:hAnsi="TimesNewRoman" w:cs="TimesNewRoman"/>
                <w:b w:val="0"/>
                <w:i w:val="0"/>
                <w:vanish w:val="0"/>
                <w:color w:val="000000"/>
                <w:sz w:val="24"/>
                <w:vertAlign w:val="baseline"/>
              </w:rPr>
              <w:t>IUMV</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NewRoman" w:eastAsia="TimesNewRoman" w:hAnsi="TimesNewRoman" w:cs="TimesNewRoman"/>
                <w:b w:val="0"/>
                <w:i w:val="0"/>
                <w:vanish w:val="0"/>
                <w:color w:val="000000"/>
                <w:sz w:val="24"/>
                <w:vertAlign w:val="baseline"/>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NewRoman" w:eastAsia="TimesNewRoman" w:hAnsi="TimesNewRoman" w:cs="TimesNewRoman"/>
                <w:b w:val="0"/>
                <w:i w:val="0"/>
                <w:vanish w:val="0"/>
                <w:color w:val="000000"/>
                <w:sz w:val="24"/>
                <w:vertAlign w:val="baseline"/>
              </w:rPr>
            </w:pPr>
            <w:r>
              <w:rPr>
                <w:rFonts w:ascii="TimesNewRoman" w:eastAsia="TimesNewRoman" w:hAnsi="TimesNewRoman" w:cs="TimesNewRoman"/>
                <w:b w:val="0"/>
                <w:i w:val="0"/>
                <w:vanish w:val="0"/>
                <w:color w:val="000000"/>
                <w:sz w:val="24"/>
                <w:vertAlign w:val="baseline"/>
              </w:rPr>
              <w:t>5.691.543,29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NewRoman" w:eastAsia="TimesNewRoman" w:hAnsi="TimesNewRoman" w:cs="TimesNewRoman"/>
                <w:b w:val="0"/>
                <w:i w:val="0"/>
                <w:vanish w:val="0"/>
                <w:color w:val="000000"/>
                <w:sz w:val="24"/>
                <w:vertAlign w:val="baseline"/>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NewRoman" w:eastAsia="TimesNewRoman" w:hAnsi="TimesNewRoman" w:cs="TimesNewRoman"/>
                <w:b w:val="0"/>
                <w:i w:val="0"/>
                <w:vanish w:val="0"/>
                <w:color w:val="000000"/>
                <w:sz w:val="24"/>
                <w:vertAlign w:val="baseline"/>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NewRoman" w:eastAsia="TimesNewRoman" w:hAnsi="TimesNewRoman" w:cs="TimesNewRoman"/>
                <w:b w:val="0"/>
                <w:i w:val="0"/>
                <w:vanish w:val="0"/>
                <w:color w:val="000000"/>
                <w:sz w:val="24"/>
                <w:vertAlign w:val="baseline"/>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NewRoman" w:eastAsia="TimesNewRoman" w:hAnsi="TimesNewRoman" w:cs="TimesNewRoman"/>
                <w:b w:val="0"/>
                <w:i w:val="0"/>
                <w:vanish w:val="0"/>
                <w:color w:val="000000"/>
                <w:sz w:val="24"/>
                <w:vertAlign w:val="baseline"/>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NewRoman" w:eastAsia="TimesNewRoman" w:hAnsi="TimesNewRoman" w:cs="TimesNewRoman"/>
                <w:b w:val="0"/>
                <w:i w:val="0"/>
                <w:vanish w:val="0"/>
                <w:color w:val="000000"/>
                <w:sz w:val="24"/>
                <w:vertAlign w:val="baseline"/>
              </w:rPr>
            </w:pPr>
            <w:r>
              <w:rPr>
                <w:rFonts w:ascii="TimesNewRoman" w:eastAsia="TimesNewRoman" w:hAnsi="TimesNewRoman" w:cs="TimesNewRoman"/>
                <w:b w:val="0"/>
                <w:i w:val="0"/>
                <w:vanish w:val="0"/>
                <w:color w:val="000000"/>
                <w:sz w:val="24"/>
                <w:vertAlign w:val="baseline"/>
              </w:rPr>
              <w:t>5.691.543,29</w:t>
            </w:r>
          </w:p>
        </w:tc>
      </w:tr>
    </w:tbl>
    <w:p w:rsidR="00A77B3E">
      <w:pPr>
        <w:spacing w:before="100" w:after="0"/>
        <w:jc w:val="start"/>
        <w:rPr>
          <w:rFonts w:ascii="TimesNewRoman" w:eastAsia="TimesNewRoman" w:hAnsi="TimesNewRoman" w:cs="TimesNewRoman"/>
          <w:b w:val="0"/>
          <w:i w:val="0"/>
          <w:vanish w:val="0"/>
          <w:color w:val="000000"/>
          <w:sz w:val="24"/>
          <w:vertAlign w:val="baseline"/>
        </w:rPr>
      </w:pPr>
      <w:r>
        <w:rPr>
          <w:rFonts w:ascii="TimesNewRoman" w:eastAsia="TimesNewRoman" w:hAnsi="TimesNewRoman" w:cs="TimesNewRoman"/>
          <w:b w:val="0"/>
          <w:i w:val="0"/>
          <w:vanish w:val="0"/>
          <w:color w:val="000000"/>
          <w:sz w:val="24"/>
          <w:vertAlign w:val="superscript"/>
        </w:rPr>
        <w:t>1</w:t>
      </w:r>
      <w:r>
        <w:rPr>
          <w:rFonts w:ascii="TimesNewRoman" w:eastAsia="TimesNewRoman" w:hAnsi="TimesNewRoman" w:cs="TimesNewRoman"/>
          <w:b w:val="0"/>
          <w:i w:val="0"/>
          <w:vanish w:val="0"/>
          <w:color w:val="000000"/>
          <w:sz w:val="24"/>
          <w:vertAlign w:val="baseline"/>
        </w:rPr>
        <w:t>Kumulativni zneski za vse prerazporeditve v programskem obdobju</w:t>
      </w:r>
    </w:p>
    <w:p w:rsidR="00A77B3E">
      <w:pPr>
        <w:spacing w:before="100" w:after="0"/>
        <w:jc w:val="start"/>
        <w:rPr>
          <w:rFonts w:ascii="TimesNewRoman" w:eastAsia="TimesNewRoman" w:hAnsi="TimesNewRoman" w:cs="TimesNewRoman"/>
          <w:b w:val="0"/>
          <w:i w:val="0"/>
          <w:vanish w:val="0"/>
          <w:color w:val="000000"/>
          <w:sz w:val="0"/>
          <w:vertAlign w:val="baseline"/>
        </w:rPr>
      </w:pPr>
      <w:r>
        <w:rPr>
          <w:rFonts w:ascii="TimesNewRoman" w:eastAsia="TimesNewRoman" w:hAnsi="TimesNewRoman" w:cs="TimesNewRoman"/>
          <w:b w:val="0"/>
          <w:i w:val="0"/>
          <w:vanish w:val="0"/>
          <w:color w:val="000000"/>
          <w:sz w:val="24"/>
          <w:vertAlign w:val="baseline"/>
        </w:rPr>
        <w:br w:type="page"/>
      </w:r>
      <w:r>
        <w:rPr>
          <w:rFonts w:ascii="TimesNewRoman" w:eastAsia="TimesNewRoman" w:hAnsi="TimesNewRoman" w:cs="TimesNewRoman"/>
          <w:b w:val="0"/>
          <w:i w:val="0"/>
          <w:vanish w:val="0"/>
          <w:color w:val="000000"/>
          <w:sz w:val="24"/>
          <w:vertAlign w:val="baseline"/>
        </w:rPr>
        <w:t>Tabela 8: Prerazporeditve v instrumente v okviru neposrednega ali posrednega upravljanja</w:t>
      </w:r>
      <w:r>
        <w:rPr>
          <w:rFonts w:ascii="TimesNewRoman" w:eastAsia="TimesNewRoman" w:hAnsi="TimesNewRoman" w:cs="TimesNewRoman"/>
          <w:b w:val="0"/>
          <w:i w:val="0"/>
          <w:vanish w:val="0"/>
          <w:color w:val="000000"/>
          <w:sz w:val="24"/>
          <w:vertAlign w:val="superscript"/>
        </w:rPr>
        <w:t>1</w:t>
      </w:r>
    </w:p>
    <w:p w:rsidR="00A77B3E">
      <w:pPr>
        <w:spacing w:before="100" w:after="0"/>
        <w:jc w:val="start"/>
        <w:rPr>
          <w:rFonts w:ascii="TimesNewRoman" w:eastAsia="TimesNewRoman" w:hAnsi="TimesNewRoman" w:cs="TimesNewRoman"/>
          <w:b w:val="0"/>
          <w:i w:val="0"/>
          <w:vanish w:val="0"/>
          <w:color w:val="000000"/>
          <w:sz w:val="12"/>
          <w:vertAlign w:val="baseline"/>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5016"/>
        <w:gridCol w:w="10286"/>
      </w:tblGrid>
      <w:tr>
        <w:tblPrEx>
          <w:tblW w:w="100%" w:type="pct"/>
        </w:tblPrEx>
        <w:trPr>
          <w:cantSplit w:val="0"/>
          <w:trHeight w:hRule="auto" w:val="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24"/>
                <w:vertAlign w:val="baseline"/>
              </w:rPr>
            </w:pPr>
            <w:r>
              <w:rPr>
                <w:rFonts w:ascii="TimesNewRoman" w:eastAsia="TimesNewRoman" w:hAnsi="TimesNewRoman" w:cs="TimesNewRoman"/>
                <w:b w:val="0"/>
                <w:i w:val="0"/>
                <w:vanish w:val="0"/>
                <w:color w:val="000000"/>
                <w:sz w:val="24"/>
                <w:vertAlign w:val="baseline"/>
              </w:rPr>
              <w:t>Instrument</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24"/>
                <w:vertAlign w:val="baseline"/>
              </w:rPr>
            </w:pPr>
            <w:r>
              <w:rPr>
                <w:rFonts w:ascii="TimesNewRoman" w:eastAsia="TimesNewRoman" w:hAnsi="TimesNewRoman" w:cs="TimesNewRoman"/>
                <w:b w:val="0"/>
                <w:i w:val="0"/>
                <w:vanish w:val="0"/>
                <w:color w:val="000000"/>
                <w:sz w:val="24"/>
                <w:vertAlign w:val="baseline"/>
              </w:rPr>
              <w:t>Znesek prerazporeditve</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24"/>
                <w:vertAlign w:val="baseline"/>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NewRoman" w:eastAsia="TimesNewRoman" w:hAnsi="TimesNewRoman" w:cs="TimesNewRoman"/>
                <w:b w:val="0"/>
                <w:i w:val="0"/>
                <w:vanish w:val="0"/>
                <w:color w:val="000000"/>
                <w:sz w:val="24"/>
                <w:vertAlign w:val="baseline"/>
              </w:rPr>
            </w:pPr>
            <w:r>
              <w:rPr>
                <w:rFonts w:ascii="TimesNewRoman" w:eastAsia="TimesNewRoman" w:hAnsi="TimesNewRoman" w:cs="TimesNewRoman"/>
                <w:b w:val="0"/>
                <w:i w:val="0"/>
                <w:vanish w:val="0"/>
                <w:color w:val="000000"/>
                <w:sz w:val="24"/>
                <w:vertAlign w:val="baseline"/>
              </w:rPr>
              <w:t>0,00</w:t>
            </w:r>
          </w:p>
        </w:tc>
      </w:tr>
    </w:tbl>
    <w:p w:rsidR="00A77B3E">
      <w:pPr>
        <w:spacing w:before="100" w:after="0"/>
        <w:jc w:val="start"/>
        <w:rPr>
          <w:rFonts w:ascii="TimesNewRoman" w:eastAsia="TimesNewRoman" w:hAnsi="TimesNewRoman" w:cs="TimesNewRoman"/>
          <w:b w:val="0"/>
          <w:i w:val="0"/>
          <w:vanish w:val="0"/>
          <w:color w:val="000000"/>
          <w:sz w:val="24"/>
          <w:vertAlign w:val="baseline"/>
        </w:rPr>
        <w:sectPr>
          <w:headerReference w:type="even" r:id="rId46"/>
          <w:headerReference w:type="default" r:id="rId47"/>
          <w:footerReference w:type="even" r:id="rId48"/>
          <w:footerReference w:type="default" r:id="rId49"/>
          <w:headerReference w:type="first" r:id="rId50"/>
          <w:footerReference w:type="first" r:id="rId51"/>
          <w:type w:val="nextPage"/>
          <w:pgSz w:w="16838" w:h="11906" w:orient="landscape"/>
          <w:pgMar w:top="720" w:right="720" w:bottom="864" w:left="936" w:header="288" w:footer="72" w:gutter="0"/>
          <w:cols w:space="720"/>
          <w:noEndnote/>
          <w:docGrid w:linePitch="360"/>
        </w:sectPr>
      </w:pPr>
      <w:r>
        <w:rPr>
          <w:rFonts w:ascii="TimesNewRoman" w:eastAsia="TimesNewRoman" w:hAnsi="TimesNewRoman" w:cs="TimesNewRoman"/>
          <w:b w:val="0"/>
          <w:i w:val="0"/>
          <w:vanish w:val="0"/>
          <w:color w:val="000000"/>
          <w:sz w:val="24"/>
          <w:vertAlign w:val="superscript"/>
        </w:rPr>
        <w:t>1</w:t>
      </w:r>
      <w:r>
        <w:rPr>
          <w:rFonts w:ascii="TimesNewRoman" w:eastAsia="TimesNewRoman" w:hAnsi="TimesNewRoman" w:cs="TimesNewRoman"/>
          <w:b w:val="0"/>
          <w:i w:val="0"/>
          <w:vanish w:val="0"/>
          <w:color w:val="000000"/>
          <w:sz w:val="24"/>
          <w:vertAlign w:val="baseline"/>
        </w:rPr>
        <w:t>Kumulativni zneski za vse prerazporeditve v programskem obdobju</w:t>
      </w:r>
    </w:p>
    <w:p w:rsidR="00A77B3E">
      <w:pPr>
        <w:pStyle w:val="Heading1"/>
        <w:spacing w:before="100" w:after="0"/>
        <w:jc w:val="start"/>
        <w:rPr>
          <w:rFonts w:ascii="Times New Roman" w:eastAsia="Times New Roman" w:hAnsi="Times New Roman" w:cs="Times New Roman"/>
          <w:b w:val="0"/>
          <w:i w:val="0"/>
          <w:vanish w:val="0"/>
          <w:color w:val="000000"/>
          <w:sz w:val="24"/>
          <w:vertAlign w:val="baseline"/>
        </w:rPr>
      </w:pPr>
      <w:bookmarkStart w:id="26" w:name="_Toc256000072"/>
      <w:r>
        <w:rPr>
          <w:rFonts w:ascii="Times New Roman" w:eastAsia="Times New Roman" w:hAnsi="Times New Roman" w:cs="Times New Roman"/>
          <w:b w:val="0"/>
          <w:i w:val="0"/>
          <w:vanish w:val="0"/>
          <w:color w:val="000000"/>
          <w:sz w:val="24"/>
          <w:vertAlign w:val="baseline"/>
        </w:rPr>
        <w:t>4. Omogočitveni pogoji</w:t>
      </w:r>
      <w:bookmarkEnd w:id="26"/>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Sklic: člen 22(3)(i) uredbe o skupnih določbah</w:t>
      </w:r>
    </w:p>
    <w:p w:rsidR="00A77B3E">
      <w:pPr>
        <w:pStyle w:val="Heading2"/>
        <w:spacing w:before="100" w:after="0"/>
        <w:jc w:val="start"/>
        <w:rPr>
          <w:rFonts w:ascii="Times New Roman" w:eastAsia="Times New Roman" w:hAnsi="Times New Roman" w:cs="Times New Roman"/>
          <w:b w:val="0"/>
          <w:i w:val="0"/>
          <w:vanish w:val="0"/>
          <w:color w:val="000000"/>
          <w:sz w:val="24"/>
          <w:vertAlign w:val="baseline"/>
        </w:rPr>
      </w:pPr>
      <w:bookmarkStart w:id="27" w:name="_Toc256000073"/>
      <w:r>
        <w:rPr>
          <w:rFonts w:ascii="Times New Roman" w:eastAsia="Times New Roman" w:hAnsi="Times New Roman" w:cs="Times New Roman"/>
          <w:b w:val="0"/>
          <w:i w:val="0"/>
          <w:vanish w:val="0"/>
          <w:color w:val="000000"/>
          <w:sz w:val="24"/>
          <w:vertAlign w:val="baseline"/>
        </w:rPr>
        <w:t>Tabela 9: Horizontalni omogočitveni pogoji</w:t>
      </w:r>
      <w:bookmarkEnd w:id="27"/>
    </w:p>
    <w:p w:rsidR="00A77B3E">
      <w:pPr>
        <w:spacing w:before="100" w:after="0"/>
        <w:jc w:val="start"/>
        <w:rPr>
          <w:rFonts w:ascii="Times New Roman" w:eastAsia="Times New Roman" w:hAnsi="Times New Roman" w:cs="Times New Roman"/>
          <w:b w:val="0"/>
          <w:i w:val="0"/>
          <w:vanish w:val="0"/>
          <w:color w:val="000000"/>
          <w:sz w:val="0"/>
          <w:vertAlign w:val="baseline"/>
        </w:rPr>
      </w:pPr>
    </w:p>
    <w:tbl>
      <w:tblPr>
        <w:tblW w:w="0pt" w:type="auto"/>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5.4pt" w:type="dxa"/>
          <w:end w:w="5.4pt" w:type="dxa"/>
        </w:tblCellMar>
      </w:tblPr>
      <w:tblGrid>
        <w:gridCol w:w="1600"/>
        <w:gridCol w:w="1600"/>
        <w:gridCol w:w="3600"/>
        <w:gridCol w:w="1600"/>
        <w:gridCol w:w="3600"/>
        <w:gridCol w:w="3600"/>
      </w:tblGrid>
      <w:tr>
        <w:tblPrEx>
          <w:tblW w:w="0pt" w:type="auto"/>
          <w:tblLayout w:type="fixed"/>
        </w:tblPrEx>
        <w:trPr>
          <w:cantSplit w:val="0"/>
          <w:trHeight w:hRule="auto" w:val="0"/>
          <w:tblHeader/>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Omogočitveni pogoj</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Izpolnjevanje omogočitvenega pogoja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Merila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Izpolnjevanje meril</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Sklic na zadevne dokumente</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Utemeljitev</w:t>
            </w:r>
          </w:p>
        </w:tc>
      </w:tr>
      <w:tr>
        <w:tblPrEx>
          <w:tblW w:w="0pt" w:type="auto"/>
          <w:tblLayout w:type="fixed"/>
        </w:tblPrEx>
        <w:trPr>
          <w:cantSplit w:val="0"/>
          <w:trHeight w:hRule="auto" w:val="0"/>
          <w:tblHeader w:val="0"/>
        </w:trPr>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1. Učinkoviti mehanizmi spremljanja trga javnih naročil</w:t>
            </w: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Vzpostavljeni so mehanizmi za spremljanje, ki zajemajo vse javne pogodbe in njihova javna naročila v okviru skladov v skladu z zakonodajo Unije o javnih naročilih. Ta zahteva vključuje:1. ureditve za zagotovitev zbiranja učinkovitih in zanesljivih podatkov o postopkih javnega naročanja nad mejnimi vrednostmi Unije v skladu z obveznostmi poročanja iz členov 83 in 84 Direktive 2014/24/EU ter členov 99 in 100 Direktive 2014/25/EU;</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 xml:space="preserve">Zakon o javnem naročanju (ZJN-3) </w:t>
            </w: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(http://www.pisrs.si/Pis.web/pregledPredpisa?id=ZAKO7086)</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 Pravilnik o vrstah in načinu zbiranja podatkov za letno statistično poročilo o oddaji javnih naročil</w:t>
            </w: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(http://www.pisrs.si/Pis.web/pregledPredpisa?id=PRAV12700)</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 Statistična poročila za vsako posamezno leto so dostopna na:</w:t>
            </w: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https://ejn.gov.si/direktorat/porocila-in-analize.html</w:t>
            </w:r>
          </w:p>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V skladu s 114. členom ZJN-3 Ministrstvo za javno upravo (MJU) zagotavlja spremljanje uporabe pravil o javnem naročanju. Kadar ugotovi ali prejme podatke, ki kažejo na posamezne kršitve ali sistemske težave obvesti Urad Republike Slovenije za nadzor proračuna, Računsko sodišče Republike Slovenije, Državno revizijsko komisijo, Agencijo Republike Slovenije za varstvo konkurence (AVK) ali Komisijo za preprečevanje korupcije. MJU vsaka tri leta poroča o rezultatih spremljanja Evropski komisiji. Poročilo je informacija javnega značaja.</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V skladu s 106. - 108. členom ZJN-3 MJU pripravi letno statistično poročilo o javnih naročilih, oddanih v Sloveniji na podlagi obvestil o oddanih javnih naročilih v preteklem letu, objavljenih na portalu javnih naročil oziroma v Uradnem listu EU, in iz sporočenih statističnih podatkov o evidenčnih naročilih. ZJN-3 določa tudi vsebino statističnega poročila in razčlenitev podatkov.</w:t>
            </w:r>
          </w:p>
          <w:p w:rsidR="00A77B3E">
            <w:pPr>
              <w:spacing w:before="100" w:after="0"/>
              <w:jc w:val="start"/>
              <w:rPr>
                <w:rFonts w:ascii="Times New Roman" w:eastAsia="Times New Roman" w:hAnsi="Times New Roman" w:cs="Times New Roman"/>
                <w:b w:val="0"/>
                <w:i w:val="0"/>
                <w:vanish w:val="0"/>
                <w:color w:val="000000"/>
                <w:sz w:val="20"/>
                <w:vertAlign w:val="baseline"/>
              </w:rPr>
            </w:pPr>
          </w:p>
        </w:tc>
      </w:tr>
      <w:tr>
        <w:tblPrEx>
          <w:tblW w:w="0pt" w:type="auto"/>
          <w:tblLayout w:type="fixed"/>
        </w:tblPrEx>
        <w:trPr>
          <w:cantSplit w:val="0"/>
          <w:trHeight w:hRule="auto" w:val="0"/>
          <w:tblHeader w:val="0"/>
        </w:trPr>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 xml:space="preserve">2. ureditve za zagotovitev, da podatki zajemajo vsaj naslednje elemente: </w:t>
            </w: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 xml:space="preserve">(a) kakovost in intenzivnost konkurence: imena izbranega ponudnika, število prvotnih ponudnikov in pogodbena vrednost, </w:t>
            </w: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(b) informacije o končni ceni po dokončanju in o udeležbi MSP kot neposrednih ponudnikov, kadar nacionalni sistemi zagotavljajo take informacije;</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Portal javnih naročil</w:t>
            </w: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https://www.enarocanje.si/</w:t>
            </w:r>
          </w:p>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Vsi zahtevani podatki so del obvestil o oddaji javnih naročil, ki jih naročniki objavijo na portalu javnih naročil, ki predstavlja enoten dostop do informacij o javnem naročanju in zagotavlja objavo vseh bistvenih podatkov v zvezi s postopkom oddaje javnega naročila (t.j. obvestila o javnih naročilih, razpisna dokumentacija, odločitve o oddaji naročila, obvestila o oddaji naročil, ki vsebujejo tudi informacije o sodelovanju MSP itd.).</w:t>
            </w:r>
          </w:p>
        </w:tc>
      </w:tr>
      <w:tr>
        <w:tblPrEx>
          <w:tblW w:w="0pt" w:type="auto"/>
          <w:tblLayout w:type="fixed"/>
        </w:tblPrEx>
        <w:trPr>
          <w:cantSplit w:val="0"/>
          <w:trHeight w:hRule="auto" w:val="0"/>
          <w:tblHeader w:val="0"/>
        </w:trPr>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3. ureditve za zagotovitev spremljanja in analize podatkov s strani pristojnih nacionalnih organov v skladu s členom 83(2) Direktive 2014/24/EU in členom 99(2) Direktive 2014/25/EU;</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Zakon o javnem naročanju (ZJN-3)</w:t>
            </w: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http://www.pisrs.si/Pis.web/pregledPredpisa?id=ZAKO7086</w:t>
            </w:r>
          </w:p>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V skladu s prvim odstavkom 114. člena ZJN-3 je spremljanje uporabe pravil javnega naročanja v pristojnosti MJU, ki v primeru, ko ugotovi ali prejme podatke, ki kažejo na posamezne kršitve ali sistemske težave, o njih obvesti pristojne nacionalne organe, ki jih ustrezno obravnavajo. Te informacije se zbirajo in po potrebi identificirajo na različne načine, npr. preko letnega statističnega poročanja; različnih vrst iniciativ različnih deležnikov, predvsem različnih dogodkih, kot so izobraževanja in usposabljanja; preko vzpostavljene enotne kontaktne točke za pomoč naročnikom in gospodarskim subjektom, enotnega kontaktnega centra državne uprave za tehnično pomoč preko telefonskih in pisnih svetovanj, itd.</w:t>
            </w:r>
          </w:p>
        </w:tc>
      </w:tr>
      <w:tr>
        <w:tblPrEx>
          <w:tblW w:w="0pt" w:type="auto"/>
          <w:tblLayout w:type="fixed"/>
        </w:tblPrEx>
        <w:trPr>
          <w:cantSplit w:val="0"/>
          <w:trHeight w:hRule="auto" w:val="0"/>
          <w:tblHeader w:val="0"/>
        </w:trPr>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4. ureditve za dajanje izidov analize na razpolago javnosti v skladu s členom 83(3) Direktive 2014/24/EU in členom 99(3) Direktive 2014/25/EU;</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Slovensko poročilo je skupaj s poročili drugih držav članic na voljo na spletni strani Evropske komisije:</w:t>
            </w: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https://ec.europa.eu/growth/singlemarket/public-procurement/countryreports_en</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Vsa državna statistična poročila o oddanih javnih naročilih v Republiki Sloveniji, v katerih MJU analizira stanje javnega naročanja za vsako posamezno leto, so dostopna na:</w:t>
            </w: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https://ejn.gov.si/direktorat/porocila-in-analize.html</w:t>
            </w:r>
          </w:p>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Rezultati spremljanja uporabe pravil javnega naročanja so del nacionalnega poročanja Evropski komisiji, ki poteka vsaka 3 leta. Poročilo je informacija javnega značaja. Za večjo preglednost rezultatov spremljanja bo MJU na svojih spletnih straneh v delu Poročila in analize (skupaj z nacionalnimi letnimi statističnimi poročili, ki so že objavljena z vsebino, kot predstavljeno v točki 1) objavilo tudi povezavo na omenjeno spletno stran Evropske komisije.</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Sicer pa so običajno vse odločitve in poročila, ki jih sprejmejo različni državni organi (Državna revizijska komisija za revizijo postopkov oddaje javnih naročil, Komisija za preprečevanje korupcije, Računsko sodišče Republike Slovenije), vsak v okviru svoje pristojnosti na področju javnih naročil kot t.i. zagovorniki javnega interesa na podlagi zakona, ki ureja pravno varstvo v postopkih javnega naročanja, objavljeni na njihovih spletnih straneh. Poročila poleg ugotovitev vsebujejo tudi priporočila za izboljšanje sistemske ureditve javnega naročanja.</w:t>
            </w:r>
          </w:p>
          <w:p w:rsidR="00A77B3E">
            <w:pPr>
              <w:spacing w:before="100" w:after="0"/>
              <w:jc w:val="start"/>
              <w:rPr>
                <w:rFonts w:ascii="Times New Roman" w:eastAsia="Times New Roman" w:hAnsi="Times New Roman" w:cs="Times New Roman"/>
                <w:b w:val="0"/>
                <w:i w:val="0"/>
                <w:vanish w:val="0"/>
                <w:color w:val="000000"/>
                <w:sz w:val="20"/>
                <w:vertAlign w:val="baseline"/>
              </w:rPr>
            </w:pPr>
          </w:p>
        </w:tc>
      </w:tr>
      <w:tr>
        <w:tblPrEx>
          <w:tblW w:w="0pt" w:type="auto"/>
          <w:tblLayout w:type="fixed"/>
        </w:tblPrEx>
        <w:trPr>
          <w:cantSplit w:val="0"/>
          <w:trHeight w:hRule="auto" w:val="0"/>
          <w:tblHeader w:val="0"/>
        </w:trPr>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5. ureditve za zagotovitev, da se vse informacije, ki kažejo na domnevne primere manipulacij pri razpisnih postopkih, sporočijo pristojnim nacionalnim telesom v skladu s členom 83(2) Direktive 2014/24/EU in členom 99(2) Direktive 2014/25/EU.</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Zakon o javnem naročanju (ZJN-3)</w:t>
            </w: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http://www.pisrs.si/Pis.web/pregledPredpisa?id=ZAKO7086</w:t>
            </w:r>
          </w:p>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V skladu z ZJN-3 (114. člen) MJU zagotavlja spremljanje uporabe pravil o javnem naročanju (JN). Ko ugotovi ali prejme podatke, ki kažejo na posamezne kršitve ali sistemske težave, obvesti pristojne organe (Urad RS za nadzor proračuna, Računsko sodišče RS, Državno revizijsko komisijo, Agencijo RS za varstvo konkurence (AVK) ali Komisijo za preprečevanje korupcije), ki vsak ustrezno ukrepajo. Ta obveznost izhaja iz zakona, zato dodatni dogovori niso sklenjeni. Državni organi so dolžni spoštovati vso relevantno pozitivno zakonodajo, vključno s pravili poslovanja in postopkovnimi pravili. ZJN-3 opredeljuje izključitvene razloge, povezane z omejevanjem konkurence (75. člen).</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Preventivno vpliva tudi informatizacija postopka JN. Visoka transparentnost (objava obvestil, sklepov o oddaji, pogodb, razpisnih cen) je eden ključnih ukrepov v boju proti nedovoljenem dogovarjanju. MJU in AVK redno izvajata pregled stanja sistema JN. AVK izvaja zagovorništvo javnega interesa glede konkurence in svetuje naročnikom. Izvedeno je bilo izobraževanje o prepoznavanju in poročanju o usklajenih ravnanjih v postopkih JN, ki je javno dostopno.</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Glej tudi merili 1 in 3.</w:t>
            </w:r>
          </w:p>
          <w:p w:rsidR="00A77B3E">
            <w:pPr>
              <w:spacing w:before="100" w:after="0"/>
              <w:jc w:val="start"/>
              <w:rPr>
                <w:rFonts w:ascii="Times New Roman" w:eastAsia="Times New Roman" w:hAnsi="Times New Roman" w:cs="Times New Roman"/>
                <w:b w:val="0"/>
                <w:i w:val="0"/>
                <w:vanish w:val="0"/>
                <w:color w:val="000000"/>
                <w:sz w:val="20"/>
                <w:vertAlign w:val="baseline"/>
              </w:rPr>
            </w:pPr>
          </w:p>
        </w:tc>
      </w:tr>
      <w:tr>
        <w:tblPrEx>
          <w:tblW w:w="0pt" w:type="auto"/>
          <w:tblLayout w:type="fixed"/>
        </w:tblPrEx>
        <w:trPr>
          <w:cantSplit w:val="0"/>
          <w:trHeight w:hRule="auto" w:val="0"/>
          <w:tblHeader w:val="0"/>
        </w:trPr>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3. Učinkovita uporaba in izvajanje Listine o temeljnih pravicah</w:t>
            </w: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 xml:space="preserve">Vzpostavljeni so učinkoviti mehanizmi za zagotavljanje skladnosti z Listino Evropske unije o temeljnih pravicah (v nadaljevanju: Listina), ki vključujejo: </w:t>
            </w: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1. ureditve za zagotovitev skladnosti programov, ki jih podpirajo skladi, in njihovega izvajanja z ustreznimi določbami Listine;</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Smiselna uporaba Postopkovnika za zagotavljanje horizontalnega omogočitvenega pogoja “Učinkovita uporaba in izvajanje Listine o temeljnih pravicah” Službe Vlade RS za razvoj in evropsko kohezijsko politiko (v nadaljevanju: Postopkovnik) do sprejema programskih dokumentov: Opis sistema upravljanja in nadzora za sklade s področja notranje varnosti in migracij 2021-2027, Priročnika organa upravljanja ter Navodil organa upravljanja.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Listina EU o temeljnih pravicah je bila upoštevana pri pripravi Programa ter bo tudi pri izvajanju, spremljanju in vrednotenju. V Sloveniji je Varuh človekovih pravic nadzornik oblasti, ki s svojim delovanjem omejuje njeno samovoljo pri poseganju v človekove pravice in temeljne svoboščin in deluje v primeru kakršnekoli kršitve katerekoli pravice posameznika s strani nosilcev oblasti. Je eden izmed ključnih deležnikov, ki bo vključen v vse faze izvajanja Programa.</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Postopki preverjanja skladnosti operacij kot tudi naloge organov bodo določeni v Opisu sistema upravljanja in nadzora, Priročniku organa upravljanja ter Navodilih organa upravljanja. Merila za preverjanje skladnosti operacij z Listino bodo vključena v kontrolne liste.</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 xml:space="preserve">Priprava dokumentov bo potekala v sodelovanju z Varuhom človekovih pravic RS, do njihove uveljavitve pa se bo smiselno upošteval Postopkovnik. </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OU bo v sodelovanju s pristojnim Varuhom človekovih pravic RS izvedel usposabljanja za osebe, ki bodo preverjale skladnost operacij z Listino, ter drugih ključnih deležnikov.</w:t>
            </w:r>
          </w:p>
          <w:p w:rsidR="00A77B3E">
            <w:pPr>
              <w:spacing w:before="100" w:after="0"/>
              <w:jc w:val="start"/>
              <w:rPr>
                <w:rFonts w:ascii="Times New Roman" w:eastAsia="Times New Roman" w:hAnsi="Times New Roman" w:cs="Times New Roman"/>
                <w:b w:val="0"/>
                <w:i w:val="0"/>
                <w:vanish w:val="0"/>
                <w:color w:val="000000"/>
                <w:sz w:val="20"/>
                <w:vertAlign w:val="baseline"/>
              </w:rPr>
            </w:pPr>
          </w:p>
        </w:tc>
      </w:tr>
      <w:tr>
        <w:tblPrEx>
          <w:tblW w:w="0pt" w:type="auto"/>
          <w:tblLayout w:type="fixed"/>
        </w:tblPrEx>
        <w:trPr>
          <w:cantSplit w:val="0"/>
          <w:trHeight w:hRule="auto" w:val="0"/>
          <w:tblHeader w:val="0"/>
        </w:trPr>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2. ureditve poročanja odboru za spremljanje o primerih neskladnosti operacij, ki jih podpirajo skladi, z Listino in pritožbah glede Listine, predloženih v skladu z ureditvami na podlagi člena 69(7).</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Smiselna uporaba Postopkovnika za zagotavljanje horizontalnega omogočitvenega pogoja “Učinkovita uporaba in izvajanje Listine o temeljnih pravicah” Službe Vlade RS za razvoj in evropsko kohezijsko politiko (v nadaljevanju: Postopkovnik) do sprejema programskih dokumentov: Opis sistema upravljanja in nadzora za sklade s področja notranje varnosti in migracij 2021-2027, Priročnika organa upravljanja ter Navodil organa upravljanja.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 xml:space="preserve">Varuh človekovih pravic bo enkrat letno OU posredoval informacijo o morebitnih pritožbah, ki jih je prejel v okviru svojih pooblastil od posameznih oseb. </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OU bo imenoval odgovorno osebo, ki bo zadolžena za spremljanje in poročanje odboru za spremljanje skladov o morebitnih ugotovljenih neskladjih v postopkih upravljalnih preverjanj, revizij, vloženih spletnih pritožb, pritožbah, ki so bile naslovljene na Varuha človekovih pravic, ipd., ter o izvedenih popravljalnih ukrepih.</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Imenovana odgovorna oseba bo enkrat letno pripravila poročilo za odbor za spremljanje skladov, ki bo vsebovalo informacijo o številu ugotovljenih neskladij in pritožb, vsebini in izvedenih popravljalnih ukrepih.</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Na spletni strani OU ter https://evropskasredstva.si/ bo objavljen spletni obrazec za pritožbe na podlagi 7. odstavka 69. člena Uredbe (EU) 2021/1060.</w:t>
            </w:r>
          </w:p>
          <w:p w:rsidR="00A77B3E">
            <w:pPr>
              <w:spacing w:before="100" w:after="0"/>
              <w:jc w:val="start"/>
              <w:rPr>
                <w:rFonts w:ascii="Times New Roman" w:eastAsia="Times New Roman" w:hAnsi="Times New Roman" w:cs="Times New Roman"/>
                <w:b w:val="0"/>
                <w:i w:val="0"/>
                <w:vanish w:val="0"/>
                <w:color w:val="000000"/>
                <w:sz w:val="20"/>
                <w:vertAlign w:val="baseline"/>
              </w:rPr>
            </w:pPr>
          </w:p>
        </w:tc>
      </w:tr>
      <w:tr>
        <w:tblPrEx>
          <w:tblW w:w="0pt" w:type="auto"/>
          <w:tblLayout w:type="fixed"/>
        </w:tblPrEx>
        <w:trPr>
          <w:cantSplit w:val="0"/>
          <w:trHeight w:hRule="auto" w:val="0"/>
          <w:tblHeader w:val="0"/>
        </w:trPr>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4. Izvajanje in uporaba Konvencije Združenih narodov o pravicah invalidov v skladu s Sklepom Sveta 2010/48/ES</w:t>
            </w: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 xml:space="preserve">Vzpostavljen je nacionalni okvir za izvajanje Konvencije Združenih narodov o pravicah invalidov, ki vključuje: </w:t>
            </w: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1. cilje z merljivimi vrednostmi, zbiranje podatkov in mehanizme spremljanja;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Akcijski program za invalide 2022-2030 (API)</w:t>
            </w: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https://www.gov.si/zbirke/projekti-inprogrami/akcijski-program-za-invalide/</w:t>
            </w:r>
          </w:p>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Vlada RS je oktobra 2021 sprejela Akcijski program za invalide 2022-2030 (API), katerega namen je spodbujati, varovati in zagotavljati polnopravno in enakovredno uživanje človekovih pravic invalidov in spodbujanje njihovega dostojanstva. 7. 4. 2022 je bila imenovana Komisija za spremljanje API. Sestavljena je iz skupine predstavnikov vseh resornih ministrstev, strokovnih organizacij, Nacionalnega sveta invalidskih organizacij Slovenije ter drugih invalidskih organizacij in Zveze društev upokojencev. Naloga Komisije je priprava letnega poročila o izvajanju API za Vlado RS. Poročevalci beležijo vse dejavnosti, ki so bile izvedene v letu v okviru predvidenih 13 ciljev in 120 ukrepov API. Mnenje na letno poročilo Komisije poda Svet za invalide (posvetovalni, neodvisen tripartitni organ, ustanovljen na podlagi 33. člena Konvencije ZN o pravicah invalidov in EU strategije za invalide 2021-30), ki je med drugim zadolžen za spodbujanje in spremljanje izvajanja Zakona o ratifikaciji  Konvencije kot tudi za spremljanje implementacije API.</w:t>
            </w:r>
          </w:p>
        </w:tc>
      </w:tr>
      <w:tr>
        <w:tblPrEx>
          <w:tblW w:w="0pt" w:type="auto"/>
          <w:tblLayout w:type="fixed"/>
        </w:tblPrEx>
        <w:trPr>
          <w:cantSplit w:val="0"/>
          <w:trHeight w:hRule="auto" w:val="0"/>
          <w:tblHeader w:val="0"/>
        </w:trPr>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2. ureditve za zagotovitev, da se politika, zakonodaja in standardi dostopnosti ustrezno upoštevajo pri pripravi in izvajanju programov;</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Akcijski program za invalide 2022-2030 (API)</w:t>
            </w: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https://www.gov.si/zbirke/projekti-inprogrami/akcijski-program-za-invalide/</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Zakon o izenačevanju možnosti invalidov (ZIMI)</w:t>
            </w: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http://www.pisrs.si/Pis.web/pregledPredpisa?id=ZAKO4342</w:t>
            </w:r>
          </w:p>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Skladnost s Konvencijo je bila zagotovljena v fazi programiranja, saj so bile v proces priprave Programa vključene organizacije pristojne za spremljanje izvajanja Konvencije, ki bodo sodelovale tudi pri izvajanju, spremljanju in vrednotenju Programa.</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Postopki preverjanja skladnosti operacij s Konvencijo kot tudi naloge organov bodo določeni v Opisu sistema upravljanja in nadzora, Priročniku organa upravljanja ter Navodilih organa upravljanja. Merila za preverjanje skladnosti operacij s Konvencijo bodo vključena v kontrolne liste.</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V Načrtu ukrepov za krepitev upravne zmogljivosti so predvidena usposabljanja in izobraževanja ključnih deležnikov na tem področju, ki bodo pripravljena v sodelovanju s Komisijo za spremljanje API in ostalimi relevantnimi strokovnjaki.</w:t>
            </w:r>
          </w:p>
          <w:p w:rsidR="00A77B3E">
            <w:pPr>
              <w:spacing w:before="100" w:after="0"/>
              <w:jc w:val="start"/>
              <w:rPr>
                <w:rFonts w:ascii="Times New Roman" w:eastAsia="Times New Roman" w:hAnsi="Times New Roman" w:cs="Times New Roman"/>
                <w:b w:val="0"/>
                <w:i w:val="0"/>
                <w:vanish w:val="0"/>
                <w:color w:val="000000"/>
                <w:sz w:val="20"/>
                <w:vertAlign w:val="baseline"/>
              </w:rPr>
            </w:pPr>
          </w:p>
        </w:tc>
      </w:tr>
      <w:tr>
        <w:tblPrEx>
          <w:tblW w:w="0pt" w:type="auto"/>
          <w:tblLayout w:type="fixed"/>
        </w:tblPrEx>
        <w:trPr>
          <w:cantSplit w:val="0"/>
          <w:trHeight w:hRule="auto" w:val="0"/>
          <w:tblHeader w:val="0"/>
        </w:trPr>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3. ureditve poročanja odboru za spremljanje o primerih neskladnosti operacij, ki jih podpirajo skladi, s Konvencijo Združenih narodov o pravicah invalidov in pritožbah glede navedene konvencije, predloženih v skladu z ureditvami na podlagi člena 69(7).</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Akcijski program za invalide 2022-2030 (API)</w:t>
            </w: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https://www.gov.si/zbirke/projekti-inprogrami/akcijski-program-za-invalide/</w:t>
            </w:r>
          </w:p>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Komisija za spremljanje API bo pripravila letno poročilo, s katerim bo seznanila OU. Mnenje na poročilo bo podal Svet za invalide, ter se izrekel o morebitnih pritožbah in ugotovljenih neskladjih.</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OU bo imenoval odgovorno osebo, ki bo zadolžena za spremljanje in poročanje odboru za spremljanje skladov o morebitnih ugotovljenih neskladjih v postopkih upravljalnih preverjanj, revizij, vloženih spletnih pritožb, ugotovitvah Komisije za spremljanje API, ter o izvedenih popravljalnih ukrepih.</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Imenovana odgovorna oseba bo enkrat letno pripravila poročilo za odbor za spremljanje skladov, ki bo vsebovalo informacijo o ugotovljenih neskladjih in pritožbah, vsebini in izvedenih popravljalnih ukrepih.</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Pritožbe bo zbiral tudi OU, zato bo na spletni strani OU in https://evropskasredstva.si/ objavljen spletni obrazec za pritožbe na podlagi 7. odstavka 69. člena Uredbe (EU) 2021/1060.</w:t>
            </w:r>
          </w:p>
          <w:p w:rsidR="00A77B3E">
            <w:pPr>
              <w:spacing w:before="100" w:after="0"/>
              <w:jc w:val="start"/>
              <w:rPr>
                <w:rFonts w:ascii="Times New Roman" w:eastAsia="Times New Roman" w:hAnsi="Times New Roman" w:cs="Times New Roman"/>
                <w:b w:val="0"/>
                <w:i w:val="0"/>
                <w:vanish w:val="0"/>
                <w:color w:val="000000"/>
                <w:sz w:val="20"/>
                <w:vertAlign w:val="baseline"/>
              </w:rPr>
            </w:pPr>
          </w:p>
        </w:tc>
      </w:tr>
    </w:tbl>
    <w:p w:rsidR="00A77B3E">
      <w:pPr>
        <w:pStyle w:val="Heading1"/>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0"/>
          <w:vertAlign w:val="baseline"/>
        </w:rPr>
        <w:br w:type="page"/>
      </w:r>
      <w:bookmarkStart w:id="28" w:name="_Toc256000074"/>
      <w:r>
        <w:rPr>
          <w:rFonts w:ascii="Times New Roman" w:eastAsia="Times New Roman" w:hAnsi="Times New Roman" w:cs="Times New Roman"/>
          <w:b w:val="0"/>
          <w:i w:val="0"/>
          <w:vanish w:val="0"/>
          <w:color w:val="000000"/>
          <w:sz w:val="24"/>
          <w:vertAlign w:val="baseline"/>
        </w:rPr>
        <w:t>5. Organi, pristojni za program</w:t>
      </w:r>
      <w:bookmarkEnd w:id="28"/>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Sklic: člen 22(3)(k) ter člena 71 in 84 uredbe o skupnih določbah</w:t>
      </w:r>
    </w:p>
    <w:p w:rsidR="00A77B3E">
      <w:pPr>
        <w:pStyle w:val="Heading2"/>
        <w:spacing w:before="100" w:after="0"/>
        <w:jc w:val="start"/>
        <w:rPr>
          <w:rFonts w:ascii="Times New Roman" w:eastAsia="Times New Roman" w:hAnsi="Times New Roman" w:cs="Times New Roman"/>
          <w:b w:val="0"/>
          <w:i w:val="0"/>
          <w:vanish w:val="0"/>
          <w:color w:val="000000"/>
          <w:sz w:val="24"/>
          <w:vertAlign w:val="baseline"/>
        </w:rPr>
      </w:pPr>
      <w:bookmarkStart w:id="29" w:name="_Toc256000075"/>
      <w:r>
        <w:rPr>
          <w:rFonts w:ascii="Times New Roman" w:eastAsia="Times New Roman" w:hAnsi="Times New Roman" w:cs="Times New Roman"/>
          <w:b w:val="0"/>
          <w:i w:val="0"/>
          <w:vanish w:val="0"/>
          <w:color w:val="000000"/>
          <w:sz w:val="24"/>
          <w:vertAlign w:val="baseline"/>
        </w:rPr>
        <w:t>Tabela 10: Organi, pristojni za program</w:t>
      </w:r>
      <w:bookmarkEnd w:id="29"/>
    </w:p>
    <w:p w:rsidR="00A77B3E">
      <w:pPr>
        <w:spacing w:before="100" w:after="0"/>
        <w:jc w:val="start"/>
        <w:rPr>
          <w:rFonts w:ascii="Times New Roman" w:eastAsia="Times New Roman" w:hAnsi="Times New Roman" w:cs="Times New Roman"/>
          <w:b w:val="0"/>
          <w:i w:val="0"/>
          <w:vanish w:val="0"/>
          <w:color w:val="000000"/>
          <w:sz w:val="0"/>
          <w:vertAlign w:val="baseline"/>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4060"/>
        <w:gridCol w:w="5875"/>
        <w:gridCol w:w="1802"/>
        <w:gridCol w:w="1851"/>
        <w:gridCol w:w="1714"/>
      </w:tblGrid>
      <w:tr>
        <w:tblPrEx>
          <w:tblW w:w="100%" w:type="pct"/>
        </w:tblPrEx>
        <w:trPr>
          <w:cantSplit w:val="0"/>
          <w:trHeight w:hRule="auto" w:val="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Organ, pristojen za program</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Ime nosilca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Kontaktna oseba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Položaj</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E-naslov</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Organ upravljanja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Ministrstvo za notranje zadeve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Tina Heferle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državna sekretarka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ses.mnz@gov.si</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Revizijski organ</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Ministrstvo za finance, Urad za nadzor proračuna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Patricija Pergar</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direktorica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mf.unp@gov.si</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Telo, ki prejema plačila Evropske komisije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Ministrstvo za finance, Sektor za upravljanje s sredstvi EU/CA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 xml:space="preserve">Mag. Evelyn Filip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vodja sektorja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suseu.mf@gov.si</w:t>
            </w:r>
          </w:p>
        </w:tc>
      </w:tr>
    </w:tbl>
    <w:p w:rsidR="00A77B3E">
      <w:pPr>
        <w:spacing w:before="100" w:after="0"/>
        <w:jc w:val="center"/>
        <w:rPr>
          <w:rFonts w:ascii="Times New Roman" w:eastAsia="Times New Roman" w:hAnsi="Times New Roman" w:cs="Times New Roman"/>
          <w:b w:val="0"/>
          <w:i w:val="0"/>
          <w:vanish w:val="0"/>
          <w:color w:val="000000"/>
          <w:sz w:val="20"/>
          <w:vertAlign w:val="baseline"/>
        </w:rPr>
        <w:sectPr>
          <w:headerReference w:type="even" r:id="rId52"/>
          <w:headerReference w:type="default" r:id="rId53"/>
          <w:footerReference w:type="even" r:id="rId54"/>
          <w:footerReference w:type="default" r:id="rId55"/>
          <w:headerReference w:type="first" r:id="rId56"/>
          <w:footerReference w:type="first" r:id="rId57"/>
          <w:type w:val="nextPage"/>
          <w:pgSz w:w="16838" w:h="11906" w:orient="landscape"/>
          <w:pgMar w:top="720" w:right="720" w:bottom="864" w:left="936" w:header="288" w:footer="72" w:gutter="0"/>
          <w:cols w:space="720"/>
          <w:noEndnote/>
          <w:docGrid w:linePitch="360"/>
        </w:sectPr>
      </w:pPr>
    </w:p>
    <w:p w:rsidR="00A77B3E">
      <w:pPr>
        <w:pStyle w:val="Heading1"/>
        <w:spacing w:before="100" w:after="0"/>
        <w:jc w:val="start"/>
        <w:rPr>
          <w:rFonts w:ascii="Times New Roman" w:eastAsia="Times New Roman" w:hAnsi="Times New Roman" w:cs="Times New Roman"/>
          <w:b w:val="0"/>
          <w:i w:val="0"/>
          <w:vanish w:val="0"/>
          <w:color w:val="000000"/>
          <w:sz w:val="24"/>
          <w:vertAlign w:val="baseline"/>
        </w:rPr>
      </w:pPr>
      <w:bookmarkStart w:id="30" w:name="_Toc256000076"/>
      <w:r>
        <w:rPr>
          <w:rFonts w:ascii="Times New Roman" w:eastAsia="Times New Roman" w:hAnsi="Times New Roman" w:cs="Times New Roman"/>
          <w:b w:val="0"/>
          <w:i w:val="0"/>
          <w:vanish w:val="0"/>
          <w:color w:val="000000"/>
          <w:sz w:val="24"/>
          <w:vertAlign w:val="baseline"/>
        </w:rPr>
        <w:t>6. Partnerstvo</w:t>
      </w:r>
      <w:bookmarkEnd w:id="30"/>
    </w:p>
    <w:p w:rsidR="00A77B3E">
      <w:pPr>
        <w:spacing w:before="100" w:after="0"/>
        <w:jc w:val="start"/>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24"/>
          <w:vertAlign w:val="baseline"/>
        </w:rPr>
        <w:t>Sklic: člen 22(3)(h) uredbe o skupnih določbah</w:t>
      </w:r>
    </w:p>
    <w:p w:rsidR="00A77B3E">
      <w:pPr>
        <w:spacing w:before="100" w:after="0"/>
        <w:jc w:val="start"/>
        <w:rPr>
          <w:rFonts w:ascii="Times New Roman" w:eastAsia="Times New Roman" w:hAnsi="Times New Roman" w:cs="Times New Roman"/>
          <w:b w:val="0"/>
          <w:i w:val="0"/>
          <w:vanish w:val="0"/>
          <w:color w:val="000000"/>
          <w:sz w:val="12"/>
          <w:vertAlign w:val="baseline"/>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5.4pt" w:type="dxa"/>
          <w:end w:w="5.4pt" w:type="dxa"/>
        </w:tblCellMar>
      </w:tblPr>
      <w:tblGrid>
        <w:gridCol w:w="10240"/>
      </w:tblGrid>
      <w:tr>
        <w:tblPrEx>
          <w:tblW w:w="100%" w:type="pct"/>
          <w:tblLayout w:type="fixed"/>
        </w:tblPrEx>
        <w:trPr>
          <w:cantSplit w:val="0"/>
          <w:trHeight w:val="160"/>
        </w:trPr>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0"/>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bCs/>
                <w:i w:val="0"/>
                <w:vanish w:val="0"/>
                <w:color w:val="000000"/>
                <w:sz w:val="24"/>
                <w:u w:val="single"/>
                <w:vertAlign w:val="baseline"/>
              </w:rPr>
              <w:t>Vključenost relevantnih deležnikov</w:t>
            </w:r>
            <w:r>
              <w:rPr>
                <w:rFonts w:ascii="Times New Roman" w:eastAsia="Times New Roman" w:hAnsi="Times New Roman" w:cs="Times New Roman"/>
                <w:b w:val="0"/>
                <w:i w:val="0"/>
                <w:vanish w:val="0"/>
                <w:color w:val="000000"/>
                <w:sz w:val="24"/>
                <w:vertAlign w:val="baseline"/>
              </w:rPr>
              <w:t>: V fazi priprave Programa so bili skladno z 8. členom CPR udeleženi vsi potrebni organi in ustrezni deležniki na različnih ravneh (ekonomsko–socialni partnerji, telesa, ki predstavljajo civilno družbo, regionalna, lokalna in mestna raven ter raziskovalne organizacije in univerze). Program jim je bil posredovan v podajo pisnih pripomb. Skladno s prejetimi pripombami in usmeritvami je bil Program ustrezno usklajen. Pozivi in predlogi ter odgovori OU bodo javno dostopni. V fazi usklajevanja so sodelovale spodaj navedene krovne deležniške organizacije, ki so prejele osnutek Programa in ga potrdile.</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Ekonomsko–socialni partnerji:</w:t>
            </w:r>
          </w:p>
          <w:p w:rsidR="00A77B3E">
            <w:pPr>
              <w:numPr>
                <w:ilvl w:val="0"/>
                <w:numId w:val="6"/>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Ekonomsko-socialni svet (ESS) je tristranski organ socialnih partnerjev in Vlade Republike Slovenije, ustanovljen za obravnavanje vprašanj in ukrepov v zvezi z ekonomsko in socialno politiko ter drugih vprašanj, povezanih s posebnimi področji dogovora med partnerji.</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Telesa, ki predstavljajo civilno družbo:</w:t>
            </w:r>
          </w:p>
          <w:p w:rsidR="00A77B3E">
            <w:pPr>
              <w:numPr>
                <w:ilvl w:val="0"/>
                <w:numId w:val="7"/>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CNVOS je krovna mreža slovenskih nevladnih organizacij. Združujejo več kot 1.500 različnih društev in posameznih društev, zavodov in institucij. S svojim znanjem in izkušnjami podpirajo slovenski nevladni sektor.</w:t>
            </w:r>
          </w:p>
          <w:p w:rsidR="00A77B3E">
            <w:pPr>
              <w:numPr>
                <w:ilvl w:val="0"/>
                <w:numId w:val="7"/>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Mirovni inštitut in migracijski forum. Je neodvisen in neprofitni raziskovalni inštitut, ki ga je leta 1991 ustanovila skupina posameznikov, ki so verjeli v mirno reševanje konfliktov, enakost in spoštovanje človekovih pravic (dejavni na področju pravic migrantov).</w:t>
            </w:r>
          </w:p>
          <w:p w:rsidR="00A77B3E">
            <w:pPr>
              <w:numPr>
                <w:ilvl w:val="0"/>
                <w:numId w:val="7"/>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Varuh človekovih pravic, ki je usmerjen na zagotavljanje spoštovanja človekovih pravic in temeljnih svoboščin.</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Regionalna, lokalna in mestna raven:</w:t>
            </w:r>
          </w:p>
          <w:p w:rsidR="00A77B3E">
            <w:pPr>
              <w:numPr>
                <w:ilvl w:val="0"/>
                <w:numId w:val="8"/>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Združenje slovenskih občin (ZOS), ki zastopa lokalne interese in združuje 111 občin.</w:t>
            </w:r>
          </w:p>
          <w:p w:rsidR="00A77B3E">
            <w:pPr>
              <w:numPr>
                <w:ilvl w:val="0"/>
                <w:numId w:val="8"/>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Skupnost občin Slovenije (SOS) je največje reprezentativno združenje lokalnih skupnosti v Sloveniji s 179 občinami članicami.</w:t>
            </w:r>
          </w:p>
          <w:p w:rsidR="00A77B3E">
            <w:pPr>
              <w:numPr>
                <w:ilvl w:val="0"/>
                <w:numId w:val="8"/>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Skupnost občin Slovenije (ZMOS) je interesno združenje na državni ravni, ki zastopa interese mestnih občin na državni in mednarodni ravni.</w:t>
            </w:r>
          </w:p>
          <w:p w:rsidR="00A77B3E">
            <w:pPr>
              <w:numPr>
                <w:ilvl w:val="0"/>
                <w:numId w:val="8"/>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Slovenski regionalni razvojni sklad</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Raziskovalne organizacije in univerze:</w:t>
            </w:r>
          </w:p>
          <w:p w:rsidR="00A77B3E">
            <w:pPr>
              <w:numPr>
                <w:ilvl w:val="0"/>
                <w:numId w:val="9"/>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Javna agencija za raziskovalno dejavnost Republike Slovenije (ARRS) – opravlja strokovne, razvojne in izvajalske naloge v zvezi z izvajanjem sprejete Raziskovalno-inovacijske strategije Slovenije in druge naloge spodbujanja raziskovalne dejavnosti.</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V fazi izvajanja in evalvacije pa bo medresorsko usklajevanje in sodelovanje potekalo tudi v okviru Medresorske delovne skupine za koordinacijo in operativno usklajevanje izvajanja operacij skladov (MDS) kot pripravljalne skupine ter Odbora za spremljanje skladov s področja notranje varnosti in migracij (OSS) kot odločevalskega telesa. MDS bo delovala kot delovno posvetovalna skupina, ki jo bodo sestavljali imenovani posamezniki, na ravni državnih organov, ki bodo sodelovali pri implementaciji skladov ter bo namenjena predstavitvi stanja, rezultatov in izzivov nastalih pri tem. Poleg tega bo pristojna za razpravo o zadevah/nalogah, ki jih preverja in potrdi OSS.</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V OSS bodo k imenovanju predstavnikov pozvani organi na državni ravni in organi iz sistema nadzora in upravljanja ter EK, kot tudi partnerji (regionalni, lokalni, mestni in drugi javni organi; ekonomski in socialni partnerji; telesa, ki predstavljajo civilno družbo, kot so okoljski partnerji, nevladne organizacije in telesa, odgovorna za spodbujanje socialne vključenosti, temeljnih pravic, pravic invalidov, enakosti spolov in nediskriminacije; raziskovalne organizacije in univerze) ter decentralizirane agencije. OSS bo pristojen za preverjanje spodaj navedenega:</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numPr>
                <w:ilvl w:val="0"/>
                <w:numId w:val="10"/>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napredek pri izvajanju Programa, doseganju mejnikov in ciljnih vrednosti,</w:t>
            </w:r>
          </w:p>
          <w:p w:rsidR="00A77B3E">
            <w:pPr>
              <w:numPr>
                <w:ilvl w:val="0"/>
                <w:numId w:val="10"/>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morebitna vprašanja, ki vplivajo na smotrnost Programa, in ukrepe, sprejete za obravnavo teh vprašanj,</w:t>
            </w:r>
          </w:p>
          <w:p w:rsidR="00A77B3E">
            <w:pPr>
              <w:numPr>
                <w:ilvl w:val="0"/>
                <w:numId w:val="10"/>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prispevek Programa k reševanju izzivov, opredeljenih v ustreznih priporočilih za posamezne države, ki so povezana z izvajanjem Programa,</w:t>
            </w:r>
          </w:p>
          <w:p w:rsidR="00A77B3E">
            <w:pPr>
              <w:numPr>
                <w:ilvl w:val="0"/>
                <w:numId w:val="10"/>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elemente predhodne ocene in strateški dokument,</w:t>
            </w:r>
          </w:p>
          <w:p w:rsidR="00A77B3E">
            <w:pPr>
              <w:numPr>
                <w:ilvl w:val="0"/>
                <w:numId w:val="10"/>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napredek, dosežen pri izvajanju vrednotenj, sintez vrednotenj in morebitnega nadaljnjega spremljanja ugotovitev,</w:t>
            </w:r>
          </w:p>
          <w:p w:rsidR="00A77B3E">
            <w:pPr>
              <w:numPr>
                <w:ilvl w:val="0"/>
                <w:numId w:val="10"/>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izvajanje ukrepov v zvezi s komuniciranjem in prepoznavnostjo,</w:t>
            </w:r>
          </w:p>
          <w:p w:rsidR="00A77B3E">
            <w:pPr>
              <w:numPr>
                <w:ilvl w:val="0"/>
                <w:numId w:val="10"/>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napredek pri izvajanju operacij strateškega pomena,</w:t>
            </w:r>
          </w:p>
          <w:p w:rsidR="00A77B3E">
            <w:pPr>
              <w:numPr>
                <w:ilvl w:val="0"/>
                <w:numId w:val="10"/>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izpolnjevanje omogočitvenih pogojev in njihovo uporabo v celotnem programskem obdobju,</w:t>
            </w:r>
          </w:p>
          <w:p w:rsidR="00A77B3E">
            <w:pPr>
              <w:numPr>
                <w:ilvl w:val="0"/>
                <w:numId w:val="10"/>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napredek pri krepitvi upravnih zmogljivosti za javne institucije, partnerje in upravičence,</w:t>
            </w:r>
          </w:p>
          <w:p w:rsidR="00A77B3E">
            <w:pPr>
              <w:numPr>
                <w:ilvl w:val="0"/>
                <w:numId w:val="10"/>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informacije v zvezi z izvajanjem prispevka Programa k programu Invest EU.</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OSS je pristojen za odobritev metodologije in merila za izbor operacij, letnih poročil o smotrnosti, načrta vrednotenja in njegovih morebitne spremembe ter morebitne predloge OU za spremembo Programa. Poleg tega pa OSS lahko daje priporočila OU. Skladno s tem je pomembna zastopanost vseh raznolikih partnerjev/deležnikov.</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Proces odločanja in sodelovanja na ravni EU pa se vrši v okviru Odbora AMIF-SNV-IUMV.</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u w:val="single"/>
                <w:vertAlign w:val="baseline"/>
              </w:rPr>
              <w:t>Komplementarnosti in sinergije (IUMV):</w:t>
            </w:r>
            <w:r>
              <w:rPr>
                <w:rFonts w:ascii="Times New Roman" w:eastAsia="Times New Roman" w:hAnsi="Times New Roman" w:cs="Times New Roman"/>
                <w:b w:val="0"/>
                <w:i w:val="0"/>
                <w:vanish w:val="0"/>
                <w:color w:val="000000"/>
                <w:sz w:val="24"/>
                <w:vertAlign w:val="baseline"/>
              </w:rPr>
              <w:t xml:space="preserve"> Med skladi na področju notranjih zadev (AMIF, SNV, IUMV) so zaznane pomembne sinergije na področju upravljanja migracij, vzpostavitve in posodabljanja infrastrukture, vezane na migracije, storitve pri obravnavi oseb ter pri preprečevanju kriminala. Kar se tiče komplementarnosti in razmejitev jih je zaznati predvsem na področju informacijskih sistemov, saj zaradi prepletanja vsebin in interoperabilnosti segajo na področje upravljanja meja, migracij in notranje varnosti. Skladno s tem je potrebna posebna pozornost pri oblikovanju ustrezne razmejitve med skladi. Ker je organ upravljanja za vse HOME sklade eden, so znotraj vzpostavljeni mehanizmi za zagotavljanje učinkovitega spremljanja.</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OU je vzpostavil sistem za sodelovanja z OU za druge sklade, ki so vključeni v partnerski sporazum. V ta namen bodo vzpostavljeni mehanizmi za zagotavljanje učinkovitega spremljanja (članstvo v medresorskih skupinah ali odborih za spremljanje, sestanki, posveti, medresorski pregled dokumentacije).</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Za dopolnjevanje in doseganje sinergij z drugimi instrumenti Unije, ki niso zajeti v Partnerskem sporazumu, ima organ upravljanja za HOME sklade tudi vzpostavljeno sodelovanje. Za zagotavljanje učinkovitega spremljanja bodo organizirani sestanki, posveti, medresorski pregled dokumentacije in izbranih operacij, sodelovanje na OSS in MDS, redna poročanja o odobrenih operacijah ter drugi vzpostavljeni mehanizmi.</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Zelo pomembne so razmejitve, komplementarnosti in sinergije med IUMV in centraliziranimi javnimi razpisi na ravni EU ter RRF. Prvi vezano na aktivnosti ključnih organov s področja, drugi (RRF) na področju dejavnosti povezanih s trajnostno in zeleno tranzicijo ter digitalno Slovenijo. Ker je enota, ki je zadolžena za finančno poročanje takih operacij v okviru MNZ Policije znotraj iste službe kot OU (samo druga enota), je vzpostavljena redna izmenjava informacij (že v fazi načrtovanja in tudi izvajanja operacij).</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Razmejitev med programoma AMIF in IUMV je v Republiki Sloveniji zagotovljena tako, da so vse operacije, ki so vezane na obravnavo in vračanje državljanov tretjih držav, ki nelegalno bivajo v Sloveniji, financirane samo iz AMIF. Iz IUMV so financirani predvsem nakupi opreme, vezani na nadzor začasne zunanje meje in vizumske postopke, informacijski sistemi in druge operacije iz tega področja. Oba programa sta bila pripravljena in usklajevana s strani istega organa upravljanja, ki bo opravljal tudi administrativne kontrole upravičenosti, tako da dvojnega financiranja med programi ne more priti.</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V okviru RRF trajnostnega in zelenega prehoda bodo morebitne naložbe v opremo in energetsko sanacijo stavb pripomogle k doseganju skupnega cilja posodobitve potrebne infrastrukture. Naložbe, povezane z digitalizacijo, so usmerjene predvsem v prenovo informacijskih sistemov in nakup opreme, kar je izjemnega pomena, saj je to osnova za optimalno delovanje policije. Je tudi osnova za druge naložbe v digitalizacijo, ki bodo financirane iz SNV (PNR, informacijska strojna, programska oprema in komunikacijsko omrežje policije, potrebno za delovanje in uporabo centralnih EU informacijskih sistemov) in IUMV (interoperabilnost, veliki sistemi, ETIAS, itd.). Glede na to, da so naložbe v sistem IT možne tudi v okviru SNV in IUMV, bo potrebno posebno spremljanje, da bi se izognili prekrivanju (Program SNV).</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Razmejitve naložb temeljijo na odgovornosti vsake institucije za razvoj informacijskih sistemov. Odgovornost za VIZIS in njeno povezavo z EU VIS prek SI. VIS je v celoti v domeni MZEZ, povezava z EES je vzajemna skrb – glavna odgovornost za povezavo z EES (to je SI. EES) je na policiji, medtem ko bo moral MZEZ razviti vmesnik za SI. nacionalni vmesnik ZAES, ki ga je razvila Policija.</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Za izboljšanje infrastrukture vezane na upravljanje meja in financirane iz IUMV obstaja možnost komplementarne uporabe ESRR, še posebej zaradi problematike začasne zunanje meje s Hrvaško, zaradi česar ima Slovenija omejene zmožnosti za vlaganja v infrastrukturo iz IUMV in bi lahko iz sredstev ESRR posodobili objekte na kopenskih mejnih prehodih.</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Prepoznane so povezave med IUMV in EMFF na področju evropskega integriranega upravljanja meja v pomorski domeni (kot so pomorske operacije večnamenske narave), a se program Slovenije za IUMV za leta 2021-2027 zaradi omejenih sredstev na te vsebine ne usmerja. Kljub temu pa skladno z Zakonom o nadzoru državne meje (8. člen), Zakonikom o schengenskih mejah (13. in 15. člen) in Uredbo EUROSUR (9. člen) Slovenija zagotavlja sredstva za nadzor meje, kar pa predstavlja sinergijo z EMFF. Poleg policije za izvajanje varnosti na morju skrbi tudi Uprava Republike Slovenije za pomorstvo.</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Prepoznana so naslednja dopolnjevanja in sinergije med:</w:t>
            </w:r>
          </w:p>
          <w:p w:rsidR="00A77B3E">
            <w:pPr>
              <w:numPr>
                <w:ilvl w:val="0"/>
                <w:numId w:val="11"/>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SNV ter AMIF in IUMV na področju zunanje razsežnosti migracijske in varnostne politike EU prek zunanjih instrumentov, kot sta Instrument za sosedstvo, razvoj in mednarodno sodelovanje (NDICI) in Instrument za predpristopno pomoč (IPA);</w:t>
            </w:r>
          </w:p>
          <w:p w:rsidR="00A77B3E">
            <w:pPr>
              <w:numPr>
                <w:ilvl w:val="0"/>
                <w:numId w:val="11"/>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IUMV in Digitalna Europe;</w:t>
            </w:r>
          </w:p>
          <w:p w:rsidR="00A77B3E">
            <w:pPr>
              <w:numPr>
                <w:ilvl w:val="0"/>
                <w:numId w:val="11"/>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IUMV in Horizon Europe 2020 (Obzorje Evropa 2020) – preko prijav na javne razpise</w:t>
            </w:r>
          </w:p>
          <w:p w:rsidR="00A77B3E">
            <w:pPr>
              <w:numPr>
                <w:ilvl w:val="0"/>
                <w:numId w:val="11"/>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IUMV in Mehanizmom za okrevanje in odpornost (RRF).</w:t>
            </w:r>
          </w:p>
          <w:p w:rsidR="00A77B3E">
            <w:pPr>
              <w:spacing w:before="100" w:after="0"/>
              <w:jc w:val="start"/>
              <w:rPr>
                <w:rFonts w:ascii="Times New Roman" w:eastAsia="Times New Roman" w:hAnsi="Times New Roman" w:cs="Times New Roman"/>
                <w:b w:val="0"/>
                <w:i w:val="0"/>
                <w:vanish w:val="0"/>
                <w:color w:val="000000"/>
                <w:sz w:val="6"/>
                <w:vertAlign w:val="baseline"/>
              </w:rPr>
            </w:pPr>
          </w:p>
          <w:p w:rsidR="00A77B3E">
            <w:pPr>
              <w:spacing w:before="100" w:after="0"/>
              <w:jc w:val="start"/>
              <w:rPr>
                <w:rFonts w:ascii="Times New Roman" w:eastAsia="Times New Roman" w:hAnsi="Times New Roman" w:cs="Times New Roman"/>
                <w:b w:val="0"/>
                <w:i w:val="0"/>
                <w:vanish w:val="0"/>
                <w:color w:val="000000"/>
                <w:sz w:val="6"/>
                <w:vertAlign w:val="baseline"/>
              </w:rPr>
            </w:pPr>
          </w:p>
        </w:tc>
      </w:tr>
    </w:tbl>
    <w:p w:rsidR="00A77B3E">
      <w:pPr>
        <w:pStyle w:val="Heading1"/>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br w:type="page"/>
      </w:r>
      <w:bookmarkStart w:id="31" w:name="_Toc256000077"/>
      <w:r>
        <w:rPr>
          <w:rFonts w:ascii="Times New Roman" w:eastAsia="Times New Roman" w:hAnsi="Times New Roman" w:cs="Times New Roman"/>
          <w:b w:val="0"/>
          <w:i w:val="0"/>
          <w:vanish w:val="0"/>
          <w:color w:val="000000"/>
          <w:sz w:val="24"/>
          <w:vertAlign w:val="baseline"/>
        </w:rPr>
        <w:t>7. Komuniciranje in prepoznavnost</w:t>
      </w:r>
      <w:bookmarkEnd w:id="31"/>
    </w:p>
    <w:p w:rsidR="00A77B3E">
      <w:pPr>
        <w:spacing w:before="100" w:after="0"/>
        <w:jc w:val="start"/>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24"/>
          <w:vertAlign w:val="baseline"/>
        </w:rPr>
        <w:t>Sklic: člen 22(3)(j) uredbe o skupnih določbah</w:t>
      </w:r>
    </w:p>
    <w:p w:rsidR="00A77B3E">
      <w:pPr>
        <w:spacing w:before="100" w:after="0"/>
        <w:jc w:val="start"/>
        <w:rPr>
          <w:rFonts w:ascii="Times New Roman" w:eastAsia="Times New Roman" w:hAnsi="Times New Roman" w:cs="Times New Roman"/>
          <w:b w:val="0"/>
          <w:i w:val="0"/>
          <w:vanish w:val="0"/>
          <w:color w:val="000000"/>
          <w:sz w:val="12"/>
          <w:vertAlign w:val="baseline"/>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5.4pt" w:type="dxa"/>
          <w:end w:w="5.4pt" w:type="dxa"/>
        </w:tblCellMar>
      </w:tblPr>
      <w:tblGrid>
        <w:gridCol w:w="10240"/>
      </w:tblGrid>
      <w:tr>
        <w:tblPrEx>
          <w:tblW w:w="100%" w:type="pct"/>
          <w:tblLayout w:type="fixed"/>
        </w:tblPrEx>
        <w:trPr>
          <w:cantSplit w:val="0"/>
          <w:trHeight w:val="160"/>
        </w:trPr>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0"/>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Organ upravljanja (OU) prevzema vlogo koordinatorja s področja komuniciranja na ravni države članice za AMIF, SNV in IUMV. Glavni namen komuniciranja na področju skladov notranje varnosti je promocija aktivnosti in dosežkov skladov ter informiranje različnih javnosti za povečanje njihove aktivne vključenosti, kar bi prispevalo k učinkovitemu izvajanju politike s področja notranje varnosti in migracij.</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Glavne ciljne skupine (deležniki) so:</w:t>
            </w:r>
          </w:p>
          <w:p w:rsidR="00A77B3E">
            <w:pPr>
              <w:numPr>
                <w:ilvl w:val="0"/>
                <w:numId w:val="12"/>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potencialni upravičenci,</w:t>
            </w:r>
          </w:p>
          <w:p w:rsidR="00A77B3E">
            <w:pPr>
              <w:numPr>
                <w:ilvl w:val="0"/>
                <w:numId w:val="12"/>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končni upravičenci z zakonskimi pristojnostni s področja,</w:t>
            </w:r>
          </w:p>
          <w:p w:rsidR="00A77B3E">
            <w:pPr>
              <w:numPr>
                <w:ilvl w:val="0"/>
                <w:numId w:val="12"/>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končni upravičenci, ki izvajajo projekte preko javnih razpisov (nevladne organizacije),</w:t>
            </w:r>
          </w:p>
          <w:p w:rsidR="00A77B3E">
            <w:pPr>
              <w:numPr>
                <w:ilvl w:val="0"/>
                <w:numId w:val="12"/>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ekonomsko-socialni partnerji,</w:t>
            </w:r>
          </w:p>
          <w:p w:rsidR="00A77B3E">
            <w:pPr>
              <w:numPr>
                <w:ilvl w:val="0"/>
                <w:numId w:val="12"/>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splošna javnost.</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Glavni komunikacijski cilji so informiranje in osveščanje o:</w:t>
            </w:r>
          </w:p>
          <w:p w:rsidR="00A77B3E">
            <w:pPr>
              <w:numPr>
                <w:ilvl w:val="0"/>
                <w:numId w:val="13"/>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možnostih koriščenja in dodeljenih sredstvih skladov,</w:t>
            </w:r>
          </w:p>
          <w:p w:rsidR="00A77B3E">
            <w:pPr>
              <w:numPr>
                <w:ilvl w:val="0"/>
                <w:numId w:val="13"/>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informacijah o skladih,</w:t>
            </w:r>
          </w:p>
          <w:p w:rsidR="00A77B3E">
            <w:pPr>
              <w:numPr>
                <w:ilvl w:val="0"/>
                <w:numId w:val="13"/>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dosežkih, učinkih in rezultatih projektov.</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V prvem delu programskega obdobja bo namen komuniciranja seznanjanje javnosti z novostmi v izvajanju skladov s področja notranje varnosti in migracij v programskem obdobju 2021–2027 in samim sistemom izvajanja, informiranje različnih ciljnih skupin o možnostih sofinanciranja in spodbujanje vključevanja (potencialnih) upravičencev ter drugih deležnikov za čim bolj učinkovito črpanje evropskih sredstev. V drugem delu bo večji poudarek na dvigu prepoznavanja in oblikovanju pozitivne podobe evropske politike s področja notranje varnosti in migracij v očeh splošne javnosti, predvsem preko širjenja dobrih praks in rezultatov, pri čemer bodo glavni ambasadorji uspešni projekti in njihove zgodbe.</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Zgoraj opisane aktivnosti se bodo izvajale skladno z nacionalno komunikacijsko strategijo Slovenije ter letnimi komunikacijskimi načrti OU, kjer bodo opisane podrobne aktivnosti in bodo usklajeni z nacionalnim koordinatorjem za komuniciranje. Novost je enoten spletni portal www.evropskasredstva.si, na katerem bodo predstavljene relevantne informacije o izvajanju evropske politike v obdobju 2021-2027 v Sloveniji.</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Glede na različne ciljne skupine bodo komunikacijske aktivnosti ciljno usmerjene. Načrtovana komunikacijska orodja in kanali za izvajanje dejavnosti prepoznavnosti, preglednosti in komuniciranja politike na področju notranjih zadev v obdobju 2021-2027 so:</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 SPLETNE STRANI (programski dokumenti, predstavitvena gradiva, avdio-vizualne produkcije, sporočila za javnost, druge promocijske in informativne objave)</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a. Kazalniki učinka (KU): št. obiskov, št. obiskovalcev, ki jih identificirajo brskalniki, št. ogledov strani,</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b. Kazalniki rezultata (KR): stopnja konverzije: prenosi, registracije, izpolnjeni obrazci, stopnja obiskov, dolžina seje itd., splošna uporabnost spletnega mesta in/ali strani, št. ponovnih obiskovalcev,</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c. Kazalniki vpliva (KV): št. obiskovalcev, ki imajo bolj pozitivno mnenje o EU, kot rezultat spletnega obiska, verjetnost zagovarjanja ali pozitivnega govora o EU, kot rezultat spletnega obiska.</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 SOCIALNA OMREŽJA - Facebook, Twitter, Instagram (sporočila za javnost, avdio-vizualne produkcije, druge promocijske in informativne objave)</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a. KU: št. prikazov, št. sledilcev/oboževalcev/naročnikov,</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b. KR: št. angažiranosti: delitve, všečki, 'kliki' ali komentarji, št. omemb,</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c. KV: odstotek oseb, ki imajo zaradi sodelovanja v vsebini socialnih omrežij bolj pozitivno mnenje o EU.</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 VIDEOPOSNETKI IN FOTOGRAFIJE (spletna stran, socialna omrežja)</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a. KU: št. ogledov, št. edinstvenih obiskovalcev strani videoposnetka, odstotek videoposnetkov z dokončanim ogledom 50 % ali več in 100 %,</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b. KR: splošna uporabnost videoposnetka za gledalca, št. deljenj ali prenosov,</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c. KV: št. gledalcev, ki imajo zaradi posnetka bolj pozitivno mnenje o EU, verjetnost, da bodo zagovarjali EU ali govorili pozitivno o EU, kot rezultat videoposnetka.</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 DOGODKI (informativni, izobraževalni in drugi dogodki)</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a. KU: št. udeležencev, odstotek udeležencev, ki prvič obiščejo dogodek,</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b. KR: splošna uporabnost dogodka, odstotek udeležencev, ki so izjavili, da bodo delili ali pozitivno govorili o dogodku,</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c. KV: odstotek udeležencev, ki imajo zaradi dogodka bolj pozitivno mnenje o EU.</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 PUBLIKACIJE (programski dokumenti, drugi promocijski in informativni materiali)</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a. KU: št. bralcev/poslušalcev/prenosov publikacije,</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b. KR: splošna uporabnost publikacije za bralca,</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c. KV: št. bralcev, ki imajo zaradi objave bolj pozitivno mnenje o politiki/organizaciji.</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OU bo pri izvajanju aktivnosti vzpostavil kontinuirano in aktivno sodelovanje s partnerji, npr. z Evropsko komisijo (DG HOME) in Evropskim Parlamentom, nacionalnim koordinatorjem za komuniciranje (INFORM-SI), Uradom Vlade RS za komuniciranje in drugimi organi upravljanja programov, ki jih sofinancira EU. Imenovan je komunikator.</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Finančna sredstva za izvajanje aktivnosti komuniciranja bodo zagotovljena v višini 5% sredstev tehnične pomoči in bodo namenjena:</w:t>
            </w:r>
          </w:p>
          <w:p w:rsidR="00A77B3E">
            <w:pPr>
              <w:numPr>
                <w:ilvl w:val="0"/>
                <w:numId w:val="14"/>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produkcijskim, oglaševalskim in drugim digitalnim aktivnostim (40%),</w:t>
            </w:r>
          </w:p>
          <w:p w:rsidR="00A77B3E">
            <w:pPr>
              <w:numPr>
                <w:ilvl w:val="0"/>
                <w:numId w:val="14"/>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publikacijam in promocijskim izdelkom (25%),</w:t>
            </w:r>
          </w:p>
          <w:p w:rsidR="00A77B3E">
            <w:pPr>
              <w:numPr>
                <w:ilvl w:val="0"/>
                <w:numId w:val="14"/>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organizaciji dogodkov in z njimi povezanih komunikacijskih aktivnosti (15%) in</w:t>
            </w:r>
          </w:p>
          <w:p w:rsidR="00A77B3E">
            <w:pPr>
              <w:numPr>
                <w:ilvl w:val="0"/>
                <w:numId w:val="14"/>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drugim potrebnih podpornim aktivnostim (npr. stroški dela kominikatorjev) (20%).</w:t>
            </w:r>
          </w:p>
          <w:p w:rsidR="00A77B3E">
            <w:pPr>
              <w:spacing w:before="100" w:after="0"/>
              <w:jc w:val="start"/>
              <w:rPr>
                <w:rFonts w:ascii="Times New Roman" w:eastAsia="Times New Roman" w:hAnsi="Times New Roman" w:cs="Times New Roman"/>
                <w:b w:val="0"/>
                <w:i w:val="0"/>
                <w:vanish w:val="0"/>
                <w:color w:val="000000"/>
                <w:sz w:val="6"/>
                <w:vertAlign w:val="baseline"/>
              </w:rPr>
            </w:pPr>
          </w:p>
          <w:p w:rsidR="00A77B3E">
            <w:pPr>
              <w:spacing w:before="100" w:after="0"/>
              <w:jc w:val="start"/>
              <w:rPr>
                <w:rFonts w:ascii="Times New Roman" w:eastAsia="Times New Roman" w:hAnsi="Times New Roman" w:cs="Times New Roman"/>
                <w:b w:val="0"/>
                <w:i w:val="0"/>
                <w:vanish w:val="0"/>
                <w:color w:val="000000"/>
                <w:sz w:val="6"/>
                <w:vertAlign w:val="baseline"/>
              </w:rPr>
            </w:pPr>
          </w:p>
        </w:tc>
      </w:tr>
    </w:tbl>
    <w:p w:rsidR="00A77B3E">
      <w:pPr>
        <w:pStyle w:val="Heading1"/>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br w:type="page"/>
      </w:r>
      <w:bookmarkStart w:id="32" w:name="_Toc256000078"/>
      <w:r>
        <w:rPr>
          <w:rFonts w:ascii="Times New Roman" w:eastAsia="Times New Roman" w:hAnsi="Times New Roman" w:cs="Times New Roman"/>
          <w:b w:val="0"/>
          <w:i w:val="0"/>
          <w:vanish w:val="0"/>
          <w:color w:val="000000"/>
          <w:sz w:val="24"/>
          <w:vertAlign w:val="baseline"/>
        </w:rPr>
        <w:t>8. Uporaba stroškov na enoto, pavšalnih zneskov, pavšalnih stopenj in financiranja, ki ni povezano s stroški</w:t>
      </w:r>
      <w:bookmarkEnd w:id="32"/>
    </w:p>
    <w:p w:rsidR="00A77B3E">
      <w:pPr>
        <w:spacing w:before="100" w:after="0"/>
        <w:jc w:val="start"/>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24"/>
          <w:vertAlign w:val="baseline"/>
        </w:rPr>
        <w:t>Sklic: člena 94 in 95 uredbe o skupnih določbah</w:t>
      </w:r>
    </w:p>
    <w:p w:rsidR="00A77B3E">
      <w:pPr>
        <w:spacing w:before="100" w:after="0"/>
        <w:jc w:val="start"/>
        <w:rPr>
          <w:rFonts w:ascii="Times New Roman" w:eastAsia="Times New Roman" w:hAnsi="Times New Roman" w:cs="Times New Roman"/>
          <w:b w:val="0"/>
          <w:i w:val="0"/>
          <w:vanish w:val="0"/>
          <w:color w:val="000000"/>
          <w:sz w:val="12"/>
          <w:vertAlign w:val="baseline"/>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9662"/>
        <w:gridCol w:w="354"/>
        <w:gridCol w:w="354"/>
      </w:tblGrid>
      <w:tr>
        <w:tblPrEx>
          <w:tblW w:w="100%" w:type="pct"/>
        </w:tblPrEx>
        <w:trPr>
          <w:cantSplit w:val="0"/>
          <w:trHeight w:hRule="auto"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Načrtovana uporaba členov 94 in 95 uredbe o skupnih določbah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Da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Ne</w:t>
            </w:r>
          </w:p>
        </w:tc>
      </w:tr>
      <w:tr>
        <w:tblPrEx>
          <w:tblW w:w="100%" w:type="pct"/>
        </w:tblPrEx>
        <w:trPr>
          <w:cantSplit w:val="0"/>
          <w:trHeight w:hRule="auto"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Od sprejetja programa se bo uporabljalo povračilo prispevka Unije na podlagi stroškov na enoto, pavšalnih zneskov in pavšalnih stopenj v okviru prednostne naloge v skladu s členom 94 uredbe o skupnih določbah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fldChar w:fldCharType="begin">
                <w:ffData>
                  <w:name w:val=""/>
                  <w:enabled/>
                  <w:calcOnExit w:val="0"/>
                  <w:checkBox>
                    <w:size w:val="20"/>
                    <w:default w:val="0"/>
                    <w:checked w:val="0"/>
                  </w:checkBox>
                </w:ffData>
              </w:fldChar>
            </w:r>
            <w:r>
              <w:rPr>
                <w:rFonts w:ascii="Times New Roman" w:eastAsia="Times New Roman" w:hAnsi="Times New Roman" w:cs="Times New Roman"/>
                <w:b w:val="0"/>
                <w:i w:val="0"/>
                <w:vanish w:val="0"/>
                <w:color w:val="000000"/>
                <w:sz w:val="20"/>
                <w:vertAlign w:val="baseline"/>
              </w:rPr>
              <w:instrText xml:space="preserve"> FORMCHECKBOX </w:instrText>
            </w:r>
            <w:r>
              <w:rPr>
                <w:rFonts w:ascii="Times New Roman" w:eastAsia="Times New Roman" w:hAnsi="Times New Roman" w:cs="Times New Roman"/>
                <w:b w:val="0"/>
                <w:i w:val="0"/>
                <w:vanish w:val="0"/>
                <w:color w:val="000000"/>
                <w:sz w:val="20"/>
                <w:vertAlign w:val="baseline"/>
              </w:rPr>
              <w:fldChar w:fldCharType="end"/>
            </w:r>
            <w:r>
              <w:rPr>
                <w:rFonts w:ascii="Times New Roman" w:eastAsia="Times New Roman" w:hAnsi="Times New Roman" w:cs="Times New Roman"/>
                <w:b w:val="0"/>
                <w:i w:val="0"/>
                <w:vanish w:val="0"/>
                <w:color w:val="000000"/>
                <w:sz w:val="20"/>
                <w:vertAlign w:val="baseline"/>
              </w:rPr>
              <w:t xml:space="preserve">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fldChar w:fldCharType="begin">
                <w:ffData>
                  <w:name w:val=""/>
                  <w:enabled/>
                  <w:calcOnExit w:val="0"/>
                  <w:checkBox>
                    <w:size w:val="20"/>
                    <w:default w:val="1"/>
                    <w:checked w:val="1"/>
                  </w:checkBox>
                </w:ffData>
              </w:fldChar>
            </w:r>
            <w:r>
              <w:rPr>
                <w:rFonts w:ascii="Times New Roman" w:eastAsia="Times New Roman" w:hAnsi="Times New Roman" w:cs="Times New Roman"/>
                <w:b w:val="0"/>
                <w:i w:val="0"/>
                <w:vanish w:val="0"/>
                <w:color w:val="000000"/>
                <w:sz w:val="20"/>
                <w:vertAlign w:val="baseline"/>
              </w:rPr>
              <w:instrText xml:space="preserve"> FORMCHECKBOX </w:instrText>
            </w:r>
            <w:r>
              <w:rPr>
                <w:rFonts w:ascii="Times New Roman" w:eastAsia="Times New Roman" w:hAnsi="Times New Roman" w:cs="Times New Roman"/>
                <w:b w:val="0"/>
                <w:i w:val="0"/>
                <w:vanish w:val="0"/>
                <w:color w:val="000000"/>
                <w:sz w:val="20"/>
                <w:vertAlign w:val="baseline"/>
              </w:rPr>
              <w:fldChar w:fldCharType="end"/>
            </w:r>
            <w:r>
              <w:rPr>
                <w:rFonts w:ascii="Times New Roman" w:eastAsia="Times New Roman" w:hAnsi="Times New Roman" w:cs="Times New Roman"/>
                <w:b w:val="0"/>
                <w:i w:val="0"/>
                <w:vanish w:val="0"/>
                <w:color w:val="000000"/>
                <w:sz w:val="20"/>
                <w:vertAlign w:val="baseline"/>
              </w:rPr>
              <w:t xml:space="preserve"> </w:t>
            </w:r>
          </w:p>
        </w:tc>
      </w:tr>
      <w:tr>
        <w:tblPrEx>
          <w:tblW w:w="100%" w:type="pct"/>
        </w:tblPrEx>
        <w:trPr>
          <w:cantSplit w:val="0"/>
          <w:trHeight w:hRule="auto"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Od sprejetja programa se bo uporabljalo povračilo prispevka Unije na podlagi financiranja, ki ni povezano s stroški, v skladu s členom 95 uredbe o skupnih določbah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fldChar w:fldCharType="begin">
                <w:ffData>
                  <w:name w:val=""/>
                  <w:enabled/>
                  <w:calcOnExit w:val="0"/>
                  <w:checkBox>
                    <w:size w:val="20"/>
                    <w:default w:val="0"/>
                    <w:checked w:val="0"/>
                  </w:checkBox>
                </w:ffData>
              </w:fldChar>
            </w:r>
            <w:r>
              <w:rPr>
                <w:rFonts w:ascii="Times New Roman" w:eastAsia="Times New Roman" w:hAnsi="Times New Roman" w:cs="Times New Roman"/>
                <w:b w:val="0"/>
                <w:i w:val="0"/>
                <w:vanish w:val="0"/>
                <w:color w:val="000000"/>
                <w:sz w:val="20"/>
                <w:vertAlign w:val="baseline"/>
              </w:rPr>
              <w:instrText xml:space="preserve"> FORMCHECKBOX </w:instrText>
            </w:r>
            <w:r>
              <w:rPr>
                <w:rFonts w:ascii="Times New Roman" w:eastAsia="Times New Roman" w:hAnsi="Times New Roman" w:cs="Times New Roman"/>
                <w:b w:val="0"/>
                <w:i w:val="0"/>
                <w:vanish w:val="0"/>
                <w:color w:val="000000"/>
                <w:sz w:val="20"/>
                <w:vertAlign w:val="baseline"/>
              </w:rPr>
              <w:fldChar w:fldCharType="end"/>
            </w:r>
            <w:r>
              <w:rPr>
                <w:rFonts w:ascii="Times New Roman" w:eastAsia="Times New Roman" w:hAnsi="Times New Roman" w:cs="Times New Roman"/>
                <w:b w:val="0"/>
                <w:i w:val="0"/>
                <w:vanish w:val="0"/>
                <w:color w:val="000000"/>
                <w:sz w:val="20"/>
                <w:vertAlign w:val="baseline"/>
              </w:rPr>
              <w:t xml:space="preserve">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fldChar w:fldCharType="begin">
                <w:ffData>
                  <w:name w:val=""/>
                  <w:enabled/>
                  <w:calcOnExit w:val="0"/>
                  <w:checkBox>
                    <w:size w:val="20"/>
                    <w:default w:val="1"/>
                    <w:checked w:val="1"/>
                  </w:checkBox>
                </w:ffData>
              </w:fldChar>
            </w:r>
            <w:r>
              <w:rPr>
                <w:rFonts w:ascii="Times New Roman" w:eastAsia="Times New Roman" w:hAnsi="Times New Roman" w:cs="Times New Roman"/>
                <w:b w:val="0"/>
                <w:i w:val="0"/>
                <w:vanish w:val="0"/>
                <w:color w:val="000000"/>
                <w:sz w:val="20"/>
                <w:vertAlign w:val="baseline"/>
              </w:rPr>
              <w:instrText xml:space="preserve"> FORMCHECKBOX </w:instrText>
            </w:r>
            <w:r>
              <w:rPr>
                <w:rFonts w:ascii="Times New Roman" w:eastAsia="Times New Roman" w:hAnsi="Times New Roman" w:cs="Times New Roman"/>
                <w:b w:val="0"/>
                <w:i w:val="0"/>
                <w:vanish w:val="0"/>
                <w:color w:val="000000"/>
                <w:sz w:val="20"/>
                <w:vertAlign w:val="baseline"/>
              </w:rPr>
              <w:fldChar w:fldCharType="end"/>
            </w:r>
            <w:r>
              <w:rPr>
                <w:rFonts w:ascii="Times New Roman" w:eastAsia="Times New Roman" w:hAnsi="Times New Roman" w:cs="Times New Roman"/>
                <w:b w:val="0"/>
                <w:i w:val="0"/>
                <w:vanish w:val="0"/>
                <w:color w:val="000000"/>
                <w:sz w:val="20"/>
                <w:vertAlign w:val="baseline"/>
              </w:rPr>
              <w:t xml:space="preserve"> </w:t>
            </w:r>
          </w:p>
        </w:tc>
      </w:tr>
    </w:tbl>
    <w:p w:rsidR="00A77B3E">
      <w:pPr>
        <w:spacing w:before="100" w:after="0"/>
        <w:jc w:val="center"/>
        <w:rPr>
          <w:rFonts w:ascii="Times New Roman" w:eastAsia="Times New Roman" w:hAnsi="Times New Roman" w:cs="Times New Roman"/>
          <w:b w:val="0"/>
          <w:i w:val="0"/>
          <w:vanish w:val="0"/>
          <w:color w:val="000000"/>
          <w:sz w:val="20"/>
          <w:vertAlign w:val="baseline"/>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orient="portrait"/>
          <w:pgMar w:top="720" w:right="936" w:bottom="864" w:left="720" w:header="0" w:footer="72" w:gutter="0"/>
          <w:cols w:space="720"/>
          <w:noEndnote/>
          <w:docGrid w:linePitch="360"/>
        </w:sectPr>
      </w:pPr>
    </w:p>
    <w:p w:rsidR="00A77B3E">
      <w:pPr>
        <w:pStyle w:val="Heading1"/>
        <w:spacing w:before="100" w:after="0"/>
        <w:jc w:val="start"/>
        <w:rPr>
          <w:rFonts w:ascii="Times New Roman" w:eastAsia="Times New Roman" w:hAnsi="Times New Roman" w:cs="Times New Roman"/>
          <w:b w:val="0"/>
          <w:i w:val="0"/>
          <w:vanish w:val="0"/>
          <w:color w:val="000000"/>
          <w:sz w:val="24"/>
          <w:vertAlign w:val="baseline"/>
        </w:rPr>
      </w:pPr>
      <w:bookmarkStart w:id="33" w:name="_Toc256000079"/>
      <w:r>
        <w:rPr>
          <w:rFonts w:ascii="Times New Roman" w:eastAsia="Times New Roman" w:hAnsi="Times New Roman" w:cs="Times New Roman"/>
          <w:b w:val="0"/>
          <w:i w:val="0"/>
          <w:vanish w:val="0"/>
          <w:color w:val="000000"/>
          <w:sz w:val="24"/>
          <w:vertAlign w:val="baseline"/>
        </w:rPr>
        <w:t>Dodatek 1: Prispevek Unije na podlagi stroškov na enoto, pavšalnih zneskov in pavšalnih stopenj</w:t>
      </w:r>
      <w:bookmarkEnd w:id="33"/>
    </w:p>
    <w:p w:rsidR="00A77B3E">
      <w:pPr>
        <w:pStyle w:val="Heading2"/>
        <w:spacing w:before="100" w:after="0"/>
        <w:jc w:val="start"/>
        <w:rPr>
          <w:rFonts w:ascii="Times New Roman" w:eastAsia="Times New Roman" w:hAnsi="Times New Roman" w:cs="Times New Roman"/>
          <w:b w:val="0"/>
          <w:i w:val="0"/>
          <w:vanish w:val="0"/>
          <w:color w:val="000000"/>
          <w:sz w:val="24"/>
          <w:vertAlign w:val="baseline"/>
        </w:rPr>
      </w:pPr>
      <w:bookmarkStart w:id="34" w:name="_Toc256000080"/>
      <w:r>
        <w:rPr>
          <w:rFonts w:ascii="Times New Roman" w:eastAsia="Times New Roman" w:hAnsi="Times New Roman" w:cs="Times New Roman"/>
          <w:b w:val="0"/>
          <w:i w:val="0"/>
          <w:vanish w:val="0"/>
          <w:color w:val="000000"/>
          <w:sz w:val="24"/>
          <w:vertAlign w:val="baseline"/>
        </w:rPr>
        <w:t>A. Povzetek glavnih elementov</w:t>
      </w:r>
      <w:bookmarkEnd w:id="34"/>
    </w:p>
    <w:p w:rsidR="00A77B3E">
      <w:pPr>
        <w:spacing w:before="100" w:after="0"/>
        <w:jc w:val="start"/>
        <w:rPr>
          <w:rFonts w:ascii="Times New Roman" w:eastAsia="Times New Roman" w:hAnsi="Times New Roman" w:cs="Times New Roman"/>
          <w:b w:val="0"/>
          <w:i w:val="0"/>
          <w:vanish w:val="0"/>
          <w:color w:val="000000"/>
          <w:sz w:val="12"/>
          <w:vertAlign w:val="baseline"/>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2900"/>
        <w:gridCol w:w="1500"/>
        <w:gridCol w:w="1300"/>
        <w:gridCol w:w="2000"/>
        <w:gridCol w:w="1300"/>
        <w:gridCol w:w="2000"/>
        <w:gridCol w:w="1500"/>
        <w:gridCol w:w="1200"/>
        <w:gridCol w:w="1500"/>
      </w:tblGrid>
      <w:tr>
        <w:tblPrEx>
          <w:tblW w:w="100%" w:type="pct"/>
        </w:tblPrEx>
        <w:trPr>
          <w:cantSplit w:val="0"/>
          <w:trHeight w:hRule="auto" w:val="0"/>
          <w:tblHeader/>
        </w:trPr>
        <w:tc>
          <w:tcPr>
            <w:tcW w:w="14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Specifični cilj</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Ocenjeni delež skupnih dodeljenih finančnih sredstev v okviru specifičnega cilja, za katerega bodo veljale poenostavljene možnosti obračunavanja stroškov, v %</w:t>
            </w:r>
          </w:p>
        </w:tc>
        <w:tc>
          <w:tcPr>
            <w:tcW w:w="165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Vrste zajetih operacij</w:t>
            </w:r>
          </w:p>
        </w:tc>
        <w:tc>
          <w:tcPr>
            <w:tcW w:w="165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Kazalnik, na podlagi katerega se izplača povračilo (2)</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Merska enota za kazalnik, ki sproži povračilo</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Vrsta poenostavljenih možnosti obračunavanja stroškov (standardna lestvica stroškov na enoto, pavšalni zneski ali pavšalne stopnje)</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Znesek (v EUR) ali odstotni delež (v primeru pavšalne stopnje) poenostavljenih možnosti obračunavanja stroškov</w:t>
            </w:r>
          </w:p>
        </w:tc>
      </w:tr>
      <w:tr>
        <w:tblPrEx>
          <w:tblW w:w="100%" w:type="pct"/>
        </w:tblPrEx>
        <w:trPr>
          <w:cantSplit w:val="0"/>
          <w:trHeight w:hRule="auto" w:val="0"/>
          <w:tblHeader/>
        </w:trPr>
        <w:tc>
          <w:tcPr>
            <w:tcW w:w="14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p>
        </w:tc>
        <w:tc>
          <w:tcPr>
            <w:tcW w:w="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Oznaka(1)</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Opis</w:t>
            </w:r>
          </w:p>
        </w:tc>
        <w:tc>
          <w:tcPr>
            <w:tcW w:w="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Oznaka(2)</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Opis</w:t>
            </w: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p>
        </w:tc>
      </w:tr>
    </w:tbl>
    <w:p w:rsidR="00A77B3E">
      <w:pPr>
        <w:spacing w:before="100" w:after="0"/>
        <w:jc w:val="start"/>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(1) To se nanaša na kodo v Prilogi VI uredb o AMIF, IUMV in SNV.</w:t>
      </w:r>
    </w:p>
    <w:p w:rsidR="00A77B3E">
      <w:pPr>
        <w:spacing w:before="100" w:after="0"/>
        <w:jc w:val="start"/>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(2) To se nanaša na kodo skupnega kazalnika, če je ustrezno.</w:t>
      </w:r>
    </w:p>
    <w:p w:rsidR="00A77B3E">
      <w:pPr>
        <w:spacing w:before="100" w:after="0"/>
        <w:jc w:val="start"/>
        <w:rPr>
          <w:rFonts w:ascii="Times New Roman" w:eastAsia="Times New Roman" w:hAnsi="Times New Roman" w:cs="Times New Roman"/>
          <w:b w:val="0"/>
          <w:i w:val="0"/>
          <w:vanish w:val="0"/>
          <w:color w:val="000000"/>
          <w:sz w:val="24"/>
          <w:vertAlign w:val="baseline"/>
        </w:rPr>
        <w:sectPr>
          <w:headerReference w:type="even" r:id="rId64"/>
          <w:headerReference w:type="default" r:id="rId65"/>
          <w:footerReference w:type="even" r:id="rId66"/>
          <w:footerReference w:type="default" r:id="rId67"/>
          <w:headerReference w:type="first" r:id="rId68"/>
          <w:footerReference w:type="first" r:id="rId69"/>
          <w:type w:val="nextPage"/>
          <w:pgSz w:w="16838" w:h="11906" w:orient="landscape"/>
          <w:pgMar w:top="720" w:right="720" w:bottom="864" w:left="936" w:header="288" w:footer="72" w:gutter="0"/>
          <w:cols w:space="720"/>
          <w:noEndnote/>
          <w:docGrid w:linePitch="360"/>
        </w:sect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Dodatek 1: Prispevek Unije na podlagi stroškov na enoto, pavšalnih zneskov in pavšalnih stopenj</w:t>
      </w:r>
    </w:p>
    <w:p w:rsidR="00A77B3E">
      <w:pPr>
        <w:pStyle w:val="Heading2"/>
        <w:spacing w:before="100" w:after="0"/>
        <w:jc w:val="start"/>
        <w:rPr>
          <w:rFonts w:ascii="Times New Roman" w:eastAsia="Times New Roman" w:hAnsi="Times New Roman" w:cs="Times New Roman"/>
          <w:b w:val="0"/>
          <w:i w:val="0"/>
          <w:vanish w:val="0"/>
          <w:color w:val="000000"/>
          <w:sz w:val="24"/>
          <w:vertAlign w:val="baseline"/>
        </w:rPr>
      </w:pPr>
      <w:bookmarkStart w:id="35" w:name="_Toc256000081"/>
      <w:r>
        <w:rPr>
          <w:rFonts w:ascii="Times New Roman" w:eastAsia="Times New Roman" w:hAnsi="Times New Roman" w:cs="Times New Roman"/>
          <w:b w:val="0"/>
          <w:i w:val="0"/>
          <w:vanish w:val="0"/>
          <w:color w:val="000000"/>
          <w:sz w:val="24"/>
          <w:vertAlign w:val="baseline"/>
        </w:rPr>
        <w:t>B. Podrobnosti glede na vrsto operacije</w:t>
      </w:r>
      <w:bookmarkEnd w:id="35"/>
    </w:p>
    <w:p w:rsidR="00A77B3E">
      <w:pPr>
        <w:spacing w:before="100" w:after="0"/>
        <w:jc w:val="start"/>
        <w:rPr>
          <w:rFonts w:ascii="Times New Roman" w:eastAsia="Times New Roman" w:hAnsi="Times New Roman" w:cs="Times New Roman"/>
          <w:b w:val="0"/>
          <w:i w:val="0"/>
          <w:vanish w:val="0"/>
          <w:color w:val="000000"/>
          <w:sz w:val="24"/>
          <w:vertAlign w:val="baseline"/>
        </w:rPr>
        <w:sectPr>
          <w:type w:val="nextPage"/>
          <w:pgSz w:w="16838" w:h="11906" w:orient="landscape"/>
          <w:pgMar w:top="720" w:right="720" w:bottom="864" w:left="936" w:header="288" w:footer="72" w:gutter="0"/>
          <w:cols w:space="720"/>
          <w:noEndnote/>
          <w:docGrid w:linePitch="360"/>
        </w:sectPr>
      </w:pPr>
    </w:p>
    <w:p w:rsidR="00A77B3E">
      <w:pPr>
        <w:pStyle w:val="Heading2"/>
        <w:spacing w:before="100" w:after="0"/>
        <w:jc w:val="start"/>
        <w:rPr>
          <w:rFonts w:ascii="TimesNewRoman" w:eastAsia="TimesNewRoman" w:hAnsi="TimesNewRoman" w:cs="TimesNewRoman"/>
          <w:b w:val="0"/>
          <w:i w:val="0"/>
          <w:vanish w:val="0"/>
          <w:color w:val="000000"/>
          <w:sz w:val="24"/>
          <w:vertAlign w:val="baseline"/>
        </w:rPr>
      </w:pPr>
      <w:bookmarkStart w:id="36" w:name="_Toc256000082"/>
      <w:r>
        <w:rPr>
          <w:rFonts w:ascii="TimesNewRoman" w:eastAsia="TimesNewRoman" w:hAnsi="TimesNewRoman" w:cs="TimesNewRoman"/>
          <w:b w:val="0"/>
          <w:i w:val="0"/>
          <w:vanish w:val="0"/>
          <w:color w:val="000000"/>
          <w:sz w:val="24"/>
          <w:vertAlign w:val="baseline"/>
        </w:rPr>
        <w:t>C. Izračun standardnih stroškov na enoto, pavšalnih zneskov in pavšalnih stopenj</w:t>
      </w:r>
      <w:bookmarkEnd w:id="36"/>
    </w:p>
    <w:p w:rsidR="00A77B3E">
      <w:pPr>
        <w:pStyle w:val="Heading4"/>
        <w:spacing w:before="100" w:after="0"/>
        <w:jc w:val="start"/>
        <w:rPr>
          <w:rFonts w:ascii="TimesNewRoman" w:eastAsia="TimesNewRoman" w:hAnsi="TimesNewRoman" w:cs="TimesNewRoman"/>
          <w:b w:val="0"/>
          <w:i w:val="0"/>
          <w:vanish w:val="0"/>
          <w:color w:val="000000"/>
          <w:sz w:val="24"/>
          <w:vertAlign w:val="baseline"/>
        </w:rPr>
      </w:pPr>
      <w:bookmarkStart w:id="37" w:name="_Toc256000083"/>
      <w:r>
        <w:rPr>
          <w:rFonts w:ascii="TimesNewRoman" w:eastAsia="TimesNewRoman" w:hAnsi="TimesNewRoman" w:cs="TimesNewRoman"/>
          <w:b w:val="0"/>
          <w:i w:val="0"/>
          <w:vanish w:val="0"/>
          <w:color w:val="000000"/>
          <w:sz w:val="24"/>
          <w:vertAlign w:val="baseline"/>
        </w:rPr>
        <w:t>1. Vir podatkov, uporabljenih za izračun standardnih stroškov na enoto, pavšalnih zneskov ali pavšalnih stopenj (kdo je predložil, zbral in evidentiral podatke; kje so podatki shranjeni; presečni datumi; potrjevanje itd.)</w:t>
      </w:r>
      <w:bookmarkEnd w:id="37"/>
    </w:p>
    <w:p w:rsidR="00A77B3E">
      <w:pPr>
        <w:spacing w:before="100" w:after="0"/>
        <w:jc w:val="start"/>
        <w:rPr>
          <w:rFonts w:ascii="TimesNewRoman" w:eastAsia="TimesNewRoman" w:hAnsi="TimesNewRoman" w:cs="TimesNewRoman"/>
          <w:b w:val="0"/>
          <w:i w:val="0"/>
          <w:vanish w:val="0"/>
          <w:color w:val="000000"/>
          <w:sz w:val="12"/>
          <w:vertAlign w:val="baseline"/>
        </w:rPr>
      </w:pPr>
    </w:p>
    <w:tbl>
      <w:tblPr>
        <w:tblW w:w="99%"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10385"/>
      </w:tblGrid>
      <w:tr>
        <w:tblPrEx>
          <w:tblW w:w="99%" w:type="pct"/>
          <w:tblInd w:w="4pt" w:type="dxa"/>
        </w:tblPrEx>
        <w:trPr>
          <w:cantSplit w:val="0"/>
          <w:trHeight w:hRule="auto" w:val="0"/>
        </w:trPr>
        <w:tc>
          <w:tcPr>
            <w:tcW w:w="33.34%" w:type="pct"/>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rsidR="00A77B3E">
            <w:pPr>
              <w:spacing w:before="100" w:after="0"/>
              <w:jc w:val="start"/>
              <w:rPr>
                <w:rFonts w:ascii="Times New Roman" w:eastAsia="Times New Roman" w:hAnsi="Times New Roman" w:cs="Times New Roman"/>
                <w:b w:val="0"/>
                <w:i w:val="0"/>
                <w:vanish w:val="0"/>
                <w:color w:val="000000"/>
                <w:sz w:val="24"/>
                <w:vertAlign w:val="baseline"/>
              </w:rPr>
            </w:pPr>
          </w:p>
        </w:tc>
      </w:tr>
    </w:tbl>
    <w:p w:rsidR="00A77B3E">
      <w:pPr>
        <w:pStyle w:val="Heading4"/>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br w:type="page"/>
      </w:r>
      <w:bookmarkStart w:id="38" w:name="_Toc256000084"/>
      <w:r>
        <w:rPr>
          <w:rFonts w:ascii="Times New Roman" w:eastAsia="Times New Roman" w:hAnsi="Times New Roman" w:cs="Times New Roman"/>
          <w:b w:val="0"/>
          <w:i w:val="0"/>
          <w:vanish w:val="0"/>
          <w:color w:val="000000"/>
          <w:sz w:val="24"/>
          <w:vertAlign w:val="baseline"/>
        </w:rPr>
        <w:t>2. Navedite, zakaj sta predlagana metoda in izračun na podlagi člena 94(2) uredbe o skupnih določbah relevantna za vrsto operacije.</w:t>
      </w:r>
      <w:bookmarkEnd w:id="38"/>
    </w:p>
    <w:p w:rsidR="00A77B3E">
      <w:pPr>
        <w:spacing w:before="100" w:after="0"/>
        <w:jc w:val="start"/>
        <w:rPr>
          <w:rFonts w:ascii="Times New Roman" w:eastAsia="Times New Roman" w:hAnsi="Times New Roman" w:cs="Times New Roman"/>
          <w:b w:val="0"/>
          <w:i w:val="0"/>
          <w:vanish w:val="0"/>
          <w:color w:val="000000"/>
          <w:sz w:val="12"/>
          <w:vertAlign w:val="baseline"/>
        </w:rPr>
      </w:pPr>
    </w:p>
    <w:tbl>
      <w:tblPr>
        <w:tblW w:w="99%"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10385"/>
      </w:tblGrid>
      <w:tr>
        <w:tblPrEx>
          <w:tblW w:w="99%" w:type="pct"/>
          <w:tblInd w:w="4pt" w:type="dxa"/>
        </w:tblPrEx>
        <w:trPr>
          <w:cantSplit w:val="0"/>
          <w:trHeight w:hRule="auto" w:val="0"/>
        </w:trPr>
        <w:tc>
          <w:tcPr>
            <w:tcW w:w="33.34%" w:type="pct"/>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rsidR="00A77B3E">
            <w:pPr>
              <w:spacing w:before="100" w:after="0"/>
              <w:jc w:val="start"/>
              <w:rPr>
                <w:rFonts w:ascii="Times New Roman" w:eastAsia="Times New Roman" w:hAnsi="Times New Roman" w:cs="Times New Roman"/>
                <w:b w:val="0"/>
                <w:i w:val="0"/>
                <w:vanish w:val="0"/>
                <w:color w:val="000000"/>
                <w:sz w:val="24"/>
                <w:vertAlign w:val="baseline"/>
              </w:rPr>
            </w:pPr>
          </w:p>
        </w:tc>
      </w:tr>
    </w:tbl>
    <w:p w:rsidR="00A77B3E">
      <w:pPr>
        <w:pStyle w:val="Heading4"/>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br w:type="page"/>
      </w:r>
      <w:bookmarkStart w:id="39" w:name="_Toc256000085"/>
      <w:r>
        <w:rPr>
          <w:rFonts w:ascii="Times New Roman" w:eastAsia="Times New Roman" w:hAnsi="Times New Roman" w:cs="Times New Roman"/>
          <w:b w:val="0"/>
          <w:i w:val="0"/>
          <w:vanish w:val="0"/>
          <w:color w:val="000000"/>
          <w:sz w:val="24"/>
          <w:vertAlign w:val="baseline"/>
        </w:rPr>
        <w:t>3. Navedite, kako so bili izračuni narejeni, vključno zlasti s predpostavkami v smislu kakovosti ali količin. Če je to relevantno, je treba uporabiti in na zahtevo predložiti statistične dokaze in referenčne vrednosti v obliki, ki jo lahko uporabi Evropska komisija.</w:t>
      </w:r>
      <w:bookmarkEnd w:id="39"/>
    </w:p>
    <w:p w:rsidR="00A77B3E">
      <w:pPr>
        <w:spacing w:before="100" w:after="0"/>
        <w:jc w:val="start"/>
        <w:rPr>
          <w:rFonts w:ascii="Times New Roman" w:eastAsia="Times New Roman" w:hAnsi="Times New Roman" w:cs="Times New Roman"/>
          <w:b w:val="0"/>
          <w:i w:val="0"/>
          <w:vanish w:val="0"/>
          <w:color w:val="000000"/>
          <w:sz w:val="12"/>
          <w:vertAlign w:val="baseline"/>
        </w:rPr>
      </w:pPr>
    </w:p>
    <w:tbl>
      <w:tblPr>
        <w:tblW w:w="99%"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10385"/>
      </w:tblGrid>
      <w:tr>
        <w:tblPrEx>
          <w:tblW w:w="99%" w:type="pct"/>
          <w:tblInd w:w="4pt" w:type="dxa"/>
        </w:tblPrEx>
        <w:trPr>
          <w:cantSplit w:val="0"/>
          <w:trHeight w:hRule="auto" w:val="0"/>
        </w:trPr>
        <w:tc>
          <w:tcPr>
            <w:tcW w:w="33.34%" w:type="pct"/>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rsidR="00A77B3E">
            <w:pPr>
              <w:spacing w:before="100" w:after="0"/>
              <w:jc w:val="start"/>
              <w:rPr>
                <w:rFonts w:ascii="Times New Roman" w:eastAsia="Times New Roman" w:hAnsi="Times New Roman" w:cs="Times New Roman"/>
                <w:b w:val="0"/>
                <w:i w:val="0"/>
                <w:vanish w:val="0"/>
                <w:color w:val="000000"/>
                <w:sz w:val="24"/>
                <w:vertAlign w:val="baseline"/>
              </w:rPr>
            </w:pPr>
          </w:p>
        </w:tc>
      </w:tr>
    </w:tbl>
    <w:p w:rsidR="00A77B3E">
      <w:pPr>
        <w:pStyle w:val="Heading4"/>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br w:type="page"/>
      </w:r>
      <w:bookmarkStart w:id="40" w:name="_Toc256000086"/>
      <w:r>
        <w:rPr>
          <w:rFonts w:ascii="Times New Roman" w:eastAsia="Times New Roman" w:hAnsi="Times New Roman" w:cs="Times New Roman"/>
          <w:b w:val="0"/>
          <w:i w:val="0"/>
          <w:vanish w:val="0"/>
          <w:color w:val="000000"/>
          <w:sz w:val="24"/>
          <w:vertAlign w:val="baseline"/>
        </w:rPr>
        <w:t>4. Pojasnite, kako ste zagotovili, da so bili v izračun standardnih stroškov na enoto, pavšalnega zneska ali pavšalne stopnje vključeni le upravičeni izdatki.</w:t>
      </w:r>
      <w:bookmarkEnd w:id="40"/>
    </w:p>
    <w:p w:rsidR="00A77B3E">
      <w:pPr>
        <w:spacing w:before="100" w:after="0"/>
        <w:jc w:val="start"/>
        <w:rPr>
          <w:rFonts w:ascii="Times New Roman" w:eastAsia="Times New Roman" w:hAnsi="Times New Roman" w:cs="Times New Roman"/>
          <w:b w:val="0"/>
          <w:i w:val="0"/>
          <w:vanish w:val="0"/>
          <w:color w:val="000000"/>
          <w:sz w:val="12"/>
          <w:vertAlign w:val="baseline"/>
        </w:rPr>
      </w:pPr>
    </w:p>
    <w:tbl>
      <w:tblPr>
        <w:tblW w:w="99%"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10385"/>
      </w:tblGrid>
      <w:tr>
        <w:tblPrEx>
          <w:tblW w:w="99%" w:type="pct"/>
          <w:tblInd w:w="4pt" w:type="dxa"/>
        </w:tblPrEx>
        <w:trPr>
          <w:cantSplit w:val="0"/>
          <w:trHeight w:hRule="auto" w:val="0"/>
        </w:trPr>
        <w:tc>
          <w:tcPr>
            <w:tcW w:w="33.34%" w:type="pct"/>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rsidR="00A77B3E">
            <w:pPr>
              <w:spacing w:before="100" w:after="0"/>
              <w:jc w:val="start"/>
              <w:rPr>
                <w:rFonts w:ascii="Times New Roman" w:eastAsia="Times New Roman" w:hAnsi="Times New Roman" w:cs="Times New Roman"/>
                <w:b w:val="0"/>
                <w:i w:val="0"/>
                <w:vanish w:val="0"/>
                <w:color w:val="000000"/>
                <w:sz w:val="24"/>
                <w:vertAlign w:val="baseline"/>
              </w:rPr>
            </w:pPr>
          </w:p>
        </w:tc>
      </w:tr>
    </w:tbl>
    <w:p w:rsidR="00A77B3E">
      <w:pPr>
        <w:pStyle w:val="Heading4"/>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br w:type="page"/>
      </w:r>
      <w:bookmarkStart w:id="41" w:name="_Toc256000087"/>
      <w:r>
        <w:rPr>
          <w:rFonts w:ascii="Times New Roman" w:eastAsia="Times New Roman" w:hAnsi="Times New Roman" w:cs="Times New Roman"/>
          <w:b w:val="0"/>
          <w:i w:val="0"/>
          <w:vanish w:val="0"/>
          <w:color w:val="000000"/>
          <w:sz w:val="24"/>
          <w:vertAlign w:val="baseline"/>
        </w:rPr>
        <w:t>5. Ocena revizijskega organa v zvezi z metodologijo za izračun in zneski ter ureditvijo za zagotovitev potrjevanja, kakovosti, zbiranja in shranjevanja podatkov.</w:t>
      </w:r>
      <w:bookmarkEnd w:id="41"/>
    </w:p>
    <w:p w:rsidR="00A77B3E">
      <w:pPr>
        <w:spacing w:before="100" w:after="0"/>
        <w:jc w:val="start"/>
        <w:rPr>
          <w:rFonts w:ascii="Times New Roman" w:eastAsia="Times New Roman" w:hAnsi="Times New Roman" w:cs="Times New Roman"/>
          <w:b w:val="0"/>
          <w:i w:val="0"/>
          <w:vanish w:val="0"/>
          <w:color w:val="000000"/>
          <w:sz w:val="12"/>
          <w:vertAlign w:val="baseline"/>
        </w:rPr>
      </w:pPr>
    </w:p>
    <w:tbl>
      <w:tblPr>
        <w:tblW w:w="99%"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10385"/>
      </w:tblGrid>
      <w:tr>
        <w:tblPrEx>
          <w:tblW w:w="99%" w:type="pct"/>
          <w:tblInd w:w="4pt" w:type="dxa"/>
        </w:tblPrEx>
        <w:trPr>
          <w:cantSplit w:val="0"/>
          <w:trHeight w:hRule="auto" w:val="0"/>
        </w:trPr>
        <w:tc>
          <w:tcPr>
            <w:tcW w:w="33.34%" w:type="pct"/>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rsidR="00A77B3E">
            <w:pPr>
              <w:spacing w:before="100" w:after="0"/>
              <w:jc w:val="start"/>
              <w:rPr>
                <w:rFonts w:ascii="Times New Roman" w:eastAsia="Times New Roman" w:hAnsi="Times New Roman" w:cs="Times New Roman"/>
                <w:b w:val="0"/>
                <w:i w:val="0"/>
                <w:vanish w:val="0"/>
                <w:color w:val="000000"/>
                <w:sz w:val="24"/>
                <w:vertAlign w:val="baseline"/>
              </w:rPr>
            </w:pPr>
          </w:p>
        </w:tc>
      </w:tr>
    </w:tbl>
    <w:p w:rsidR="00A77B3E">
      <w:pPr>
        <w:spacing w:before="100" w:after="0"/>
        <w:jc w:val="start"/>
        <w:rPr>
          <w:rFonts w:ascii="Times New Roman" w:eastAsia="Times New Roman" w:hAnsi="Times New Roman" w:cs="Times New Roman"/>
          <w:b w:val="0"/>
          <w:i w:val="0"/>
          <w:vanish w:val="0"/>
          <w:color w:val="000000"/>
          <w:sz w:val="24"/>
          <w:vertAlign w:val="baseline"/>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orient="portrait"/>
          <w:pgMar w:top="720" w:right="936" w:bottom="864" w:left="720" w:header="0" w:footer="72" w:gutter="0"/>
          <w:cols w:space="720"/>
          <w:noEndnote/>
          <w:docGrid w:linePitch="360"/>
        </w:sectPr>
      </w:pPr>
    </w:p>
    <w:p w:rsidR="00A77B3E">
      <w:pPr>
        <w:pStyle w:val="Heading1"/>
        <w:spacing w:before="100" w:after="0"/>
        <w:jc w:val="start"/>
        <w:rPr>
          <w:rFonts w:ascii="Times New Roman" w:eastAsia="Times New Roman" w:hAnsi="Times New Roman" w:cs="Times New Roman"/>
          <w:b w:val="0"/>
          <w:i w:val="0"/>
          <w:vanish w:val="0"/>
          <w:color w:val="000000"/>
          <w:sz w:val="24"/>
          <w:vertAlign w:val="baseline"/>
        </w:rPr>
      </w:pPr>
      <w:bookmarkStart w:id="42" w:name="_Toc256000088"/>
      <w:r>
        <w:rPr>
          <w:rFonts w:ascii="Times New Roman" w:eastAsia="Times New Roman" w:hAnsi="Times New Roman" w:cs="Times New Roman"/>
          <w:b w:val="0"/>
          <w:i w:val="0"/>
          <w:vanish w:val="0"/>
          <w:color w:val="000000"/>
          <w:sz w:val="24"/>
          <w:vertAlign w:val="baseline"/>
        </w:rPr>
        <w:t>Dodatek 2: Prispevek Unije, temelječ na financiranju, ki ni povezano s stroški</w:t>
      </w:r>
      <w:bookmarkEnd w:id="42"/>
    </w:p>
    <w:p w:rsidR="00A77B3E">
      <w:pPr>
        <w:pStyle w:val="Heading2"/>
        <w:spacing w:before="100" w:after="0"/>
        <w:jc w:val="start"/>
        <w:rPr>
          <w:rFonts w:ascii="Times New Roman" w:eastAsia="Times New Roman" w:hAnsi="Times New Roman" w:cs="Times New Roman"/>
          <w:b w:val="0"/>
          <w:i w:val="0"/>
          <w:vanish w:val="0"/>
          <w:color w:val="000000"/>
          <w:sz w:val="24"/>
          <w:vertAlign w:val="baseline"/>
        </w:rPr>
      </w:pPr>
      <w:bookmarkStart w:id="43" w:name="_Toc256000089"/>
      <w:r>
        <w:rPr>
          <w:rFonts w:ascii="Times New Roman" w:eastAsia="Times New Roman" w:hAnsi="Times New Roman" w:cs="Times New Roman"/>
          <w:b w:val="0"/>
          <w:i w:val="0"/>
          <w:vanish w:val="0"/>
          <w:color w:val="000000"/>
          <w:sz w:val="24"/>
          <w:vertAlign w:val="baseline"/>
        </w:rPr>
        <w:t>A. Povzetek glavnih elementov</w:t>
      </w:r>
      <w:bookmarkEnd w:id="43"/>
    </w:p>
    <w:p w:rsidR="00A77B3E">
      <w:pPr>
        <w:spacing w:before="100" w:after="0"/>
        <w:jc w:val="start"/>
        <w:rPr>
          <w:rFonts w:ascii="Times New Roman" w:eastAsia="Times New Roman" w:hAnsi="Times New Roman" w:cs="Times New Roman"/>
          <w:b w:val="0"/>
          <w:i w:val="0"/>
          <w:vanish w:val="0"/>
          <w:color w:val="000000"/>
          <w:sz w:val="12"/>
          <w:vertAlign w:val="baseline"/>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2000"/>
        <w:gridCol w:w="1500"/>
        <w:gridCol w:w="1200"/>
        <w:gridCol w:w="1500"/>
        <w:gridCol w:w="1800"/>
        <w:gridCol w:w="1500"/>
        <w:gridCol w:w="1500"/>
        <w:gridCol w:w="1500"/>
        <w:gridCol w:w="2000"/>
      </w:tblGrid>
      <w:tr>
        <w:tblPrEx>
          <w:tblW w:w="100%" w:type="pct"/>
        </w:tblPrEx>
        <w:trPr>
          <w:cantSplit w:val="0"/>
          <w:trHeight w:hRule="auto" w:val="0"/>
          <w:tblHeader/>
        </w:trPr>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Specifični cilj</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Znesek, zajet s financiranjem, ki ni povezano s stroški</w:t>
            </w:r>
          </w:p>
        </w:tc>
        <w:tc>
          <w:tcPr>
            <w:tcW w:w="135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Vrste zajetih operacij</w:t>
            </w:r>
          </w:p>
        </w:tc>
        <w:tc>
          <w:tcPr>
            <w:tcW w:w="9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Pogoji, ki jih je treba izpolniti/rezultati, ki jih je treba doseči, da Komisija izplača povračilo</w:t>
            </w:r>
          </w:p>
        </w:tc>
        <w:tc>
          <w:tcPr>
            <w:tcW w:w="15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Kazalniki</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Merska enota za pogoje, ki jih je treba izpolniti/rezultate, ki jih je treba doseči za povračilo s strani Evropske komisije</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Načrtovana vrsta metode, ki se uporabi za povračila upravičencu (upravičencem)</w:t>
            </w:r>
          </w:p>
        </w:tc>
      </w:tr>
      <w:tr>
        <w:tblPrEx>
          <w:tblW w:w="100%" w:type="pct"/>
        </w:tblPrEx>
        <w:trPr>
          <w:cantSplit w:val="0"/>
          <w:trHeight w:hRule="auto" w:val="0"/>
          <w:tblHeader/>
        </w:trPr>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Oznaka(1)</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Opis</w:t>
            </w:r>
          </w:p>
        </w:tc>
        <w:tc>
          <w:tcPr>
            <w:tcW w:w="9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Oznaka(2)</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Opis</w:t>
            </w: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p>
        </w:tc>
      </w:tr>
    </w:tbl>
    <w:p w:rsidR="00A77B3E">
      <w:pPr>
        <w:spacing w:before="100" w:after="0"/>
        <w:jc w:val="start"/>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(1) To se nanaša na kodo v Prilogi VI uredb o AMIF, IUMV in SNV.</w:t>
      </w:r>
    </w:p>
    <w:p w:rsidR="00A77B3E">
      <w:pPr>
        <w:spacing w:before="100" w:after="0"/>
        <w:jc w:val="start"/>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(2) To se nanaša na kodo skupnega kazalnika, če je ustrezno.</w:t>
      </w:r>
    </w:p>
    <w:p w:rsidR="00A77B3E">
      <w:pPr>
        <w:spacing w:before="100" w:after="0"/>
        <w:jc w:val="start"/>
        <w:rPr>
          <w:rFonts w:ascii="Times New Roman" w:eastAsia="Times New Roman" w:hAnsi="Times New Roman" w:cs="Times New Roman"/>
          <w:b w:val="0"/>
          <w:i w:val="0"/>
          <w:vanish w:val="0"/>
          <w:color w:val="000000"/>
          <w:sz w:val="12"/>
          <w:vertAlign w:val="baseline"/>
        </w:rPr>
        <w:sectPr>
          <w:headerReference w:type="even" r:id="rId76"/>
          <w:headerReference w:type="default" r:id="rId77"/>
          <w:footerReference w:type="even" r:id="rId78"/>
          <w:footerReference w:type="default" r:id="rId79"/>
          <w:headerReference w:type="first" r:id="rId80"/>
          <w:footerReference w:type="first" r:id="rId81"/>
          <w:type w:val="nextPage"/>
          <w:pgSz w:w="16838" w:h="11906" w:orient="landscape"/>
          <w:pgMar w:top="720" w:right="720" w:bottom="864" w:left="936" w:header="288" w:footer="72" w:gutter="0"/>
          <w:cols w:space="720"/>
          <w:noEndnote/>
          <w:docGrid w:linePitch="360"/>
        </w:sectPr>
      </w:pPr>
    </w:p>
    <w:p w:rsidR="00A77B3E">
      <w:pPr>
        <w:pStyle w:val="Heading2"/>
        <w:spacing w:before="100" w:after="0"/>
        <w:jc w:val="start"/>
        <w:rPr>
          <w:rFonts w:ascii="TimesNewRoman" w:eastAsia="TimesNewRoman" w:hAnsi="TimesNewRoman" w:cs="TimesNewRoman"/>
          <w:b w:val="0"/>
          <w:i w:val="0"/>
          <w:vanish w:val="0"/>
          <w:color w:val="000000"/>
          <w:sz w:val="24"/>
          <w:vertAlign w:val="baseline"/>
        </w:rPr>
      </w:pPr>
      <w:bookmarkStart w:id="44" w:name="_Toc256000090"/>
      <w:r>
        <w:rPr>
          <w:rFonts w:ascii="TimesNewRoman" w:eastAsia="TimesNewRoman" w:hAnsi="TimesNewRoman" w:cs="TimesNewRoman"/>
          <w:b w:val="0"/>
          <w:i w:val="0"/>
          <w:vanish w:val="0"/>
          <w:color w:val="000000"/>
          <w:sz w:val="24"/>
          <w:vertAlign w:val="baseline"/>
        </w:rPr>
        <w:t>B. Podrobnosti glede na vrsto operacije</w:t>
      </w:r>
      <w:bookmarkEnd w:id="44"/>
    </w:p>
    <w:p w:rsidR="00A77B3E">
      <w:pPr>
        <w:spacing w:before="100" w:after="0"/>
        <w:jc w:val="start"/>
        <w:rPr>
          <w:rFonts w:ascii="TimesNewRoman" w:eastAsia="TimesNewRoman" w:hAnsi="TimesNewRoman" w:cs="TimesNewRoman"/>
          <w:b w:val="0"/>
          <w:i w:val="0"/>
          <w:vanish w:val="0"/>
          <w:color w:val="000000"/>
          <w:sz w:val="24"/>
          <w:vertAlign w:val="baseline"/>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orient="portrait"/>
          <w:pgMar w:top="720" w:right="936" w:bottom="864" w:left="720" w:header="0" w:footer="72" w:gutter="0"/>
          <w:cols w:space="720"/>
          <w:noEndnote/>
          <w:docGrid w:linePitch="360"/>
        </w:sectPr>
      </w:pPr>
    </w:p>
    <w:p w:rsidR="00A77B3E">
      <w:pPr>
        <w:pStyle w:val="Heading1"/>
        <w:spacing w:before="100" w:after="0"/>
        <w:jc w:val="start"/>
        <w:rPr>
          <w:rFonts w:ascii="TimesNewRoman" w:eastAsia="TimesNewRoman" w:hAnsi="TimesNewRoman" w:cs="TimesNewRoman"/>
          <w:b w:val="0"/>
          <w:i w:val="0"/>
          <w:vanish w:val="0"/>
          <w:color w:val="000000"/>
          <w:sz w:val="24"/>
          <w:vertAlign w:val="baseline"/>
        </w:rPr>
      </w:pPr>
      <w:bookmarkStart w:id="45" w:name="_Toc256000091"/>
      <w:r>
        <w:rPr>
          <w:rFonts w:ascii="TimesNewRoman" w:eastAsia="TimesNewRoman" w:hAnsi="TimesNewRoman" w:cs="TimesNewRoman"/>
          <w:b w:val="0"/>
          <w:i w:val="0"/>
          <w:vanish w:val="0"/>
          <w:color w:val="000000"/>
          <w:sz w:val="24"/>
          <w:vertAlign w:val="baseline"/>
        </w:rPr>
        <w:t>DOKUMENTI</w:t>
      </w:r>
      <w:bookmarkEnd w:id="45"/>
    </w:p>
    <w:p w:rsidR="00A77B3E">
      <w:pPr>
        <w:spacing w:before="100" w:after="0"/>
        <w:jc w:val="start"/>
        <w:rPr>
          <w:rFonts w:ascii="TimesNewRoman" w:eastAsia="TimesNewRoman" w:hAnsi="TimesNewRoman" w:cs="TimesNewRoman"/>
          <w:b w:val="0"/>
          <w:i w:val="0"/>
          <w:vanish w:val="0"/>
          <w:color w:val="000000"/>
          <w:sz w:val="12"/>
          <w:vertAlign w:val="baseline"/>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1772"/>
        <w:gridCol w:w="1772"/>
        <w:gridCol w:w="1107"/>
        <w:gridCol w:w="1772"/>
        <w:gridCol w:w="1772"/>
        <w:gridCol w:w="4228"/>
        <w:gridCol w:w="1107"/>
        <w:gridCol w:w="1772"/>
      </w:tblGrid>
      <w:tr>
        <w:tblPrEx>
          <w:tblW w:w="100%" w:type="pct"/>
        </w:tblPrEx>
        <w:trPr>
          <w:cantSplit w:val="0"/>
          <w:trHeight w:val="240"/>
          <w:tblHeader/>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16"/>
                <w:vertAlign w:val="baseline"/>
              </w:rPr>
              <w:t>Naslov dokumenta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16"/>
                <w:vertAlign w:val="baseline"/>
              </w:rPr>
              <w:t>Vrsta dokumenta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16"/>
                <w:vertAlign w:val="baseline"/>
              </w:rPr>
              <w:t>Datum dokumenta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16"/>
                <w:vertAlign w:val="baseline"/>
              </w:rPr>
              <w:t>Lokalna referenca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16"/>
                <w:vertAlign w:val="baseline"/>
              </w:rPr>
              <w:t>Referenčna oznaka Komisije</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16"/>
                <w:vertAlign w:val="baseline"/>
              </w:rPr>
              <w:t>Datoteke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16"/>
                <w:vertAlign w:val="baseline"/>
              </w:rPr>
              <w:t>Datum pošiljanja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16"/>
                <w:vertAlign w:val="baseline"/>
              </w:rPr>
              <w:t>Poslal</w:t>
            </w:r>
          </w:p>
        </w:tc>
      </w:tr>
      <w:tr>
        <w:tblPrEx>
          <w:tblW w:w="100%" w:type="pct"/>
        </w:tblPrEx>
        <w:trPr>
          <w:cantSplit w:val="0"/>
          <w:trHeight w:val="240"/>
          <w:tblHeader w:val="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16"/>
                <w:vertAlign w:val="baseline"/>
              </w:rPr>
              <w:t>Programme snapshot 2021SI65BVPR001 2.0</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16"/>
                <w:vertAlign w:val="baseline"/>
              </w:rPr>
              <w:t>Posnetek podatkov pred pošiljanjem</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16"/>
                <w:vertAlign w:val="baseline"/>
              </w:rPr>
              <w:t>9. sep. 2024</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6"/>
                <w:vertAlign w:val="baseline"/>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16"/>
                <w:vertAlign w:val="baseline"/>
              </w:rPr>
              <w:t>Ares(2024)6367329</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16"/>
                <w:vertAlign w:val="baseline"/>
              </w:rPr>
              <w:t>Programme_snapshot_2021SI65BVPR001_2.0_sl.pdf</w:t>
            </w:r>
            <w:r>
              <w:rPr>
                <w:rFonts w:ascii="Times New Roman" w:eastAsia="Times New Roman" w:hAnsi="Times New Roman" w:cs="Times New Roman"/>
                <w:b w:val="0"/>
                <w:i w:val="0"/>
                <w:vanish w:val="0"/>
                <w:color w:val="000000"/>
                <w:sz w:val="16"/>
                <w:vertAlign w:val="baseline"/>
              </w:rPr>
              <w:br/>
            </w:r>
            <w:r>
              <w:rPr>
                <w:rFonts w:ascii="Times New Roman" w:eastAsia="Times New Roman" w:hAnsi="Times New Roman" w:cs="Times New Roman"/>
                <w:b w:val="0"/>
                <w:i w:val="0"/>
                <w:vanish w:val="0"/>
                <w:color w:val="000000"/>
                <w:sz w:val="16"/>
                <w:vertAlign w:val="baseline"/>
              </w:rPr>
              <w:t>Programme_snapshot_2021SI65BVPR001_2.0_sl_en.pdf</w:t>
            </w:r>
            <w:r>
              <w:rPr>
                <w:rFonts w:ascii="Times New Roman" w:eastAsia="Times New Roman" w:hAnsi="Times New Roman" w:cs="Times New Roman"/>
                <w:b w:val="0"/>
                <w:i w:val="0"/>
                <w:vanish w:val="0"/>
                <w:color w:val="000000"/>
                <w:sz w:val="16"/>
                <w:vertAlign w:val="baseline"/>
              </w:rPr>
              <w:br/>
            </w:r>
            <w:r>
              <w:rPr>
                <w:rFonts w:ascii="Times New Roman" w:eastAsia="Times New Roman" w:hAnsi="Times New Roman" w:cs="Times New Roman"/>
                <w:b w:val="0"/>
                <w:i w:val="0"/>
                <w:vanish w:val="0"/>
                <w:color w:val="000000"/>
                <w:sz w:val="16"/>
                <w:vertAlign w:val="baseline"/>
              </w:rPr>
              <w:t>Programme_snapshot_2021SI65BVPR001_2.0_en.pdf</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16"/>
                <w:vertAlign w:val="baseline"/>
              </w:rPr>
              <w:t>9. sep. 2024</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16"/>
                <w:vertAlign w:val="baseline"/>
              </w:rPr>
              <w:t>KERN, Erik</w:t>
            </w:r>
          </w:p>
        </w:tc>
      </w:tr>
    </w:tbl>
    <w:p w:rsidR="00A77B3E">
      <w:pPr>
        <w:spacing w:before="100" w:after="0"/>
        <w:jc w:val="center"/>
        <w:rPr>
          <w:rFonts w:ascii="Times New Roman" w:eastAsia="Times New Roman" w:hAnsi="Times New Roman" w:cs="Times New Roman"/>
          <w:b w:val="0"/>
          <w:i w:val="0"/>
          <w:vanish w:val="0"/>
          <w:color w:val="000000"/>
          <w:sz w:val="16"/>
          <w:vertAlign w:val="baseline"/>
        </w:rPr>
      </w:pPr>
    </w:p>
    <w:sectPr>
      <w:headerReference w:type="even" r:id="rId88"/>
      <w:headerReference w:type="default" r:id="rId89"/>
      <w:footerReference w:type="even" r:id="rId90"/>
      <w:footerReference w:type="default" r:id="rId91"/>
      <w:headerReference w:type="first" r:id="rId92"/>
      <w:footerReference w:type="first" r:id="rId93"/>
      <w:type w:val="nextPage"/>
      <w:pgSz w:w="16838" w:h="11906" w:orient="landscape"/>
      <w:pgMar w:top="720" w:right="720" w:bottom="864" w:left="936" w:header="288" w:footer="72" w:gutter="0"/>
      <w:cols w:space="720"/>
      <w:noEndnote/>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2020603050405020304"/>
    <w:charset w:characterSet="windows-1251"/>
    <w:family w:val="roman"/>
    <w:pitch w:val="variable"/>
    <w:sig w:usb0="20007A87" w:usb1="80000000" w:usb2="00000008" w:usb3="00000000" w:csb0="000001FF" w:csb1="00000000"/>
  </w:font>
  <w:font w:name="Symbol">
    <w:panose1 w:val="05050102010706020507"/>
    <w:family w:val="roman"/>
    <w:pitch w:val="variable"/>
    <w:sig w:usb0="00000000" w:usb1="10000000" w:usb2="00000000" w:usb3="00000000" w:csb0="80000000" w:csb1="00000000"/>
  </w:font>
  <w:font w:name="Arial">
    <w:panose1 w:val="020B0604020202020204"/>
    <w:charset w:characterSet="windows-1251"/>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5661"/>
      <w:gridCol w:w="3980"/>
      <w:gridCol w:w="5661"/>
    </w:tblGrid>
    <w:tr>
      <w:tblPrEx>
        <w:tblW w:w="100%" w:type="pct"/>
      </w:tblPrEx>
      <w:trPr>
        <w:cantSplit w:val="0"/>
        <w:trHeight w:val="160"/>
        <w:tblHeader w:val="0"/>
      </w:trPr>
      <w:tc>
        <w:tcPr>
          <w:tcMar>
            <w:top w:w="0pt" w:type="dxa"/>
            <w:start w:w="3pt" w:type="dxa"/>
            <w:bottom w:w="4pt" w:type="dxa"/>
            <w:end w:w="3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20</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3837"/>
      <w:gridCol w:w="2697"/>
      <w:gridCol w:w="3836"/>
    </w:tblGrid>
    <w:tr>
      <w:tblPrEx>
        <w:tblW w:w="100%" w:type="pct"/>
      </w:tblPrEx>
      <w:trPr>
        <w:cantSplit w:val="0"/>
        <w:trHeight w:hRule="auto" w:val="0"/>
        <w:tblHeader w:val="0"/>
      </w:trPr>
      <w:tc>
        <w:tcPr>
          <w:tcMar>
            <w:top w:w="0pt" w:type="dxa"/>
            <w:start w:w="3pt" w:type="dxa"/>
            <w:bottom w:w="4pt" w:type="dxa"/>
            <w:end w:w="3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25</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5661"/>
      <w:gridCol w:w="3980"/>
      <w:gridCol w:w="5661"/>
    </w:tblGrid>
    <w:tr>
      <w:tblPrEx>
        <w:tblW w:w="100%" w:type="pct"/>
      </w:tblPrEx>
      <w:trPr>
        <w:cantSplit w:val="0"/>
        <w:trHeight w:hRule="auto" w:val="0"/>
        <w:tblHeader w:val="0"/>
      </w:trPr>
      <w:tc>
        <w:tcPr>
          <w:tcMar>
            <w:top w:w="0pt" w:type="dxa"/>
            <w:start w:w="3pt" w:type="dxa"/>
            <w:bottom w:w="4pt" w:type="dxa"/>
            <w:end w:w="3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29</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4114"/>
      <w:gridCol w:w="2223"/>
      <w:gridCol w:w="4113"/>
    </w:tblGrid>
    <w:tr>
      <w:tblPrEx>
        <w:tblW w:w="100%" w:type="pct"/>
      </w:tblPrEx>
      <w:trPr>
        <w:trHeight w:val="240"/>
      </w:trPr>
      <w:tc>
        <w:tcPr>
          <w:tcMar>
            <w:start w:w="5pt" w:type="dxa"/>
            <w:end w:w="5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start w:w="5pt" w:type="dxa"/>
            <w:end w:w="5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7</w:t>
          </w:r>
          <w:r>
            <w:rPr>
              <w:rFonts w:ascii="Times New Roman" w:eastAsia="Times New Roman" w:hAnsi="Times New Roman" w:cs="Times New Roman"/>
              <w:b/>
              <w:vanish w:val="0"/>
              <w:color w:val="000000"/>
              <w:sz w:val="24"/>
            </w:rPr>
            <w:fldChar w:fldCharType="end"/>
          </w:r>
        </w:p>
      </w:tc>
      <w:tc>
        <w:tcPr>
          <w:tcMar>
            <w:start w:w="5pt" w:type="dxa"/>
            <w:end w:w="5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3837"/>
      <w:gridCol w:w="2697"/>
      <w:gridCol w:w="3836"/>
    </w:tblGrid>
    <w:tr>
      <w:tblPrEx>
        <w:tblW w:w="100%" w:type="pct"/>
      </w:tblPrEx>
      <w:trPr>
        <w:cantSplit w:val="0"/>
        <w:trHeight w:hRule="auto" w:val="0"/>
        <w:tblHeader w:val="0"/>
      </w:trPr>
      <w:tc>
        <w:tcPr>
          <w:tcMar>
            <w:top w:w="0pt" w:type="dxa"/>
            <w:start w:w="3pt" w:type="dxa"/>
            <w:bottom w:w="4pt" w:type="dxa"/>
            <w:end w:w="3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31</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5661"/>
      <w:gridCol w:w="3980"/>
      <w:gridCol w:w="5661"/>
    </w:tblGrid>
    <w:tr>
      <w:tblPrEx>
        <w:tblW w:w="100%" w:type="pct"/>
      </w:tblPrEx>
      <w:trPr>
        <w:cantSplit w:val="0"/>
        <w:trHeight w:hRule="auto" w:val="0"/>
        <w:tblHeader w:val="0"/>
      </w:trPr>
      <w:tc>
        <w:tcPr>
          <w:tcMar>
            <w:top w:w="0pt" w:type="dxa"/>
            <w:start w:w="3pt" w:type="dxa"/>
            <w:bottom w:w="4pt" w:type="dxa"/>
            <w:end w:w="3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35</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5661"/>
      <w:gridCol w:w="3980"/>
      <w:gridCol w:w="5661"/>
    </w:tblGrid>
    <w:tr>
      <w:tblPrEx>
        <w:tblW w:w="100%" w:type="pct"/>
      </w:tblPrEx>
      <w:trPr>
        <w:cantSplit w:val="0"/>
        <w:trHeight w:hRule="auto" w:val="0"/>
        <w:tblHeader w:val="0"/>
      </w:trPr>
      <w:tc>
        <w:tcPr>
          <w:tcMar>
            <w:top w:w="0pt" w:type="dxa"/>
            <w:start w:w="3pt" w:type="dxa"/>
            <w:bottom w:w="4pt" w:type="dxa"/>
            <w:end w:w="3pt" w:type="dxa"/>
          </w:tcMar>
          <w:vAlign w:val="center"/>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center"/>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44</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center"/>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3837"/>
      <w:gridCol w:w="2697"/>
      <w:gridCol w:w="3836"/>
    </w:tblGrid>
    <w:tr>
      <w:tblPrEx>
        <w:tblW w:w="100%" w:type="pct"/>
      </w:tblPrEx>
      <w:trPr>
        <w:cantSplit w:val="0"/>
        <w:trHeight w:hRule="auto" w:val="0"/>
        <w:tblHeader w:val="0"/>
      </w:trPr>
      <w:tc>
        <w:tcPr>
          <w:tcMar>
            <w:top w:w="0pt" w:type="dxa"/>
            <w:start w:w="3pt" w:type="dxa"/>
            <w:bottom w:w="4pt" w:type="dxa"/>
            <w:end w:w="3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50</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5661"/>
      <w:gridCol w:w="3980"/>
      <w:gridCol w:w="5661"/>
    </w:tblGrid>
    <w:tr>
      <w:tblPrEx>
        <w:tblW w:w="100%" w:type="pct"/>
      </w:tblPrEx>
      <w:trPr>
        <w:cantSplit w:val="0"/>
        <w:trHeight w:hRule="auto" w:val="0"/>
      </w:trPr>
      <w:tc>
        <w:tcPr>
          <w:tcMar>
            <w:top w:w="0pt" w:type="dxa"/>
            <w:start w:w="3pt" w:type="dxa"/>
            <w:bottom w:w="4pt" w:type="dxa"/>
            <w:end w:w="3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52</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3837"/>
      <w:gridCol w:w="2697"/>
      <w:gridCol w:w="3836"/>
    </w:tblGrid>
    <w:tr>
      <w:tblPrEx>
        <w:tblW w:w="100%" w:type="pct"/>
      </w:tblPrEx>
      <w:trPr>
        <w:cantSplit w:val="0"/>
        <w:trHeight w:hRule="auto" w:val="0"/>
        <w:tblHeader w:val="0"/>
      </w:trPr>
      <w:tc>
        <w:tcPr>
          <w:tcMar>
            <w:top w:w="0pt" w:type="dxa"/>
            <w:start w:w="3pt" w:type="dxa"/>
            <w:bottom w:w="4pt" w:type="dxa"/>
            <w:end w:w="3pt" w:type="dxa"/>
          </w:tcMar>
          <w:vAlign w:val="center"/>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center"/>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57</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center"/>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5588"/>
      <w:gridCol w:w="4245"/>
      <w:gridCol w:w="5589"/>
    </w:tblGrid>
    <w:tr>
      <w:tblPrEx>
        <w:tblW w:w="100%" w:type="pct"/>
      </w:tblPrEx>
      <w:trPr>
        <w:cantSplit w:val="0"/>
        <w:trHeight w:hRule="auto" w:val="0"/>
      </w:trPr>
      <w:tc>
        <w:tcPr>
          <w:tcMar>
            <w:top w:w="1pt" w:type="dxa"/>
            <w:start w:w="6pt" w:type="dxa"/>
            <w:bottom w:w="6pt" w:type="dxa"/>
            <w:end w:w="6pt" w:type="dxa"/>
          </w:tcMar>
          <w:vAlign w:val="bottom"/>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1pt" w:type="dxa"/>
            <w:start w:w="6pt" w:type="dxa"/>
            <w:bottom w:w="6pt" w:type="dxa"/>
            <w:end w:w="6pt" w:type="dxa"/>
          </w:tcMar>
          <w:vAlign w:val="bottom"/>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58</w:t>
          </w:r>
          <w:r>
            <w:rPr>
              <w:rFonts w:ascii="Times New Roman" w:eastAsia="Times New Roman" w:hAnsi="Times New Roman" w:cs="Times New Roman"/>
              <w:b/>
              <w:vanish w:val="0"/>
              <w:color w:val="000000"/>
              <w:sz w:val="24"/>
            </w:rPr>
            <w:fldChar w:fldCharType="end"/>
          </w:r>
        </w:p>
      </w:tc>
      <w:tc>
        <w:tcPr>
          <w:tcMar>
            <w:top w:w="1pt" w:type="dxa"/>
            <w:start w:w="6pt" w:type="dxa"/>
            <w:bottom w:w="6pt" w:type="dxa"/>
            <w:end w:w="6pt" w:type="dxa"/>
          </w:tcMar>
          <w:vAlign w:val="bottom"/>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3837"/>
      <w:gridCol w:w="2697"/>
      <w:gridCol w:w="3836"/>
    </w:tblGrid>
    <w:tr>
      <w:tblPrEx>
        <w:tblW w:w="100%" w:type="pct"/>
      </w:tblPrEx>
      <w:trPr>
        <w:cantSplit w:val="0"/>
        <w:trHeight w:hRule="auto" w:val="0"/>
        <w:tblHeader w:val="0"/>
      </w:trPr>
      <w:tc>
        <w:tcPr>
          <w:tcMar>
            <w:top w:w="0pt" w:type="dxa"/>
            <w:start w:w="3pt" w:type="dxa"/>
            <w:bottom w:w="4pt" w:type="dxa"/>
            <w:end w:w="3pt" w:type="dxa"/>
          </w:tcMar>
          <w:vAlign w:val="center"/>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center"/>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59</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center"/>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5661"/>
      <w:gridCol w:w="3980"/>
      <w:gridCol w:w="5661"/>
    </w:tblGrid>
    <w:tr>
      <w:tblPrEx>
        <w:tblW w:w="100%" w:type="pct"/>
      </w:tblPrEx>
      <w:trPr>
        <w:cantSplit w:val="0"/>
        <w:trHeight w:hRule="auto" w:val="0"/>
        <w:tblHeader w:val="0"/>
      </w:trPr>
      <w:tc>
        <w:tcPr>
          <w:tcMar>
            <w:top w:w="0pt" w:type="dxa"/>
            <w:start w:w="3pt" w:type="dxa"/>
            <w:bottom w:w="4pt" w:type="dxa"/>
            <w:end w:w="3pt" w:type="dxa"/>
          </w:tcMar>
          <w:vAlign w:val="center"/>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center"/>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60</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center"/>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4114"/>
      <w:gridCol w:w="2223"/>
      <w:gridCol w:w="4113"/>
    </w:tblGrid>
    <w:tr>
      <w:tblPrEx>
        <w:tblW w:w="100%" w:type="pct"/>
      </w:tblPrEx>
      <w:trPr>
        <w:trHeight w:val="240"/>
      </w:trPr>
      <w:tc>
        <w:tcPr>
          <w:tcMar>
            <w:start w:w="5pt" w:type="dxa"/>
            <w:end w:w="5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start w:w="5pt" w:type="dxa"/>
            <w:end w:w="5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8</w:t>
          </w:r>
          <w:r>
            <w:rPr>
              <w:rFonts w:ascii="Times New Roman" w:eastAsia="Times New Roman" w:hAnsi="Times New Roman" w:cs="Times New Roman"/>
              <w:b/>
              <w:vanish w:val="0"/>
              <w:color w:val="000000"/>
              <w:sz w:val="24"/>
            </w:rPr>
            <w:fldChar w:fldCharType="end"/>
          </w:r>
        </w:p>
      </w:tc>
      <w:tc>
        <w:tcPr>
          <w:tcMar>
            <w:start w:w="5pt" w:type="dxa"/>
            <w:end w:w="5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3837"/>
      <w:gridCol w:w="2697"/>
      <w:gridCol w:w="3836"/>
    </w:tblGrid>
    <w:tr>
      <w:tblPrEx>
        <w:tblW w:w="100%" w:type="pct"/>
      </w:tblPrEx>
      <w:trPr>
        <w:cantSplit w:val="0"/>
        <w:trHeight w:val="160"/>
        <w:tblHeader w:val="0"/>
      </w:trPr>
      <w:tc>
        <w:tcPr>
          <w:tcMar>
            <w:top w:w="0pt" w:type="dxa"/>
            <w:start w:w="3pt" w:type="dxa"/>
            <w:bottom w:w="4pt" w:type="dxa"/>
            <w:end w:w="3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14</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1">
    <w:nsid w:val="00000002"/>
    <w:multiLevelType w:val="hybridMultilevel"/>
    <w:tmpl w:val="00000002"/>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2">
    <w:nsid w:val="00000003"/>
    <w:multiLevelType w:val="hybridMultilevel"/>
    <w:tmpl w:val="00000003"/>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3">
    <w:nsid w:val="00000004"/>
    <w:multiLevelType w:val="hybridMultilevel"/>
    <w:tmpl w:val="00000004"/>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4">
    <w:nsid w:val="00000005"/>
    <w:multiLevelType w:val="hybridMultilevel"/>
    <w:tmpl w:val="00000005"/>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5">
    <w:nsid w:val="00000006"/>
    <w:multiLevelType w:val="hybridMultilevel"/>
    <w:tmpl w:val="00000006"/>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6">
    <w:nsid w:val="00000007"/>
    <w:multiLevelType w:val="hybridMultilevel"/>
    <w:tmpl w:val="00000007"/>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7">
    <w:nsid w:val="00000008"/>
    <w:multiLevelType w:val="hybridMultilevel"/>
    <w:tmpl w:val="00000008"/>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8">
    <w:nsid w:val="00000009"/>
    <w:multiLevelType w:val="hybridMultilevel"/>
    <w:tmpl w:val="00000009"/>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9">
    <w:nsid w:val="0000000A"/>
    <w:multiLevelType w:val="hybridMultilevel"/>
    <w:tmpl w:val="0000000A"/>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10">
    <w:nsid w:val="0000000B"/>
    <w:multiLevelType w:val="hybridMultilevel"/>
    <w:tmpl w:val="0000000B"/>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11">
    <w:nsid w:val="0000000C"/>
    <w:multiLevelType w:val="hybridMultilevel"/>
    <w:tmpl w:val="0000000C"/>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12">
    <w:nsid w:val="0000000D"/>
    <w:multiLevelType w:val="hybridMultilevel"/>
    <w:tmpl w:val="0000000D"/>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13">
    <w:nsid w:val="0000000E"/>
    <w:multiLevelType w:val="hybridMultilevel"/>
    <w:tmpl w:val="0000000E"/>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proofState w:grammar="clean"/>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pt" w:type="dxa"/>
      <w:tblCellMar>
        <w:top w:w="0pt" w:type="dxa"/>
        <w:start w:w="5.4pt" w:type="dxa"/>
        <w:bottom w:w="0pt" w:type="dxa"/>
        <w:end w:w="5.4pt" w:type="dxa"/>
      </w:tblCellMar>
    </w:tblPr>
  </w:style>
  <w:style w:type="numbering" w:default="1" w:styleId="NoList">
    <w:name w:val="No List"/>
    <w:semiHidden/>
  </w:style>
  <w:style w:type="paragraph" w:styleId="TOC1">
    <w:name w:val="toc 1"/>
    <w:basedOn w:val="Normal"/>
    <w:next w:val="Normal"/>
    <w:autoRedefine/>
    <w:rsid w:val="00805BCE"/>
    <w:rPr>
      <w:b w:val="0"/>
      <w:caps w:val="0"/>
    </w:rPr>
  </w:style>
  <w:style w:type="character" w:styleId="Hyperlink">
    <w:name w:val="Hyperlink"/>
    <w:basedOn w:val="DefaultParagraphFont"/>
    <w:rsid w:val="00EF7B96"/>
    <w:rPr>
      <w:color w:val="0000FF"/>
      <w:u w:val="single"/>
    </w:rPr>
  </w:style>
  <w:style w:type="paragraph" w:styleId="TOC2">
    <w:name w:val="toc 2"/>
    <w:basedOn w:val="Normal"/>
    <w:next w:val="Normal"/>
    <w:autoRedefine/>
    <w:rsid w:val="00805BCE"/>
    <w:pPr>
      <w:ind w:start="240"/>
    </w:pPr>
  </w:style>
  <w:style w:type="paragraph" w:styleId="TOC3">
    <w:name w:val="toc 3"/>
    <w:basedOn w:val="Normal"/>
    <w:next w:val="Normal"/>
    <w:autoRedefine/>
    <w:rsid w:val="00805BCE"/>
    <w:pPr>
      <w:ind w:start="480"/>
    </w:pPr>
    <w:rPr>
      <w:i w:val="0"/>
    </w:rPr>
  </w:style>
  <w:style w:type="paragraph" w:styleId="TOC4">
    <w:name w:val="toc 4"/>
    <w:basedOn w:val="Normal"/>
    <w:next w:val="Normal"/>
    <w:autoRedefine/>
    <w:rsid w:val="00805BCE"/>
    <w:pPr>
      <w:ind w:start="720"/>
    </w:pPr>
    <w:rPr>
      <w:i w:val="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purl.oclc.org/ooxml/officeDocument/relationships/settings" Target="settings.xml" /><Relationship Id="rId10" Type="http://purl.oclc.org/ooxml/officeDocument/relationships/header" Target="header4.xml" /><Relationship Id="rId11" Type="http://purl.oclc.org/ooxml/officeDocument/relationships/header" Target="header5.xml" /><Relationship Id="rId12" Type="http://purl.oclc.org/ooxml/officeDocument/relationships/footer" Target="footer4.xml" /><Relationship Id="rId13" Type="http://purl.oclc.org/ooxml/officeDocument/relationships/footer" Target="footer5.xml" /><Relationship Id="rId14" Type="http://purl.oclc.org/ooxml/officeDocument/relationships/header" Target="header6.xml" /><Relationship Id="rId15" Type="http://purl.oclc.org/ooxml/officeDocument/relationships/footer" Target="footer6.xml" /><Relationship Id="rId16" Type="http://purl.oclc.org/ooxml/officeDocument/relationships/header" Target="header7.xml" /><Relationship Id="rId17" Type="http://purl.oclc.org/ooxml/officeDocument/relationships/header" Target="header8.xml" /><Relationship Id="rId18" Type="http://purl.oclc.org/ooxml/officeDocument/relationships/footer" Target="footer7.xml" /><Relationship Id="rId19" Type="http://purl.oclc.org/ooxml/officeDocument/relationships/footer" Target="footer8.xml" /><Relationship Id="rId2" Type="http://purl.oclc.org/ooxml/officeDocument/relationships/webSettings" Target="webSettings.xml" /><Relationship Id="rId20" Type="http://purl.oclc.org/ooxml/officeDocument/relationships/header" Target="header9.xml" /><Relationship Id="rId21" Type="http://purl.oclc.org/ooxml/officeDocument/relationships/footer" Target="footer9.xml" /><Relationship Id="rId22" Type="http://purl.oclc.org/ooxml/officeDocument/relationships/header" Target="header10.xml" /><Relationship Id="rId23" Type="http://purl.oclc.org/ooxml/officeDocument/relationships/header" Target="header11.xml" /><Relationship Id="rId24" Type="http://purl.oclc.org/ooxml/officeDocument/relationships/footer" Target="footer10.xml" /><Relationship Id="rId25" Type="http://purl.oclc.org/ooxml/officeDocument/relationships/footer" Target="footer11.xml" /><Relationship Id="rId26" Type="http://purl.oclc.org/ooxml/officeDocument/relationships/header" Target="header12.xml" /><Relationship Id="rId27" Type="http://purl.oclc.org/ooxml/officeDocument/relationships/footer" Target="footer12.xml" /><Relationship Id="rId28" Type="http://purl.oclc.org/ooxml/officeDocument/relationships/header" Target="header13.xml" /><Relationship Id="rId29" Type="http://purl.oclc.org/ooxml/officeDocument/relationships/header" Target="header14.xml" /><Relationship Id="rId3" Type="http://purl.oclc.org/ooxml/officeDocument/relationships/fontTable" Target="fontTable.xml" /><Relationship Id="rId30" Type="http://purl.oclc.org/ooxml/officeDocument/relationships/footer" Target="footer13.xml" /><Relationship Id="rId31" Type="http://purl.oclc.org/ooxml/officeDocument/relationships/footer" Target="footer14.xml" /><Relationship Id="rId32" Type="http://purl.oclc.org/ooxml/officeDocument/relationships/header" Target="header15.xml" /><Relationship Id="rId33" Type="http://purl.oclc.org/ooxml/officeDocument/relationships/footer" Target="footer15.xml" /><Relationship Id="rId34" Type="http://purl.oclc.org/ooxml/officeDocument/relationships/header" Target="header16.xml" /><Relationship Id="rId35" Type="http://purl.oclc.org/ooxml/officeDocument/relationships/header" Target="header17.xml" /><Relationship Id="rId36" Type="http://purl.oclc.org/ooxml/officeDocument/relationships/footer" Target="footer16.xml" /><Relationship Id="rId37" Type="http://purl.oclc.org/ooxml/officeDocument/relationships/footer" Target="footer17.xml" /><Relationship Id="rId38" Type="http://purl.oclc.org/ooxml/officeDocument/relationships/header" Target="header18.xml" /><Relationship Id="rId39" Type="http://purl.oclc.org/ooxml/officeDocument/relationships/footer" Target="footer18.xml" /><Relationship Id="rId4" Type="http://purl.oclc.org/ooxml/officeDocument/relationships/header" Target="header1.xml" /><Relationship Id="rId40" Type="http://purl.oclc.org/ooxml/officeDocument/relationships/header" Target="header19.xml" /><Relationship Id="rId41" Type="http://purl.oclc.org/ooxml/officeDocument/relationships/header" Target="header20.xml" /><Relationship Id="rId42" Type="http://purl.oclc.org/ooxml/officeDocument/relationships/footer" Target="footer19.xml" /><Relationship Id="rId43" Type="http://purl.oclc.org/ooxml/officeDocument/relationships/footer" Target="footer20.xml" /><Relationship Id="rId44" Type="http://purl.oclc.org/ooxml/officeDocument/relationships/header" Target="header21.xml" /><Relationship Id="rId45" Type="http://purl.oclc.org/ooxml/officeDocument/relationships/footer" Target="footer21.xml" /><Relationship Id="rId46" Type="http://purl.oclc.org/ooxml/officeDocument/relationships/header" Target="header22.xml" /><Relationship Id="rId47" Type="http://purl.oclc.org/ooxml/officeDocument/relationships/header" Target="header23.xml" /><Relationship Id="rId48" Type="http://purl.oclc.org/ooxml/officeDocument/relationships/footer" Target="footer22.xml" /><Relationship Id="rId49" Type="http://purl.oclc.org/ooxml/officeDocument/relationships/footer" Target="footer23.xml" /><Relationship Id="rId5" Type="http://purl.oclc.org/ooxml/officeDocument/relationships/header" Target="header2.xml" /><Relationship Id="rId50" Type="http://purl.oclc.org/ooxml/officeDocument/relationships/header" Target="header24.xml" /><Relationship Id="rId51" Type="http://purl.oclc.org/ooxml/officeDocument/relationships/footer" Target="footer24.xml" /><Relationship Id="rId52" Type="http://purl.oclc.org/ooxml/officeDocument/relationships/header" Target="header25.xml" /><Relationship Id="rId53" Type="http://purl.oclc.org/ooxml/officeDocument/relationships/header" Target="header26.xml" /><Relationship Id="rId54" Type="http://purl.oclc.org/ooxml/officeDocument/relationships/footer" Target="footer25.xml" /><Relationship Id="rId55" Type="http://purl.oclc.org/ooxml/officeDocument/relationships/footer" Target="footer26.xml" /><Relationship Id="rId56" Type="http://purl.oclc.org/ooxml/officeDocument/relationships/header" Target="header27.xml" /><Relationship Id="rId57" Type="http://purl.oclc.org/ooxml/officeDocument/relationships/footer" Target="footer27.xml" /><Relationship Id="rId58" Type="http://purl.oclc.org/ooxml/officeDocument/relationships/header" Target="header28.xml" /><Relationship Id="rId59" Type="http://purl.oclc.org/ooxml/officeDocument/relationships/header" Target="header29.xml" /><Relationship Id="rId6" Type="http://purl.oclc.org/ooxml/officeDocument/relationships/footer" Target="footer1.xml" /><Relationship Id="rId60" Type="http://purl.oclc.org/ooxml/officeDocument/relationships/footer" Target="footer28.xml" /><Relationship Id="rId61" Type="http://purl.oclc.org/ooxml/officeDocument/relationships/footer" Target="footer29.xml" /><Relationship Id="rId62" Type="http://purl.oclc.org/ooxml/officeDocument/relationships/header" Target="header30.xml" /><Relationship Id="rId63" Type="http://purl.oclc.org/ooxml/officeDocument/relationships/footer" Target="footer30.xml" /><Relationship Id="rId64" Type="http://purl.oclc.org/ooxml/officeDocument/relationships/header" Target="header31.xml" /><Relationship Id="rId65" Type="http://purl.oclc.org/ooxml/officeDocument/relationships/header" Target="header32.xml" /><Relationship Id="rId66" Type="http://purl.oclc.org/ooxml/officeDocument/relationships/footer" Target="footer31.xml" /><Relationship Id="rId67" Type="http://purl.oclc.org/ooxml/officeDocument/relationships/footer" Target="footer32.xml" /><Relationship Id="rId68" Type="http://purl.oclc.org/ooxml/officeDocument/relationships/header" Target="header33.xml" /><Relationship Id="rId69" Type="http://purl.oclc.org/ooxml/officeDocument/relationships/footer" Target="footer33.xml" /><Relationship Id="rId7" Type="http://purl.oclc.org/ooxml/officeDocument/relationships/footer" Target="footer2.xml" /><Relationship Id="rId70" Type="http://purl.oclc.org/ooxml/officeDocument/relationships/header" Target="header34.xml" /><Relationship Id="rId71" Type="http://purl.oclc.org/ooxml/officeDocument/relationships/header" Target="header35.xml" /><Relationship Id="rId72" Type="http://purl.oclc.org/ooxml/officeDocument/relationships/footer" Target="footer34.xml" /><Relationship Id="rId73" Type="http://purl.oclc.org/ooxml/officeDocument/relationships/footer" Target="footer35.xml" /><Relationship Id="rId74" Type="http://purl.oclc.org/ooxml/officeDocument/relationships/header" Target="header36.xml" /><Relationship Id="rId75" Type="http://purl.oclc.org/ooxml/officeDocument/relationships/footer" Target="footer36.xml" /><Relationship Id="rId76" Type="http://purl.oclc.org/ooxml/officeDocument/relationships/header" Target="header37.xml" /><Relationship Id="rId77" Type="http://purl.oclc.org/ooxml/officeDocument/relationships/header" Target="header38.xml" /><Relationship Id="rId78" Type="http://purl.oclc.org/ooxml/officeDocument/relationships/footer" Target="footer37.xml" /><Relationship Id="rId79" Type="http://purl.oclc.org/ooxml/officeDocument/relationships/footer" Target="footer38.xml" /><Relationship Id="rId8" Type="http://purl.oclc.org/ooxml/officeDocument/relationships/header" Target="header3.xml" /><Relationship Id="rId80" Type="http://purl.oclc.org/ooxml/officeDocument/relationships/header" Target="header39.xml" /><Relationship Id="rId81" Type="http://purl.oclc.org/ooxml/officeDocument/relationships/footer" Target="footer39.xml" /><Relationship Id="rId82" Type="http://purl.oclc.org/ooxml/officeDocument/relationships/header" Target="header40.xml" /><Relationship Id="rId83" Type="http://purl.oclc.org/ooxml/officeDocument/relationships/header" Target="header41.xml" /><Relationship Id="rId84" Type="http://purl.oclc.org/ooxml/officeDocument/relationships/footer" Target="footer40.xml" /><Relationship Id="rId85" Type="http://purl.oclc.org/ooxml/officeDocument/relationships/footer" Target="footer41.xml" /><Relationship Id="rId86" Type="http://purl.oclc.org/ooxml/officeDocument/relationships/header" Target="header42.xml" /><Relationship Id="rId87" Type="http://purl.oclc.org/ooxml/officeDocument/relationships/footer" Target="footer42.xml" /><Relationship Id="rId88" Type="http://purl.oclc.org/ooxml/officeDocument/relationships/header" Target="header43.xml" /><Relationship Id="rId89" Type="http://purl.oclc.org/ooxml/officeDocument/relationships/header" Target="header44.xml" /><Relationship Id="rId9" Type="http://purl.oclc.org/ooxml/officeDocument/relationships/footer" Target="footer3.xml" /><Relationship Id="rId90" Type="http://purl.oclc.org/ooxml/officeDocument/relationships/footer" Target="footer43.xml" /><Relationship Id="rId91" Type="http://purl.oclc.org/ooxml/officeDocument/relationships/footer" Target="footer44.xml" /><Relationship Id="rId92" Type="http://purl.oclc.org/ooxml/officeDocument/relationships/header" Target="header45.xml" /><Relationship Id="rId93" Type="http://purl.oclc.org/ooxml/officeDocument/relationships/footer" Target="footer45.xml" /><Relationship Id="rId94" Type="http://purl.oclc.org/ooxml/officeDocument/relationships/theme" Target="theme/theme1.xml" /><Relationship Id="rId95" Type="http://purl.oclc.org/ooxml/officeDocument/relationships/numbering" Target="numbering.xml" /><Relationship Id="rId96" Type="http://purl.oclc.org/ooxml/officeDocument/relationships/styles" Target="styles.xml" /></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 sy="100%" kx="0" ky="0" algn="b" rotWithShape="0">
              <a:srgbClr val="000000">
                <a:alpha val="38%"/>
              </a:srgbClr>
            </a:outerShdw>
          </a:effectLst>
        </a:effectStyle>
        <a:effectStyle>
          <a:effectLst>
            <a:outerShdw blurRad="40000" dist="23000" dir="5400000" sx="100%" sy="100%" kx="0" ky="0" algn="b" rotWithShape="0">
              <a:srgbClr val="000000">
                <a:alpha val="35%"/>
              </a:srgbClr>
            </a:outerShdw>
          </a:effectLst>
        </a:effectStyle>
        <a:effectStyle>
          <a:effectLst>
            <a:outerShdw blurRad="40000" dist="23000" dir="5400000" sx="100%" sy="100%" kx="0" ky="0" algn="b" rotWithShape="0">
              <a:srgbClr val="000000">
                <a:alpha val="35%"/>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xmlns:a="http://purl.oclc.org/ooxml/drawingml/main"/>
</a:theme>
</file>

<file path=docProps/app.xml><?xml version="1.0" encoding="utf-8"?>
<Properties xmlns="http://purl.oclc.org/ooxml/officeDocument/extendedProperties" xmlns:vt="http://purl.oclc.org/ooxml/officeDocument/docPropsVTypes">
  <Template>Normal.dot</Template>
  <TotalTime>0</TotalTime>
  <Pages>60</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