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7363" w14:textId="67FF1877" w:rsidR="00242E68" w:rsidRPr="0025033E" w:rsidRDefault="00242E68" w:rsidP="00ED5676">
      <w:pPr>
        <w:suppressAutoHyphens w:val="0"/>
        <w:autoSpaceDN/>
        <w:spacing w:after="0" w:line="240" w:lineRule="auto"/>
        <w:jc w:val="both"/>
        <w:rPr>
          <w:rFonts w:cs="Arial"/>
          <w:b/>
          <w:bCs/>
          <w:sz w:val="24"/>
          <w:szCs w:val="24"/>
          <w:lang w:eastAsia="en-US"/>
        </w:rPr>
      </w:pPr>
      <w:r w:rsidRPr="0025033E">
        <w:rPr>
          <w:rFonts w:cs="Arial"/>
          <w:noProof/>
        </w:rPr>
        <w:drawing>
          <wp:anchor distT="0" distB="0" distL="114300" distR="114300" simplePos="0" relativeHeight="251658241" behindDoc="0" locked="0" layoutInCell="1" allowOverlap="1" wp14:anchorId="39284406" wp14:editId="6986D44F">
            <wp:simplePos x="0" y="0"/>
            <wp:positionH relativeFrom="margin">
              <wp:posOffset>3961179</wp:posOffset>
            </wp:positionH>
            <wp:positionV relativeFrom="margin">
              <wp:posOffset>94971</wp:posOffset>
            </wp:positionV>
            <wp:extent cx="2167886" cy="686430"/>
            <wp:effectExtent l="0" t="0" r="3814" b="0"/>
            <wp:wrapSquare wrapText="bothSides"/>
            <wp:docPr id="565470481" name="Slik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5470481" name="Slika 10">
                      <a:extLst>
                        <a:ext uri="{C183D7F6-B498-43B3-948B-1728B52AA6E4}">
                          <adec:decorative xmlns:adec="http://schemas.microsoft.com/office/drawing/2017/decorative" val="1"/>
                        </a:ext>
                      </a:extLst>
                    </pic:cNvPr>
                    <pic:cNvPicPr/>
                  </pic:nvPicPr>
                  <pic:blipFill>
                    <a:blip r:embed="rId8"/>
                    <a:srcRect l="64594"/>
                    <a:stretch>
                      <a:fillRect/>
                    </a:stretch>
                  </pic:blipFill>
                  <pic:spPr>
                    <a:xfrm>
                      <a:off x="0" y="0"/>
                      <a:ext cx="2167886" cy="686430"/>
                    </a:xfrm>
                    <a:prstGeom prst="rect">
                      <a:avLst/>
                    </a:prstGeom>
                    <a:noFill/>
                    <a:ln>
                      <a:noFill/>
                      <a:prstDash/>
                    </a:ln>
                  </pic:spPr>
                </pic:pic>
              </a:graphicData>
            </a:graphic>
          </wp:anchor>
        </w:drawing>
      </w:r>
      <w:r w:rsidRPr="0025033E">
        <w:rPr>
          <w:rFonts w:cs="Arial"/>
          <w:b/>
          <w:bCs/>
          <w:noProof/>
          <w:sz w:val="24"/>
          <w:szCs w:val="24"/>
          <w:lang w:eastAsia="en-US"/>
        </w:rPr>
        <w:drawing>
          <wp:anchor distT="0" distB="0" distL="114300" distR="114300" simplePos="0" relativeHeight="251658242" behindDoc="1" locked="0" layoutInCell="1" allowOverlap="1" wp14:anchorId="4953DB75" wp14:editId="2C512720">
            <wp:simplePos x="0" y="0"/>
            <wp:positionH relativeFrom="column">
              <wp:posOffset>-176481</wp:posOffset>
            </wp:positionH>
            <wp:positionV relativeFrom="paragraph">
              <wp:posOffset>130629</wp:posOffset>
            </wp:positionV>
            <wp:extent cx="3847465" cy="368300"/>
            <wp:effectExtent l="0" t="0" r="635" b="0"/>
            <wp:wrapTight wrapText="bothSides">
              <wp:wrapPolygon edited="0">
                <wp:start x="321" y="0"/>
                <wp:lineTo x="0" y="1117"/>
                <wp:lineTo x="0" y="11172"/>
                <wp:lineTo x="428" y="20110"/>
                <wp:lineTo x="21497" y="20110"/>
                <wp:lineTo x="21497" y="8938"/>
                <wp:lineTo x="12192" y="2234"/>
                <wp:lineTo x="1283" y="0"/>
                <wp:lineTo x="321" y="0"/>
              </wp:wrapPolygon>
            </wp:wrapTight>
            <wp:docPr id="1736772353" name="Slika 1736772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72353" name="Slika 173677235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7465" cy="368300"/>
                    </a:xfrm>
                    <a:prstGeom prst="rect">
                      <a:avLst/>
                    </a:prstGeom>
                    <a:noFill/>
                    <a:ln>
                      <a:noFill/>
                    </a:ln>
                  </pic:spPr>
                </pic:pic>
              </a:graphicData>
            </a:graphic>
          </wp:anchor>
        </w:drawing>
      </w:r>
    </w:p>
    <w:p w14:paraId="6E2493F3" w14:textId="410DEFA8" w:rsidR="00242E68" w:rsidRPr="0025033E" w:rsidRDefault="00242E68" w:rsidP="0030659F">
      <w:pPr>
        <w:tabs>
          <w:tab w:val="center" w:pos="4536"/>
          <w:tab w:val="left" w:pos="6663"/>
          <w:tab w:val="right" w:pos="9072"/>
        </w:tabs>
        <w:suppressAutoHyphens w:val="0"/>
        <w:autoSpaceDN/>
        <w:spacing w:after="0" w:line="240" w:lineRule="exact"/>
        <w:jc w:val="both"/>
        <w:rPr>
          <w:rFonts w:eastAsiaTheme="minorHAnsi" w:cs="Arial"/>
          <w:kern w:val="2"/>
          <w:szCs w:val="20"/>
          <w:lang w:eastAsia="en-US"/>
          <w14:ligatures w14:val="standardContextual"/>
        </w:rPr>
      </w:pPr>
    </w:p>
    <w:p w14:paraId="05843647" w14:textId="1F51B938" w:rsidR="00242E68" w:rsidRPr="0025033E" w:rsidRDefault="00242E68" w:rsidP="0030659F">
      <w:pPr>
        <w:tabs>
          <w:tab w:val="center" w:pos="4536"/>
          <w:tab w:val="left" w:pos="6663"/>
          <w:tab w:val="right" w:pos="9072"/>
        </w:tabs>
        <w:suppressAutoHyphens w:val="0"/>
        <w:autoSpaceDN/>
        <w:spacing w:after="0" w:line="240" w:lineRule="exact"/>
        <w:jc w:val="both"/>
        <w:rPr>
          <w:rFonts w:eastAsiaTheme="minorHAnsi" w:cs="Arial"/>
          <w:kern w:val="2"/>
          <w:sz w:val="16"/>
          <w:szCs w:val="16"/>
          <w:lang w:eastAsia="en-US"/>
          <w14:ligatures w14:val="standardContextual"/>
        </w:rPr>
      </w:pPr>
    </w:p>
    <w:p w14:paraId="5193815D" w14:textId="57C8A58E" w:rsidR="000E7A5A" w:rsidRPr="0025033E" w:rsidRDefault="000E7A5A" w:rsidP="00ED5676">
      <w:pPr>
        <w:pStyle w:val="Brezrazmikov"/>
        <w:spacing w:line="276" w:lineRule="auto"/>
        <w:jc w:val="both"/>
        <w:rPr>
          <w:rFonts w:ascii="Arial" w:hAnsi="Arial" w:cs="Arial"/>
          <w:lang w:val="it-IT"/>
        </w:rPr>
      </w:pPr>
    </w:p>
    <w:p w14:paraId="22D69B9D" w14:textId="35D634B5" w:rsidR="000E7A5A" w:rsidRPr="0025033E" w:rsidRDefault="000E7A5A" w:rsidP="00ED5676">
      <w:pPr>
        <w:pStyle w:val="Brezrazmikov"/>
        <w:spacing w:line="276" w:lineRule="auto"/>
        <w:jc w:val="both"/>
        <w:rPr>
          <w:rFonts w:ascii="Arial" w:hAnsi="Arial" w:cs="Arial"/>
          <w:lang w:val="it-IT"/>
        </w:rPr>
      </w:pPr>
    </w:p>
    <w:p w14:paraId="1E1C8CCF" w14:textId="6B9AD570" w:rsidR="000E7A5A" w:rsidRPr="0025033E" w:rsidRDefault="000E7A5A" w:rsidP="00ED5676">
      <w:pPr>
        <w:pStyle w:val="Brezrazmikov"/>
        <w:spacing w:line="276" w:lineRule="auto"/>
        <w:jc w:val="both"/>
        <w:rPr>
          <w:rFonts w:ascii="Arial" w:hAnsi="Arial" w:cs="Arial"/>
        </w:rPr>
      </w:pPr>
    </w:p>
    <w:p w14:paraId="4852B292" w14:textId="5B96491C" w:rsidR="000E7A5A" w:rsidRPr="0025033E" w:rsidRDefault="000E7A5A" w:rsidP="00ED5676">
      <w:pPr>
        <w:pStyle w:val="Brezrazmikov"/>
        <w:spacing w:line="276" w:lineRule="auto"/>
        <w:jc w:val="both"/>
        <w:rPr>
          <w:rFonts w:ascii="Arial" w:hAnsi="Arial" w:cs="Arial"/>
        </w:rPr>
      </w:pPr>
    </w:p>
    <w:p w14:paraId="27996EEC" w14:textId="77777777" w:rsidR="000E7A5A" w:rsidRPr="0025033E" w:rsidRDefault="000E7A5A" w:rsidP="00ED5676">
      <w:pPr>
        <w:pStyle w:val="Brezrazmikov"/>
        <w:spacing w:line="276" w:lineRule="auto"/>
        <w:jc w:val="both"/>
        <w:rPr>
          <w:rFonts w:ascii="Arial" w:hAnsi="Arial" w:cs="Arial"/>
        </w:rPr>
      </w:pPr>
    </w:p>
    <w:p w14:paraId="44410C15" w14:textId="046CACBC" w:rsidR="000E7A5A" w:rsidRPr="0025033E" w:rsidRDefault="000E7A5A" w:rsidP="00ED5676">
      <w:pPr>
        <w:pStyle w:val="Brezrazmikov"/>
        <w:spacing w:line="276" w:lineRule="auto"/>
        <w:jc w:val="both"/>
        <w:rPr>
          <w:rFonts w:ascii="Arial" w:hAnsi="Arial" w:cs="Arial"/>
        </w:rPr>
      </w:pPr>
    </w:p>
    <w:p w14:paraId="0E794BE3" w14:textId="582B49F0" w:rsidR="000E7A5A" w:rsidRPr="0025033E" w:rsidRDefault="002213E0" w:rsidP="00ED5676">
      <w:pPr>
        <w:pStyle w:val="Brezrazmikov"/>
        <w:spacing w:line="276" w:lineRule="auto"/>
        <w:jc w:val="both"/>
        <w:rPr>
          <w:rFonts w:ascii="Arial" w:hAnsi="Arial" w:cs="Arial"/>
        </w:rPr>
      </w:pPr>
      <w:r w:rsidRPr="0025033E">
        <w:rPr>
          <w:rFonts w:ascii="Arial" w:hAnsi="Arial" w:cs="Arial"/>
          <w:noProof/>
        </w:rPr>
        <mc:AlternateContent>
          <mc:Choice Requires="wps">
            <w:drawing>
              <wp:anchor distT="0" distB="0" distL="114300" distR="114300" simplePos="0" relativeHeight="251658240" behindDoc="1" locked="0" layoutInCell="1" allowOverlap="1" wp14:anchorId="4FAE5D60" wp14:editId="0C837310">
                <wp:simplePos x="0" y="0"/>
                <wp:positionH relativeFrom="margin">
                  <wp:posOffset>88900</wp:posOffset>
                </wp:positionH>
                <wp:positionV relativeFrom="margin">
                  <wp:posOffset>2072282</wp:posOffset>
                </wp:positionV>
                <wp:extent cx="5572125" cy="1228094"/>
                <wp:effectExtent l="0" t="0" r="9525" b="3810"/>
                <wp:wrapSquare wrapText="bothSides"/>
                <wp:docPr id="1664359588" name="Polje z besedilo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572125" cy="1228094"/>
                        </a:xfrm>
                        <a:prstGeom prst="rect">
                          <a:avLst/>
                        </a:prstGeom>
                        <a:noFill/>
                        <a:ln>
                          <a:noFill/>
                          <a:prstDash/>
                        </a:ln>
                      </wps:spPr>
                      <wps:txbx>
                        <w:txbxContent>
                          <w:p w14:paraId="79F4532A" w14:textId="77777777" w:rsidR="00014A15" w:rsidRPr="00790095" w:rsidRDefault="00014A15" w:rsidP="00014A15">
                            <w:pPr>
                              <w:pStyle w:val="Brezrazmikov"/>
                              <w:spacing w:line="288" w:lineRule="auto"/>
                              <w:jc w:val="center"/>
                              <w:rPr>
                                <w:rFonts w:ascii="Arial" w:hAnsi="Arial" w:cs="Arial"/>
                                <w:color w:val="262626"/>
                                <w:sz w:val="44"/>
                                <w:szCs w:val="44"/>
                              </w:rPr>
                            </w:pPr>
                            <w:r w:rsidRPr="00790095">
                              <w:rPr>
                                <w:rFonts w:ascii="Arial" w:eastAsia="SimSun" w:hAnsi="Arial" w:cs="Arial"/>
                                <w:b/>
                                <w:bCs/>
                                <w:color w:val="0070C0"/>
                                <w:sz w:val="44"/>
                                <w:szCs w:val="44"/>
                                <w:lang w:eastAsia="zh-CN"/>
                              </w:rPr>
                              <w:t>POROČILO O IZVAJANJU EVROPSKE KOHEZIJSKE POLITIKE 2014–2020 IN 2021–2027 ZA OBDOBJE OD JANUARJA 2014 DO KONCA DECEMBRA 2024</w:t>
                            </w:r>
                          </w:p>
                          <w:p w14:paraId="2D277CBA" w14:textId="77777777" w:rsidR="00014A15" w:rsidRPr="00790095" w:rsidRDefault="00014A15" w:rsidP="00014A15">
                            <w:pPr>
                              <w:spacing w:before="120" w:line="288" w:lineRule="auto"/>
                              <w:jc w:val="center"/>
                              <w:rPr>
                                <w:rFonts w:cs="Arial"/>
                                <w:color w:val="404040"/>
                                <w:sz w:val="44"/>
                                <w:szCs w:val="44"/>
                              </w:rPr>
                            </w:pPr>
                            <w:r w:rsidRPr="00790095">
                              <w:rPr>
                                <w:rFonts w:eastAsia="SimSun" w:cs="Arial"/>
                                <w:b/>
                                <w:bCs/>
                                <w:color w:val="0070C0"/>
                                <w:sz w:val="32"/>
                                <w:szCs w:val="32"/>
                                <w:lang w:eastAsia="zh-CN"/>
                              </w:rPr>
                              <w:t>Cilj: naložbe za rast in delovna mesta</w:t>
                            </w:r>
                          </w:p>
                          <w:p w14:paraId="3D8AB96B" w14:textId="50662709" w:rsidR="000E7A5A" w:rsidRDefault="000E7A5A">
                            <w:pPr>
                              <w:pStyle w:val="Brezrazmikov"/>
                              <w:spacing w:line="288" w:lineRule="auto"/>
                              <w:jc w:val="center"/>
                            </w:pPr>
                          </w:p>
                        </w:txbxContent>
                      </wps:txbx>
                      <wps:bodyPr vert="horz" wrap="square" lIns="0" tIns="0" rIns="0" bIns="0" anchor="t" anchorCtr="0" compatLnSpc="0">
                        <a:spAutoFit/>
                      </wps:bodyPr>
                    </wps:wsp>
                  </a:graphicData>
                </a:graphic>
              </wp:anchor>
            </w:drawing>
          </mc:Choice>
          <mc:Fallback>
            <w:pict>
              <v:shapetype w14:anchorId="4FAE5D60" id="_x0000_t202" coordsize="21600,21600" o:spt="202" path="m,l,21600r21600,l21600,xe">
                <v:stroke joinstyle="miter"/>
                <v:path gradientshapeok="t" o:connecttype="rect"/>
              </v:shapetype>
              <v:shape id="Polje z besedilom 1" o:spid="_x0000_s1026" type="#_x0000_t202" alt="&quot;&quot;" style="position:absolute;left:0;text-align:left;margin-left:7pt;margin-top:163.15pt;width:438.75pt;height:96.7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" filled="f" stroked="f">
                <v:textbox style="mso-fit-shape-to-text:t" inset="0,0,0,0">
                  <w:txbxContent>
                    <w:p w14:paraId="79F4532A" w14:textId="77777777" w:rsidR="00014A15" w:rsidRPr="00790095" w:rsidRDefault="00014A15" w:rsidP="00014A15">
                      <w:pPr>
                        <w:pStyle w:val="Brezrazmikov"/>
                        <w:spacing w:line="288" w:lineRule="auto"/>
                        <w:jc w:val="center"/>
                        <w:rPr>
                          <w:rFonts w:ascii="Arial" w:hAnsi="Arial" w:cs="Arial"/>
                          <w:color w:val="262626"/>
                          <w:sz w:val="44"/>
                          <w:szCs w:val="44"/>
                        </w:rPr>
                      </w:pPr>
                      <w:r w:rsidRPr="00790095">
                        <w:rPr>
                          <w:rFonts w:ascii="Arial" w:eastAsia="SimSun" w:hAnsi="Arial" w:cs="Arial"/>
                          <w:b/>
                          <w:bCs/>
                          <w:color w:val="0070C0"/>
                          <w:sz w:val="44"/>
                          <w:szCs w:val="44"/>
                          <w:lang w:eastAsia="zh-CN"/>
                        </w:rPr>
                        <w:t>POROČILO O IZVAJANJU EVROPSKE KOHEZIJSKE POLITIKE 2014–2020 IN 2021–2027 ZA OBDOBJE OD JANUARJA 2014 DO KONCA DECEMBRA 2024</w:t>
                      </w:r>
                    </w:p>
                    <w:p w14:paraId="2D277CBA" w14:textId="77777777" w:rsidR="00014A15" w:rsidRPr="00790095" w:rsidRDefault="00014A15" w:rsidP="00014A15">
                      <w:pPr>
                        <w:spacing w:before="120" w:line="288" w:lineRule="auto"/>
                        <w:jc w:val="center"/>
                        <w:rPr>
                          <w:rFonts w:cs="Arial"/>
                          <w:color w:val="404040"/>
                          <w:sz w:val="44"/>
                          <w:szCs w:val="44"/>
                        </w:rPr>
                      </w:pPr>
                      <w:r w:rsidRPr="00790095">
                        <w:rPr>
                          <w:rFonts w:eastAsia="SimSun" w:cs="Arial"/>
                          <w:b/>
                          <w:bCs/>
                          <w:color w:val="0070C0"/>
                          <w:sz w:val="32"/>
                          <w:szCs w:val="32"/>
                          <w:lang w:eastAsia="zh-CN"/>
                        </w:rPr>
                        <w:t>Cilj: naložbe za rast in delovna mesta</w:t>
                      </w:r>
                    </w:p>
                    <w:p w14:paraId="3D8AB96B" w14:textId="50662709" w:rsidR="000E7A5A" w:rsidRDefault="000E7A5A">
                      <w:pPr>
                        <w:pStyle w:val="Brezrazmikov"/>
                        <w:spacing w:line="288" w:lineRule="auto"/>
                        <w:jc w:val="center"/>
                      </w:pPr>
                    </w:p>
                  </w:txbxContent>
                </v:textbox>
                <w10:wrap type="square" anchorx="margin" anchory="margin"/>
              </v:shape>
            </w:pict>
          </mc:Fallback>
        </mc:AlternateContent>
      </w:r>
    </w:p>
    <w:p w14:paraId="5E60F72A" w14:textId="6349BE8A" w:rsidR="000E7A5A" w:rsidRPr="0025033E" w:rsidRDefault="000E7A5A" w:rsidP="00ED5676">
      <w:pPr>
        <w:pStyle w:val="Brezrazmikov"/>
        <w:spacing w:line="276" w:lineRule="auto"/>
        <w:jc w:val="both"/>
        <w:rPr>
          <w:rFonts w:ascii="Arial" w:hAnsi="Arial" w:cs="Arial"/>
        </w:rPr>
      </w:pPr>
    </w:p>
    <w:p w14:paraId="48F6ECD6" w14:textId="17D85A35" w:rsidR="000E7A5A" w:rsidRPr="0025033E" w:rsidRDefault="000E7A5A" w:rsidP="00ED5676">
      <w:pPr>
        <w:pStyle w:val="Brezrazmikov"/>
        <w:spacing w:line="276" w:lineRule="auto"/>
        <w:jc w:val="both"/>
        <w:rPr>
          <w:rFonts w:ascii="Arial" w:hAnsi="Arial" w:cs="Arial"/>
        </w:rPr>
      </w:pPr>
    </w:p>
    <w:p w14:paraId="43E89AC5" w14:textId="01F7B66C" w:rsidR="000E7A5A" w:rsidRPr="0025033E" w:rsidRDefault="000E7A5A" w:rsidP="00ED5676">
      <w:pPr>
        <w:pStyle w:val="Brezrazmikov"/>
        <w:spacing w:line="276" w:lineRule="auto"/>
        <w:jc w:val="both"/>
        <w:rPr>
          <w:rFonts w:ascii="Arial" w:hAnsi="Arial" w:cs="Arial"/>
        </w:rPr>
      </w:pPr>
    </w:p>
    <w:p w14:paraId="4D8646EA" w14:textId="730CC0CC" w:rsidR="000E7A5A" w:rsidRPr="0025033E" w:rsidRDefault="000E7A5A" w:rsidP="00ED5676">
      <w:pPr>
        <w:pStyle w:val="Brezrazmikov"/>
        <w:spacing w:line="276" w:lineRule="auto"/>
        <w:jc w:val="both"/>
        <w:rPr>
          <w:rFonts w:ascii="Arial" w:hAnsi="Arial" w:cs="Arial"/>
        </w:rPr>
      </w:pPr>
    </w:p>
    <w:p w14:paraId="76C7D4F1" w14:textId="35ED50FD" w:rsidR="000E7A5A" w:rsidRPr="0025033E" w:rsidRDefault="000E7A5A" w:rsidP="00ED5676">
      <w:pPr>
        <w:pStyle w:val="Brezrazmikov"/>
        <w:spacing w:line="276" w:lineRule="auto"/>
        <w:jc w:val="both"/>
        <w:rPr>
          <w:rFonts w:ascii="Arial" w:hAnsi="Arial" w:cs="Arial"/>
        </w:rPr>
      </w:pPr>
    </w:p>
    <w:p w14:paraId="6B411B75" w14:textId="25B90D26" w:rsidR="000E7A5A" w:rsidRPr="0025033E" w:rsidRDefault="000E7A5A" w:rsidP="00ED5676">
      <w:pPr>
        <w:pStyle w:val="Brezrazmikov"/>
        <w:spacing w:line="276" w:lineRule="auto"/>
        <w:jc w:val="both"/>
        <w:rPr>
          <w:rFonts w:ascii="Arial" w:hAnsi="Arial" w:cs="Arial"/>
        </w:rPr>
      </w:pPr>
    </w:p>
    <w:p w14:paraId="3BC745B9" w14:textId="42029358" w:rsidR="000E7A5A" w:rsidRPr="0025033E" w:rsidRDefault="000E7A5A" w:rsidP="00ED5676">
      <w:pPr>
        <w:pStyle w:val="Brezrazmikov"/>
        <w:spacing w:line="276" w:lineRule="auto"/>
        <w:jc w:val="both"/>
        <w:rPr>
          <w:rFonts w:ascii="Arial" w:hAnsi="Arial" w:cs="Arial"/>
        </w:rPr>
      </w:pPr>
    </w:p>
    <w:p w14:paraId="66CAAB89" w14:textId="43ABFE1D" w:rsidR="000E7A5A" w:rsidRPr="0025033E" w:rsidRDefault="000E7A5A" w:rsidP="00ED5676">
      <w:pPr>
        <w:pStyle w:val="Brezrazmikov"/>
        <w:spacing w:line="276" w:lineRule="auto"/>
        <w:jc w:val="both"/>
        <w:rPr>
          <w:rFonts w:ascii="Arial" w:hAnsi="Arial" w:cs="Arial"/>
        </w:rPr>
      </w:pPr>
    </w:p>
    <w:p w14:paraId="0823A51A" w14:textId="01999F31" w:rsidR="000E7A5A" w:rsidRPr="0025033E" w:rsidRDefault="000E7A5A" w:rsidP="00ED5676">
      <w:pPr>
        <w:pStyle w:val="Brezrazmikov"/>
        <w:spacing w:line="276" w:lineRule="auto"/>
        <w:jc w:val="both"/>
        <w:rPr>
          <w:rFonts w:ascii="Arial" w:hAnsi="Arial" w:cs="Arial"/>
        </w:rPr>
      </w:pPr>
    </w:p>
    <w:p w14:paraId="5A81935C" w14:textId="77777777" w:rsidR="000E7A5A" w:rsidRPr="0025033E" w:rsidRDefault="000E7A5A" w:rsidP="00ED5676">
      <w:pPr>
        <w:pStyle w:val="Brezrazmikov"/>
        <w:spacing w:line="276" w:lineRule="auto"/>
        <w:jc w:val="both"/>
        <w:rPr>
          <w:rFonts w:ascii="Arial" w:hAnsi="Arial" w:cs="Arial"/>
        </w:rPr>
      </w:pPr>
    </w:p>
    <w:p w14:paraId="37FF241D" w14:textId="77777777" w:rsidR="000E7A5A" w:rsidRPr="0025033E" w:rsidRDefault="000E7A5A" w:rsidP="00ED5676">
      <w:pPr>
        <w:pStyle w:val="Brezrazmikov"/>
        <w:spacing w:line="276" w:lineRule="auto"/>
        <w:jc w:val="both"/>
        <w:rPr>
          <w:rFonts w:ascii="Arial" w:hAnsi="Arial" w:cs="Arial"/>
        </w:rPr>
      </w:pPr>
    </w:p>
    <w:p w14:paraId="52193165" w14:textId="66BC7905" w:rsidR="000E7A5A" w:rsidRPr="0025033E" w:rsidRDefault="000E7A5A" w:rsidP="00ED5676">
      <w:pPr>
        <w:pStyle w:val="Brezrazmikov"/>
        <w:spacing w:line="276" w:lineRule="auto"/>
        <w:jc w:val="both"/>
        <w:rPr>
          <w:rFonts w:ascii="Arial" w:hAnsi="Arial" w:cs="Arial"/>
        </w:rPr>
      </w:pPr>
    </w:p>
    <w:p w14:paraId="2B88C6C2" w14:textId="6AF15056" w:rsidR="000E7A5A" w:rsidRPr="0025033E" w:rsidRDefault="00DD4DFA" w:rsidP="00ED5676">
      <w:pPr>
        <w:pStyle w:val="Brezrazmikov"/>
        <w:spacing w:line="276" w:lineRule="auto"/>
        <w:jc w:val="both"/>
        <w:rPr>
          <w:rFonts w:ascii="Arial" w:hAnsi="Arial" w:cs="Arial"/>
        </w:rPr>
      </w:pPr>
      <w:r w:rsidRPr="0025033E">
        <w:rPr>
          <w:rFonts w:ascii="Arial" w:hAnsi="Arial" w:cs="Arial"/>
          <w:noProof/>
          <w:sz w:val="22"/>
          <w:szCs w:val="22"/>
        </w:rPr>
        <w:drawing>
          <wp:anchor distT="0" distB="0" distL="114300" distR="114300" simplePos="0" relativeHeight="251658243" behindDoc="1" locked="0" layoutInCell="1" allowOverlap="1" wp14:anchorId="0E3C11B6" wp14:editId="75E4D7BD">
            <wp:simplePos x="0" y="0"/>
            <wp:positionH relativeFrom="column">
              <wp:posOffset>1868214</wp:posOffset>
            </wp:positionH>
            <wp:positionV relativeFrom="paragraph">
              <wp:posOffset>970088</wp:posOffset>
            </wp:positionV>
            <wp:extent cx="2286635" cy="1106170"/>
            <wp:effectExtent l="0" t="0" r="0" b="0"/>
            <wp:wrapNone/>
            <wp:docPr id="99"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Slika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635" cy="110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071" w:rsidRPr="0025033E">
        <w:rPr>
          <w:rFonts w:ascii="Arial" w:hAnsi="Arial" w:cs="Arial"/>
          <w:noProof/>
        </w:rPr>
        <w:drawing>
          <wp:inline distT="0" distB="0" distL="0" distR="0" wp14:anchorId="2FA14B55" wp14:editId="78F23E83">
            <wp:extent cx="904871" cy="904871"/>
            <wp:effectExtent l="0" t="0" r="0" b="0"/>
            <wp:docPr id="241230276" name="Slik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1230276" name="Slika 3">
                      <a:extLst>
                        <a:ext uri="{C183D7F6-B498-43B3-948B-1728B52AA6E4}">
                          <adec:decorative xmlns:adec="http://schemas.microsoft.com/office/drawing/2017/decorative" val="1"/>
                        </a:ext>
                      </a:extLst>
                    </pic:cNvPr>
                    <pic:cNvPicPr/>
                  </pic:nvPicPr>
                  <pic:blipFill>
                    <a:blip r:embed="rId11"/>
                    <a:stretch>
                      <a:fillRect/>
                    </a:stretch>
                  </pic:blipFill>
                  <pic:spPr>
                    <a:xfrm>
                      <a:off x="0" y="0"/>
                      <a:ext cx="904871" cy="904871"/>
                    </a:xfrm>
                    <a:prstGeom prst="rect">
                      <a:avLst/>
                    </a:prstGeom>
                    <a:noFill/>
                    <a:ln>
                      <a:noFill/>
                      <a:prstDash/>
                    </a:ln>
                  </pic:spPr>
                </pic:pic>
              </a:graphicData>
            </a:graphic>
          </wp:inline>
        </w:drawing>
      </w:r>
      <w:r w:rsidR="00306071" w:rsidRPr="0025033E">
        <w:rPr>
          <w:rFonts w:ascii="Arial" w:hAnsi="Arial" w:cs="Arial"/>
        </w:rPr>
        <w:t xml:space="preserve">  </w:t>
      </w:r>
      <w:r w:rsidR="00306071" w:rsidRPr="0025033E">
        <w:rPr>
          <w:rFonts w:ascii="Arial" w:hAnsi="Arial" w:cs="Arial"/>
          <w:noProof/>
        </w:rPr>
        <w:drawing>
          <wp:inline distT="0" distB="0" distL="0" distR="0" wp14:anchorId="2A53F837" wp14:editId="64864E66">
            <wp:extent cx="895353" cy="895353"/>
            <wp:effectExtent l="0" t="0" r="0" b="0"/>
            <wp:docPr id="1489299457" name="Slik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89299457" name="Slika 7">
                      <a:extLst>
                        <a:ext uri="{C183D7F6-B498-43B3-948B-1728B52AA6E4}">
                          <adec:decorative xmlns:adec="http://schemas.microsoft.com/office/drawing/2017/decorative" val="1"/>
                        </a:ext>
                      </a:extLst>
                    </pic:cNvPr>
                    <pic:cNvPicPr/>
                  </pic:nvPicPr>
                  <pic:blipFill>
                    <a:blip r:embed="rId12"/>
                    <a:stretch>
                      <a:fillRect/>
                    </a:stretch>
                  </pic:blipFill>
                  <pic:spPr>
                    <a:xfrm>
                      <a:off x="0" y="0"/>
                      <a:ext cx="895353" cy="895353"/>
                    </a:xfrm>
                    <a:prstGeom prst="rect">
                      <a:avLst/>
                    </a:prstGeom>
                    <a:noFill/>
                    <a:ln>
                      <a:noFill/>
                      <a:prstDash/>
                    </a:ln>
                  </pic:spPr>
                </pic:pic>
              </a:graphicData>
            </a:graphic>
          </wp:inline>
        </w:drawing>
      </w:r>
      <w:r w:rsidR="00306071" w:rsidRPr="0025033E">
        <w:rPr>
          <w:rFonts w:ascii="Arial" w:hAnsi="Arial" w:cs="Arial"/>
        </w:rPr>
        <w:t xml:space="preserve">  </w:t>
      </w:r>
      <w:r w:rsidR="00306071" w:rsidRPr="0025033E">
        <w:rPr>
          <w:rFonts w:ascii="Arial" w:hAnsi="Arial" w:cs="Arial"/>
          <w:noProof/>
        </w:rPr>
        <w:drawing>
          <wp:inline distT="0" distB="0" distL="0" distR="0" wp14:anchorId="501558B5" wp14:editId="0F7A8C4E">
            <wp:extent cx="952503" cy="952503"/>
            <wp:effectExtent l="0" t="0" r="0" b="0"/>
            <wp:docPr id="663338797" name="Slik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63338797" name="Slika 3">
                      <a:extLst>
                        <a:ext uri="{C183D7F6-B498-43B3-948B-1728B52AA6E4}">
                          <adec:decorative xmlns:adec="http://schemas.microsoft.com/office/drawing/2017/decorative" val="1"/>
                        </a:ext>
                      </a:extLst>
                    </pic:cNvPr>
                    <pic:cNvPicPr/>
                  </pic:nvPicPr>
                  <pic:blipFill>
                    <a:blip r:embed="rId13"/>
                    <a:stretch>
                      <a:fillRect/>
                    </a:stretch>
                  </pic:blipFill>
                  <pic:spPr>
                    <a:xfrm>
                      <a:off x="0" y="0"/>
                      <a:ext cx="952503" cy="952503"/>
                    </a:xfrm>
                    <a:prstGeom prst="rect">
                      <a:avLst/>
                    </a:prstGeom>
                    <a:noFill/>
                    <a:ln>
                      <a:noFill/>
                      <a:prstDash/>
                    </a:ln>
                  </pic:spPr>
                </pic:pic>
              </a:graphicData>
            </a:graphic>
          </wp:inline>
        </w:drawing>
      </w:r>
      <w:r w:rsidR="00306071" w:rsidRPr="0025033E">
        <w:rPr>
          <w:rFonts w:ascii="Arial" w:hAnsi="Arial" w:cs="Arial"/>
        </w:rPr>
        <w:t xml:space="preserve">  </w:t>
      </w:r>
      <w:r w:rsidR="00306071" w:rsidRPr="0025033E">
        <w:rPr>
          <w:rFonts w:ascii="Arial" w:hAnsi="Arial" w:cs="Arial"/>
          <w:noProof/>
        </w:rPr>
        <w:drawing>
          <wp:inline distT="0" distB="0" distL="0" distR="0" wp14:anchorId="35E57D06" wp14:editId="6B65395E">
            <wp:extent cx="914400" cy="914400"/>
            <wp:effectExtent l="0" t="0" r="0" b="0"/>
            <wp:docPr id="1187780790" name="Slik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87780790" name="Slika 8">
                      <a:extLst>
                        <a:ext uri="{C183D7F6-B498-43B3-948B-1728B52AA6E4}">
                          <adec:decorative xmlns:adec="http://schemas.microsoft.com/office/drawing/2017/decorative" val="1"/>
                        </a:ext>
                      </a:extLst>
                    </pic:cNvPr>
                    <pic:cNvPicPr/>
                  </pic:nvPicPr>
                  <pic:blipFill>
                    <a:blip r:embed="rId14"/>
                    <a:stretch>
                      <a:fillRect/>
                    </a:stretch>
                  </pic:blipFill>
                  <pic:spPr>
                    <a:xfrm>
                      <a:off x="0" y="0"/>
                      <a:ext cx="914400" cy="914400"/>
                    </a:xfrm>
                    <a:prstGeom prst="rect">
                      <a:avLst/>
                    </a:prstGeom>
                    <a:noFill/>
                    <a:ln>
                      <a:noFill/>
                      <a:prstDash/>
                    </a:ln>
                  </pic:spPr>
                </pic:pic>
              </a:graphicData>
            </a:graphic>
          </wp:inline>
        </w:drawing>
      </w:r>
      <w:r w:rsidR="00306071" w:rsidRPr="0025033E">
        <w:rPr>
          <w:rFonts w:ascii="Arial" w:hAnsi="Arial" w:cs="Arial"/>
        </w:rPr>
        <w:t xml:space="preserve">  </w:t>
      </w:r>
      <w:r w:rsidR="00306071" w:rsidRPr="0025033E">
        <w:rPr>
          <w:rFonts w:ascii="Arial" w:hAnsi="Arial" w:cs="Arial"/>
          <w:noProof/>
        </w:rPr>
        <w:drawing>
          <wp:inline distT="0" distB="0" distL="0" distR="0" wp14:anchorId="7B43B3A4" wp14:editId="2556AB5C">
            <wp:extent cx="914400" cy="914400"/>
            <wp:effectExtent l="0" t="0" r="0" b="0"/>
            <wp:docPr id="1453515604" name="Slik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53515604" name="Slika 5">
                      <a:extLst>
                        <a:ext uri="{C183D7F6-B498-43B3-948B-1728B52AA6E4}">
                          <adec:decorative xmlns:adec="http://schemas.microsoft.com/office/drawing/2017/decorative" val="1"/>
                        </a:ext>
                      </a:extLst>
                    </pic:cNvPr>
                    <pic:cNvPicPr/>
                  </pic:nvPicPr>
                  <pic:blipFill>
                    <a:blip r:embed="rId15"/>
                    <a:stretch>
                      <a:fillRect/>
                    </a:stretch>
                  </pic:blipFill>
                  <pic:spPr>
                    <a:xfrm>
                      <a:off x="0" y="0"/>
                      <a:ext cx="914400" cy="914400"/>
                    </a:xfrm>
                    <a:prstGeom prst="rect">
                      <a:avLst/>
                    </a:prstGeom>
                    <a:noFill/>
                    <a:ln>
                      <a:noFill/>
                      <a:prstDash/>
                    </a:ln>
                  </pic:spPr>
                </pic:pic>
              </a:graphicData>
            </a:graphic>
          </wp:inline>
        </w:drawing>
      </w:r>
      <w:r w:rsidR="00306071" w:rsidRPr="0025033E">
        <w:rPr>
          <w:rFonts w:ascii="Arial" w:hAnsi="Arial" w:cs="Arial"/>
        </w:rPr>
        <w:t xml:space="preserve">  </w:t>
      </w:r>
      <w:r w:rsidR="00306071" w:rsidRPr="0025033E">
        <w:rPr>
          <w:rFonts w:ascii="Arial" w:hAnsi="Arial" w:cs="Arial"/>
          <w:noProof/>
        </w:rPr>
        <w:drawing>
          <wp:inline distT="0" distB="0" distL="0" distR="0" wp14:anchorId="59C9D53B" wp14:editId="08F8A498">
            <wp:extent cx="790571" cy="790571"/>
            <wp:effectExtent l="0" t="0" r="0" b="0"/>
            <wp:docPr id="300732731" name="Slik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00732731" name="Slika 6">
                      <a:extLst>
                        <a:ext uri="{C183D7F6-B498-43B3-948B-1728B52AA6E4}">
                          <adec:decorative xmlns:adec="http://schemas.microsoft.com/office/drawing/2017/decorative" val="1"/>
                        </a:ext>
                      </a:extLst>
                    </pic:cNvPr>
                    <pic:cNvPicPr/>
                  </pic:nvPicPr>
                  <pic:blipFill>
                    <a:blip r:embed="rId16"/>
                    <a:stretch>
                      <a:fillRect/>
                    </a:stretch>
                  </pic:blipFill>
                  <pic:spPr>
                    <a:xfrm>
                      <a:off x="0" y="0"/>
                      <a:ext cx="790571" cy="790571"/>
                    </a:xfrm>
                    <a:prstGeom prst="rect">
                      <a:avLst/>
                    </a:prstGeom>
                    <a:noFill/>
                    <a:ln>
                      <a:noFill/>
                      <a:prstDash/>
                    </a:ln>
                  </pic:spPr>
                </pic:pic>
              </a:graphicData>
            </a:graphic>
          </wp:inline>
        </w:drawing>
      </w:r>
    </w:p>
    <w:p w14:paraId="393DDCDD" w14:textId="57FCA139" w:rsidR="000E7A5A" w:rsidRPr="0025033E" w:rsidRDefault="000E7A5A" w:rsidP="00ED5676">
      <w:pPr>
        <w:pStyle w:val="Brezrazmikov"/>
        <w:spacing w:line="276" w:lineRule="auto"/>
        <w:jc w:val="both"/>
        <w:rPr>
          <w:rFonts w:ascii="Arial" w:hAnsi="Arial" w:cs="Arial"/>
        </w:rPr>
      </w:pPr>
    </w:p>
    <w:p w14:paraId="154EE2B4" w14:textId="6AD79345" w:rsidR="000E7A5A" w:rsidRPr="0025033E" w:rsidRDefault="000E7A5A" w:rsidP="00ED5676">
      <w:pPr>
        <w:spacing w:line="276" w:lineRule="auto"/>
        <w:jc w:val="both"/>
        <w:rPr>
          <w:rFonts w:cs="Arial"/>
        </w:rPr>
      </w:pPr>
    </w:p>
    <w:p w14:paraId="0E5BD3C2" w14:textId="0C43EE3B" w:rsidR="000E7A5A" w:rsidRPr="0025033E" w:rsidRDefault="000E7A5A" w:rsidP="00ED5676">
      <w:pPr>
        <w:spacing w:line="276" w:lineRule="auto"/>
        <w:jc w:val="both"/>
        <w:rPr>
          <w:rFonts w:cs="Arial"/>
        </w:rPr>
      </w:pPr>
    </w:p>
    <w:p w14:paraId="73D76E13" w14:textId="60E0EB00" w:rsidR="000E7A5A" w:rsidRPr="0025033E" w:rsidRDefault="000E7A5A" w:rsidP="00ED5676">
      <w:pPr>
        <w:spacing w:line="276" w:lineRule="auto"/>
        <w:jc w:val="both"/>
        <w:rPr>
          <w:rFonts w:cs="Arial"/>
        </w:rPr>
      </w:pPr>
    </w:p>
    <w:p w14:paraId="2AA6BC60" w14:textId="01B712C5" w:rsidR="000E7A5A" w:rsidRPr="0025033E" w:rsidRDefault="000E7A5A" w:rsidP="00ED5676">
      <w:pPr>
        <w:spacing w:line="276" w:lineRule="auto"/>
        <w:jc w:val="both"/>
        <w:rPr>
          <w:rFonts w:cs="Arial"/>
        </w:rPr>
      </w:pPr>
    </w:p>
    <w:p w14:paraId="0324E936" w14:textId="77777777" w:rsidR="005A12CC" w:rsidRPr="0025033E" w:rsidRDefault="005A12CC" w:rsidP="00ED5676">
      <w:pPr>
        <w:jc w:val="both"/>
        <w:rPr>
          <w:rFonts w:cs="Arial"/>
        </w:rPr>
        <w:sectPr w:rsidR="005A12CC" w:rsidRPr="0025033E">
          <w:headerReference w:type="default" r:id="rId17"/>
          <w:footerReference w:type="default" r:id="rId18"/>
          <w:pgSz w:w="11906" w:h="16838"/>
          <w:pgMar w:top="1418" w:right="1418" w:bottom="1418" w:left="1418" w:header="709" w:footer="709" w:gutter="0"/>
          <w:cols w:space="708"/>
        </w:sectPr>
      </w:pPr>
      <w:bookmarkStart w:id="0" w:name="_Toc18664632"/>
      <w:bookmarkStart w:id="1" w:name="_Toc18666773"/>
      <w:bookmarkStart w:id="2" w:name="_Toc18666848"/>
      <w:bookmarkStart w:id="3" w:name="_Toc18671904"/>
    </w:p>
    <w:p w14:paraId="6F560011" w14:textId="6A984322" w:rsidR="00E9688F" w:rsidRDefault="00E9688F" w:rsidP="0030659F">
      <w:pPr>
        <w:pStyle w:val="Kazalovsebine1"/>
        <w:tabs>
          <w:tab w:val="left" w:pos="400"/>
          <w:tab w:val="right" w:leader="dot" w:pos="9060"/>
        </w:tabs>
        <w:spacing w:after="0"/>
        <w:jc w:val="both"/>
        <w:rPr>
          <w:rFonts w:ascii="Arial" w:hAnsi="Arial" w:cs="Arial"/>
          <w:b w:val="0"/>
          <w:caps w:val="0"/>
          <w:color w:val="4472C4" w:themeColor="accent1"/>
          <w:sz w:val="24"/>
          <w:szCs w:val="28"/>
        </w:rPr>
      </w:pPr>
      <w:bookmarkStart w:id="4" w:name="_Toc187758246"/>
      <w:bookmarkStart w:id="5" w:name="_Toc187753546"/>
      <w:bookmarkStart w:id="6" w:name="_Toc187740756"/>
      <w:bookmarkStart w:id="7" w:name="_Toc187741101"/>
      <w:bookmarkStart w:id="8" w:name="_Toc187741204"/>
      <w:bookmarkStart w:id="9" w:name="_Toc187742663"/>
      <w:bookmarkStart w:id="10" w:name="_Toc187742723"/>
      <w:bookmarkStart w:id="11" w:name="_Toc187817961"/>
      <w:r w:rsidRPr="006A0AC2">
        <w:rPr>
          <w:rFonts w:ascii="Arial" w:hAnsi="Arial" w:cs="Arial"/>
          <w:b w:val="0"/>
          <w:caps w:val="0"/>
          <w:color w:val="4472C4" w:themeColor="accent1"/>
          <w:sz w:val="24"/>
          <w:szCs w:val="28"/>
        </w:rPr>
        <w:lastRenderedPageBreak/>
        <w:t>KAZALO VSEBINE</w:t>
      </w:r>
    </w:p>
    <w:bookmarkEnd w:id="4"/>
    <w:bookmarkEnd w:id="5"/>
    <w:bookmarkEnd w:id="6"/>
    <w:bookmarkEnd w:id="7"/>
    <w:bookmarkEnd w:id="8"/>
    <w:bookmarkEnd w:id="9"/>
    <w:bookmarkEnd w:id="10"/>
    <w:bookmarkEnd w:id="11"/>
    <w:p w14:paraId="3617753E" w14:textId="77777777" w:rsidR="0030659F" w:rsidRPr="0030659F" w:rsidRDefault="0030659F" w:rsidP="0030659F">
      <w:pPr>
        <w:spacing w:after="0"/>
      </w:pPr>
    </w:p>
    <w:sdt>
      <w:sdtPr>
        <w:rPr>
          <w:rFonts w:ascii="Arial" w:hAnsi="Arial" w:cs="Arial"/>
          <w:b w:val="0"/>
          <w:bCs w:val="0"/>
          <w:caps w:val="0"/>
        </w:rPr>
        <w:id w:val="-1647733943"/>
        <w:docPartObj>
          <w:docPartGallery w:val="Table of Contents"/>
          <w:docPartUnique/>
        </w:docPartObj>
      </w:sdtPr>
      <w:sdtEndPr>
        <w:rPr>
          <w:b/>
          <w:bCs/>
          <w:caps/>
        </w:rPr>
      </w:sdtEndPr>
      <w:sdtContent>
        <w:p w14:paraId="51489C8A" w14:textId="4A1522F2" w:rsidR="0099175C" w:rsidRPr="00790095" w:rsidRDefault="00E9688F" w:rsidP="0099175C">
          <w:pPr>
            <w:pStyle w:val="Kazalovsebine1"/>
            <w:tabs>
              <w:tab w:val="left" w:pos="400"/>
              <w:tab w:val="right" w:leader="dot" w:pos="9060"/>
            </w:tabs>
            <w:spacing w:before="0" w:after="0"/>
            <w:jc w:val="both"/>
            <w:rPr>
              <w:rFonts w:ascii="Arial" w:eastAsiaTheme="minorEastAsia" w:hAnsi="Arial" w:cs="Arial"/>
              <w:b w:val="0"/>
              <w:caps w:val="0"/>
              <w:noProof/>
              <w:kern w:val="2"/>
              <w:sz w:val="24"/>
              <w:szCs w:val="24"/>
              <w14:ligatures w14:val="standardContextual"/>
            </w:rPr>
          </w:pPr>
          <w:r w:rsidRPr="00790095">
            <w:rPr>
              <w:rFonts w:ascii="Arial" w:hAnsi="Arial" w:cs="Arial"/>
              <w:b w:val="0"/>
              <w:lang w:eastAsia="zh-CN"/>
            </w:rPr>
            <w:fldChar w:fldCharType="begin"/>
          </w:r>
          <w:r w:rsidRPr="00790095">
            <w:rPr>
              <w:rFonts w:ascii="Arial" w:hAnsi="Arial" w:cs="Arial"/>
              <w:b w:val="0"/>
              <w:lang w:eastAsia="zh-CN"/>
            </w:rPr>
            <w:instrText xml:space="preserve"> TOC \o "1-3" \u </w:instrText>
          </w:r>
          <w:r w:rsidRPr="00790095">
            <w:rPr>
              <w:rFonts w:ascii="Arial" w:hAnsi="Arial" w:cs="Arial"/>
              <w:b w:val="0"/>
              <w:lang w:eastAsia="zh-CN"/>
            </w:rPr>
            <w:fldChar w:fldCharType="separate"/>
          </w:r>
          <w:r w:rsidR="0099175C" w:rsidRPr="00790095">
            <w:rPr>
              <w:rFonts w:ascii="Arial" w:hAnsi="Arial" w:cs="Arial"/>
              <w:b w:val="0"/>
              <w:noProof/>
            </w:rPr>
            <w:t>1</w:t>
          </w:r>
          <w:r w:rsidR="0099175C" w:rsidRPr="00790095">
            <w:rPr>
              <w:rFonts w:ascii="Arial" w:eastAsiaTheme="minorEastAsia" w:hAnsi="Arial" w:cs="Arial"/>
              <w:b w:val="0"/>
              <w:caps w:val="0"/>
              <w:noProof/>
              <w:kern w:val="2"/>
              <w:sz w:val="24"/>
              <w:szCs w:val="24"/>
              <w14:ligatures w14:val="standardContextual"/>
            </w:rPr>
            <w:tab/>
          </w:r>
          <w:r w:rsidR="0099175C" w:rsidRPr="00790095">
            <w:rPr>
              <w:rFonts w:ascii="Arial" w:hAnsi="Arial" w:cs="Arial"/>
              <w:b w:val="0"/>
              <w:noProof/>
            </w:rPr>
            <w:t>UVOD</w:t>
          </w:r>
          <w:r w:rsidR="0099175C" w:rsidRPr="00790095">
            <w:rPr>
              <w:rFonts w:ascii="Arial" w:hAnsi="Arial" w:cs="Arial"/>
              <w:b w:val="0"/>
              <w:noProof/>
            </w:rPr>
            <w:tab/>
          </w:r>
          <w:r w:rsidR="0099175C" w:rsidRPr="00790095">
            <w:rPr>
              <w:rFonts w:ascii="Arial" w:hAnsi="Arial" w:cs="Arial"/>
              <w:b w:val="0"/>
              <w:noProof/>
            </w:rPr>
            <w:fldChar w:fldCharType="begin"/>
          </w:r>
          <w:r w:rsidR="0099175C" w:rsidRPr="00790095">
            <w:rPr>
              <w:rFonts w:ascii="Arial" w:hAnsi="Arial" w:cs="Arial"/>
              <w:b w:val="0"/>
              <w:noProof/>
            </w:rPr>
            <w:instrText xml:space="preserve"> PAGEREF _Toc191460211 \h </w:instrText>
          </w:r>
          <w:r w:rsidR="0099175C" w:rsidRPr="00790095">
            <w:rPr>
              <w:rFonts w:ascii="Arial" w:hAnsi="Arial" w:cs="Arial"/>
              <w:b w:val="0"/>
              <w:noProof/>
            </w:rPr>
          </w:r>
          <w:r w:rsidR="0099175C" w:rsidRPr="00790095">
            <w:rPr>
              <w:rFonts w:ascii="Arial" w:hAnsi="Arial" w:cs="Arial"/>
              <w:b w:val="0"/>
              <w:noProof/>
            </w:rPr>
            <w:fldChar w:fldCharType="separate"/>
          </w:r>
          <w:r w:rsidR="0099175C" w:rsidRPr="00790095">
            <w:rPr>
              <w:rFonts w:ascii="Arial" w:hAnsi="Arial" w:cs="Arial"/>
              <w:b w:val="0"/>
              <w:noProof/>
            </w:rPr>
            <w:t>2</w:t>
          </w:r>
          <w:r w:rsidR="0099175C" w:rsidRPr="00790095">
            <w:rPr>
              <w:rFonts w:ascii="Arial" w:hAnsi="Arial" w:cs="Arial"/>
              <w:b w:val="0"/>
              <w:noProof/>
            </w:rPr>
            <w:fldChar w:fldCharType="end"/>
          </w:r>
        </w:p>
        <w:p w14:paraId="69AA44E7" w14:textId="6B47F6D0" w:rsidR="0099175C" w:rsidRPr="00790095" w:rsidRDefault="0099175C" w:rsidP="0099175C">
          <w:pPr>
            <w:pStyle w:val="Kazalovsebine1"/>
            <w:tabs>
              <w:tab w:val="left" w:pos="400"/>
              <w:tab w:val="right" w:leader="dot" w:pos="9060"/>
            </w:tabs>
            <w:spacing w:before="0" w:after="0"/>
            <w:jc w:val="both"/>
            <w:rPr>
              <w:rFonts w:ascii="Arial" w:eastAsiaTheme="minorEastAsia" w:hAnsi="Arial" w:cs="Arial"/>
              <w:b w:val="0"/>
              <w:caps w:val="0"/>
              <w:noProof/>
              <w:kern w:val="2"/>
              <w:sz w:val="24"/>
              <w:szCs w:val="24"/>
              <w14:ligatures w14:val="standardContextual"/>
            </w:rPr>
          </w:pPr>
          <w:r w:rsidRPr="00790095">
            <w:rPr>
              <w:rFonts w:ascii="Arial" w:hAnsi="Arial" w:cs="Arial"/>
              <w:b w:val="0"/>
              <w:noProof/>
            </w:rPr>
            <w:t>2</w:t>
          </w:r>
          <w:r w:rsidRPr="00790095">
            <w:rPr>
              <w:rFonts w:ascii="Arial" w:eastAsiaTheme="minorEastAsia" w:hAnsi="Arial" w:cs="Arial"/>
              <w:b w:val="0"/>
              <w:caps w:val="0"/>
              <w:noProof/>
              <w:kern w:val="2"/>
              <w:sz w:val="24"/>
              <w:szCs w:val="24"/>
              <w14:ligatures w14:val="standardContextual"/>
            </w:rPr>
            <w:tab/>
          </w:r>
          <w:r w:rsidRPr="00790095">
            <w:rPr>
              <w:rFonts w:ascii="Arial" w:hAnsi="Arial" w:cs="Arial"/>
              <w:b w:val="0"/>
              <w:caps w:val="0"/>
              <w:noProof/>
            </w:rPr>
            <w:t>PROGRAMSKO OBDOBJE 2014–2020: AKTUALNO STANJE IN GLAVNE AKTIVNOSTI V DRUGEM POLLETJU LETA 2024</w:t>
          </w:r>
          <w:r w:rsidRPr="00790095">
            <w:rPr>
              <w:rFonts w:ascii="Arial" w:hAnsi="Arial" w:cs="Arial"/>
              <w:b w:val="0"/>
              <w:noProof/>
            </w:rPr>
            <w:tab/>
          </w:r>
          <w:r w:rsidRPr="00790095">
            <w:rPr>
              <w:rFonts w:ascii="Arial" w:hAnsi="Arial" w:cs="Arial"/>
              <w:b w:val="0"/>
              <w:noProof/>
            </w:rPr>
            <w:fldChar w:fldCharType="begin"/>
          </w:r>
          <w:r w:rsidRPr="00790095">
            <w:rPr>
              <w:rFonts w:ascii="Arial" w:hAnsi="Arial" w:cs="Arial"/>
              <w:b w:val="0"/>
              <w:noProof/>
            </w:rPr>
            <w:instrText xml:space="preserve"> PAGEREF _Toc191460212 \h </w:instrText>
          </w:r>
          <w:r w:rsidRPr="00790095">
            <w:rPr>
              <w:rFonts w:ascii="Arial" w:hAnsi="Arial" w:cs="Arial"/>
              <w:b w:val="0"/>
              <w:noProof/>
            </w:rPr>
          </w:r>
          <w:r w:rsidRPr="00790095">
            <w:rPr>
              <w:rFonts w:ascii="Arial" w:hAnsi="Arial" w:cs="Arial"/>
              <w:b w:val="0"/>
              <w:noProof/>
            </w:rPr>
            <w:fldChar w:fldCharType="separate"/>
          </w:r>
          <w:r w:rsidRPr="00790095">
            <w:rPr>
              <w:rFonts w:ascii="Arial" w:hAnsi="Arial" w:cs="Arial"/>
              <w:b w:val="0"/>
              <w:noProof/>
            </w:rPr>
            <w:t>3</w:t>
          </w:r>
          <w:r w:rsidRPr="00790095">
            <w:rPr>
              <w:rFonts w:ascii="Arial" w:hAnsi="Arial" w:cs="Arial"/>
              <w:b w:val="0"/>
              <w:noProof/>
            </w:rPr>
            <w:fldChar w:fldCharType="end"/>
          </w:r>
        </w:p>
        <w:p w14:paraId="44224BE7" w14:textId="2EC88E7B" w:rsidR="0099175C" w:rsidRPr="00790095" w:rsidRDefault="0099175C" w:rsidP="0099175C">
          <w:pPr>
            <w:pStyle w:val="Kazalovsebine2"/>
            <w:tabs>
              <w:tab w:val="left" w:pos="800"/>
              <w:tab w:val="right" w:leader="dot" w:pos="9060"/>
            </w:tabs>
            <w:jc w:val="both"/>
            <w:rPr>
              <w:rFonts w:ascii="Arial" w:eastAsiaTheme="minorEastAsia" w:hAnsi="Arial" w:cs="Arial"/>
              <w:bCs/>
              <w:smallCaps w:val="0"/>
              <w:noProof/>
              <w:kern w:val="2"/>
              <w:sz w:val="24"/>
              <w:szCs w:val="24"/>
              <w14:ligatures w14:val="standardContextual"/>
            </w:rPr>
          </w:pPr>
          <w:r w:rsidRPr="00790095">
            <w:rPr>
              <w:rFonts w:ascii="Arial" w:hAnsi="Arial" w:cs="Arial"/>
              <w:bCs/>
              <w:noProof/>
            </w:rPr>
            <w:t>2.1</w:t>
          </w:r>
          <w:r w:rsidRPr="00790095">
            <w:rPr>
              <w:rFonts w:ascii="Arial" w:eastAsiaTheme="minorEastAsia" w:hAnsi="Arial" w:cs="Arial"/>
              <w:bCs/>
              <w:smallCaps w:val="0"/>
              <w:noProof/>
              <w:kern w:val="2"/>
              <w:sz w:val="24"/>
              <w:szCs w:val="24"/>
              <w14:ligatures w14:val="standardContextual"/>
            </w:rPr>
            <w:tab/>
          </w:r>
          <w:r w:rsidRPr="00790095">
            <w:rPr>
              <w:rFonts w:ascii="Arial" w:hAnsi="Arial" w:cs="Arial"/>
              <w:bCs/>
              <w:noProof/>
            </w:rPr>
            <w:t>STANJE IZVAJANJA OP EKP</w:t>
          </w:r>
          <w:r w:rsidRPr="00790095">
            <w:rPr>
              <w:rFonts w:ascii="Arial" w:hAnsi="Arial" w:cs="Arial"/>
              <w:bCs/>
              <w:noProof/>
            </w:rPr>
            <w:tab/>
          </w:r>
          <w:r w:rsidRPr="00790095">
            <w:rPr>
              <w:rFonts w:ascii="Arial" w:hAnsi="Arial" w:cs="Arial"/>
              <w:bCs/>
              <w:noProof/>
            </w:rPr>
            <w:fldChar w:fldCharType="begin"/>
          </w:r>
          <w:r w:rsidRPr="00790095">
            <w:rPr>
              <w:rFonts w:ascii="Arial" w:hAnsi="Arial" w:cs="Arial"/>
              <w:bCs/>
              <w:noProof/>
            </w:rPr>
            <w:instrText xml:space="preserve"> PAGEREF _Toc191460213 \h </w:instrText>
          </w:r>
          <w:r w:rsidRPr="00790095">
            <w:rPr>
              <w:rFonts w:ascii="Arial" w:hAnsi="Arial" w:cs="Arial"/>
              <w:bCs/>
              <w:noProof/>
            </w:rPr>
          </w:r>
          <w:r w:rsidRPr="00790095">
            <w:rPr>
              <w:rFonts w:ascii="Arial" w:hAnsi="Arial" w:cs="Arial"/>
              <w:bCs/>
              <w:noProof/>
            </w:rPr>
            <w:fldChar w:fldCharType="separate"/>
          </w:r>
          <w:r w:rsidRPr="00790095">
            <w:rPr>
              <w:rFonts w:ascii="Arial" w:hAnsi="Arial" w:cs="Arial"/>
              <w:bCs/>
              <w:noProof/>
            </w:rPr>
            <w:t>3</w:t>
          </w:r>
          <w:r w:rsidRPr="00790095">
            <w:rPr>
              <w:rFonts w:ascii="Arial" w:hAnsi="Arial" w:cs="Arial"/>
              <w:bCs/>
              <w:noProof/>
            </w:rPr>
            <w:fldChar w:fldCharType="end"/>
          </w:r>
        </w:p>
        <w:p w14:paraId="72C6ABAA" w14:textId="3076AFC6" w:rsidR="0099175C" w:rsidRPr="00790095" w:rsidRDefault="0099175C" w:rsidP="0099175C">
          <w:pPr>
            <w:pStyle w:val="Kazalovsebine3"/>
            <w:tabs>
              <w:tab w:val="left" w:pos="1200"/>
              <w:tab w:val="right" w:leader="dot" w:pos="9060"/>
            </w:tabs>
            <w:jc w:val="both"/>
            <w:rPr>
              <w:rFonts w:ascii="Arial" w:eastAsiaTheme="minorEastAsia" w:hAnsi="Arial" w:cs="Arial"/>
              <w:bCs/>
              <w:i w:val="0"/>
              <w:iCs w:val="0"/>
              <w:noProof/>
              <w:kern w:val="2"/>
              <w:sz w:val="24"/>
              <w:szCs w:val="24"/>
              <w14:ligatures w14:val="standardContextual"/>
            </w:rPr>
          </w:pPr>
          <w:r w:rsidRPr="00790095">
            <w:rPr>
              <w:rFonts w:ascii="Arial" w:hAnsi="Arial" w:cs="Arial"/>
              <w:bCs/>
              <w:i w:val="0"/>
              <w:iCs w:val="0"/>
              <w:noProof/>
            </w:rPr>
            <w:t>2.1.1</w:t>
          </w:r>
          <w:r w:rsidRPr="00790095">
            <w:rPr>
              <w:rFonts w:ascii="Arial" w:eastAsiaTheme="minorEastAsia" w:hAnsi="Arial" w:cs="Arial"/>
              <w:bCs/>
              <w:i w:val="0"/>
              <w:iCs w:val="0"/>
              <w:noProof/>
              <w:kern w:val="2"/>
              <w:sz w:val="24"/>
              <w:szCs w:val="24"/>
              <w14:ligatures w14:val="standardContextual"/>
            </w:rPr>
            <w:tab/>
          </w:r>
          <w:r w:rsidRPr="00790095">
            <w:rPr>
              <w:rFonts w:ascii="Arial" w:hAnsi="Arial" w:cs="Arial"/>
              <w:bCs/>
              <w:i w:val="0"/>
              <w:iCs w:val="0"/>
              <w:noProof/>
            </w:rPr>
            <w:t>Zaključevanje operacij za obdobje 2014–2020</w:t>
          </w:r>
          <w:r w:rsidRPr="00790095">
            <w:rPr>
              <w:rFonts w:ascii="Arial" w:hAnsi="Arial" w:cs="Arial"/>
              <w:bCs/>
              <w:i w:val="0"/>
              <w:iCs w:val="0"/>
              <w:noProof/>
            </w:rPr>
            <w:tab/>
          </w:r>
          <w:r w:rsidRPr="00790095">
            <w:rPr>
              <w:rFonts w:ascii="Arial" w:hAnsi="Arial" w:cs="Arial"/>
              <w:bCs/>
              <w:i w:val="0"/>
              <w:iCs w:val="0"/>
              <w:noProof/>
            </w:rPr>
            <w:fldChar w:fldCharType="begin"/>
          </w:r>
          <w:r w:rsidRPr="00790095">
            <w:rPr>
              <w:rFonts w:ascii="Arial" w:hAnsi="Arial" w:cs="Arial"/>
              <w:bCs/>
              <w:i w:val="0"/>
              <w:iCs w:val="0"/>
              <w:noProof/>
            </w:rPr>
            <w:instrText xml:space="preserve"> PAGEREF _Toc191460214 \h </w:instrText>
          </w:r>
          <w:r w:rsidRPr="00790095">
            <w:rPr>
              <w:rFonts w:ascii="Arial" w:hAnsi="Arial" w:cs="Arial"/>
              <w:bCs/>
              <w:i w:val="0"/>
              <w:iCs w:val="0"/>
              <w:noProof/>
            </w:rPr>
          </w:r>
          <w:r w:rsidRPr="00790095">
            <w:rPr>
              <w:rFonts w:ascii="Arial" w:hAnsi="Arial" w:cs="Arial"/>
              <w:bCs/>
              <w:i w:val="0"/>
              <w:iCs w:val="0"/>
              <w:noProof/>
            </w:rPr>
            <w:fldChar w:fldCharType="separate"/>
          </w:r>
          <w:r w:rsidRPr="00790095">
            <w:rPr>
              <w:rFonts w:ascii="Arial" w:hAnsi="Arial" w:cs="Arial"/>
              <w:bCs/>
              <w:i w:val="0"/>
              <w:iCs w:val="0"/>
              <w:noProof/>
            </w:rPr>
            <w:t>9</w:t>
          </w:r>
          <w:r w:rsidRPr="00790095">
            <w:rPr>
              <w:rFonts w:ascii="Arial" w:hAnsi="Arial" w:cs="Arial"/>
              <w:bCs/>
              <w:i w:val="0"/>
              <w:iCs w:val="0"/>
              <w:noProof/>
            </w:rPr>
            <w:fldChar w:fldCharType="end"/>
          </w:r>
        </w:p>
        <w:p w14:paraId="4AB4954A" w14:textId="59D8C7EC" w:rsidR="0099175C" w:rsidRPr="00790095" w:rsidRDefault="0099175C" w:rsidP="0099175C">
          <w:pPr>
            <w:pStyle w:val="Kazalovsebine1"/>
            <w:tabs>
              <w:tab w:val="left" w:pos="400"/>
              <w:tab w:val="right" w:leader="dot" w:pos="9060"/>
            </w:tabs>
            <w:spacing w:before="0" w:after="0"/>
            <w:jc w:val="both"/>
            <w:rPr>
              <w:rFonts w:ascii="Arial" w:eastAsiaTheme="minorEastAsia" w:hAnsi="Arial" w:cs="Arial"/>
              <w:b w:val="0"/>
              <w:caps w:val="0"/>
              <w:noProof/>
              <w:kern w:val="2"/>
              <w:sz w:val="24"/>
              <w:szCs w:val="24"/>
              <w14:ligatures w14:val="standardContextual"/>
            </w:rPr>
          </w:pPr>
          <w:r w:rsidRPr="00790095">
            <w:rPr>
              <w:rFonts w:ascii="Arial" w:hAnsi="Arial" w:cs="Arial"/>
              <w:b w:val="0"/>
              <w:noProof/>
            </w:rPr>
            <w:t>3</w:t>
          </w:r>
          <w:r w:rsidRPr="00790095">
            <w:rPr>
              <w:rFonts w:ascii="Arial" w:eastAsiaTheme="minorEastAsia" w:hAnsi="Arial" w:cs="Arial"/>
              <w:b w:val="0"/>
              <w:caps w:val="0"/>
              <w:noProof/>
              <w:kern w:val="2"/>
              <w:sz w:val="24"/>
              <w:szCs w:val="24"/>
              <w14:ligatures w14:val="standardContextual"/>
            </w:rPr>
            <w:tab/>
          </w:r>
          <w:r w:rsidRPr="00790095">
            <w:rPr>
              <w:rFonts w:ascii="Arial" w:hAnsi="Arial" w:cs="Arial"/>
              <w:b w:val="0"/>
              <w:noProof/>
            </w:rPr>
            <w:t>PROGRAMSKO OBDOBJE 2021–2027: AKTUALNO STANJE IN GLAVNE AKTIVNOSTI V DRUGEM POLLETJU LETA 2024</w:t>
          </w:r>
          <w:r w:rsidRPr="00790095">
            <w:rPr>
              <w:rFonts w:ascii="Arial" w:hAnsi="Arial" w:cs="Arial"/>
              <w:b w:val="0"/>
              <w:noProof/>
            </w:rPr>
            <w:tab/>
          </w:r>
          <w:r w:rsidRPr="00790095">
            <w:rPr>
              <w:rFonts w:ascii="Arial" w:hAnsi="Arial" w:cs="Arial"/>
              <w:b w:val="0"/>
              <w:noProof/>
            </w:rPr>
            <w:fldChar w:fldCharType="begin"/>
          </w:r>
          <w:r w:rsidRPr="00790095">
            <w:rPr>
              <w:rFonts w:ascii="Arial" w:hAnsi="Arial" w:cs="Arial"/>
              <w:b w:val="0"/>
              <w:noProof/>
            </w:rPr>
            <w:instrText xml:space="preserve"> PAGEREF _Toc191460215 \h </w:instrText>
          </w:r>
          <w:r w:rsidRPr="00790095">
            <w:rPr>
              <w:rFonts w:ascii="Arial" w:hAnsi="Arial" w:cs="Arial"/>
              <w:b w:val="0"/>
              <w:noProof/>
            </w:rPr>
          </w:r>
          <w:r w:rsidRPr="00790095">
            <w:rPr>
              <w:rFonts w:ascii="Arial" w:hAnsi="Arial" w:cs="Arial"/>
              <w:b w:val="0"/>
              <w:noProof/>
            </w:rPr>
            <w:fldChar w:fldCharType="separate"/>
          </w:r>
          <w:r w:rsidRPr="00790095">
            <w:rPr>
              <w:rFonts w:ascii="Arial" w:hAnsi="Arial" w:cs="Arial"/>
              <w:b w:val="0"/>
              <w:noProof/>
            </w:rPr>
            <w:t>12</w:t>
          </w:r>
          <w:r w:rsidRPr="00790095">
            <w:rPr>
              <w:rFonts w:ascii="Arial" w:hAnsi="Arial" w:cs="Arial"/>
              <w:b w:val="0"/>
              <w:noProof/>
            </w:rPr>
            <w:fldChar w:fldCharType="end"/>
          </w:r>
        </w:p>
        <w:p w14:paraId="0CD00D88" w14:textId="694F9195" w:rsidR="0099175C" w:rsidRPr="00790095" w:rsidRDefault="0099175C" w:rsidP="0099175C">
          <w:pPr>
            <w:pStyle w:val="Kazalovsebine2"/>
            <w:tabs>
              <w:tab w:val="right" w:leader="dot" w:pos="9060"/>
            </w:tabs>
            <w:jc w:val="both"/>
            <w:rPr>
              <w:rFonts w:ascii="Arial" w:eastAsiaTheme="minorEastAsia" w:hAnsi="Arial" w:cs="Arial"/>
              <w:bCs/>
              <w:smallCaps w:val="0"/>
              <w:noProof/>
              <w:kern w:val="2"/>
              <w:sz w:val="24"/>
              <w:szCs w:val="24"/>
              <w14:ligatures w14:val="standardContextual"/>
            </w:rPr>
          </w:pPr>
          <w:r w:rsidRPr="00790095">
            <w:rPr>
              <w:rFonts w:ascii="Arial" w:hAnsi="Arial" w:cs="Arial"/>
              <w:bCs/>
              <w:noProof/>
              <w:lang w:eastAsia="zh-CN"/>
            </w:rPr>
            <w:t>3.1 DEJAVNOSTI, POVEZANE S PROGRAMOM EKP 2021–2027</w:t>
          </w:r>
          <w:r w:rsidRPr="00790095">
            <w:rPr>
              <w:rFonts w:ascii="Arial" w:hAnsi="Arial" w:cs="Arial"/>
              <w:bCs/>
              <w:noProof/>
            </w:rPr>
            <w:tab/>
          </w:r>
          <w:r w:rsidRPr="00790095">
            <w:rPr>
              <w:rFonts w:ascii="Arial" w:hAnsi="Arial" w:cs="Arial"/>
              <w:bCs/>
              <w:noProof/>
            </w:rPr>
            <w:fldChar w:fldCharType="begin"/>
          </w:r>
          <w:r w:rsidRPr="00790095">
            <w:rPr>
              <w:rFonts w:ascii="Arial" w:hAnsi="Arial" w:cs="Arial"/>
              <w:bCs/>
              <w:noProof/>
            </w:rPr>
            <w:instrText xml:space="preserve"> PAGEREF _Toc191460216 \h </w:instrText>
          </w:r>
          <w:r w:rsidRPr="00790095">
            <w:rPr>
              <w:rFonts w:ascii="Arial" w:hAnsi="Arial" w:cs="Arial"/>
              <w:bCs/>
              <w:noProof/>
            </w:rPr>
          </w:r>
          <w:r w:rsidRPr="00790095">
            <w:rPr>
              <w:rFonts w:ascii="Arial" w:hAnsi="Arial" w:cs="Arial"/>
              <w:bCs/>
              <w:noProof/>
            </w:rPr>
            <w:fldChar w:fldCharType="separate"/>
          </w:r>
          <w:r w:rsidRPr="00790095">
            <w:rPr>
              <w:rFonts w:ascii="Arial" w:hAnsi="Arial" w:cs="Arial"/>
              <w:bCs/>
              <w:noProof/>
            </w:rPr>
            <w:t>12</w:t>
          </w:r>
          <w:r w:rsidRPr="00790095">
            <w:rPr>
              <w:rFonts w:ascii="Arial" w:hAnsi="Arial" w:cs="Arial"/>
              <w:bCs/>
              <w:noProof/>
            </w:rPr>
            <w:fldChar w:fldCharType="end"/>
          </w:r>
        </w:p>
        <w:p w14:paraId="24A3BF20" w14:textId="1F95A0B5" w:rsidR="0099175C" w:rsidRPr="00790095" w:rsidRDefault="0099175C" w:rsidP="0099175C">
          <w:pPr>
            <w:pStyle w:val="Kazalovsebine3"/>
            <w:tabs>
              <w:tab w:val="left" w:pos="1200"/>
              <w:tab w:val="right" w:leader="dot" w:pos="9060"/>
            </w:tabs>
            <w:jc w:val="both"/>
            <w:rPr>
              <w:rFonts w:ascii="Arial" w:eastAsiaTheme="minorEastAsia" w:hAnsi="Arial" w:cs="Arial"/>
              <w:bCs/>
              <w:i w:val="0"/>
              <w:iCs w:val="0"/>
              <w:noProof/>
              <w:kern w:val="2"/>
              <w:sz w:val="24"/>
              <w:szCs w:val="24"/>
              <w14:ligatures w14:val="standardContextual"/>
            </w:rPr>
          </w:pPr>
          <w:r w:rsidRPr="00790095">
            <w:rPr>
              <w:rFonts w:ascii="Arial" w:hAnsi="Arial" w:cs="Arial"/>
              <w:bCs/>
              <w:i w:val="0"/>
              <w:iCs w:val="0"/>
              <w:noProof/>
            </w:rPr>
            <w:t>3.1.1</w:t>
          </w:r>
          <w:r w:rsidRPr="00790095">
            <w:rPr>
              <w:rFonts w:ascii="Arial" w:eastAsiaTheme="minorEastAsia" w:hAnsi="Arial" w:cs="Arial"/>
              <w:bCs/>
              <w:i w:val="0"/>
              <w:iCs w:val="0"/>
              <w:noProof/>
              <w:kern w:val="2"/>
              <w:sz w:val="24"/>
              <w:szCs w:val="24"/>
              <w14:ligatures w14:val="standardContextual"/>
            </w:rPr>
            <w:tab/>
          </w:r>
          <w:r w:rsidRPr="00790095">
            <w:rPr>
              <w:rFonts w:ascii="Arial" w:hAnsi="Arial" w:cs="Arial"/>
              <w:bCs/>
              <w:i w:val="0"/>
              <w:iCs w:val="0"/>
              <w:noProof/>
            </w:rPr>
            <w:t>Sporazum o partnerstvu</w:t>
          </w:r>
          <w:r w:rsidRPr="00790095">
            <w:rPr>
              <w:rFonts w:ascii="Arial" w:hAnsi="Arial" w:cs="Arial"/>
              <w:bCs/>
              <w:i w:val="0"/>
              <w:iCs w:val="0"/>
              <w:noProof/>
            </w:rPr>
            <w:tab/>
          </w:r>
          <w:r w:rsidRPr="00790095">
            <w:rPr>
              <w:rFonts w:ascii="Arial" w:hAnsi="Arial" w:cs="Arial"/>
              <w:bCs/>
              <w:i w:val="0"/>
              <w:iCs w:val="0"/>
              <w:noProof/>
            </w:rPr>
            <w:fldChar w:fldCharType="begin"/>
          </w:r>
          <w:r w:rsidRPr="00790095">
            <w:rPr>
              <w:rFonts w:ascii="Arial" w:hAnsi="Arial" w:cs="Arial"/>
              <w:bCs/>
              <w:i w:val="0"/>
              <w:iCs w:val="0"/>
              <w:noProof/>
            </w:rPr>
            <w:instrText xml:space="preserve"> PAGEREF _Toc191460217 \h </w:instrText>
          </w:r>
          <w:r w:rsidRPr="00790095">
            <w:rPr>
              <w:rFonts w:ascii="Arial" w:hAnsi="Arial" w:cs="Arial"/>
              <w:bCs/>
              <w:i w:val="0"/>
              <w:iCs w:val="0"/>
              <w:noProof/>
            </w:rPr>
          </w:r>
          <w:r w:rsidRPr="00790095">
            <w:rPr>
              <w:rFonts w:ascii="Arial" w:hAnsi="Arial" w:cs="Arial"/>
              <w:bCs/>
              <w:i w:val="0"/>
              <w:iCs w:val="0"/>
              <w:noProof/>
            </w:rPr>
            <w:fldChar w:fldCharType="separate"/>
          </w:r>
          <w:r w:rsidRPr="00790095">
            <w:rPr>
              <w:rFonts w:ascii="Arial" w:hAnsi="Arial" w:cs="Arial"/>
              <w:bCs/>
              <w:i w:val="0"/>
              <w:iCs w:val="0"/>
              <w:noProof/>
            </w:rPr>
            <w:t>12</w:t>
          </w:r>
          <w:r w:rsidRPr="00790095">
            <w:rPr>
              <w:rFonts w:ascii="Arial" w:hAnsi="Arial" w:cs="Arial"/>
              <w:bCs/>
              <w:i w:val="0"/>
              <w:iCs w:val="0"/>
              <w:noProof/>
            </w:rPr>
            <w:fldChar w:fldCharType="end"/>
          </w:r>
        </w:p>
        <w:p w14:paraId="38E7E240" w14:textId="1DFF43B5" w:rsidR="0099175C" w:rsidRPr="00790095" w:rsidRDefault="0099175C" w:rsidP="0099175C">
          <w:pPr>
            <w:pStyle w:val="Kazalovsebine3"/>
            <w:tabs>
              <w:tab w:val="left" w:pos="1200"/>
              <w:tab w:val="right" w:leader="dot" w:pos="9060"/>
            </w:tabs>
            <w:jc w:val="both"/>
            <w:rPr>
              <w:rFonts w:ascii="Arial" w:eastAsiaTheme="minorEastAsia" w:hAnsi="Arial" w:cs="Arial"/>
              <w:bCs/>
              <w:i w:val="0"/>
              <w:iCs w:val="0"/>
              <w:noProof/>
              <w:kern w:val="2"/>
              <w:sz w:val="24"/>
              <w:szCs w:val="24"/>
              <w14:ligatures w14:val="standardContextual"/>
            </w:rPr>
          </w:pPr>
          <w:r w:rsidRPr="00790095">
            <w:rPr>
              <w:rFonts w:ascii="Arial" w:hAnsi="Arial" w:cs="Arial"/>
              <w:bCs/>
              <w:i w:val="0"/>
              <w:iCs w:val="0"/>
              <w:noProof/>
            </w:rPr>
            <w:t>3.1.2</w:t>
          </w:r>
          <w:r w:rsidRPr="00790095">
            <w:rPr>
              <w:rFonts w:ascii="Arial" w:eastAsiaTheme="minorEastAsia" w:hAnsi="Arial" w:cs="Arial"/>
              <w:bCs/>
              <w:i w:val="0"/>
              <w:iCs w:val="0"/>
              <w:noProof/>
              <w:kern w:val="2"/>
              <w:sz w:val="24"/>
              <w:szCs w:val="24"/>
              <w14:ligatures w14:val="standardContextual"/>
            </w:rPr>
            <w:tab/>
          </w:r>
          <w:r w:rsidRPr="00790095">
            <w:rPr>
              <w:rFonts w:ascii="Arial" w:hAnsi="Arial" w:cs="Arial"/>
              <w:bCs/>
              <w:i w:val="0"/>
              <w:iCs w:val="0"/>
              <w:noProof/>
            </w:rPr>
            <w:t>Program Evropske kohezijske politike v obdobju 2021–2027</w:t>
          </w:r>
          <w:r w:rsidRPr="00790095">
            <w:rPr>
              <w:rFonts w:ascii="Arial" w:hAnsi="Arial" w:cs="Arial"/>
              <w:bCs/>
              <w:i w:val="0"/>
              <w:iCs w:val="0"/>
              <w:noProof/>
            </w:rPr>
            <w:tab/>
          </w:r>
          <w:r w:rsidRPr="00790095">
            <w:rPr>
              <w:rFonts w:ascii="Arial" w:hAnsi="Arial" w:cs="Arial"/>
              <w:bCs/>
              <w:i w:val="0"/>
              <w:iCs w:val="0"/>
              <w:noProof/>
            </w:rPr>
            <w:fldChar w:fldCharType="begin"/>
          </w:r>
          <w:r w:rsidRPr="00790095">
            <w:rPr>
              <w:rFonts w:ascii="Arial" w:hAnsi="Arial" w:cs="Arial"/>
              <w:bCs/>
              <w:i w:val="0"/>
              <w:iCs w:val="0"/>
              <w:noProof/>
            </w:rPr>
            <w:instrText xml:space="preserve"> PAGEREF _Toc191460218 \h </w:instrText>
          </w:r>
          <w:r w:rsidRPr="00790095">
            <w:rPr>
              <w:rFonts w:ascii="Arial" w:hAnsi="Arial" w:cs="Arial"/>
              <w:bCs/>
              <w:i w:val="0"/>
              <w:iCs w:val="0"/>
              <w:noProof/>
            </w:rPr>
          </w:r>
          <w:r w:rsidRPr="00790095">
            <w:rPr>
              <w:rFonts w:ascii="Arial" w:hAnsi="Arial" w:cs="Arial"/>
              <w:bCs/>
              <w:i w:val="0"/>
              <w:iCs w:val="0"/>
              <w:noProof/>
            </w:rPr>
            <w:fldChar w:fldCharType="separate"/>
          </w:r>
          <w:r w:rsidRPr="00790095">
            <w:rPr>
              <w:rFonts w:ascii="Arial" w:hAnsi="Arial" w:cs="Arial"/>
              <w:bCs/>
              <w:i w:val="0"/>
              <w:iCs w:val="0"/>
              <w:noProof/>
            </w:rPr>
            <w:t>13</w:t>
          </w:r>
          <w:r w:rsidRPr="00790095">
            <w:rPr>
              <w:rFonts w:ascii="Arial" w:hAnsi="Arial" w:cs="Arial"/>
              <w:bCs/>
              <w:i w:val="0"/>
              <w:iCs w:val="0"/>
              <w:noProof/>
            </w:rPr>
            <w:fldChar w:fldCharType="end"/>
          </w:r>
        </w:p>
        <w:p w14:paraId="32DF90DC" w14:textId="54FA47A8" w:rsidR="0099175C" w:rsidRPr="00790095" w:rsidRDefault="0099175C" w:rsidP="0099175C">
          <w:pPr>
            <w:pStyle w:val="Kazalovsebine3"/>
            <w:tabs>
              <w:tab w:val="left" w:pos="1200"/>
              <w:tab w:val="right" w:leader="dot" w:pos="9060"/>
            </w:tabs>
            <w:jc w:val="both"/>
            <w:rPr>
              <w:rFonts w:ascii="Arial" w:eastAsiaTheme="minorEastAsia" w:hAnsi="Arial" w:cs="Arial"/>
              <w:bCs/>
              <w:i w:val="0"/>
              <w:iCs w:val="0"/>
              <w:noProof/>
              <w:kern w:val="2"/>
              <w:sz w:val="24"/>
              <w:szCs w:val="24"/>
              <w14:ligatures w14:val="standardContextual"/>
            </w:rPr>
          </w:pPr>
          <w:r w:rsidRPr="00790095">
            <w:rPr>
              <w:rFonts w:ascii="Arial" w:hAnsi="Arial" w:cs="Arial"/>
              <w:bCs/>
              <w:i w:val="0"/>
              <w:iCs w:val="0"/>
              <w:noProof/>
            </w:rPr>
            <w:t>3.1.3</w:t>
          </w:r>
          <w:r w:rsidRPr="00790095">
            <w:rPr>
              <w:rFonts w:ascii="Arial" w:eastAsiaTheme="minorEastAsia" w:hAnsi="Arial" w:cs="Arial"/>
              <w:bCs/>
              <w:i w:val="0"/>
              <w:iCs w:val="0"/>
              <w:noProof/>
              <w:kern w:val="2"/>
              <w:sz w:val="24"/>
              <w:szCs w:val="24"/>
              <w14:ligatures w14:val="standardContextual"/>
            </w:rPr>
            <w:tab/>
          </w:r>
          <w:r w:rsidRPr="00790095">
            <w:rPr>
              <w:rFonts w:ascii="Arial" w:hAnsi="Arial" w:cs="Arial"/>
              <w:bCs/>
              <w:i w:val="0"/>
              <w:iCs w:val="0"/>
              <w:noProof/>
            </w:rPr>
            <w:t>Izvedbene določbe</w:t>
          </w:r>
          <w:r w:rsidRPr="00790095">
            <w:rPr>
              <w:rFonts w:ascii="Arial" w:hAnsi="Arial" w:cs="Arial"/>
              <w:bCs/>
              <w:i w:val="0"/>
              <w:iCs w:val="0"/>
              <w:noProof/>
            </w:rPr>
            <w:tab/>
          </w:r>
          <w:r w:rsidRPr="00790095">
            <w:rPr>
              <w:rFonts w:ascii="Arial" w:hAnsi="Arial" w:cs="Arial"/>
              <w:bCs/>
              <w:i w:val="0"/>
              <w:iCs w:val="0"/>
              <w:noProof/>
            </w:rPr>
            <w:fldChar w:fldCharType="begin"/>
          </w:r>
          <w:r w:rsidRPr="00790095">
            <w:rPr>
              <w:rFonts w:ascii="Arial" w:hAnsi="Arial" w:cs="Arial"/>
              <w:bCs/>
              <w:i w:val="0"/>
              <w:iCs w:val="0"/>
              <w:noProof/>
            </w:rPr>
            <w:instrText xml:space="preserve"> PAGEREF _Toc191460219 \h </w:instrText>
          </w:r>
          <w:r w:rsidRPr="00790095">
            <w:rPr>
              <w:rFonts w:ascii="Arial" w:hAnsi="Arial" w:cs="Arial"/>
              <w:bCs/>
              <w:i w:val="0"/>
              <w:iCs w:val="0"/>
              <w:noProof/>
            </w:rPr>
          </w:r>
          <w:r w:rsidRPr="00790095">
            <w:rPr>
              <w:rFonts w:ascii="Arial" w:hAnsi="Arial" w:cs="Arial"/>
              <w:bCs/>
              <w:i w:val="0"/>
              <w:iCs w:val="0"/>
              <w:noProof/>
            </w:rPr>
            <w:fldChar w:fldCharType="separate"/>
          </w:r>
          <w:r w:rsidRPr="00790095">
            <w:rPr>
              <w:rFonts w:ascii="Arial" w:hAnsi="Arial" w:cs="Arial"/>
              <w:bCs/>
              <w:i w:val="0"/>
              <w:iCs w:val="0"/>
              <w:noProof/>
            </w:rPr>
            <w:t>14</w:t>
          </w:r>
          <w:r w:rsidRPr="00790095">
            <w:rPr>
              <w:rFonts w:ascii="Arial" w:hAnsi="Arial" w:cs="Arial"/>
              <w:bCs/>
              <w:i w:val="0"/>
              <w:iCs w:val="0"/>
              <w:noProof/>
            </w:rPr>
            <w:fldChar w:fldCharType="end"/>
          </w:r>
        </w:p>
        <w:p w14:paraId="45C51912" w14:textId="0DF22430" w:rsidR="0099175C" w:rsidRPr="00790095" w:rsidRDefault="0099175C" w:rsidP="0099175C">
          <w:pPr>
            <w:pStyle w:val="Kazalovsebine3"/>
            <w:tabs>
              <w:tab w:val="left" w:pos="1200"/>
              <w:tab w:val="right" w:leader="dot" w:pos="9060"/>
            </w:tabs>
            <w:jc w:val="both"/>
            <w:rPr>
              <w:rFonts w:ascii="Arial" w:eastAsiaTheme="minorEastAsia" w:hAnsi="Arial" w:cs="Arial"/>
              <w:bCs/>
              <w:i w:val="0"/>
              <w:iCs w:val="0"/>
              <w:noProof/>
              <w:kern w:val="2"/>
              <w:sz w:val="24"/>
              <w:szCs w:val="24"/>
              <w14:ligatures w14:val="standardContextual"/>
            </w:rPr>
          </w:pPr>
          <w:r w:rsidRPr="00790095">
            <w:rPr>
              <w:rFonts w:ascii="Arial" w:hAnsi="Arial" w:cs="Arial"/>
              <w:bCs/>
              <w:i w:val="0"/>
              <w:iCs w:val="0"/>
              <w:noProof/>
            </w:rPr>
            <w:t>3.1.4</w:t>
          </w:r>
          <w:r w:rsidRPr="00790095">
            <w:rPr>
              <w:rFonts w:ascii="Arial" w:eastAsiaTheme="minorEastAsia" w:hAnsi="Arial" w:cs="Arial"/>
              <w:bCs/>
              <w:i w:val="0"/>
              <w:iCs w:val="0"/>
              <w:noProof/>
              <w:kern w:val="2"/>
              <w:sz w:val="24"/>
              <w:szCs w:val="24"/>
              <w14:ligatures w14:val="standardContextual"/>
            </w:rPr>
            <w:tab/>
          </w:r>
          <w:r w:rsidRPr="00790095">
            <w:rPr>
              <w:rFonts w:ascii="Arial" w:hAnsi="Arial" w:cs="Arial"/>
              <w:bCs/>
              <w:i w:val="0"/>
              <w:iCs w:val="0"/>
              <w:noProof/>
            </w:rPr>
            <w:t>Slovenska strategija trajnostne pametne specializacije</w:t>
          </w:r>
          <w:r w:rsidRPr="00790095">
            <w:rPr>
              <w:rFonts w:ascii="Arial" w:hAnsi="Arial" w:cs="Arial"/>
              <w:bCs/>
              <w:i w:val="0"/>
              <w:iCs w:val="0"/>
              <w:noProof/>
            </w:rPr>
            <w:tab/>
          </w:r>
          <w:r w:rsidRPr="00790095">
            <w:rPr>
              <w:rFonts w:ascii="Arial" w:hAnsi="Arial" w:cs="Arial"/>
              <w:bCs/>
              <w:i w:val="0"/>
              <w:iCs w:val="0"/>
              <w:noProof/>
            </w:rPr>
            <w:fldChar w:fldCharType="begin"/>
          </w:r>
          <w:r w:rsidRPr="00790095">
            <w:rPr>
              <w:rFonts w:ascii="Arial" w:hAnsi="Arial" w:cs="Arial"/>
              <w:bCs/>
              <w:i w:val="0"/>
              <w:iCs w:val="0"/>
              <w:noProof/>
            </w:rPr>
            <w:instrText xml:space="preserve"> PAGEREF _Toc191460220 \h </w:instrText>
          </w:r>
          <w:r w:rsidRPr="00790095">
            <w:rPr>
              <w:rFonts w:ascii="Arial" w:hAnsi="Arial" w:cs="Arial"/>
              <w:bCs/>
              <w:i w:val="0"/>
              <w:iCs w:val="0"/>
              <w:noProof/>
            </w:rPr>
          </w:r>
          <w:r w:rsidRPr="00790095">
            <w:rPr>
              <w:rFonts w:ascii="Arial" w:hAnsi="Arial" w:cs="Arial"/>
              <w:bCs/>
              <w:i w:val="0"/>
              <w:iCs w:val="0"/>
              <w:noProof/>
            </w:rPr>
            <w:fldChar w:fldCharType="separate"/>
          </w:r>
          <w:r w:rsidRPr="00790095">
            <w:rPr>
              <w:rFonts w:ascii="Arial" w:hAnsi="Arial" w:cs="Arial"/>
              <w:bCs/>
              <w:i w:val="0"/>
              <w:iCs w:val="0"/>
              <w:noProof/>
            </w:rPr>
            <w:t>14</w:t>
          </w:r>
          <w:r w:rsidRPr="00790095">
            <w:rPr>
              <w:rFonts w:ascii="Arial" w:hAnsi="Arial" w:cs="Arial"/>
              <w:bCs/>
              <w:i w:val="0"/>
              <w:iCs w:val="0"/>
              <w:noProof/>
            </w:rPr>
            <w:fldChar w:fldCharType="end"/>
          </w:r>
        </w:p>
        <w:p w14:paraId="355F9684" w14:textId="2F827EA4" w:rsidR="0099175C" w:rsidRPr="00790095" w:rsidRDefault="0099175C" w:rsidP="0099175C">
          <w:pPr>
            <w:pStyle w:val="Kazalovsebine3"/>
            <w:tabs>
              <w:tab w:val="left" w:pos="1200"/>
              <w:tab w:val="right" w:leader="dot" w:pos="9060"/>
            </w:tabs>
            <w:jc w:val="both"/>
            <w:rPr>
              <w:rFonts w:ascii="Arial" w:eastAsiaTheme="minorEastAsia" w:hAnsi="Arial" w:cs="Arial"/>
              <w:bCs/>
              <w:i w:val="0"/>
              <w:iCs w:val="0"/>
              <w:noProof/>
              <w:kern w:val="2"/>
              <w:sz w:val="24"/>
              <w:szCs w:val="24"/>
              <w14:ligatures w14:val="standardContextual"/>
            </w:rPr>
          </w:pPr>
          <w:r w:rsidRPr="00790095">
            <w:rPr>
              <w:rFonts w:ascii="Arial" w:hAnsi="Arial" w:cs="Arial"/>
              <w:bCs/>
              <w:i w:val="0"/>
              <w:iCs w:val="0"/>
              <w:noProof/>
            </w:rPr>
            <w:t>3.1.5</w:t>
          </w:r>
          <w:r w:rsidRPr="00790095">
            <w:rPr>
              <w:rFonts w:ascii="Arial" w:eastAsiaTheme="minorEastAsia" w:hAnsi="Arial" w:cs="Arial"/>
              <w:bCs/>
              <w:i w:val="0"/>
              <w:iCs w:val="0"/>
              <w:noProof/>
              <w:kern w:val="2"/>
              <w:sz w:val="24"/>
              <w:szCs w:val="24"/>
              <w14:ligatures w14:val="standardContextual"/>
            </w:rPr>
            <w:tab/>
          </w:r>
          <w:r w:rsidRPr="00790095">
            <w:rPr>
              <w:rFonts w:ascii="Arial" w:hAnsi="Arial" w:cs="Arial"/>
              <w:bCs/>
              <w:i w:val="0"/>
              <w:iCs w:val="0"/>
              <w:noProof/>
            </w:rPr>
            <w:t>Delovna skupina vlade za podporo izvajanju S5</w:t>
          </w:r>
          <w:r w:rsidRPr="00790095">
            <w:rPr>
              <w:rFonts w:ascii="Arial" w:hAnsi="Arial" w:cs="Arial"/>
              <w:bCs/>
              <w:i w:val="0"/>
              <w:iCs w:val="0"/>
              <w:noProof/>
            </w:rPr>
            <w:tab/>
          </w:r>
          <w:r w:rsidRPr="00790095">
            <w:rPr>
              <w:rFonts w:ascii="Arial" w:hAnsi="Arial" w:cs="Arial"/>
              <w:bCs/>
              <w:i w:val="0"/>
              <w:iCs w:val="0"/>
              <w:noProof/>
            </w:rPr>
            <w:fldChar w:fldCharType="begin"/>
          </w:r>
          <w:r w:rsidRPr="00790095">
            <w:rPr>
              <w:rFonts w:ascii="Arial" w:hAnsi="Arial" w:cs="Arial"/>
              <w:bCs/>
              <w:i w:val="0"/>
              <w:iCs w:val="0"/>
              <w:noProof/>
            </w:rPr>
            <w:instrText xml:space="preserve"> PAGEREF _Toc191460221 \h </w:instrText>
          </w:r>
          <w:r w:rsidRPr="00790095">
            <w:rPr>
              <w:rFonts w:ascii="Arial" w:hAnsi="Arial" w:cs="Arial"/>
              <w:bCs/>
              <w:i w:val="0"/>
              <w:iCs w:val="0"/>
              <w:noProof/>
            </w:rPr>
          </w:r>
          <w:r w:rsidRPr="00790095">
            <w:rPr>
              <w:rFonts w:ascii="Arial" w:hAnsi="Arial" w:cs="Arial"/>
              <w:bCs/>
              <w:i w:val="0"/>
              <w:iCs w:val="0"/>
              <w:noProof/>
            </w:rPr>
            <w:fldChar w:fldCharType="separate"/>
          </w:r>
          <w:r w:rsidRPr="00790095">
            <w:rPr>
              <w:rFonts w:ascii="Arial" w:hAnsi="Arial" w:cs="Arial"/>
              <w:bCs/>
              <w:i w:val="0"/>
              <w:iCs w:val="0"/>
              <w:noProof/>
            </w:rPr>
            <w:t>15</w:t>
          </w:r>
          <w:r w:rsidRPr="00790095">
            <w:rPr>
              <w:rFonts w:ascii="Arial" w:hAnsi="Arial" w:cs="Arial"/>
              <w:bCs/>
              <w:i w:val="0"/>
              <w:iCs w:val="0"/>
              <w:noProof/>
            </w:rPr>
            <w:fldChar w:fldCharType="end"/>
          </w:r>
        </w:p>
        <w:p w14:paraId="2F1E0AAA" w14:textId="2FEB1E13" w:rsidR="0099175C" w:rsidRPr="00790095" w:rsidRDefault="0099175C" w:rsidP="0099175C">
          <w:pPr>
            <w:pStyle w:val="Kazalovsebine3"/>
            <w:tabs>
              <w:tab w:val="left" w:pos="1200"/>
              <w:tab w:val="right" w:leader="dot" w:pos="9060"/>
            </w:tabs>
            <w:jc w:val="both"/>
            <w:rPr>
              <w:rFonts w:ascii="Arial" w:eastAsiaTheme="minorEastAsia" w:hAnsi="Arial" w:cs="Arial"/>
              <w:bCs/>
              <w:i w:val="0"/>
              <w:iCs w:val="0"/>
              <w:noProof/>
              <w:kern w:val="2"/>
              <w:sz w:val="24"/>
              <w:szCs w:val="24"/>
              <w14:ligatures w14:val="standardContextual"/>
            </w:rPr>
          </w:pPr>
          <w:r w:rsidRPr="00790095">
            <w:rPr>
              <w:rFonts w:ascii="Arial" w:hAnsi="Arial" w:cs="Arial"/>
              <w:bCs/>
              <w:i w:val="0"/>
              <w:iCs w:val="0"/>
              <w:noProof/>
            </w:rPr>
            <w:t>3.1.6</w:t>
          </w:r>
          <w:r w:rsidRPr="00790095">
            <w:rPr>
              <w:rFonts w:ascii="Arial" w:eastAsiaTheme="minorEastAsia" w:hAnsi="Arial" w:cs="Arial"/>
              <w:bCs/>
              <w:i w:val="0"/>
              <w:iCs w:val="0"/>
              <w:noProof/>
              <w:kern w:val="2"/>
              <w:sz w:val="24"/>
              <w:szCs w:val="24"/>
              <w14:ligatures w14:val="standardContextual"/>
            </w:rPr>
            <w:tab/>
          </w:r>
          <w:r w:rsidRPr="00790095">
            <w:rPr>
              <w:rFonts w:ascii="Arial" w:hAnsi="Arial" w:cs="Arial"/>
              <w:bCs/>
              <w:i w:val="0"/>
              <w:iCs w:val="0"/>
              <w:noProof/>
            </w:rPr>
            <w:t>Strateška razvojno-inovacijska partnerska</w:t>
          </w:r>
          <w:r w:rsidRPr="00790095">
            <w:rPr>
              <w:rFonts w:ascii="Arial" w:hAnsi="Arial" w:cs="Arial"/>
              <w:bCs/>
              <w:i w:val="0"/>
              <w:iCs w:val="0"/>
              <w:noProof/>
            </w:rPr>
            <w:tab/>
          </w:r>
          <w:r w:rsidRPr="00790095">
            <w:rPr>
              <w:rFonts w:ascii="Arial" w:hAnsi="Arial" w:cs="Arial"/>
              <w:bCs/>
              <w:i w:val="0"/>
              <w:iCs w:val="0"/>
              <w:noProof/>
            </w:rPr>
            <w:fldChar w:fldCharType="begin"/>
          </w:r>
          <w:r w:rsidRPr="00790095">
            <w:rPr>
              <w:rFonts w:ascii="Arial" w:hAnsi="Arial" w:cs="Arial"/>
              <w:bCs/>
              <w:i w:val="0"/>
              <w:iCs w:val="0"/>
              <w:noProof/>
            </w:rPr>
            <w:instrText xml:space="preserve"> PAGEREF _Toc191460222 \h </w:instrText>
          </w:r>
          <w:r w:rsidRPr="00790095">
            <w:rPr>
              <w:rFonts w:ascii="Arial" w:hAnsi="Arial" w:cs="Arial"/>
              <w:bCs/>
              <w:i w:val="0"/>
              <w:iCs w:val="0"/>
              <w:noProof/>
            </w:rPr>
          </w:r>
          <w:r w:rsidRPr="00790095">
            <w:rPr>
              <w:rFonts w:ascii="Arial" w:hAnsi="Arial" w:cs="Arial"/>
              <w:bCs/>
              <w:i w:val="0"/>
              <w:iCs w:val="0"/>
              <w:noProof/>
            </w:rPr>
            <w:fldChar w:fldCharType="separate"/>
          </w:r>
          <w:r w:rsidRPr="00790095">
            <w:rPr>
              <w:rFonts w:ascii="Arial" w:hAnsi="Arial" w:cs="Arial"/>
              <w:bCs/>
              <w:i w:val="0"/>
              <w:iCs w:val="0"/>
              <w:noProof/>
            </w:rPr>
            <w:t>15</w:t>
          </w:r>
          <w:r w:rsidRPr="00790095">
            <w:rPr>
              <w:rFonts w:ascii="Arial" w:hAnsi="Arial" w:cs="Arial"/>
              <w:bCs/>
              <w:i w:val="0"/>
              <w:iCs w:val="0"/>
              <w:noProof/>
            </w:rPr>
            <w:fldChar w:fldCharType="end"/>
          </w:r>
        </w:p>
        <w:p w14:paraId="2E8BE4E4" w14:textId="16C8A2F3" w:rsidR="0099175C" w:rsidRPr="00790095" w:rsidRDefault="0099175C" w:rsidP="0099175C">
          <w:pPr>
            <w:pStyle w:val="Kazalovsebine3"/>
            <w:tabs>
              <w:tab w:val="left" w:pos="1200"/>
              <w:tab w:val="right" w:leader="dot" w:pos="9060"/>
            </w:tabs>
            <w:jc w:val="both"/>
            <w:rPr>
              <w:rFonts w:ascii="Arial" w:eastAsiaTheme="minorEastAsia" w:hAnsi="Arial" w:cs="Arial"/>
              <w:bCs/>
              <w:i w:val="0"/>
              <w:iCs w:val="0"/>
              <w:noProof/>
              <w:kern w:val="2"/>
              <w:sz w:val="24"/>
              <w:szCs w:val="24"/>
              <w14:ligatures w14:val="standardContextual"/>
            </w:rPr>
          </w:pPr>
          <w:r w:rsidRPr="00790095">
            <w:rPr>
              <w:rFonts w:ascii="Arial" w:hAnsi="Arial" w:cs="Arial"/>
              <w:bCs/>
              <w:i w:val="0"/>
              <w:iCs w:val="0"/>
              <w:noProof/>
            </w:rPr>
            <w:t>3.1.7</w:t>
          </w:r>
          <w:r w:rsidRPr="00790095">
            <w:rPr>
              <w:rFonts w:ascii="Arial" w:eastAsiaTheme="minorEastAsia" w:hAnsi="Arial" w:cs="Arial"/>
              <w:bCs/>
              <w:i w:val="0"/>
              <w:iCs w:val="0"/>
              <w:noProof/>
              <w:kern w:val="2"/>
              <w:sz w:val="24"/>
              <w:szCs w:val="24"/>
              <w14:ligatures w14:val="standardContextual"/>
            </w:rPr>
            <w:tab/>
          </w:r>
          <w:r w:rsidRPr="00790095">
            <w:rPr>
              <w:rFonts w:ascii="Arial" w:hAnsi="Arial" w:cs="Arial"/>
              <w:bCs/>
              <w:i w:val="0"/>
              <w:iCs w:val="0"/>
              <w:noProof/>
            </w:rPr>
            <w:t>Proces podjetniškega odkrivanja</w:t>
          </w:r>
          <w:r w:rsidRPr="00790095">
            <w:rPr>
              <w:rFonts w:ascii="Arial" w:hAnsi="Arial" w:cs="Arial"/>
              <w:bCs/>
              <w:i w:val="0"/>
              <w:iCs w:val="0"/>
              <w:noProof/>
            </w:rPr>
            <w:tab/>
          </w:r>
          <w:r w:rsidRPr="00790095">
            <w:rPr>
              <w:rFonts w:ascii="Arial" w:hAnsi="Arial" w:cs="Arial"/>
              <w:bCs/>
              <w:i w:val="0"/>
              <w:iCs w:val="0"/>
              <w:noProof/>
            </w:rPr>
            <w:fldChar w:fldCharType="begin"/>
          </w:r>
          <w:r w:rsidRPr="00790095">
            <w:rPr>
              <w:rFonts w:ascii="Arial" w:hAnsi="Arial" w:cs="Arial"/>
              <w:bCs/>
              <w:i w:val="0"/>
              <w:iCs w:val="0"/>
              <w:noProof/>
            </w:rPr>
            <w:instrText xml:space="preserve"> PAGEREF _Toc191460223 \h </w:instrText>
          </w:r>
          <w:r w:rsidRPr="00790095">
            <w:rPr>
              <w:rFonts w:ascii="Arial" w:hAnsi="Arial" w:cs="Arial"/>
              <w:bCs/>
              <w:i w:val="0"/>
              <w:iCs w:val="0"/>
              <w:noProof/>
            </w:rPr>
          </w:r>
          <w:r w:rsidRPr="00790095">
            <w:rPr>
              <w:rFonts w:ascii="Arial" w:hAnsi="Arial" w:cs="Arial"/>
              <w:bCs/>
              <w:i w:val="0"/>
              <w:iCs w:val="0"/>
              <w:noProof/>
            </w:rPr>
            <w:fldChar w:fldCharType="separate"/>
          </w:r>
          <w:r w:rsidRPr="00790095">
            <w:rPr>
              <w:rFonts w:ascii="Arial" w:hAnsi="Arial" w:cs="Arial"/>
              <w:bCs/>
              <w:i w:val="0"/>
              <w:iCs w:val="0"/>
              <w:noProof/>
            </w:rPr>
            <w:t>16</w:t>
          </w:r>
          <w:r w:rsidRPr="00790095">
            <w:rPr>
              <w:rFonts w:ascii="Arial" w:hAnsi="Arial" w:cs="Arial"/>
              <w:bCs/>
              <w:i w:val="0"/>
              <w:iCs w:val="0"/>
              <w:noProof/>
            </w:rPr>
            <w:fldChar w:fldCharType="end"/>
          </w:r>
        </w:p>
        <w:p w14:paraId="47D8BD18" w14:textId="5B98E1D2" w:rsidR="0099175C" w:rsidRPr="00790095" w:rsidRDefault="0099175C" w:rsidP="0099175C">
          <w:pPr>
            <w:pStyle w:val="Kazalovsebine1"/>
            <w:tabs>
              <w:tab w:val="left" w:pos="400"/>
              <w:tab w:val="right" w:leader="dot" w:pos="9060"/>
            </w:tabs>
            <w:spacing w:before="0" w:after="0"/>
            <w:jc w:val="both"/>
            <w:rPr>
              <w:rFonts w:ascii="Arial" w:eastAsiaTheme="minorEastAsia" w:hAnsi="Arial" w:cs="Arial"/>
              <w:b w:val="0"/>
              <w:caps w:val="0"/>
              <w:noProof/>
              <w:kern w:val="2"/>
              <w:sz w:val="24"/>
              <w:szCs w:val="24"/>
              <w14:ligatures w14:val="standardContextual"/>
            </w:rPr>
          </w:pPr>
          <w:r w:rsidRPr="00790095">
            <w:rPr>
              <w:rFonts w:ascii="Arial" w:hAnsi="Arial" w:cs="Arial"/>
              <w:b w:val="0"/>
              <w:noProof/>
            </w:rPr>
            <w:t>4</w:t>
          </w:r>
          <w:r w:rsidRPr="00790095">
            <w:rPr>
              <w:rFonts w:ascii="Arial" w:eastAsiaTheme="minorEastAsia" w:hAnsi="Arial" w:cs="Arial"/>
              <w:b w:val="0"/>
              <w:caps w:val="0"/>
              <w:noProof/>
              <w:kern w:val="2"/>
              <w:sz w:val="24"/>
              <w:szCs w:val="24"/>
              <w14:ligatures w14:val="standardContextual"/>
            </w:rPr>
            <w:tab/>
          </w:r>
          <w:r w:rsidRPr="00790095">
            <w:rPr>
              <w:rFonts w:ascii="Arial" w:hAnsi="Arial" w:cs="Arial"/>
              <w:b w:val="0"/>
              <w:noProof/>
            </w:rPr>
            <w:t>IZVAJANJE PROGRAMA EKP 2021–2027</w:t>
          </w:r>
          <w:r w:rsidRPr="00790095">
            <w:rPr>
              <w:rFonts w:ascii="Arial" w:hAnsi="Arial" w:cs="Arial"/>
              <w:b w:val="0"/>
              <w:noProof/>
            </w:rPr>
            <w:tab/>
          </w:r>
          <w:r w:rsidRPr="00790095">
            <w:rPr>
              <w:rFonts w:ascii="Arial" w:hAnsi="Arial" w:cs="Arial"/>
              <w:b w:val="0"/>
              <w:noProof/>
            </w:rPr>
            <w:fldChar w:fldCharType="begin"/>
          </w:r>
          <w:r w:rsidRPr="00790095">
            <w:rPr>
              <w:rFonts w:ascii="Arial" w:hAnsi="Arial" w:cs="Arial"/>
              <w:b w:val="0"/>
              <w:noProof/>
            </w:rPr>
            <w:instrText xml:space="preserve"> PAGEREF _Toc191460224 \h </w:instrText>
          </w:r>
          <w:r w:rsidRPr="00790095">
            <w:rPr>
              <w:rFonts w:ascii="Arial" w:hAnsi="Arial" w:cs="Arial"/>
              <w:b w:val="0"/>
              <w:noProof/>
            </w:rPr>
          </w:r>
          <w:r w:rsidRPr="00790095">
            <w:rPr>
              <w:rFonts w:ascii="Arial" w:hAnsi="Arial" w:cs="Arial"/>
              <w:b w:val="0"/>
              <w:noProof/>
            </w:rPr>
            <w:fldChar w:fldCharType="separate"/>
          </w:r>
          <w:r w:rsidRPr="00790095">
            <w:rPr>
              <w:rFonts w:ascii="Arial" w:hAnsi="Arial" w:cs="Arial"/>
              <w:b w:val="0"/>
              <w:noProof/>
            </w:rPr>
            <w:t>18</w:t>
          </w:r>
          <w:r w:rsidRPr="00790095">
            <w:rPr>
              <w:rFonts w:ascii="Arial" w:hAnsi="Arial" w:cs="Arial"/>
              <w:b w:val="0"/>
              <w:noProof/>
            </w:rPr>
            <w:fldChar w:fldCharType="end"/>
          </w:r>
        </w:p>
        <w:p w14:paraId="60DB1962" w14:textId="50FC7CC6" w:rsidR="0099175C" w:rsidRPr="00790095" w:rsidRDefault="0099175C" w:rsidP="0099175C">
          <w:pPr>
            <w:pStyle w:val="Kazalovsebine2"/>
            <w:tabs>
              <w:tab w:val="left" w:pos="800"/>
              <w:tab w:val="right" w:leader="dot" w:pos="9060"/>
            </w:tabs>
            <w:jc w:val="both"/>
            <w:rPr>
              <w:rFonts w:ascii="Arial" w:eastAsiaTheme="minorEastAsia" w:hAnsi="Arial" w:cs="Arial"/>
              <w:bCs/>
              <w:smallCaps w:val="0"/>
              <w:noProof/>
              <w:kern w:val="2"/>
              <w:sz w:val="24"/>
              <w:szCs w:val="24"/>
              <w14:ligatures w14:val="standardContextual"/>
            </w:rPr>
          </w:pPr>
          <w:r w:rsidRPr="00790095">
            <w:rPr>
              <w:rFonts w:ascii="Arial" w:hAnsi="Arial" w:cs="Arial"/>
              <w:bCs/>
              <w:noProof/>
            </w:rPr>
            <w:t>4.1</w:t>
          </w:r>
          <w:r w:rsidRPr="00790095">
            <w:rPr>
              <w:rFonts w:ascii="Arial" w:eastAsiaTheme="minorEastAsia" w:hAnsi="Arial" w:cs="Arial"/>
              <w:bCs/>
              <w:smallCaps w:val="0"/>
              <w:noProof/>
              <w:kern w:val="2"/>
              <w:sz w:val="24"/>
              <w:szCs w:val="24"/>
              <w14:ligatures w14:val="standardContextual"/>
            </w:rPr>
            <w:tab/>
          </w:r>
          <w:r w:rsidRPr="00790095">
            <w:rPr>
              <w:rFonts w:ascii="Arial" w:hAnsi="Arial" w:cs="Arial"/>
              <w:bCs/>
              <w:noProof/>
            </w:rPr>
            <w:t>CELOSTNI TERITORIALNI RAZVOJ</w:t>
          </w:r>
          <w:r w:rsidRPr="00790095">
            <w:rPr>
              <w:rFonts w:ascii="Arial" w:hAnsi="Arial" w:cs="Arial"/>
              <w:bCs/>
              <w:noProof/>
            </w:rPr>
            <w:tab/>
          </w:r>
          <w:r w:rsidRPr="00790095">
            <w:rPr>
              <w:rFonts w:ascii="Arial" w:hAnsi="Arial" w:cs="Arial"/>
              <w:bCs/>
              <w:noProof/>
            </w:rPr>
            <w:fldChar w:fldCharType="begin"/>
          </w:r>
          <w:r w:rsidRPr="00790095">
            <w:rPr>
              <w:rFonts w:ascii="Arial" w:hAnsi="Arial" w:cs="Arial"/>
              <w:bCs/>
              <w:noProof/>
            </w:rPr>
            <w:instrText xml:space="preserve"> PAGEREF _Toc191460225 \h </w:instrText>
          </w:r>
          <w:r w:rsidRPr="00790095">
            <w:rPr>
              <w:rFonts w:ascii="Arial" w:hAnsi="Arial" w:cs="Arial"/>
              <w:bCs/>
              <w:noProof/>
            </w:rPr>
          </w:r>
          <w:r w:rsidRPr="00790095">
            <w:rPr>
              <w:rFonts w:ascii="Arial" w:hAnsi="Arial" w:cs="Arial"/>
              <w:bCs/>
              <w:noProof/>
            </w:rPr>
            <w:fldChar w:fldCharType="separate"/>
          </w:r>
          <w:r w:rsidRPr="00790095">
            <w:rPr>
              <w:rFonts w:ascii="Arial" w:hAnsi="Arial" w:cs="Arial"/>
              <w:bCs/>
              <w:noProof/>
            </w:rPr>
            <w:t>24</w:t>
          </w:r>
          <w:r w:rsidRPr="00790095">
            <w:rPr>
              <w:rFonts w:ascii="Arial" w:hAnsi="Arial" w:cs="Arial"/>
              <w:bCs/>
              <w:noProof/>
            </w:rPr>
            <w:fldChar w:fldCharType="end"/>
          </w:r>
        </w:p>
        <w:p w14:paraId="5069B25F" w14:textId="13FA0670" w:rsidR="0099175C" w:rsidRPr="00790095" w:rsidRDefault="0099175C" w:rsidP="0099175C">
          <w:pPr>
            <w:pStyle w:val="Kazalovsebine3"/>
            <w:tabs>
              <w:tab w:val="left" w:pos="1200"/>
              <w:tab w:val="right" w:leader="dot" w:pos="9060"/>
            </w:tabs>
            <w:jc w:val="both"/>
            <w:rPr>
              <w:rFonts w:ascii="Arial" w:eastAsiaTheme="minorEastAsia" w:hAnsi="Arial" w:cs="Arial"/>
              <w:bCs/>
              <w:i w:val="0"/>
              <w:iCs w:val="0"/>
              <w:noProof/>
              <w:kern w:val="2"/>
              <w:sz w:val="24"/>
              <w:szCs w:val="24"/>
              <w14:ligatures w14:val="standardContextual"/>
            </w:rPr>
          </w:pPr>
          <w:r w:rsidRPr="00790095">
            <w:rPr>
              <w:rFonts w:ascii="Arial" w:hAnsi="Arial" w:cs="Arial"/>
              <w:bCs/>
              <w:i w:val="0"/>
              <w:iCs w:val="0"/>
              <w:noProof/>
            </w:rPr>
            <w:t>4.1.1</w:t>
          </w:r>
          <w:r w:rsidRPr="00790095">
            <w:rPr>
              <w:rFonts w:ascii="Arial" w:eastAsiaTheme="minorEastAsia" w:hAnsi="Arial" w:cs="Arial"/>
              <w:bCs/>
              <w:i w:val="0"/>
              <w:iCs w:val="0"/>
              <w:noProof/>
              <w:kern w:val="2"/>
              <w:sz w:val="24"/>
              <w:szCs w:val="24"/>
              <w14:ligatures w14:val="standardContextual"/>
            </w:rPr>
            <w:tab/>
          </w:r>
          <w:r w:rsidRPr="00790095">
            <w:rPr>
              <w:rFonts w:ascii="Arial" w:hAnsi="Arial" w:cs="Arial"/>
              <w:bCs/>
              <w:i w:val="0"/>
              <w:iCs w:val="0"/>
              <w:noProof/>
            </w:rPr>
            <w:t>Lokalni razvoj, ki ga vodi skupnost (CLLD)</w:t>
          </w:r>
          <w:r w:rsidRPr="00790095">
            <w:rPr>
              <w:rFonts w:ascii="Arial" w:hAnsi="Arial" w:cs="Arial"/>
              <w:bCs/>
              <w:i w:val="0"/>
              <w:iCs w:val="0"/>
              <w:noProof/>
            </w:rPr>
            <w:tab/>
          </w:r>
          <w:r w:rsidRPr="00790095">
            <w:rPr>
              <w:rFonts w:ascii="Arial" w:hAnsi="Arial" w:cs="Arial"/>
              <w:bCs/>
              <w:i w:val="0"/>
              <w:iCs w:val="0"/>
              <w:noProof/>
            </w:rPr>
            <w:fldChar w:fldCharType="begin"/>
          </w:r>
          <w:r w:rsidRPr="00790095">
            <w:rPr>
              <w:rFonts w:ascii="Arial" w:hAnsi="Arial" w:cs="Arial"/>
              <w:bCs/>
              <w:i w:val="0"/>
              <w:iCs w:val="0"/>
              <w:noProof/>
            </w:rPr>
            <w:instrText xml:space="preserve"> PAGEREF _Toc191460226 \h </w:instrText>
          </w:r>
          <w:r w:rsidRPr="00790095">
            <w:rPr>
              <w:rFonts w:ascii="Arial" w:hAnsi="Arial" w:cs="Arial"/>
              <w:bCs/>
              <w:i w:val="0"/>
              <w:iCs w:val="0"/>
              <w:noProof/>
            </w:rPr>
          </w:r>
          <w:r w:rsidRPr="00790095">
            <w:rPr>
              <w:rFonts w:ascii="Arial" w:hAnsi="Arial" w:cs="Arial"/>
              <w:bCs/>
              <w:i w:val="0"/>
              <w:iCs w:val="0"/>
              <w:noProof/>
            </w:rPr>
            <w:fldChar w:fldCharType="separate"/>
          </w:r>
          <w:r w:rsidRPr="00790095">
            <w:rPr>
              <w:rFonts w:ascii="Arial" w:hAnsi="Arial" w:cs="Arial"/>
              <w:bCs/>
              <w:i w:val="0"/>
              <w:iCs w:val="0"/>
              <w:noProof/>
            </w:rPr>
            <w:t>24</w:t>
          </w:r>
          <w:r w:rsidRPr="00790095">
            <w:rPr>
              <w:rFonts w:ascii="Arial" w:hAnsi="Arial" w:cs="Arial"/>
              <w:bCs/>
              <w:i w:val="0"/>
              <w:iCs w:val="0"/>
              <w:noProof/>
            </w:rPr>
            <w:fldChar w:fldCharType="end"/>
          </w:r>
        </w:p>
        <w:p w14:paraId="01ECC453" w14:textId="336AAE74" w:rsidR="0099175C" w:rsidRPr="00790095" w:rsidRDefault="0099175C" w:rsidP="0099175C">
          <w:pPr>
            <w:pStyle w:val="Kazalovsebine3"/>
            <w:tabs>
              <w:tab w:val="left" w:pos="1200"/>
              <w:tab w:val="right" w:leader="dot" w:pos="9060"/>
            </w:tabs>
            <w:jc w:val="both"/>
            <w:rPr>
              <w:rFonts w:ascii="Arial" w:eastAsiaTheme="minorEastAsia" w:hAnsi="Arial" w:cs="Arial"/>
              <w:bCs/>
              <w:i w:val="0"/>
              <w:iCs w:val="0"/>
              <w:noProof/>
              <w:kern w:val="2"/>
              <w:sz w:val="24"/>
              <w:szCs w:val="24"/>
              <w14:ligatures w14:val="standardContextual"/>
            </w:rPr>
          </w:pPr>
          <w:r w:rsidRPr="00790095">
            <w:rPr>
              <w:rFonts w:ascii="Arial" w:hAnsi="Arial" w:cs="Arial"/>
              <w:bCs/>
              <w:i w:val="0"/>
              <w:iCs w:val="0"/>
              <w:noProof/>
            </w:rPr>
            <w:t>4.1.2</w:t>
          </w:r>
          <w:r w:rsidRPr="00790095">
            <w:rPr>
              <w:rFonts w:ascii="Arial" w:eastAsiaTheme="minorEastAsia" w:hAnsi="Arial" w:cs="Arial"/>
              <w:bCs/>
              <w:i w:val="0"/>
              <w:iCs w:val="0"/>
              <w:noProof/>
              <w:kern w:val="2"/>
              <w:sz w:val="24"/>
              <w:szCs w:val="24"/>
              <w14:ligatures w14:val="standardContextual"/>
            </w:rPr>
            <w:tab/>
          </w:r>
          <w:r w:rsidRPr="00790095">
            <w:rPr>
              <w:rFonts w:ascii="Arial" w:hAnsi="Arial" w:cs="Arial"/>
              <w:bCs/>
              <w:i w:val="0"/>
              <w:iCs w:val="0"/>
              <w:noProof/>
            </w:rPr>
            <w:t>Celostne teritorialne naložbe (CTN)</w:t>
          </w:r>
          <w:r w:rsidRPr="00790095">
            <w:rPr>
              <w:rFonts w:ascii="Arial" w:hAnsi="Arial" w:cs="Arial"/>
              <w:bCs/>
              <w:i w:val="0"/>
              <w:iCs w:val="0"/>
              <w:noProof/>
            </w:rPr>
            <w:tab/>
          </w:r>
          <w:r w:rsidRPr="00790095">
            <w:rPr>
              <w:rFonts w:ascii="Arial" w:hAnsi="Arial" w:cs="Arial"/>
              <w:bCs/>
              <w:i w:val="0"/>
              <w:iCs w:val="0"/>
              <w:noProof/>
            </w:rPr>
            <w:fldChar w:fldCharType="begin"/>
          </w:r>
          <w:r w:rsidRPr="00790095">
            <w:rPr>
              <w:rFonts w:ascii="Arial" w:hAnsi="Arial" w:cs="Arial"/>
              <w:bCs/>
              <w:i w:val="0"/>
              <w:iCs w:val="0"/>
              <w:noProof/>
            </w:rPr>
            <w:instrText xml:space="preserve"> PAGEREF _Toc191460227 \h </w:instrText>
          </w:r>
          <w:r w:rsidRPr="00790095">
            <w:rPr>
              <w:rFonts w:ascii="Arial" w:hAnsi="Arial" w:cs="Arial"/>
              <w:bCs/>
              <w:i w:val="0"/>
              <w:iCs w:val="0"/>
              <w:noProof/>
            </w:rPr>
          </w:r>
          <w:r w:rsidRPr="00790095">
            <w:rPr>
              <w:rFonts w:ascii="Arial" w:hAnsi="Arial" w:cs="Arial"/>
              <w:bCs/>
              <w:i w:val="0"/>
              <w:iCs w:val="0"/>
              <w:noProof/>
            </w:rPr>
            <w:fldChar w:fldCharType="separate"/>
          </w:r>
          <w:r w:rsidRPr="00790095">
            <w:rPr>
              <w:rFonts w:ascii="Arial" w:hAnsi="Arial" w:cs="Arial"/>
              <w:bCs/>
              <w:i w:val="0"/>
              <w:iCs w:val="0"/>
              <w:noProof/>
            </w:rPr>
            <w:t>24</w:t>
          </w:r>
          <w:r w:rsidRPr="00790095">
            <w:rPr>
              <w:rFonts w:ascii="Arial" w:hAnsi="Arial" w:cs="Arial"/>
              <w:bCs/>
              <w:i w:val="0"/>
              <w:iCs w:val="0"/>
              <w:noProof/>
            </w:rPr>
            <w:fldChar w:fldCharType="end"/>
          </w:r>
        </w:p>
        <w:p w14:paraId="73346783" w14:textId="692943DD" w:rsidR="0099175C" w:rsidRPr="00790095" w:rsidRDefault="0099175C" w:rsidP="0099175C">
          <w:pPr>
            <w:pStyle w:val="Kazalovsebine3"/>
            <w:tabs>
              <w:tab w:val="left" w:pos="1200"/>
              <w:tab w:val="right" w:leader="dot" w:pos="9060"/>
            </w:tabs>
            <w:jc w:val="both"/>
            <w:rPr>
              <w:rFonts w:ascii="Arial" w:eastAsiaTheme="minorEastAsia" w:hAnsi="Arial" w:cs="Arial"/>
              <w:bCs/>
              <w:i w:val="0"/>
              <w:iCs w:val="0"/>
              <w:noProof/>
              <w:kern w:val="2"/>
              <w:sz w:val="24"/>
              <w:szCs w:val="24"/>
              <w14:ligatures w14:val="standardContextual"/>
            </w:rPr>
          </w:pPr>
          <w:r w:rsidRPr="00790095">
            <w:rPr>
              <w:rFonts w:ascii="Arial" w:hAnsi="Arial" w:cs="Arial"/>
              <w:bCs/>
              <w:i w:val="0"/>
              <w:iCs w:val="0"/>
              <w:noProof/>
            </w:rPr>
            <w:t>4.1.3</w:t>
          </w:r>
          <w:r w:rsidRPr="00790095">
            <w:rPr>
              <w:rFonts w:ascii="Arial" w:eastAsiaTheme="minorEastAsia" w:hAnsi="Arial" w:cs="Arial"/>
              <w:bCs/>
              <w:i w:val="0"/>
              <w:iCs w:val="0"/>
              <w:noProof/>
              <w:kern w:val="2"/>
              <w:sz w:val="24"/>
              <w:szCs w:val="24"/>
              <w14:ligatures w14:val="standardContextual"/>
            </w:rPr>
            <w:tab/>
          </w:r>
          <w:r w:rsidRPr="00790095">
            <w:rPr>
              <w:rFonts w:ascii="Arial" w:hAnsi="Arial" w:cs="Arial"/>
              <w:bCs/>
              <w:i w:val="0"/>
              <w:iCs w:val="0"/>
              <w:noProof/>
            </w:rPr>
            <w:t>Dogovor za razvoj regij (DRR)</w:t>
          </w:r>
          <w:r w:rsidRPr="00790095">
            <w:rPr>
              <w:rFonts w:ascii="Arial" w:hAnsi="Arial" w:cs="Arial"/>
              <w:bCs/>
              <w:i w:val="0"/>
              <w:iCs w:val="0"/>
              <w:noProof/>
            </w:rPr>
            <w:tab/>
          </w:r>
          <w:r w:rsidRPr="00790095">
            <w:rPr>
              <w:rFonts w:ascii="Arial" w:hAnsi="Arial" w:cs="Arial"/>
              <w:bCs/>
              <w:i w:val="0"/>
              <w:iCs w:val="0"/>
              <w:noProof/>
            </w:rPr>
            <w:fldChar w:fldCharType="begin"/>
          </w:r>
          <w:r w:rsidRPr="00790095">
            <w:rPr>
              <w:rFonts w:ascii="Arial" w:hAnsi="Arial" w:cs="Arial"/>
              <w:bCs/>
              <w:i w:val="0"/>
              <w:iCs w:val="0"/>
              <w:noProof/>
            </w:rPr>
            <w:instrText xml:space="preserve"> PAGEREF _Toc191460228 \h </w:instrText>
          </w:r>
          <w:r w:rsidRPr="00790095">
            <w:rPr>
              <w:rFonts w:ascii="Arial" w:hAnsi="Arial" w:cs="Arial"/>
              <w:bCs/>
              <w:i w:val="0"/>
              <w:iCs w:val="0"/>
              <w:noProof/>
            </w:rPr>
          </w:r>
          <w:r w:rsidRPr="00790095">
            <w:rPr>
              <w:rFonts w:ascii="Arial" w:hAnsi="Arial" w:cs="Arial"/>
              <w:bCs/>
              <w:i w:val="0"/>
              <w:iCs w:val="0"/>
              <w:noProof/>
            </w:rPr>
            <w:fldChar w:fldCharType="separate"/>
          </w:r>
          <w:r w:rsidRPr="00790095">
            <w:rPr>
              <w:rFonts w:ascii="Arial" w:hAnsi="Arial" w:cs="Arial"/>
              <w:bCs/>
              <w:i w:val="0"/>
              <w:iCs w:val="0"/>
              <w:noProof/>
            </w:rPr>
            <w:t>24</w:t>
          </w:r>
          <w:r w:rsidRPr="00790095">
            <w:rPr>
              <w:rFonts w:ascii="Arial" w:hAnsi="Arial" w:cs="Arial"/>
              <w:bCs/>
              <w:i w:val="0"/>
              <w:iCs w:val="0"/>
              <w:noProof/>
            </w:rPr>
            <w:fldChar w:fldCharType="end"/>
          </w:r>
        </w:p>
        <w:p w14:paraId="3C73F1BF" w14:textId="714051B9" w:rsidR="0099175C" w:rsidRPr="00790095" w:rsidRDefault="0099175C" w:rsidP="0099175C">
          <w:pPr>
            <w:pStyle w:val="Kazalovsebine2"/>
            <w:tabs>
              <w:tab w:val="left" w:pos="800"/>
              <w:tab w:val="right" w:leader="dot" w:pos="9060"/>
            </w:tabs>
            <w:jc w:val="both"/>
            <w:rPr>
              <w:rFonts w:ascii="Arial" w:eastAsiaTheme="minorEastAsia" w:hAnsi="Arial" w:cs="Arial"/>
              <w:bCs/>
              <w:smallCaps w:val="0"/>
              <w:noProof/>
              <w:kern w:val="2"/>
              <w:sz w:val="24"/>
              <w:szCs w:val="24"/>
              <w14:ligatures w14:val="standardContextual"/>
            </w:rPr>
          </w:pPr>
          <w:r w:rsidRPr="00790095">
            <w:rPr>
              <w:rFonts w:ascii="Arial" w:hAnsi="Arial" w:cs="Arial"/>
              <w:bCs/>
              <w:noProof/>
            </w:rPr>
            <w:t>4.2</w:t>
          </w:r>
          <w:r w:rsidRPr="00790095">
            <w:rPr>
              <w:rFonts w:ascii="Arial" w:eastAsiaTheme="minorEastAsia" w:hAnsi="Arial" w:cs="Arial"/>
              <w:bCs/>
              <w:smallCaps w:val="0"/>
              <w:noProof/>
              <w:kern w:val="2"/>
              <w:sz w:val="24"/>
              <w:szCs w:val="24"/>
              <w14:ligatures w14:val="standardContextual"/>
            </w:rPr>
            <w:tab/>
          </w:r>
          <w:r w:rsidRPr="00790095">
            <w:rPr>
              <w:rFonts w:ascii="Arial" w:hAnsi="Arial" w:cs="Arial"/>
              <w:bCs/>
              <w:noProof/>
            </w:rPr>
            <w:t>SKLAD ZA PRAVIČNI PREHOD (SPP)</w:t>
          </w:r>
          <w:r w:rsidRPr="00790095">
            <w:rPr>
              <w:rFonts w:ascii="Arial" w:hAnsi="Arial" w:cs="Arial"/>
              <w:bCs/>
              <w:noProof/>
            </w:rPr>
            <w:tab/>
          </w:r>
          <w:r w:rsidRPr="00790095">
            <w:rPr>
              <w:rFonts w:ascii="Arial" w:hAnsi="Arial" w:cs="Arial"/>
              <w:bCs/>
              <w:noProof/>
            </w:rPr>
            <w:fldChar w:fldCharType="begin"/>
          </w:r>
          <w:r w:rsidRPr="00790095">
            <w:rPr>
              <w:rFonts w:ascii="Arial" w:hAnsi="Arial" w:cs="Arial"/>
              <w:bCs/>
              <w:noProof/>
            </w:rPr>
            <w:instrText xml:space="preserve"> PAGEREF _Toc191460229 \h </w:instrText>
          </w:r>
          <w:r w:rsidRPr="00790095">
            <w:rPr>
              <w:rFonts w:ascii="Arial" w:hAnsi="Arial" w:cs="Arial"/>
              <w:bCs/>
              <w:noProof/>
            </w:rPr>
          </w:r>
          <w:r w:rsidRPr="00790095">
            <w:rPr>
              <w:rFonts w:ascii="Arial" w:hAnsi="Arial" w:cs="Arial"/>
              <w:bCs/>
              <w:noProof/>
            </w:rPr>
            <w:fldChar w:fldCharType="separate"/>
          </w:r>
          <w:r w:rsidRPr="00790095">
            <w:rPr>
              <w:rFonts w:ascii="Arial" w:hAnsi="Arial" w:cs="Arial"/>
              <w:bCs/>
              <w:noProof/>
            </w:rPr>
            <w:t>25</w:t>
          </w:r>
          <w:r w:rsidRPr="00790095">
            <w:rPr>
              <w:rFonts w:ascii="Arial" w:hAnsi="Arial" w:cs="Arial"/>
              <w:bCs/>
              <w:noProof/>
            </w:rPr>
            <w:fldChar w:fldCharType="end"/>
          </w:r>
        </w:p>
        <w:p w14:paraId="470DFF2F" w14:textId="5164C376" w:rsidR="0099175C" w:rsidRPr="00790095" w:rsidRDefault="0099175C" w:rsidP="0099175C">
          <w:pPr>
            <w:pStyle w:val="Kazalovsebine2"/>
            <w:tabs>
              <w:tab w:val="left" w:pos="800"/>
              <w:tab w:val="right" w:leader="dot" w:pos="9060"/>
            </w:tabs>
            <w:jc w:val="both"/>
            <w:rPr>
              <w:rFonts w:ascii="Arial" w:eastAsiaTheme="minorEastAsia" w:hAnsi="Arial" w:cs="Arial"/>
              <w:bCs/>
              <w:smallCaps w:val="0"/>
              <w:noProof/>
              <w:kern w:val="2"/>
              <w:sz w:val="24"/>
              <w:szCs w:val="24"/>
              <w14:ligatures w14:val="standardContextual"/>
            </w:rPr>
          </w:pPr>
          <w:r w:rsidRPr="00790095">
            <w:rPr>
              <w:rFonts w:ascii="Arial" w:hAnsi="Arial" w:cs="Arial"/>
              <w:bCs/>
              <w:noProof/>
            </w:rPr>
            <w:t>4.3</w:t>
          </w:r>
          <w:r w:rsidRPr="00790095">
            <w:rPr>
              <w:rFonts w:ascii="Arial" w:eastAsiaTheme="minorEastAsia" w:hAnsi="Arial" w:cs="Arial"/>
              <w:bCs/>
              <w:smallCaps w:val="0"/>
              <w:noProof/>
              <w:kern w:val="2"/>
              <w:sz w:val="24"/>
              <w:szCs w:val="24"/>
              <w14:ligatures w14:val="standardContextual"/>
            </w:rPr>
            <w:tab/>
          </w:r>
          <w:r w:rsidRPr="00790095">
            <w:rPr>
              <w:rFonts w:ascii="Arial" w:hAnsi="Arial" w:cs="Arial"/>
              <w:bCs/>
              <w:noProof/>
            </w:rPr>
            <w:t>EVROPSKI SOCIALNI SKLAD PLUS (ESS+)</w:t>
          </w:r>
          <w:r w:rsidRPr="00790095">
            <w:rPr>
              <w:rFonts w:ascii="Arial" w:hAnsi="Arial" w:cs="Arial"/>
              <w:bCs/>
              <w:noProof/>
            </w:rPr>
            <w:tab/>
          </w:r>
          <w:r w:rsidRPr="00790095">
            <w:rPr>
              <w:rFonts w:ascii="Arial" w:hAnsi="Arial" w:cs="Arial"/>
              <w:bCs/>
              <w:noProof/>
            </w:rPr>
            <w:fldChar w:fldCharType="begin"/>
          </w:r>
          <w:r w:rsidRPr="00790095">
            <w:rPr>
              <w:rFonts w:ascii="Arial" w:hAnsi="Arial" w:cs="Arial"/>
              <w:bCs/>
              <w:noProof/>
            </w:rPr>
            <w:instrText xml:space="preserve"> PAGEREF _Toc191460230 \h </w:instrText>
          </w:r>
          <w:r w:rsidRPr="00790095">
            <w:rPr>
              <w:rFonts w:ascii="Arial" w:hAnsi="Arial" w:cs="Arial"/>
              <w:bCs/>
              <w:noProof/>
            </w:rPr>
          </w:r>
          <w:r w:rsidRPr="00790095">
            <w:rPr>
              <w:rFonts w:ascii="Arial" w:hAnsi="Arial" w:cs="Arial"/>
              <w:bCs/>
              <w:noProof/>
            </w:rPr>
            <w:fldChar w:fldCharType="separate"/>
          </w:r>
          <w:r w:rsidRPr="00790095">
            <w:rPr>
              <w:rFonts w:ascii="Arial" w:hAnsi="Arial" w:cs="Arial"/>
              <w:bCs/>
              <w:noProof/>
            </w:rPr>
            <w:t>26</w:t>
          </w:r>
          <w:r w:rsidRPr="00790095">
            <w:rPr>
              <w:rFonts w:ascii="Arial" w:hAnsi="Arial" w:cs="Arial"/>
              <w:bCs/>
              <w:noProof/>
            </w:rPr>
            <w:fldChar w:fldCharType="end"/>
          </w:r>
        </w:p>
        <w:p w14:paraId="7F037CE5" w14:textId="455A8D18" w:rsidR="0099175C" w:rsidRPr="00790095" w:rsidRDefault="0099175C" w:rsidP="0099175C">
          <w:pPr>
            <w:pStyle w:val="Kazalovsebine2"/>
            <w:tabs>
              <w:tab w:val="left" w:pos="800"/>
              <w:tab w:val="right" w:leader="dot" w:pos="9060"/>
            </w:tabs>
            <w:jc w:val="both"/>
            <w:rPr>
              <w:rFonts w:ascii="Arial" w:eastAsiaTheme="minorEastAsia" w:hAnsi="Arial" w:cs="Arial"/>
              <w:bCs/>
              <w:smallCaps w:val="0"/>
              <w:noProof/>
              <w:kern w:val="2"/>
              <w:sz w:val="24"/>
              <w:szCs w:val="24"/>
              <w14:ligatures w14:val="standardContextual"/>
            </w:rPr>
          </w:pPr>
          <w:r w:rsidRPr="00790095">
            <w:rPr>
              <w:rFonts w:ascii="Arial" w:hAnsi="Arial" w:cs="Arial"/>
              <w:bCs/>
              <w:noProof/>
            </w:rPr>
            <w:t>4.4</w:t>
          </w:r>
          <w:r w:rsidRPr="00790095">
            <w:rPr>
              <w:rFonts w:ascii="Arial" w:eastAsiaTheme="minorEastAsia" w:hAnsi="Arial" w:cs="Arial"/>
              <w:bCs/>
              <w:smallCaps w:val="0"/>
              <w:noProof/>
              <w:kern w:val="2"/>
              <w:sz w:val="24"/>
              <w:szCs w:val="24"/>
              <w14:ligatures w14:val="standardContextual"/>
            </w:rPr>
            <w:tab/>
          </w:r>
          <w:r w:rsidRPr="00790095">
            <w:rPr>
              <w:rFonts w:ascii="Arial" w:hAnsi="Arial" w:cs="Arial"/>
              <w:bCs/>
              <w:noProof/>
            </w:rPr>
            <w:t>FINANČNI INŠTRUMENTI</w:t>
          </w:r>
          <w:r w:rsidRPr="00790095">
            <w:rPr>
              <w:rFonts w:ascii="Arial" w:hAnsi="Arial" w:cs="Arial"/>
              <w:bCs/>
              <w:noProof/>
            </w:rPr>
            <w:tab/>
          </w:r>
          <w:r w:rsidRPr="00790095">
            <w:rPr>
              <w:rFonts w:ascii="Arial" w:hAnsi="Arial" w:cs="Arial"/>
              <w:bCs/>
              <w:noProof/>
            </w:rPr>
            <w:fldChar w:fldCharType="begin"/>
          </w:r>
          <w:r w:rsidRPr="00790095">
            <w:rPr>
              <w:rFonts w:ascii="Arial" w:hAnsi="Arial" w:cs="Arial"/>
              <w:bCs/>
              <w:noProof/>
            </w:rPr>
            <w:instrText xml:space="preserve"> PAGEREF _Toc191460231 \h </w:instrText>
          </w:r>
          <w:r w:rsidRPr="00790095">
            <w:rPr>
              <w:rFonts w:ascii="Arial" w:hAnsi="Arial" w:cs="Arial"/>
              <w:bCs/>
              <w:noProof/>
            </w:rPr>
          </w:r>
          <w:r w:rsidRPr="00790095">
            <w:rPr>
              <w:rFonts w:ascii="Arial" w:hAnsi="Arial" w:cs="Arial"/>
              <w:bCs/>
              <w:noProof/>
            </w:rPr>
            <w:fldChar w:fldCharType="separate"/>
          </w:r>
          <w:r w:rsidRPr="00790095">
            <w:rPr>
              <w:rFonts w:ascii="Arial" w:hAnsi="Arial" w:cs="Arial"/>
              <w:bCs/>
              <w:noProof/>
            </w:rPr>
            <w:t>27</w:t>
          </w:r>
          <w:r w:rsidRPr="00790095">
            <w:rPr>
              <w:rFonts w:ascii="Arial" w:hAnsi="Arial" w:cs="Arial"/>
              <w:bCs/>
              <w:noProof/>
            </w:rPr>
            <w:fldChar w:fldCharType="end"/>
          </w:r>
        </w:p>
        <w:p w14:paraId="43DB60B1" w14:textId="2939DFF3" w:rsidR="0099175C" w:rsidRPr="00790095" w:rsidRDefault="0099175C" w:rsidP="0099175C">
          <w:pPr>
            <w:pStyle w:val="Kazalovsebine2"/>
            <w:tabs>
              <w:tab w:val="left" w:pos="800"/>
              <w:tab w:val="right" w:leader="dot" w:pos="9060"/>
            </w:tabs>
            <w:jc w:val="both"/>
            <w:rPr>
              <w:rFonts w:ascii="Arial" w:eastAsiaTheme="minorEastAsia" w:hAnsi="Arial" w:cs="Arial"/>
              <w:bCs/>
              <w:smallCaps w:val="0"/>
              <w:noProof/>
              <w:kern w:val="2"/>
              <w:sz w:val="24"/>
              <w:szCs w:val="24"/>
              <w14:ligatures w14:val="standardContextual"/>
            </w:rPr>
          </w:pPr>
          <w:r w:rsidRPr="00790095">
            <w:rPr>
              <w:rFonts w:ascii="Arial" w:hAnsi="Arial" w:cs="Arial"/>
              <w:bCs/>
              <w:noProof/>
            </w:rPr>
            <w:t>4.5</w:t>
          </w:r>
          <w:r w:rsidRPr="00790095">
            <w:rPr>
              <w:rFonts w:ascii="Arial" w:eastAsiaTheme="minorEastAsia" w:hAnsi="Arial" w:cs="Arial"/>
              <w:bCs/>
              <w:smallCaps w:val="0"/>
              <w:noProof/>
              <w:kern w:val="2"/>
              <w:sz w:val="24"/>
              <w:szCs w:val="24"/>
              <w14:ligatures w14:val="standardContextual"/>
            </w:rPr>
            <w:tab/>
          </w:r>
          <w:r w:rsidRPr="00790095">
            <w:rPr>
              <w:rFonts w:ascii="Arial" w:hAnsi="Arial" w:cs="Arial"/>
              <w:bCs/>
              <w:noProof/>
            </w:rPr>
            <w:t>VKLJUČEVANJE NAČELA, DA SE ŠKODUJE BISTVENO (DNSH) IN NAČEL NOVEGA EVROPSKEGA BAUHAUSA (NEB) TER ZAGOTOVITEV PODNEBNE ODPORNOSTI INFRASTRUKTURE (CLIMATE PROOFING) V OBDOBJU 2021–2027…..</w:t>
          </w:r>
          <w:r w:rsidRPr="00790095">
            <w:rPr>
              <w:rFonts w:ascii="Arial" w:hAnsi="Arial" w:cs="Arial"/>
              <w:bCs/>
              <w:noProof/>
            </w:rPr>
            <w:tab/>
          </w:r>
          <w:r w:rsidRPr="00790095">
            <w:rPr>
              <w:rFonts w:ascii="Arial" w:hAnsi="Arial" w:cs="Arial"/>
              <w:bCs/>
              <w:noProof/>
            </w:rPr>
            <w:fldChar w:fldCharType="begin"/>
          </w:r>
          <w:r w:rsidRPr="00790095">
            <w:rPr>
              <w:rFonts w:ascii="Arial" w:hAnsi="Arial" w:cs="Arial"/>
              <w:bCs/>
              <w:noProof/>
            </w:rPr>
            <w:instrText xml:space="preserve"> PAGEREF _Toc191460232 \h </w:instrText>
          </w:r>
          <w:r w:rsidRPr="00790095">
            <w:rPr>
              <w:rFonts w:ascii="Arial" w:hAnsi="Arial" w:cs="Arial"/>
              <w:bCs/>
              <w:noProof/>
            </w:rPr>
          </w:r>
          <w:r w:rsidRPr="00790095">
            <w:rPr>
              <w:rFonts w:ascii="Arial" w:hAnsi="Arial" w:cs="Arial"/>
              <w:bCs/>
              <w:noProof/>
            </w:rPr>
            <w:fldChar w:fldCharType="separate"/>
          </w:r>
          <w:r w:rsidRPr="00790095">
            <w:rPr>
              <w:rFonts w:ascii="Arial" w:hAnsi="Arial" w:cs="Arial"/>
              <w:bCs/>
              <w:noProof/>
            </w:rPr>
            <w:t>28</w:t>
          </w:r>
          <w:r w:rsidRPr="00790095">
            <w:rPr>
              <w:rFonts w:ascii="Arial" w:hAnsi="Arial" w:cs="Arial"/>
              <w:bCs/>
              <w:noProof/>
            </w:rPr>
            <w:fldChar w:fldCharType="end"/>
          </w:r>
        </w:p>
        <w:p w14:paraId="521937BF" w14:textId="64FDF295" w:rsidR="0099175C" w:rsidRPr="00790095" w:rsidRDefault="0099175C" w:rsidP="0099175C">
          <w:pPr>
            <w:pStyle w:val="Kazalovsebine2"/>
            <w:tabs>
              <w:tab w:val="left" w:pos="800"/>
              <w:tab w:val="right" w:leader="dot" w:pos="9060"/>
            </w:tabs>
            <w:jc w:val="both"/>
            <w:rPr>
              <w:rFonts w:ascii="Arial" w:eastAsiaTheme="minorEastAsia" w:hAnsi="Arial" w:cs="Arial"/>
              <w:bCs/>
              <w:smallCaps w:val="0"/>
              <w:noProof/>
              <w:kern w:val="2"/>
              <w:sz w:val="24"/>
              <w:szCs w:val="24"/>
              <w14:ligatures w14:val="standardContextual"/>
            </w:rPr>
          </w:pPr>
          <w:r w:rsidRPr="00790095">
            <w:rPr>
              <w:rFonts w:ascii="Arial" w:hAnsi="Arial" w:cs="Arial"/>
              <w:bCs/>
              <w:noProof/>
            </w:rPr>
            <w:t>4.6</w:t>
          </w:r>
          <w:r w:rsidRPr="00790095">
            <w:rPr>
              <w:rFonts w:ascii="Arial" w:eastAsiaTheme="minorEastAsia" w:hAnsi="Arial" w:cs="Arial"/>
              <w:bCs/>
              <w:smallCaps w:val="0"/>
              <w:noProof/>
              <w:kern w:val="2"/>
              <w:sz w:val="24"/>
              <w:szCs w:val="24"/>
              <w14:ligatures w14:val="standardContextual"/>
            </w:rPr>
            <w:tab/>
          </w:r>
          <w:r w:rsidRPr="00790095">
            <w:rPr>
              <w:rFonts w:ascii="Arial" w:hAnsi="Arial" w:cs="Arial"/>
              <w:bCs/>
              <w:noProof/>
            </w:rPr>
            <w:t>PROMOCIJA IN OBVEŠČANJE JAVNOSTI</w:t>
          </w:r>
          <w:r w:rsidRPr="00790095">
            <w:rPr>
              <w:rFonts w:ascii="Arial" w:hAnsi="Arial" w:cs="Arial"/>
              <w:bCs/>
              <w:noProof/>
            </w:rPr>
            <w:tab/>
          </w:r>
          <w:r w:rsidRPr="00790095">
            <w:rPr>
              <w:rFonts w:ascii="Arial" w:hAnsi="Arial" w:cs="Arial"/>
              <w:bCs/>
              <w:noProof/>
            </w:rPr>
            <w:fldChar w:fldCharType="begin"/>
          </w:r>
          <w:r w:rsidRPr="00790095">
            <w:rPr>
              <w:rFonts w:ascii="Arial" w:hAnsi="Arial" w:cs="Arial"/>
              <w:bCs/>
              <w:noProof/>
            </w:rPr>
            <w:instrText xml:space="preserve"> PAGEREF _Toc191460233 \h </w:instrText>
          </w:r>
          <w:r w:rsidRPr="00790095">
            <w:rPr>
              <w:rFonts w:ascii="Arial" w:hAnsi="Arial" w:cs="Arial"/>
              <w:bCs/>
              <w:noProof/>
            </w:rPr>
          </w:r>
          <w:r w:rsidRPr="00790095">
            <w:rPr>
              <w:rFonts w:ascii="Arial" w:hAnsi="Arial" w:cs="Arial"/>
              <w:bCs/>
              <w:noProof/>
            </w:rPr>
            <w:fldChar w:fldCharType="separate"/>
          </w:r>
          <w:r w:rsidRPr="00790095">
            <w:rPr>
              <w:rFonts w:ascii="Arial" w:hAnsi="Arial" w:cs="Arial"/>
              <w:bCs/>
              <w:noProof/>
            </w:rPr>
            <w:t>28</w:t>
          </w:r>
          <w:r w:rsidRPr="00790095">
            <w:rPr>
              <w:rFonts w:ascii="Arial" w:hAnsi="Arial" w:cs="Arial"/>
              <w:bCs/>
              <w:noProof/>
            </w:rPr>
            <w:fldChar w:fldCharType="end"/>
          </w:r>
        </w:p>
        <w:p w14:paraId="2C7C853C" w14:textId="7D86BFEF" w:rsidR="0099175C" w:rsidRPr="00790095" w:rsidRDefault="0099175C" w:rsidP="0099175C">
          <w:pPr>
            <w:pStyle w:val="Kazalovsebine2"/>
            <w:tabs>
              <w:tab w:val="left" w:pos="800"/>
              <w:tab w:val="right" w:leader="dot" w:pos="9060"/>
            </w:tabs>
            <w:jc w:val="both"/>
            <w:rPr>
              <w:rFonts w:ascii="Arial" w:eastAsiaTheme="minorEastAsia" w:hAnsi="Arial" w:cs="Arial"/>
              <w:bCs/>
              <w:smallCaps w:val="0"/>
              <w:noProof/>
              <w:kern w:val="2"/>
              <w:sz w:val="24"/>
              <w:szCs w:val="24"/>
              <w14:ligatures w14:val="standardContextual"/>
            </w:rPr>
          </w:pPr>
          <w:r w:rsidRPr="00790095">
            <w:rPr>
              <w:rFonts w:ascii="Arial" w:hAnsi="Arial" w:cs="Arial"/>
              <w:bCs/>
              <w:noProof/>
            </w:rPr>
            <w:t>4.7</w:t>
          </w:r>
          <w:r w:rsidRPr="00790095">
            <w:rPr>
              <w:rFonts w:ascii="Arial" w:eastAsiaTheme="minorEastAsia" w:hAnsi="Arial" w:cs="Arial"/>
              <w:bCs/>
              <w:smallCaps w:val="0"/>
              <w:noProof/>
              <w:kern w:val="2"/>
              <w:sz w:val="24"/>
              <w:szCs w:val="24"/>
              <w14:ligatures w14:val="standardContextual"/>
            </w:rPr>
            <w:tab/>
          </w:r>
          <w:r w:rsidRPr="00790095">
            <w:rPr>
              <w:rFonts w:ascii="Arial" w:hAnsi="Arial" w:cs="Arial"/>
              <w:bCs/>
              <w:noProof/>
            </w:rPr>
            <w:t>INFORMACIJSKI SISTEM OU e-MA2</w:t>
          </w:r>
          <w:r w:rsidRPr="00790095">
            <w:rPr>
              <w:rFonts w:ascii="Arial" w:hAnsi="Arial" w:cs="Arial"/>
              <w:bCs/>
              <w:noProof/>
            </w:rPr>
            <w:tab/>
          </w:r>
          <w:r w:rsidRPr="00790095">
            <w:rPr>
              <w:rFonts w:ascii="Arial" w:hAnsi="Arial" w:cs="Arial"/>
              <w:bCs/>
              <w:noProof/>
            </w:rPr>
            <w:fldChar w:fldCharType="begin"/>
          </w:r>
          <w:r w:rsidRPr="00790095">
            <w:rPr>
              <w:rFonts w:ascii="Arial" w:hAnsi="Arial" w:cs="Arial"/>
              <w:bCs/>
              <w:noProof/>
            </w:rPr>
            <w:instrText xml:space="preserve"> PAGEREF _Toc191460234 \h </w:instrText>
          </w:r>
          <w:r w:rsidRPr="00790095">
            <w:rPr>
              <w:rFonts w:ascii="Arial" w:hAnsi="Arial" w:cs="Arial"/>
              <w:bCs/>
              <w:noProof/>
            </w:rPr>
          </w:r>
          <w:r w:rsidRPr="00790095">
            <w:rPr>
              <w:rFonts w:ascii="Arial" w:hAnsi="Arial" w:cs="Arial"/>
              <w:bCs/>
              <w:noProof/>
            </w:rPr>
            <w:fldChar w:fldCharType="separate"/>
          </w:r>
          <w:r w:rsidRPr="00790095">
            <w:rPr>
              <w:rFonts w:ascii="Arial" w:hAnsi="Arial" w:cs="Arial"/>
              <w:bCs/>
              <w:noProof/>
            </w:rPr>
            <w:t>29</w:t>
          </w:r>
          <w:r w:rsidRPr="00790095">
            <w:rPr>
              <w:rFonts w:ascii="Arial" w:hAnsi="Arial" w:cs="Arial"/>
              <w:bCs/>
              <w:noProof/>
            </w:rPr>
            <w:fldChar w:fldCharType="end"/>
          </w:r>
        </w:p>
        <w:p w14:paraId="40102963" w14:textId="3D1C523A" w:rsidR="0099175C" w:rsidRPr="00790095" w:rsidRDefault="0099175C" w:rsidP="0099175C">
          <w:pPr>
            <w:pStyle w:val="Kazalovsebine1"/>
            <w:tabs>
              <w:tab w:val="right" w:leader="dot" w:pos="9060"/>
            </w:tabs>
            <w:spacing w:before="0" w:after="0"/>
            <w:jc w:val="both"/>
            <w:rPr>
              <w:rFonts w:ascii="Arial" w:eastAsiaTheme="minorEastAsia" w:hAnsi="Arial" w:cs="Arial"/>
              <w:b w:val="0"/>
              <w:caps w:val="0"/>
              <w:noProof/>
              <w:kern w:val="2"/>
              <w:sz w:val="24"/>
              <w:szCs w:val="24"/>
              <w14:ligatures w14:val="standardContextual"/>
            </w:rPr>
          </w:pPr>
          <w:r w:rsidRPr="00790095">
            <w:rPr>
              <w:rFonts w:ascii="Arial" w:hAnsi="Arial" w:cs="Arial"/>
              <w:b w:val="0"/>
              <w:noProof/>
            </w:rPr>
            <w:t>Priloga 1: Poročilo o napredku pri pripravi tematskih omogočitvenih pogojev v obdobju 2021 – 2027</w:t>
          </w:r>
          <w:r w:rsidRPr="00790095">
            <w:rPr>
              <w:rFonts w:ascii="Arial" w:hAnsi="Arial" w:cs="Arial"/>
              <w:b w:val="0"/>
              <w:noProof/>
            </w:rPr>
            <w:tab/>
          </w:r>
          <w:r w:rsidRPr="00790095">
            <w:rPr>
              <w:rFonts w:ascii="Arial" w:hAnsi="Arial" w:cs="Arial"/>
              <w:b w:val="0"/>
              <w:noProof/>
            </w:rPr>
            <w:fldChar w:fldCharType="begin"/>
          </w:r>
          <w:r w:rsidRPr="00790095">
            <w:rPr>
              <w:rFonts w:ascii="Arial" w:hAnsi="Arial" w:cs="Arial"/>
              <w:b w:val="0"/>
              <w:noProof/>
            </w:rPr>
            <w:instrText xml:space="preserve"> PAGEREF _Toc191460235 \h </w:instrText>
          </w:r>
          <w:r w:rsidRPr="00790095">
            <w:rPr>
              <w:rFonts w:ascii="Arial" w:hAnsi="Arial" w:cs="Arial"/>
              <w:b w:val="0"/>
              <w:noProof/>
            </w:rPr>
          </w:r>
          <w:r w:rsidRPr="00790095">
            <w:rPr>
              <w:rFonts w:ascii="Arial" w:hAnsi="Arial" w:cs="Arial"/>
              <w:b w:val="0"/>
              <w:noProof/>
            </w:rPr>
            <w:fldChar w:fldCharType="separate"/>
          </w:r>
          <w:r w:rsidRPr="00790095">
            <w:rPr>
              <w:rFonts w:ascii="Arial" w:hAnsi="Arial" w:cs="Arial"/>
              <w:b w:val="0"/>
              <w:noProof/>
            </w:rPr>
            <w:t>30</w:t>
          </w:r>
          <w:r w:rsidRPr="00790095">
            <w:rPr>
              <w:rFonts w:ascii="Arial" w:hAnsi="Arial" w:cs="Arial"/>
              <w:b w:val="0"/>
              <w:noProof/>
            </w:rPr>
            <w:fldChar w:fldCharType="end"/>
          </w:r>
        </w:p>
        <w:p w14:paraId="47108598" w14:textId="46B6DD5B" w:rsidR="0099175C" w:rsidRPr="00790095" w:rsidRDefault="0099175C" w:rsidP="0099175C">
          <w:pPr>
            <w:pStyle w:val="Kazalovsebine1"/>
            <w:tabs>
              <w:tab w:val="right" w:leader="dot" w:pos="9060"/>
            </w:tabs>
            <w:spacing w:before="0" w:after="0"/>
            <w:jc w:val="both"/>
            <w:rPr>
              <w:rFonts w:ascii="Arial" w:eastAsiaTheme="minorEastAsia" w:hAnsi="Arial" w:cs="Arial"/>
              <w:b w:val="0"/>
              <w:caps w:val="0"/>
              <w:noProof/>
              <w:kern w:val="2"/>
              <w:sz w:val="24"/>
              <w:szCs w:val="24"/>
              <w14:ligatures w14:val="standardContextual"/>
            </w:rPr>
          </w:pPr>
          <w:r w:rsidRPr="00790095">
            <w:rPr>
              <w:rFonts w:ascii="Arial" w:hAnsi="Arial" w:cs="Arial"/>
              <w:b w:val="0"/>
              <w:noProof/>
            </w:rPr>
            <w:t>Priloga 2: Informacija o analizi absorpcije in RRI potencialov slovenskega gospodarstva skladno z uredbo STEP</w:t>
          </w:r>
          <w:r w:rsidRPr="00790095">
            <w:rPr>
              <w:rFonts w:ascii="Arial" w:hAnsi="Arial" w:cs="Arial"/>
              <w:b w:val="0"/>
              <w:noProof/>
            </w:rPr>
            <w:tab/>
          </w:r>
          <w:r w:rsidRPr="00790095">
            <w:rPr>
              <w:rFonts w:ascii="Arial" w:hAnsi="Arial" w:cs="Arial"/>
              <w:b w:val="0"/>
              <w:noProof/>
            </w:rPr>
            <w:fldChar w:fldCharType="begin"/>
          </w:r>
          <w:r w:rsidRPr="00790095">
            <w:rPr>
              <w:rFonts w:ascii="Arial" w:hAnsi="Arial" w:cs="Arial"/>
              <w:b w:val="0"/>
              <w:noProof/>
            </w:rPr>
            <w:instrText xml:space="preserve"> PAGEREF _Toc191460236 \h </w:instrText>
          </w:r>
          <w:r w:rsidRPr="00790095">
            <w:rPr>
              <w:rFonts w:ascii="Arial" w:hAnsi="Arial" w:cs="Arial"/>
              <w:b w:val="0"/>
              <w:noProof/>
            </w:rPr>
          </w:r>
          <w:r w:rsidRPr="00790095">
            <w:rPr>
              <w:rFonts w:ascii="Arial" w:hAnsi="Arial" w:cs="Arial"/>
              <w:b w:val="0"/>
              <w:noProof/>
            </w:rPr>
            <w:fldChar w:fldCharType="separate"/>
          </w:r>
          <w:r w:rsidRPr="00790095">
            <w:rPr>
              <w:rFonts w:ascii="Arial" w:hAnsi="Arial" w:cs="Arial"/>
              <w:b w:val="0"/>
              <w:noProof/>
            </w:rPr>
            <w:t>33</w:t>
          </w:r>
          <w:r w:rsidRPr="00790095">
            <w:rPr>
              <w:rFonts w:ascii="Arial" w:hAnsi="Arial" w:cs="Arial"/>
              <w:b w:val="0"/>
              <w:noProof/>
            </w:rPr>
            <w:fldChar w:fldCharType="end"/>
          </w:r>
        </w:p>
        <w:p w14:paraId="5FE1EEC2" w14:textId="7F9E2E7D" w:rsidR="0099175C" w:rsidRPr="00790095" w:rsidRDefault="0099175C" w:rsidP="0099175C">
          <w:pPr>
            <w:pStyle w:val="Kazalovsebine1"/>
            <w:tabs>
              <w:tab w:val="right" w:leader="dot" w:pos="9060"/>
            </w:tabs>
            <w:spacing w:before="0" w:after="0"/>
            <w:jc w:val="both"/>
            <w:rPr>
              <w:rFonts w:ascii="Arial" w:eastAsiaTheme="minorEastAsia" w:hAnsi="Arial" w:cs="Arial"/>
              <w:b w:val="0"/>
              <w:caps w:val="0"/>
              <w:noProof/>
              <w:kern w:val="2"/>
              <w:sz w:val="24"/>
              <w:szCs w:val="24"/>
              <w14:ligatures w14:val="standardContextual"/>
            </w:rPr>
          </w:pPr>
          <w:r w:rsidRPr="00790095">
            <w:rPr>
              <w:rFonts w:ascii="Arial" w:hAnsi="Arial" w:cs="Arial"/>
              <w:b w:val="0"/>
              <w:noProof/>
            </w:rPr>
            <w:t>Priloga 3: Informacija o rezultatih -predlogi projektov v povezavi s STEP uredbo Nacionalnega inštituta za biologijo, Instituta “Jožef stefan” in Kemijskega inštituta</w:t>
          </w:r>
          <w:r w:rsidRPr="00790095">
            <w:rPr>
              <w:rFonts w:ascii="Arial" w:hAnsi="Arial" w:cs="Arial"/>
              <w:b w:val="0"/>
              <w:noProof/>
            </w:rPr>
            <w:tab/>
          </w:r>
          <w:r w:rsidRPr="00790095">
            <w:rPr>
              <w:rFonts w:ascii="Arial" w:hAnsi="Arial" w:cs="Arial"/>
              <w:b w:val="0"/>
              <w:noProof/>
            </w:rPr>
            <w:fldChar w:fldCharType="begin"/>
          </w:r>
          <w:r w:rsidRPr="00790095">
            <w:rPr>
              <w:rFonts w:ascii="Arial" w:hAnsi="Arial" w:cs="Arial"/>
              <w:b w:val="0"/>
              <w:noProof/>
            </w:rPr>
            <w:instrText xml:space="preserve"> PAGEREF _Toc191460237 \h </w:instrText>
          </w:r>
          <w:r w:rsidRPr="00790095">
            <w:rPr>
              <w:rFonts w:ascii="Arial" w:hAnsi="Arial" w:cs="Arial"/>
              <w:b w:val="0"/>
              <w:noProof/>
            </w:rPr>
          </w:r>
          <w:r w:rsidRPr="00790095">
            <w:rPr>
              <w:rFonts w:ascii="Arial" w:hAnsi="Arial" w:cs="Arial"/>
              <w:b w:val="0"/>
              <w:noProof/>
            </w:rPr>
            <w:fldChar w:fldCharType="separate"/>
          </w:r>
          <w:r w:rsidRPr="00790095">
            <w:rPr>
              <w:rFonts w:ascii="Arial" w:hAnsi="Arial" w:cs="Arial"/>
              <w:b w:val="0"/>
              <w:noProof/>
            </w:rPr>
            <w:t>36</w:t>
          </w:r>
          <w:r w:rsidRPr="00790095">
            <w:rPr>
              <w:rFonts w:ascii="Arial" w:hAnsi="Arial" w:cs="Arial"/>
              <w:b w:val="0"/>
              <w:noProof/>
            </w:rPr>
            <w:fldChar w:fldCharType="end"/>
          </w:r>
        </w:p>
        <w:p w14:paraId="529DAD43" w14:textId="799180CF" w:rsidR="005A12CC" w:rsidRPr="0025033E" w:rsidRDefault="00E9688F" w:rsidP="0099175C">
          <w:pPr>
            <w:pStyle w:val="Kazalovsebine1"/>
            <w:tabs>
              <w:tab w:val="left" w:pos="400"/>
              <w:tab w:val="right" w:leader="dot" w:pos="9060"/>
            </w:tabs>
            <w:spacing w:before="0" w:after="0" w:line="276" w:lineRule="auto"/>
            <w:jc w:val="both"/>
            <w:rPr>
              <w:rFonts w:ascii="Arial" w:hAnsi="Arial" w:cs="Arial"/>
            </w:rPr>
          </w:pPr>
          <w:r w:rsidRPr="00790095">
            <w:rPr>
              <w:rFonts w:ascii="Arial" w:hAnsi="Arial" w:cs="Arial"/>
              <w:b w:val="0"/>
              <w:lang w:eastAsia="zh-CN"/>
            </w:rPr>
            <w:fldChar w:fldCharType="end"/>
          </w:r>
        </w:p>
      </w:sdtContent>
    </w:sdt>
    <w:bookmarkEnd w:id="0"/>
    <w:bookmarkEnd w:id="1"/>
    <w:bookmarkEnd w:id="2"/>
    <w:bookmarkEnd w:id="3"/>
    <w:p w14:paraId="12326117" w14:textId="481048CC" w:rsidR="00D07111" w:rsidRPr="009173C9" w:rsidRDefault="00D07111" w:rsidP="00ED5676">
      <w:pPr>
        <w:shd w:val="clear" w:color="auto" w:fill="FFFFFF" w:themeFill="background1"/>
        <w:spacing w:after="0"/>
        <w:jc w:val="both"/>
        <w:rPr>
          <w:rFonts w:cs="Arial"/>
          <w:color w:val="4472C4" w:themeColor="accent1"/>
          <w:sz w:val="24"/>
          <w:szCs w:val="24"/>
        </w:rPr>
      </w:pPr>
      <w:r w:rsidRPr="009173C9">
        <w:rPr>
          <w:rFonts w:cs="Arial"/>
          <w:color w:val="4472C4" w:themeColor="accent1"/>
          <w:sz w:val="24"/>
          <w:szCs w:val="24"/>
        </w:rPr>
        <w:t>KAZALO TABEL</w:t>
      </w:r>
    </w:p>
    <w:p w14:paraId="6529C069" w14:textId="77777777" w:rsidR="0030659F" w:rsidRPr="0030659F" w:rsidRDefault="0030659F" w:rsidP="00ED5676">
      <w:pPr>
        <w:shd w:val="clear" w:color="auto" w:fill="FFFFFF" w:themeFill="background1"/>
        <w:spacing w:after="0"/>
        <w:jc w:val="both"/>
        <w:rPr>
          <w:rFonts w:cs="Arial"/>
          <w:color w:val="4472C4" w:themeColor="accent1"/>
          <w:szCs w:val="20"/>
        </w:rPr>
      </w:pPr>
    </w:p>
    <w:p w14:paraId="2A98EE9E" w14:textId="0B9AAEAB" w:rsidR="00924F77" w:rsidRPr="00924F77" w:rsidRDefault="00B6179D" w:rsidP="00924F77">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r w:rsidRPr="00924F77">
        <w:rPr>
          <w:rFonts w:cs="Arial"/>
          <w:b/>
          <w:caps/>
          <w:sz w:val="20"/>
          <w:szCs w:val="20"/>
        </w:rPr>
        <w:fldChar w:fldCharType="begin"/>
      </w:r>
      <w:r w:rsidRPr="00924F77">
        <w:rPr>
          <w:rFonts w:cs="Arial"/>
          <w:sz w:val="20"/>
          <w:szCs w:val="20"/>
        </w:rPr>
        <w:instrText xml:space="preserve"> TOC \h \z \c "Tabela" </w:instrText>
      </w:r>
      <w:r w:rsidRPr="00924F77">
        <w:rPr>
          <w:rFonts w:cs="Arial"/>
          <w:b/>
          <w:caps/>
          <w:sz w:val="20"/>
          <w:szCs w:val="20"/>
        </w:rPr>
        <w:fldChar w:fldCharType="separate"/>
      </w:r>
      <w:hyperlink w:anchor="_Toc191386692" w:history="1">
        <w:r w:rsidR="00924F77" w:rsidRPr="00924F77">
          <w:rPr>
            <w:rStyle w:val="Hiperpovezava"/>
            <w:rFonts w:cs="Arial"/>
            <w:noProof/>
            <w:sz w:val="20"/>
            <w:szCs w:val="20"/>
          </w:rPr>
          <w:t>Tabela 1: Stanje izvajanja po skladih in regijah skupaj (vklj. React-EU): obdobje od 1. 1. 2014 do 31. 12. 2024</w:t>
        </w:r>
        <w:r w:rsidR="00924F77" w:rsidRPr="00924F77">
          <w:rPr>
            <w:noProof/>
            <w:webHidden/>
            <w:sz w:val="20"/>
            <w:szCs w:val="20"/>
          </w:rPr>
          <w:tab/>
        </w:r>
        <w:r w:rsidR="00924F77" w:rsidRPr="00924F77">
          <w:rPr>
            <w:noProof/>
            <w:webHidden/>
            <w:sz w:val="20"/>
            <w:szCs w:val="20"/>
          </w:rPr>
          <w:fldChar w:fldCharType="begin"/>
        </w:r>
        <w:r w:rsidR="00924F77" w:rsidRPr="00924F77">
          <w:rPr>
            <w:noProof/>
            <w:webHidden/>
            <w:sz w:val="20"/>
            <w:szCs w:val="20"/>
          </w:rPr>
          <w:instrText xml:space="preserve"> PAGEREF _Toc191386692 \h </w:instrText>
        </w:r>
        <w:r w:rsidR="00924F77" w:rsidRPr="00924F77">
          <w:rPr>
            <w:noProof/>
            <w:webHidden/>
            <w:sz w:val="20"/>
            <w:szCs w:val="20"/>
          </w:rPr>
        </w:r>
        <w:r w:rsidR="00924F77" w:rsidRPr="00924F77">
          <w:rPr>
            <w:noProof/>
            <w:webHidden/>
            <w:sz w:val="20"/>
            <w:szCs w:val="20"/>
          </w:rPr>
          <w:fldChar w:fldCharType="separate"/>
        </w:r>
        <w:r w:rsidR="00924F77" w:rsidRPr="00924F77">
          <w:rPr>
            <w:noProof/>
            <w:webHidden/>
            <w:sz w:val="20"/>
            <w:szCs w:val="20"/>
          </w:rPr>
          <w:t>5</w:t>
        </w:r>
        <w:r w:rsidR="00924F77" w:rsidRPr="00924F77">
          <w:rPr>
            <w:noProof/>
            <w:webHidden/>
            <w:sz w:val="20"/>
            <w:szCs w:val="20"/>
          </w:rPr>
          <w:fldChar w:fldCharType="end"/>
        </w:r>
      </w:hyperlink>
    </w:p>
    <w:p w14:paraId="4806F06D" w14:textId="6FDC6112" w:rsidR="00924F77" w:rsidRPr="00924F77" w:rsidRDefault="00AD0ACF" w:rsidP="00924F77">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191386693" w:history="1">
        <w:r w:rsidR="00924F77" w:rsidRPr="00924F77">
          <w:rPr>
            <w:rStyle w:val="Hiperpovezava"/>
            <w:rFonts w:cs="Arial"/>
            <w:noProof/>
            <w:sz w:val="20"/>
            <w:szCs w:val="20"/>
          </w:rPr>
          <w:t>Tabela 2: Stanje izvajanja po prednostnih oseh skupaj (vklj. React-EU): obdobje od 1. 1. 2014 do 31. 12. 2024</w:t>
        </w:r>
        <w:r w:rsidR="00924F77" w:rsidRPr="00924F77">
          <w:rPr>
            <w:noProof/>
            <w:webHidden/>
            <w:sz w:val="20"/>
            <w:szCs w:val="20"/>
          </w:rPr>
          <w:tab/>
        </w:r>
        <w:r w:rsidR="00924F77" w:rsidRPr="00924F77">
          <w:rPr>
            <w:noProof/>
            <w:webHidden/>
            <w:sz w:val="20"/>
            <w:szCs w:val="20"/>
          </w:rPr>
          <w:fldChar w:fldCharType="begin"/>
        </w:r>
        <w:r w:rsidR="00924F77" w:rsidRPr="00924F77">
          <w:rPr>
            <w:noProof/>
            <w:webHidden/>
            <w:sz w:val="20"/>
            <w:szCs w:val="20"/>
          </w:rPr>
          <w:instrText xml:space="preserve"> PAGEREF _Toc191386693 \h </w:instrText>
        </w:r>
        <w:r w:rsidR="00924F77" w:rsidRPr="00924F77">
          <w:rPr>
            <w:noProof/>
            <w:webHidden/>
            <w:sz w:val="20"/>
            <w:szCs w:val="20"/>
          </w:rPr>
        </w:r>
        <w:r w:rsidR="00924F77" w:rsidRPr="00924F77">
          <w:rPr>
            <w:noProof/>
            <w:webHidden/>
            <w:sz w:val="20"/>
            <w:szCs w:val="20"/>
          </w:rPr>
          <w:fldChar w:fldCharType="separate"/>
        </w:r>
        <w:r w:rsidR="00924F77" w:rsidRPr="00924F77">
          <w:rPr>
            <w:noProof/>
            <w:webHidden/>
            <w:sz w:val="20"/>
            <w:szCs w:val="20"/>
          </w:rPr>
          <w:t>8</w:t>
        </w:r>
        <w:r w:rsidR="00924F77" w:rsidRPr="00924F77">
          <w:rPr>
            <w:noProof/>
            <w:webHidden/>
            <w:sz w:val="20"/>
            <w:szCs w:val="20"/>
          </w:rPr>
          <w:fldChar w:fldCharType="end"/>
        </w:r>
      </w:hyperlink>
    </w:p>
    <w:p w14:paraId="4D4254F2" w14:textId="67379061" w:rsidR="00924F77" w:rsidRPr="00924F77" w:rsidRDefault="00AD0ACF" w:rsidP="00924F77">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191386694" w:history="1">
        <w:r w:rsidR="00924F77" w:rsidRPr="00924F77">
          <w:rPr>
            <w:rStyle w:val="Hiperpovezava"/>
            <w:rFonts w:cs="Arial"/>
            <w:noProof/>
            <w:sz w:val="20"/>
            <w:szCs w:val="20"/>
          </w:rPr>
          <w:t>Tabela 3: Stanje zaključenih operacij na dan 31. 12. 2024 po posredniških telesih/organih</w:t>
        </w:r>
        <w:r w:rsidR="00924F77" w:rsidRPr="00924F77">
          <w:rPr>
            <w:noProof/>
            <w:webHidden/>
            <w:sz w:val="20"/>
            <w:szCs w:val="20"/>
          </w:rPr>
          <w:tab/>
        </w:r>
        <w:r w:rsidR="00924F77" w:rsidRPr="00924F77">
          <w:rPr>
            <w:noProof/>
            <w:webHidden/>
            <w:sz w:val="20"/>
            <w:szCs w:val="20"/>
          </w:rPr>
          <w:fldChar w:fldCharType="begin"/>
        </w:r>
        <w:r w:rsidR="00924F77" w:rsidRPr="00924F77">
          <w:rPr>
            <w:noProof/>
            <w:webHidden/>
            <w:sz w:val="20"/>
            <w:szCs w:val="20"/>
          </w:rPr>
          <w:instrText xml:space="preserve"> PAGEREF _Toc191386694 \h </w:instrText>
        </w:r>
        <w:r w:rsidR="00924F77" w:rsidRPr="00924F77">
          <w:rPr>
            <w:noProof/>
            <w:webHidden/>
            <w:sz w:val="20"/>
            <w:szCs w:val="20"/>
          </w:rPr>
        </w:r>
        <w:r w:rsidR="00924F77" w:rsidRPr="00924F77">
          <w:rPr>
            <w:noProof/>
            <w:webHidden/>
            <w:sz w:val="20"/>
            <w:szCs w:val="20"/>
          </w:rPr>
          <w:fldChar w:fldCharType="separate"/>
        </w:r>
        <w:r w:rsidR="00924F77" w:rsidRPr="00924F77">
          <w:rPr>
            <w:noProof/>
            <w:webHidden/>
            <w:sz w:val="20"/>
            <w:szCs w:val="20"/>
          </w:rPr>
          <w:t>9</w:t>
        </w:r>
        <w:r w:rsidR="00924F77" w:rsidRPr="00924F77">
          <w:rPr>
            <w:noProof/>
            <w:webHidden/>
            <w:sz w:val="20"/>
            <w:szCs w:val="20"/>
          </w:rPr>
          <w:fldChar w:fldCharType="end"/>
        </w:r>
      </w:hyperlink>
    </w:p>
    <w:p w14:paraId="04C1AF78" w14:textId="0985ECB2" w:rsidR="00924F77" w:rsidRPr="00924F77" w:rsidRDefault="00AD0ACF" w:rsidP="00924F77">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191386695" w:history="1">
        <w:r w:rsidR="00924F77" w:rsidRPr="00924F77">
          <w:rPr>
            <w:rStyle w:val="Hiperpovezava"/>
            <w:rFonts w:cs="Arial"/>
            <w:noProof/>
            <w:sz w:val="20"/>
            <w:szCs w:val="20"/>
          </w:rPr>
          <w:t>Tabela 4: Stanje izvajanja Programa EKP 2021–2027 po skladih in regijah skupaj: obdobje od 1. 1. 2021 do 31. 12. 2024</w:t>
        </w:r>
        <w:r w:rsidR="00924F77" w:rsidRPr="00924F77">
          <w:rPr>
            <w:noProof/>
            <w:webHidden/>
            <w:sz w:val="20"/>
            <w:szCs w:val="20"/>
          </w:rPr>
          <w:tab/>
        </w:r>
        <w:r w:rsidR="00924F77" w:rsidRPr="00924F77">
          <w:rPr>
            <w:noProof/>
            <w:webHidden/>
            <w:sz w:val="20"/>
            <w:szCs w:val="20"/>
          </w:rPr>
          <w:fldChar w:fldCharType="begin"/>
        </w:r>
        <w:r w:rsidR="00924F77" w:rsidRPr="00924F77">
          <w:rPr>
            <w:noProof/>
            <w:webHidden/>
            <w:sz w:val="20"/>
            <w:szCs w:val="20"/>
          </w:rPr>
          <w:instrText xml:space="preserve"> PAGEREF _Toc191386695 \h </w:instrText>
        </w:r>
        <w:r w:rsidR="00924F77" w:rsidRPr="00924F77">
          <w:rPr>
            <w:noProof/>
            <w:webHidden/>
            <w:sz w:val="20"/>
            <w:szCs w:val="20"/>
          </w:rPr>
        </w:r>
        <w:r w:rsidR="00924F77" w:rsidRPr="00924F77">
          <w:rPr>
            <w:noProof/>
            <w:webHidden/>
            <w:sz w:val="20"/>
            <w:szCs w:val="20"/>
          </w:rPr>
          <w:fldChar w:fldCharType="separate"/>
        </w:r>
        <w:r w:rsidR="00924F77" w:rsidRPr="00924F77">
          <w:rPr>
            <w:noProof/>
            <w:webHidden/>
            <w:sz w:val="20"/>
            <w:szCs w:val="20"/>
          </w:rPr>
          <w:t>19</w:t>
        </w:r>
        <w:r w:rsidR="00924F77" w:rsidRPr="00924F77">
          <w:rPr>
            <w:noProof/>
            <w:webHidden/>
            <w:sz w:val="20"/>
            <w:szCs w:val="20"/>
          </w:rPr>
          <w:fldChar w:fldCharType="end"/>
        </w:r>
      </w:hyperlink>
    </w:p>
    <w:p w14:paraId="1575431F" w14:textId="0BCA59CE" w:rsidR="00924F77" w:rsidRPr="00924F77" w:rsidRDefault="00AD0ACF" w:rsidP="00924F77">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191386696" w:history="1">
        <w:r w:rsidR="00924F77" w:rsidRPr="00924F77">
          <w:rPr>
            <w:rStyle w:val="Hiperpovezava"/>
            <w:rFonts w:cs="Arial"/>
            <w:noProof/>
            <w:sz w:val="20"/>
            <w:szCs w:val="20"/>
          </w:rPr>
          <w:t>Tabela 5: Izvajanje izvajanja Programa EKP 2021–2027 po prednostnih nalogah skupaj: obdobje od 1. 1. 2021 do 31. 12. 2024</w:t>
        </w:r>
        <w:r w:rsidR="00924F77" w:rsidRPr="00924F77">
          <w:rPr>
            <w:noProof/>
            <w:webHidden/>
            <w:sz w:val="20"/>
            <w:szCs w:val="20"/>
          </w:rPr>
          <w:tab/>
        </w:r>
        <w:r w:rsidR="00924F77" w:rsidRPr="00924F77">
          <w:rPr>
            <w:noProof/>
            <w:webHidden/>
            <w:sz w:val="20"/>
            <w:szCs w:val="20"/>
          </w:rPr>
          <w:fldChar w:fldCharType="begin"/>
        </w:r>
        <w:r w:rsidR="00924F77" w:rsidRPr="00924F77">
          <w:rPr>
            <w:noProof/>
            <w:webHidden/>
            <w:sz w:val="20"/>
            <w:szCs w:val="20"/>
          </w:rPr>
          <w:instrText xml:space="preserve"> PAGEREF _Toc191386696 \h </w:instrText>
        </w:r>
        <w:r w:rsidR="00924F77" w:rsidRPr="00924F77">
          <w:rPr>
            <w:noProof/>
            <w:webHidden/>
            <w:sz w:val="20"/>
            <w:szCs w:val="20"/>
          </w:rPr>
        </w:r>
        <w:r w:rsidR="00924F77" w:rsidRPr="00924F77">
          <w:rPr>
            <w:noProof/>
            <w:webHidden/>
            <w:sz w:val="20"/>
            <w:szCs w:val="20"/>
          </w:rPr>
          <w:fldChar w:fldCharType="separate"/>
        </w:r>
        <w:r w:rsidR="00924F77" w:rsidRPr="00924F77">
          <w:rPr>
            <w:noProof/>
            <w:webHidden/>
            <w:sz w:val="20"/>
            <w:szCs w:val="20"/>
          </w:rPr>
          <w:t>21</w:t>
        </w:r>
        <w:r w:rsidR="00924F77" w:rsidRPr="00924F77">
          <w:rPr>
            <w:noProof/>
            <w:webHidden/>
            <w:sz w:val="20"/>
            <w:szCs w:val="20"/>
          </w:rPr>
          <w:fldChar w:fldCharType="end"/>
        </w:r>
      </w:hyperlink>
    </w:p>
    <w:p w14:paraId="4E9CBC66" w14:textId="3B5A57DE" w:rsidR="00924F77" w:rsidRPr="00924F77" w:rsidRDefault="00AD0ACF" w:rsidP="00924F77">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191386697" w:history="1">
        <w:r w:rsidR="00924F77" w:rsidRPr="00924F77">
          <w:rPr>
            <w:rStyle w:val="Hiperpovezava"/>
            <w:rFonts w:cs="Arial"/>
            <w:noProof/>
            <w:sz w:val="20"/>
            <w:szCs w:val="20"/>
          </w:rPr>
          <w:t>Tabela 6: Prikaz plačanih ZZI po resorjih</w:t>
        </w:r>
        <w:r w:rsidR="00924F77" w:rsidRPr="00924F77">
          <w:rPr>
            <w:noProof/>
            <w:webHidden/>
            <w:sz w:val="20"/>
            <w:szCs w:val="20"/>
          </w:rPr>
          <w:tab/>
        </w:r>
        <w:r w:rsidR="00924F77" w:rsidRPr="00924F77">
          <w:rPr>
            <w:noProof/>
            <w:webHidden/>
            <w:sz w:val="20"/>
            <w:szCs w:val="20"/>
          </w:rPr>
          <w:fldChar w:fldCharType="begin"/>
        </w:r>
        <w:r w:rsidR="00924F77" w:rsidRPr="00924F77">
          <w:rPr>
            <w:noProof/>
            <w:webHidden/>
            <w:sz w:val="20"/>
            <w:szCs w:val="20"/>
          </w:rPr>
          <w:instrText xml:space="preserve"> PAGEREF _Toc191386697 \h </w:instrText>
        </w:r>
        <w:r w:rsidR="00924F77" w:rsidRPr="00924F77">
          <w:rPr>
            <w:noProof/>
            <w:webHidden/>
            <w:sz w:val="20"/>
            <w:szCs w:val="20"/>
          </w:rPr>
        </w:r>
        <w:r w:rsidR="00924F77" w:rsidRPr="00924F77">
          <w:rPr>
            <w:noProof/>
            <w:webHidden/>
            <w:sz w:val="20"/>
            <w:szCs w:val="20"/>
          </w:rPr>
          <w:fldChar w:fldCharType="separate"/>
        </w:r>
        <w:r w:rsidR="00924F77" w:rsidRPr="00924F77">
          <w:rPr>
            <w:noProof/>
            <w:webHidden/>
            <w:sz w:val="20"/>
            <w:szCs w:val="20"/>
          </w:rPr>
          <w:t>29</w:t>
        </w:r>
        <w:r w:rsidR="00924F77" w:rsidRPr="00924F77">
          <w:rPr>
            <w:noProof/>
            <w:webHidden/>
            <w:sz w:val="20"/>
            <w:szCs w:val="20"/>
          </w:rPr>
          <w:fldChar w:fldCharType="end"/>
        </w:r>
      </w:hyperlink>
    </w:p>
    <w:p w14:paraId="3BAC759F" w14:textId="6DF48179" w:rsidR="009173C9" w:rsidRPr="00924F77" w:rsidRDefault="00B6179D" w:rsidP="00924F77">
      <w:pPr>
        <w:pStyle w:val="Kazalovsebine1"/>
        <w:tabs>
          <w:tab w:val="left" w:pos="400"/>
          <w:tab w:val="right" w:leader="dot" w:pos="9060"/>
        </w:tabs>
        <w:spacing w:before="0" w:after="0"/>
        <w:jc w:val="both"/>
        <w:rPr>
          <w:rFonts w:ascii="Arial" w:hAnsi="Arial" w:cs="Arial"/>
          <w:b w:val="0"/>
          <w:caps w:val="0"/>
        </w:rPr>
      </w:pPr>
      <w:r w:rsidRPr="00924F77">
        <w:rPr>
          <w:rFonts w:ascii="Arial" w:hAnsi="Arial" w:cs="Arial"/>
          <w:b w:val="0"/>
          <w:caps w:val="0"/>
        </w:rPr>
        <w:fldChar w:fldCharType="end"/>
      </w:r>
    </w:p>
    <w:p w14:paraId="4CB551A0" w14:textId="058E35A4" w:rsidR="005C0526" w:rsidRPr="009173C9" w:rsidRDefault="003C7D23" w:rsidP="00AD482D">
      <w:pPr>
        <w:pStyle w:val="Kazalovsebine1"/>
        <w:tabs>
          <w:tab w:val="left" w:pos="400"/>
          <w:tab w:val="right" w:leader="dot" w:pos="9060"/>
        </w:tabs>
        <w:spacing w:before="0" w:after="0"/>
        <w:rPr>
          <w:rFonts w:ascii="Arial" w:hAnsi="Arial" w:cs="Arial"/>
          <w:b w:val="0"/>
          <w:bCs w:val="0"/>
          <w:color w:val="4472C4" w:themeColor="accent1"/>
          <w:sz w:val="24"/>
          <w:szCs w:val="24"/>
        </w:rPr>
      </w:pPr>
      <w:r w:rsidRPr="009173C9">
        <w:rPr>
          <w:rFonts w:ascii="Arial" w:hAnsi="Arial" w:cs="Arial"/>
          <w:b w:val="0"/>
          <w:bCs w:val="0"/>
          <w:color w:val="4472C4" w:themeColor="accent1"/>
          <w:sz w:val="24"/>
          <w:szCs w:val="24"/>
        </w:rPr>
        <w:t>KAZALO SLIK</w:t>
      </w:r>
    </w:p>
    <w:p w14:paraId="7448EE7A" w14:textId="77777777" w:rsidR="0030659F" w:rsidRPr="0030659F" w:rsidRDefault="0030659F" w:rsidP="005C0526">
      <w:pPr>
        <w:shd w:val="clear" w:color="auto" w:fill="FFFFFF" w:themeFill="background1"/>
        <w:spacing w:after="0"/>
        <w:jc w:val="both"/>
        <w:rPr>
          <w:rFonts w:cs="Arial"/>
          <w:color w:val="4472C4" w:themeColor="accent1"/>
          <w:szCs w:val="20"/>
        </w:rPr>
      </w:pPr>
    </w:p>
    <w:p w14:paraId="29E1EF01" w14:textId="6CB9E023" w:rsidR="00567269" w:rsidRPr="00567269" w:rsidRDefault="005C0526" w:rsidP="0030659F">
      <w:pPr>
        <w:pStyle w:val="Kazalovsebine1"/>
        <w:tabs>
          <w:tab w:val="left" w:pos="400"/>
          <w:tab w:val="right" w:leader="dot" w:pos="9060"/>
        </w:tabs>
        <w:spacing w:before="0" w:after="0"/>
        <w:rPr>
          <w:rFonts w:ascii="Arial" w:hAnsi="Arial"/>
          <w:b w:val="0"/>
          <w:caps w:val="0"/>
          <w:noProof/>
          <w:szCs w:val="21"/>
        </w:rPr>
      </w:pPr>
      <w:r w:rsidRPr="00567269">
        <w:rPr>
          <w:rFonts w:ascii="Arial" w:hAnsi="Arial"/>
          <w:b w:val="0"/>
          <w:caps w:val="0"/>
          <w:szCs w:val="21"/>
        </w:rPr>
        <w:fldChar w:fldCharType="begin"/>
      </w:r>
      <w:r w:rsidRPr="00567269">
        <w:rPr>
          <w:rFonts w:ascii="Arial" w:hAnsi="Arial"/>
          <w:b w:val="0"/>
          <w:caps w:val="0"/>
          <w:szCs w:val="21"/>
        </w:rPr>
        <w:instrText xml:space="preserve"> TOC \h \z \c "Slika" </w:instrText>
      </w:r>
      <w:r w:rsidRPr="00567269">
        <w:rPr>
          <w:rFonts w:ascii="Arial" w:hAnsi="Arial"/>
          <w:b w:val="0"/>
          <w:caps w:val="0"/>
          <w:szCs w:val="21"/>
        </w:rPr>
        <w:fldChar w:fldCharType="separate"/>
      </w:r>
      <w:hyperlink w:anchor="_Toc188878574" w:history="1">
        <w:r w:rsidR="00567269" w:rsidRPr="00567269">
          <w:rPr>
            <w:rFonts w:ascii="Arial" w:hAnsi="Arial"/>
            <w:b w:val="0"/>
            <w:caps w:val="0"/>
            <w:noProof/>
            <w:szCs w:val="21"/>
          </w:rPr>
          <w:t>Slika 1: Časovna dinamika izvajanja projektnih predlogov</w:t>
        </w:r>
        <w:r w:rsidR="00567269" w:rsidRPr="00567269">
          <w:rPr>
            <w:rFonts w:ascii="Arial" w:hAnsi="Arial"/>
            <w:b w:val="0"/>
            <w:caps w:val="0"/>
            <w:noProof/>
            <w:webHidden/>
            <w:szCs w:val="21"/>
          </w:rPr>
          <w:tab/>
        </w:r>
        <w:r w:rsidR="00567269" w:rsidRPr="00567269">
          <w:rPr>
            <w:rFonts w:ascii="Arial" w:hAnsi="Arial"/>
            <w:b w:val="0"/>
            <w:caps w:val="0"/>
            <w:noProof/>
            <w:webHidden/>
            <w:szCs w:val="21"/>
          </w:rPr>
          <w:fldChar w:fldCharType="begin"/>
        </w:r>
        <w:r w:rsidR="00567269" w:rsidRPr="00567269">
          <w:rPr>
            <w:rFonts w:ascii="Arial" w:hAnsi="Arial"/>
            <w:b w:val="0"/>
            <w:caps w:val="0"/>
            <w:noProof/>
            <w:webHidden/>
            <w:szCs w:val="21"/>
          </w:rPr>
          <w:instrText xml:space="preserve"> PAGEREF _Toc188878574 \h </w:instrText>
        </w:r>
        <w:r w:rsidR="00567269" w:rsidRPr="00567269">
          <w:rPr>
            <w:rFonts w:ascii="Arial" w:hAnsi="Arial"/>
            <w:b w:val="0"/>
            <w:caps w:val="0"/>
            <w:noProof/>
            <w:webHidden/>
            <w:szCs w:val="21"/>
          </w:rPr>
        </w:r>
        <w:r w:rsidR="00567269" w:rsidRPr="00567269">
          <w:rPr>
            <w:rFonts w:ascii="Arial" w:hAnsi="Arial"/>
            <w:b w:val="0"/>
            <w:caps w:val="0"/>
            <w:noProof/>
            <w:webHidden/>
            <w:szCs w:val="21"/>
          </w:rPr>
          <w:fldChar w:fldCharType="separate"/>
        </w:r>
        <w:r w:rsidR="00924F77">
          <w:rPr>
            <w:rFonts w:ascii="Arial" w:hAnsi="Arial"/>
            <w:b w:val="0"/>
            <w:caps w:val="0"/>
            <w:noProof/>
            <w:webHidden/>
            <w:szCs w:val="21"/>
          </w:rPr>
          <w:t>34</w:t>
        </w:r>
        <w:r w:rsidR="00567269" w:rsidRPr="00567269">
          <w:rPr>
            <w:rFonts w:ascii="Arial" w:hAnsi="Arial"/>
            <w:b w:val="0"/>
            <w:caps w:val="0"/>
            <w:noProof/>
            <w:webHidden/>
            <w:szCs w:val="21"/>
          </w:rPr>
          <w:fldChar w:fldCharType="end"/>
        </w:r>
      </w:hyperlink>
    </w:p>
    <w:p w14:paraId="3DFFFD45" w14:textId="4243D854" w:rsidR="000E7A5A" w:rsidRPr="009173C9" w:rsidRDefault="005C0526" w:rsidP="0030659F">
      <w:pPr>
        <w:pStyle w:val="Kazalovsebine1"/>
        <w:tabs>
          <w:tab w:val="left" w:pos="400"/>
          <w:tab w:val="right" w:leader="dot" w:pos="9060"/>
        </w:tabs>
        <w:spacing w:before="0" w:after="0"/>
        <w:rPr>
          <w:rFonts w:ascii="Arial" w:hAnsi="Arial" w:cs="Arial"/>
          <w:b w:val="0"/>
          <w:bCs w:val="0"/>
          <w:color w:val="4472C4" w:themeColor="accent1"/>
          <w:sz w:val="24"/>
          <w:szCs w:val="24"/>
          <w:lang w:eastAsia="zh-CN"/>
        </w:rPr>
      </w:pPr>
      <w:r w:rsidRPr="00567269">
        <w:rPr>
          <w:rFonts w:ascii="Arial" w:hAnsi="Arial"/>
          <w:b w:val="0"/>
          <w:caps w:val="0"/>
          <w:szCs w:val="21"/>
        </w:rPr>
        <w:lastRenderedPageBreak/>
        <w:fldChar w:fldCharType="end"/>
      </w:r>
      <w:bookmarkStart w:id="12" w:name="_Toc400455575"/>
      <w:bookmarkStart w:id="13" w:name="_Toc18664634"/>
      <w:bookmarkStart w:id="14" w:name="_Toc18666775"/>
      <w:bookmarkStart w:id="15" w:name="_Toc18666850"/>
      <w:bookmarkStart w:id="16" w:name="_Toc18671906"/>
      <w:r w:rsidR="00306071" w:rsidRPr="009173C9">
        <w:rPr>
          <w:rFonts w:ascii="Arial" w:hAnsi="Arial" w:cs="Arial"/>
          <w:b w:val="0"/>
          <w:bCs w:val="0"/>
          <w:color w:val="4472C4" w:themeColor="accent1"/>
          <w:sz w:val="24"/>
          <w:szCs w:val="24"/>
          <w:lang w:eastAsia="zh-CN"/>
        </w:rPr>
        <w:t xml:space="preserve">KRATICE, OKRAJŠAVE IN </w:t>
      </w:r>
      <w:bookmarkEnd w:id="12"/>
      <w:r w:rsidR="00306071" w:rsidRPr="009173C9">
        <w:rPr>
          <w:rFonts w:ascii="Arial" w:hAnsi="Arial" w:cs="Arial"/>
          <w:b w:val="0"/>
          <w:bCs w:val="0"/>
          <w:color w:val="4472C4" w:themeColor="accent1"/>
          <w:sz w:val="24"/>
          <w:szCs w:val="24"/>
          <w:lang w:eastAsia="zh-CN"/>
        </w:rPr>
        <w:t>POMEN IZRAZOV</w:t>
      </w:r>
      <w:bookmarkEnd w:id="13"/>
      <w:bookmarkEnd w:id="14"/>
      <w:bookmarkEnd w:id="15"/>
      <w:bookmarkEnd w:id="16"/>
    </w:p>
    <w:p w14:paraId="39936B34" w14:textId="77777777" w:rsidR="0030659F" w:rsidRPr="0030659F" w:rsidRDefault="0030659F" w:rsidP="0030659F">
      <w:pPr>
        <w:spacing w:after="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479"/>
      </w:tblGrid>
      <w:tr w:rsidR="00493DB0" w:rsidRPr="006A0AC2" w14:paraId="2D754E76" w14:textId="77777777" w:rsidTr="008045F8">
        <w:tc>
          <w:tcPr>
            <w:tcW w:w="2127" w:type="dxa"/>
            <w:shd w:val="clear" w:color="auto" w:fill="auto"/>
            <w:vAlign w:val="center"/>
          </w:tcPr>
          <w:p w14:paraId="3B2E20DC" w14:textId="5B3087BA" w:rsidR="00493DB0" w:rsidRPr="006A0AC2" w:rsidRDefault="00493DB0"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BDP</w:t>
            </w:r>
          </w:p>
        </w:tc>
        <w:tc>
          <w:tcPr>
            <w:tcW w:w="6479" w:type="dxa"/>
            <w:shd w:val="clear" w:color="auto" w:fill="auto"/>
            <w:vAlign w:val="center"/>
          </w:tcPr>
          <w:p w14:paraId="73AF7701" w14:textId="4F41AF22" w:rsidR="00493DB0" w:rsidRPr="006A0AC2" w:rsidRDefault="002D093E" w:rsidP="00ED5676">
            <w:pPr>
              <w:spacing w:after="0" w:line="240" w:lineRule="auto"/>
              <w:jc w:val="both"/>
              <w:rPr>
                <w:rFonts w:eastAsia="SimSun" w:cs="Arial"/>
                <w:szCs w:val="20"/>
                <w:lang w:eastAsia="zh-CN"/>
              </w:rPr>
            </w:pPr>
            <w:r w:rsidRPr="006A0AC2">
              <w:rPr>
                <w:rFonts w:eastAsia="SimSun" w:cs="Arial"/>
                <w:szCs w:val="20"/>
                <w:lang w:eastAsia="zh-CN"/>
              </w:rPr>
              <w:t>b</w:t>
            </w:r>
            <w:r w:rsidR="00493DB0" w:rsidRPr="006A0AC2">
              <w:rPr>
                <w:rFonts w:eastAsia="SimSun" w:cs="Arial"/>
                <w:szCs w:val="20"/>
                <w:lang w:eastAsia="zh-CN"/>
              </w:rPr>
              <w:t>ruto domači proizvod</w:t>
            </w:r>
          </w:p>
        </w:tc>
      </w:tr>
      <w:tr w:rsidR="008045F8" w:rsidRPr="006A0AC2" w14:paraId="732FA7AA" w14:textId="77777777" w:rsidTr="008045F8">
        <w:tc>
          <w:tcPr>
            <w:tcW w:w="2127" w:type="dxa"/>
            <w:shd w:val="clear" w:color="auto" w:fill="auto"/>
            <w:vAlign w:val="center"/>
          </w:tcPr>
          <w:p w14:paraId="55EF1F2B" w14:textId="77777777" w:rsidR="008045F8" w:rsidRPr="006A0AC2" w:rsidRDefault="008045F8" w:rsidP="00ED5676">
            <w:pPr>
              <w:tabs>
                <w:tab w:val="left" w:pos="567"/>
              </w:tabs>
              <w:spacing w:after="0" w:line="240" w:lineRule="auto"/>
              <w:jc w:val="both"/>
              <w:rPr>
                <w:rFonts w:eastAsia="SimSun" w:cs="Arial"/>
                <w:bCs/>
                <w:szCs w:val="20"/>
                <w:lang w:eastAsia="zh-CN"/>
              </w:rPr>
            </w:pPr>
            <w:bookmarkStart w:id="17" w:name="_Hlk188014510"/>
            <w:r w:rsidRPr="006A0AC2">
              <w:rPr>
                <w:rFonts w:eastAsia="SimSun" w:cs="Arial"/>
                <w:bCs/>
                <w:szCs w:val="20"/>
                <w:lang w:eastAsia="zh-CN"/>
              </w:rPr>
              <w:t>certificirani izdatki</w:t>
            </w:r>
          </w:p>
        </w:tc>
        <w:tc>
          <w:tcPr>
            <w:tcW w:w="6479" w:type="dxa"/>
            <w:shd w:val="clear" w:color="auto" w:fill="auto"/>
            <w:vAlign w:val="center"/>
          </w:tcPr>
          <w:p w14:paraId="518B9713" w14:textId="77777777" w:rsidR="008045F8" w:rsidRPr="006A0AC2" w:rsidRDefault="008045F8" w:rsidP="00ED5676">
            <w:pPr>
              <w:spacing w:after="0" w:line="240" w:lineRule="auto"/>
              <w:jc w:val="both"/>
              <w:rPr>
                <w:rFonts w:eastAsia="SimSun" w:cs="Arial"/>
                <w:szCs w:val="20"/>
                <w:lang w:eastAsia="zh-CN"/>
              </w:rPr>
            </w:pPr>
            <w:r w:rsidRPr="006A0AC2">
              <w:rPr>
                <w:rFonts w:eastAsia="SimSun" w:cs="Arial"/>
                <w:szCs w:val="20"/>
                <w:lang w:eastAsia="zh-CN"/>
              </w:rPr>
              <w:t>zahtevki za povračilo iz EU</w:t>
            </w:r>
          </w:p>
        </w:tc>
      </w:tr>
      <w:tr w:rsidR="008045F8" w:rsidRPr="006A0AC2" w14:paraId="6D95D677" w14:textId="77777777" w:rsidTr="008045F8">
        <w:tc>
          <w:tcPr>
            <w:tcW w:w="2127" w:type="dxa"/>
            <w:shd w:val="clear" w:color="auto" w:fill="auto"/>
            <w:vAlign w:val="center"/>
          </w:tcPr>
          <w:p w14:paraId="064016F4"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CLLD</w:t>
            </w:r>
          </w:p>
        </w:tc>
        <w:tc>
          <w:tcPr>
            <w:tcW w:w="6479" w:type="dxa"/>
            <w:shd w:val="clear" w:color="auto" w:fill="auto"/>
            <w:vAlign w:val="center"/>
          </w:tcPr>
          <w:p w14:paraId="63BD3B39"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lokalni razvoj, ki ga vodi skupnost</w:t>
            </w:r>
          </w:p>
        </w:tc>
      </w:tr>
      <w:tr w:rsidR="008045F8" w:rsidRPr="006A0AC2" w14:paraId="7466D51C" w14:textId="77777777" w:rsidTr="008045F8">
        <w:tc>
          <w:tcPr>
            <w:tcW w:w="2127" w:type="dxa"/>
            <w:shd w:val="clear" w:color="auto" w:fill="auto"/>
            <w:vAlign w:val="center"/>
          </w:tcPr>
          <w:p w14:paraId="28518E7D" w14:textId="77777777" w:rsidR="008045F8" w:rsidRPr="006A0AC2" w:rsidRDefault="008045F8" w:rsidP="00ED5676">
            <w:pPr>
              <w:spacing w:after="0" w:line="240" w:lineRule="auto"/>
              <w:jc w:val="both"/>
              <w:rPr>
                <w:rFonts w:eastAsia="MS Mincho" w:cs="Arial"/>
                <w:szCs w:val="20"/>
              </w:rPr>
            </w:pPr>
            <w:r w:rsidRPr="006A0AC2">
              <w:rPr>
                <w:rFonts w:eastAsia="MS Mincho" w:cs="Arial"/>
                <w:szCs w:val="20"/>
              </w:rPr>
              <w:t>CTN</w:t>
            </w:r>
          </w:p>
        </w:tc>
        <w:tc>
          <w:tcPr>
            <w:tcW w:w="6479" w:type="dxa"/>
            <w:shd w:val="clear" w:color="auto" w:fill="auto"/>
            <w:vAlign w:val="center"/>
          </w:tcPr>
          <w:p w14:paraId="5BD4239B"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celostne teritorialne naložbe</w:t>
            </w:r>
          </w:p>
        </w:tc>
      </w:tr>
      <w:tr w:rsidR="008045F8" w:rsidRPr="006A0AC2" w14:paraId="59DF6E2E" w14:textId="77777777" w:rsidTr="008045F8">
        <w:tc>
          <w:tcPr>
            <w:tcW w:w="2127" w:type="dxa"/>
            <w:shd w:val="clear" w:color="auto" w:fill="auto"/>
            <w:vAlign w:val="center"/>
          </w:tcPr>
          <w:p w14:paraId="280A9147"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dodeljena sredstva</w:t>
            </w:r>
          </w:p>
        </w:tc>
        <w:tc>
          <w:tcPr>
            <w:tcW w:w="6479" w:type="dxa"/>
            <w:shd w:val="clear" w:color="auto" w:fill="auto"/>
            <w:vAlign w:val="center"/>
          </w:tcPr>
          <w:p w14:paraId="38741F3E"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izdane odločitve o podpori/vrednost potrjenih NIO</w:t>
            </w:r>
          </w:p>
        </w:tc>
      </w:tr>
      <w:tr w:rsidR="008045F8" w:rsidRPr="006A0AC2" w14:paraId="5A126ADE" w14:textId="77777777" w:rsidTr="008045F8">
        <w:tc>
          <w:tcPr>
            <w:tcW w:w="2127" w:type="dxa"/>
            <w:shd w:val="clear" w:color="auto" w:fill="auto"/>
            <w:vAlign w:val="center"/>
          </w:tcPr>
          <w:p w14:paraId="6B92C0B0"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DRR</w:t>
            </w:r>
          </w:p>
        </w:tc>
        <w:tc>
          <w:tcPr>
            <w:tcW w:w="6479" w:type="dxa"/>
            <w:shd w:val="clear" w:color="auto" w:fill="auto"/>
            <w:vAlign w:val="center"/>
          </w:tcPr>
          <w:p w14:paraId="77F701F1"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Dogovor za razvoj regij</w:t>
            </w:r>
          </w:p>
        </w:tc>
      </w:tr>
      <w:tr w:rsidR="008045F8" w:rsidRPr="006A0AC2" w14:paraId="74976845" w14:textId="77777777" w:rsidTr="008045F8">
        <w:tc>
          <w:tcPr>
            <w:tcW w:w="2127" w:type="dxa"/>
            <w:shd w:val="clear" w:color="auto" w:fill="auto"/>
            <w:vAlign w:val="center"/>
          </w:tcPr>
          <w:p w14:paraId="0F9AAB48"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e-CA</w:t>
            </w:r>
          </w:p>
        </w:tc>
        <w:tc>
          <w:tcPr>
            <w:tcW w:w="6479" w:type="dxa"/>
            <w:shd w:val="clear" w:color="auto" w:fill="auto"/>
            <w:vAlign w:val="center"/>
          </w:tcPr>
          <w:p w14:paraId="3BA99A76"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informacijski sistem organa za potrjevanje</w:t>
            </w:r>
          </w:p>
        </w:tc>
      </w:tr>
      <w:tr w:rsidR="008045F8" w:rsidRPr="006A0AC2" w14:paraId="68D9F754" w14:textId="77777777" w:rsidTr="008045F8">
        <w:tc>
          <w:tcPr>
            <w:tcW w:w="2127" w:type="dxa"/>
            <w:shd w:val="clear" w:color="auto" w:fill="auto"/>
            <w:vAlign w:val="center"/>
          </w:tcPr>
          <w:p w14:paraId="6F88233D"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EK</w:t>
            </w:r>
          </w:p>
        </w:tc>
        <w:tc>
          <w:tcPr>
            <w:tcW w:w="6479" w:type="dxa"/>
            <w:shd w:val="clear" w:color="auto" w:fill="auto"/>
            <w:vAlign w:val="center"/>
          </w:tcPr>
          <w:p w14:paraId="54BCC4E2"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Evropska komisija</w:t>
            </w:r>
          </w:p>
        </w:tc>
      </w:tr>
      <w:tr w:rsidR="008045F8" w:rsidRPr="006A0AC2" w14:paraId="5BB5BE20" w14:textId="77777777" w:rsidTr="008045F8">
        <w:tc>
          <w:tcPr>
            <w:tcW w:w="2127" w:type="dxa"/>
            <w:shd w:val="clear" w:color="auto" w:fill="auto"/>
            <w:vAlign w:val="center"/>
          </w:tcPr>
          <w:p w14:paraId="0CF23A92"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EKP</w:t>
            </w:r>
          </w:p>
        </w:tc>
        <w:tc>
          <w:tcPr>
            <w:tcW w:w="6479" w:type="dxa"/>
            <w:shd w:val="clear" w:color="auto" w:fill="auto"/>
            <w:vAlign w:val="center"/>
          </w:tcPr>
          <w:p w14:paraId="43BD997A" w14:textId="00935601" w:rsidR="008045F8" w:rsidRPr="006A0AC2" w:rsidRDefault="00DB07C8" w:rsidP="00ED5676">
            <w:pPr>
              <w:tabs>
                <w:tab w:val="left" w:pos="567"/>
              </w:tabs>
              <w:spacing w:after="0" w:line="240" w:lineRule="auto"/>
              <w:jc w:val="both"/>
              <w:rPr>
                <w:rFonts w:eastAsia="SimSun" w:cs="Arial"/>
                <w:bCs/>
                <w:szCs w:val="20"/>
                <w:lang w:eastAsia="zh-CN"/>
              </w:rPr>
            </w:pPr>
            <w:r>
              <w:rPr>
                <w:rFonts w:eastAsia="SimSun" w:cs="Arial"/>
                <w:bCs/>
                <w:szCs w:val="20"/>
                <w:lang w:eastAsia="zh-CN"/>
              </w:rPr>
              <w:t>E</w:t>
            </w:r>
            <w:r w:rsidR="008045F8" w:rsidRPr="006A0AC2">
              <w:rPr>
                <w:rFonts w:eastAsia="SimSun" w:cs="Arial"/>
                <w:bCs/>
                <w:szCs w:val="20"/>
                <w:lang w:eastAsia="zh-CN"/>
              </w:rPr>
              <w:t>vropska kohezijska politika</w:t>
            </w:r>
          </w:p>
        </w:tc>
      </w:tr>
      <w:tr w:rsidR="008045F8" w:rsidRPr="006A0AC2" w14:paraId="2D55FA42" w14:textId="77777777" w:rsidTr="008045F8">
        <w:tc>
          <w:tcPr>
            <w:tcW w:w="2127" w:type="dxa"/>
            <w:shd w:val="clear" w:color="auto" w:fill="auto"/>
            <w:vAlign w:val="center"/>
          </w:tcPr>
          <w:p w14:paraId="664BC589"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EKSRP</w:t>
            </w:r>
          </w:p>
        </w:tc>
        <w:tc>
          <w:tcPr>
            <w:tcW w:w="6479" w:type="dxa"/>
            <w:shd w:val="clear" w:color="auto" w:fill="auto"/>
            <w:vAlign w:val="center"/>
          </w:tcPr>
          <w:p w14:paraId="03E618E7"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Evropski kmetijski sklad za razvoj podeželja</w:t>
            </w:r>
          </w:p>
        </w:tc>
      </w:tr>
      <w:tr w:rsidR="008045F8" w:rsidRPr="006A0AC2" w14:paraId="503A099D" w14:textId="77777777" w:rsidTr="008045F8">
        <w:tc>
          <w:tcPr>
            <w:tcW w:w="2127" w:type="dxa"/>
            <w:shd w:val="clear" w:color="auto" w:fill="auto"/>
            <w:vAlign w:val="center"/>
          </w:tcPr>
          <w:p w14:paraId="566E937C"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e-MA</w:t>
            </w:r>
          </w:p>
        </w:tc>
        <w:tc>
          <w:tcPr>
            <w:tcW w:w="6479" w:type="dxa"/>
            <w:shd w:val="clear" w:color="auto" w:fill="auto"/>
            <w:vAlign w:val="center"/>
          </w:tcPr>
          <w:p w14:paraId="6B1CF042" w14:textId="77777777" w:rsidR="008045F8" w:rsidRPr="006A0AC2" w:rsidRDefault="008045F8" w:rsidP="00ED5676">
            <w:pPr>
              <w:tabs>
                <w:tab w:val="left" w:pos="567"/>
              </w:tabs>
              <w:spacing w:after="0" w:line="240" w:lineRule="auto"/>
              <w:jc w:val="both"/>
              <w:rPr>
                <w:rFonts w:cs="Arial"/>
                <w:szCs w:val="20"/>
              </w:rPr>
            </w:pPr>
            <w:r w:rsidRPr="006A0AC2">
              <w:rPr>
                <w:rFonts w:cs="Arial"/>
                <w:szCs w:val="20"/>
              </w:rPr>
              <w:t>informacijski sistem organa upravljanja</w:t>
            </w:r>
          </w:p>
        </w:tc>
      </w:tr>
      <w:tr w:rsidR="00D821A0" w:rsidRPr="006A0AC2" w14:paraId="376F3E57" w14:textId="77777777" w:rsidTr="008045F8">
        <w:tc>
          <w:tcPr>
            <w:tcW w:w="2127" w:type="dxa"/>
            <w:shd w:val="clear" w:color="auto" w:fill="auto"/>
            <w:vAlign w:val="center"/>
          </w:tcPr>
          <w:p w14:paraId="102218B9" w14:textId="0A21D3D3"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ERS</w:t>
            </w:r>
          </w:p>
        </w:tc>
        <w:tc>
          <w:tcPr>
            <w:tcW w:w="6479" w:type="dxa"/>
            <w:shd w:val="clear" w:color="auto" w:fill="auto"/>
            <w:vAlign w:val="center"/>
          </w:tcPr>
          <w:p w14:paraId="071B2536" w14:textId="4EC7F53B"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Evropsko računsko sodišče</w:t>
            </w:r>
          </w:p>
        </w:tc>
      </w:tr>
      <w:tr w:rsidR="00D821A0" w:rsidRPr="006A0AC2" w14:paraId="1C8237B1" w14:textId="77777777" w:rsidTr="008045F8">
        <w:tc>
          <w:tcPr>
            <w:tcW w:w="2127" w:type="dxa"/>
            <w:shd w:val="clear" w:color="auto" w:fill="auto"/>
            <w:vAlign w:val="center"/>
          </w:tcPr>
          <w:p w14:paraId="5D8FACC4"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ESIF</w:t>
            </w:r>
          </w:p>
        </w:tc>
        <w:tc>
          <w:tcPr>
            <w:tcW w:w="6479" w:type="dxa"/>
            <w:shd w:val="clear" w:color="auto" w:fill="auto"/>
            <w:vAlign w:val="center"/>
          </w:tcPr>
          <w:p w14:paraId="6BE3C826"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evropski strukturni in investicijski skladi kot viri financiranja OP: Evropski sklad za regionalni razvoj (ESRR), Evropski socialni sklad (ESS) in Kohezijski sklad (KS)</w:t>
            </w:r>
          </w:p>
        </w:tc>
      </w:tr>
      <w:tr w:rsidR="00D821A0" w:rsidRPr="006A0AC2" w14:paraId="4DFFEEAE" w14:textId="77777777" w:rsidTr="008045F8">
        <w:tc>
          <w:tcPr>
            <w:tcW w:w="2127" w:type="dxa"/>
            <w:shd w:val="clear" w:color="auto" w:fill="auto"/>
            <w:vAlign w:val="center"/>
          </w:tcPr>
          <w:p w14:paraId="71C19988"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ESPR</w:t>
            </w:r>
          </w:p>
        </w:tc>
        <w:tc>
          <w:tcPr>
            <w:tcW w:w="6479" w:type="dxa"/>
            <w:shd w:val="clear" w:color="auto" w:fill="auto"/>
            <w:vAlign w:val="center"/>
          </w:tcPr>
          <w:p w14:paraId="2B2BE514"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Evropski sklad za pomorstvo in ribištvo</w:t>
            </w:r>
          </w:p>
        </w:tc>
      </w:tr>
      <w:tr w:rsidR="00D821A0" w:rsidRPr="006A0AC2" w14:paraId="4538DBFD" w14:textId="77777777" w:rsidTr="008045F8">
        <w:tc>
          <w:tcPr>
            <w:tcW w:w="2127" w:type="dxa"/>
            <w:shd w:val="clear" w:color="auto" w:fill="auto"/>
            <w:vAlign w:val="center"/>
          </w:tcPr>
          <w:p w14:paraId="6E746ED0"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EU</w:t>
            </w:r>
          </w:p>
        </w:tc>
        <w:tc>
          <w:tcPr>
            <w:tcW w:w="6479" w:type="dxa"/>
            <w:shd w:val="clear" w:color="auto" w:fill="auto"/>
            <w:vAlign w:val="center"/>
          </w:tcPr>
          <w:p w14:paraId="03CC0718"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Evropska unija</w:t>
            </w:r>
          </w:p>
        </w:tc>
      </w:tr>
      <w:tr w:rsidR="00D821A0" w:rsidRPr="006A0AC2" w14:paraId="21B28C8E" w14:textId="77777777" w:rsidTr="008045F8">
        <w:tc>
          <w:tcPr>
            <w:tcW w:w="2127" w:type="dxa"/>
            <w:shd w:val="clear" w:color="auto" w:fill="auto"/>
            <w:vAlign w:val="center"/>
          </w:tcPr>
          <w:p w14:paraId="315C628F"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FI</w:t>
            </w:r>
          </w:p>
        </w:tc>
        <w:tc>
          <w:tcPr>
            <w:tcW w:w="6479" w:type="dxa"/>
            <w:shd w:val="clear" w:color="auto" w:fill="auto"/>
            <w:vAlign w:val="center"/>
          </w:tcPr>
          <w:p w14:paraId="403DE62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finančni instrumenti</w:t>
            </w:r>
          </w:p>
        </w:tc>
      </w:tr>
      <w:tr w:rsidR="00D821A0" w:rsidRPr="006A0AC2" w14:paraId="0762B604" w14:textId="77777777" w:rsidTr="008045F8">
        <w:tc>
          <w:tcPr>
            <w:tcW w:w="2127" w:type="dxa"/>
            <w:shd w:val="clear" w:color="auto" w:fill="auto"/>
            <w:vAlign w:val="center"/>
          </w:tcPr>
          <w:p w14:paraId="59C6F42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JR</w:t>
            </w:r>
          </w:p>
        </w:tc>
        <w:tc>
          <w:tcPr>
            <w:tcW w:w="6479" w:type="dxa"/>
            <w:shd w:val="clear" w:color="auto" w:fill="auto"/>
            <w:vAlign w:val="center"/>
          </w:tcPr>
          <w:p w14:paraId="4090A04E" w14:textId="77777777" w:rsidR="00D821A0" w:rsidRPr="006A0AC2" w:rsidRDefault="00D821A0" w:rsidP="00D821A0">
            <w:pPr>
              <w:tabs>
                <w:tab w:val="left" w:pos="567"/>
              </w:tabs>
              <w:spacing w:after="0" w:line="240" w:lineRule="auto"/>
              <w:jc w:val="both"/>
              <w:rPr>
                <w:rFonts w:eastAsia="MS Mincho" w:cs="Arial"/>
                <w:szCs w:val="20"/>
              </w:rPr>
            </w:pPr>
            <w:r w:rsidRPr="006A0AC2">
              <w:rPr>
                <w:rFonts w:eastAsia="MS Mincho" w:cs="Arial"/>
                <w:szCs w:val="20"/>
              </w:rPr>
              <w:t>javni razpis</w:t>
            </w:r>
          </w:p>
        </w:tc>
      </w:tr>
      <w:tr w:rsidR="00D821A0" w:rsidRPr="006A0AC2" w14:paraId="783E3697" w14:textId="77777777" w:rsidTr="008045F8">
        <w:tc>
          <w:tcPr>
            <w:tcW w:w="2127" w:type="dxa"/>
            <w:shd w:val="clear" w:color="auto" w:fill="auto"/>
            <w:vAlign w:val="center"/>
          </w:tcPr>
          <w:p w14:paraId="70ED7D95"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LAS</w:t>
            </w:r>
          </w:p>
        </w:tc>
        <w:tc>
          <w:tcPr>
            <w:tcW w:w="6479" w:type="dxa"/>
            <w:shd w:val="clear" w:color="auto" w:fill="auto"/>
            <w:vAlign w:val="center"/>
          </w:tcPr>
          <w:p w14:paraId="61F7BDEE"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MS Mincho" w:cs="Arial"/>
                <w:szCs w:val="20"/>
              </w:rPr>
              <w:t>lokalne akcijske skupine</w:t>
            </w:r>
          </w:p>
        </w:tc>
      </w:tr>
      <w:tr w:rsidR="00D821A0" w:rsidRPr="006A0AC2" w14:paraId="4E3BDEFD" w14:textId="77777777" w:rsidTr="008045F8">
        <w:tc>
          <w:tcPr>
            <w:tcW w:w="2127" w:type="dxa"/>
            <w:shd w:val="clear" w:color="auto" w:fill="auto"/>
            <w:vAlign w:val="center"/>
          </w:tcPr>
          <w:p w14:paraId="05C1249D" w14:textId="77777777" w:rsidR="00D821A0" w:rsidRPr="006A0AC2" w:rsidRDefault="00D821A0" w:rsidP="00D821A0">
            <w:pPr>
              <w:tabs>
                <w:tab w:val="left" w:pos="567"/>
              </w:tabs>
              <w:spacing w:after="0" w:line="240" w:lineRule="auto"/>
              <w:jc w:val="both"/>
              <w:rPr>
                <w:rFonts w:eastAsia="SimSun" w:cs="Arial"/>
                <w:bCs/>
                <w:szCs w:val="20"/>
                <w:lang w:eastAsia="zh-CN"/>
              </w:rPr>
            </w:pPr>
            <w:proofErr w:type="spellStart"/>
            <w:r w:rsidRPr="006A0AC2">
              <w:rPr>
                <w:rFonts w:eastAsia="SimSun" w:cs="Arial"/>
                <w:bCs/>
                <w:szCs w:val="20"/>
                <w:lang w:eastAsia="zh-CN"/>
              </w:rPr>
              <w:t>MFeRAC</w:t>
            </w:r>
            <w:proofErr w:type="spellEnd"/>
          </w:p>
        </w:tc>
        <w:tc>
          <w:tcPr>
            <w:tcW w:w="6479" w:type="dxa"/>
            <w:shd w:val="clear" w:color="auto" w:fill="auto"/>
            <w:vAlign w:val="center"/>
          </w:tcPr>
          <w:p w14:paraId="5DA641EC" w14:textId="77777777" w:rsidR="00D821A0" w:rsidRPr="006A0AC2" w:rsidRDefault="00D821A0" w:rsidP="00D821A0">
            <w:pPr>
              <w:tabs>
                <w:tab w:val="left" w:pos="567"/>
              </w:tabs>
              <w:spacing w:after="0" w:line="240" w:lineRule="auto"/>
              <w:jc w:val="both"/>
              <w:rPr>
                <w:rFonts w:cs="Arial"/>
                <w:szCs w:val="20"/>
              </w:rPr>
            </w:pPr>
            <w:r w:rsidRPr="006A0AC2">
              <w:rPr>
                <w:rFonts w:cs="Arial"/>
                <w:szCs w:val="20"/>
              </w:rPr>
              <w:t xml:space="preserve">enoten, računalniško podprt računovodski sistem za izvrševanje državnega proračuna </w:t>
            </w:r>
          </w:p>
        </w:tc>
      </w:tr>
      <w:tr w:rsidR="00D821A0" w:rsidRPr="006A0AC2" w14:paraId="7F03C6A7" w14:textId="77777777" w:rsidTr="008045F8">
        <w:tc>
          <w:tcPr>
            <w:tcW w:w="2127" w:type="dxa"/>
            <w:shd w:val="clear" w:color="auto" w:fill="auto"/>
            <w:vAlign w:val="center"/>
          </w:tcPr>
          <w:p w14:paraId="69E66B18"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MDP</w:t>
            </w:r>
          </w:p>
        </w:tc>
        <w:tc>
          <w:tcPr>
            <w:tcW w:w="6479" w:type="dxa"/>
            <w:shd w:val="clear" w:color="auto" w:fill="auto"/>
            <w:vAlign w:val="center"/>
          </w:tcPr>
          <w:p w14:paraId="47A77A18" w14:textId="77777777" w:rsidR="00D821A0" w:rsidRPr="006A0AC2" w:rsidRDefault="00D821A0" w:rsidP="00D821A0">
            <w:pPr>
              <w:tabs>
                <w:tab w:val="left" w:pos="567"/>
              </w:tabs>
              <w:spacing w:after="0" w:line="240" w:lineRule="auto"/>
              <w:jc w:val="both"/>
              <w:rPr>
                <w:rFonts w:cs="Arial"/>
                <w:szCs w:val="20"/>
              </w:rPr>
            </w:pPr>
            <w:r w:rsidRPr="006A0AC2">
              <w:rPr>
                <w:rFonts w:cs="Arial"/>
                <w:szCs w:val="20"/>
              </w:rPr>
              <w:t xml:space="preserve">Ministrstvo za digitalno preobrazbo </w:t>
            </w:r>
          </w:p>
        </w:tc>
      </w:tr>
      <w:tr w:rsidR="00D821A0" w:rsidRPr="006A0AC2" w14:paraId="550B4FD0" w14:textId="77777777" w:rsidTr="008045F8">
        <w:tc>
          <w:tcPr>
            <w:tcW w:w="2127" w:type="dxa"/>
            <w:shd w:val="clear" w:color="auto" w:fill="auto"/>
            <w:vAlign w:val="center"/>
          </w:tcPr>
          <w:p w14:paraId="4EE8F000"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MDDSZ</w:t>
            </w:r>
          </w:p>
        </w:tc>
        <w:tc>
          <w:tcPr>
            <w:tcW w:w="6479" w:type="dxa"/>
            <w:shd w:val="clear" w:color="auto" w:fill="auto"/>
            <w:vAlign w:val="center"/>
          </w:tcPr>
          <w:p w14:paraId="594C093D" w14:textId="77777777" w:rsidR="00D821A0" w:rsidRPr="006A0AC2" w:rsidRDefault="00D821A0" w:rsidP="00D821A0">
            <w:pPr>
              <w:tabs>
                <w:tab w:val="left" w:pos="567"/>
              </w:tabs>
              <w:spacing w:after="0" w:line="240" w:lineRule="auto"/>
              <w:jc w:val="both"/>
              <w:rPr>
                <w:rFonts w:cs="Arial"/>
                <w:szCs w:val="20"/>
              </w:rPr>
            </w:pPr>
            <w:r w:rsidRPr="006A0AC2">
              <w:rPr>
                <w:rFonts w:eastAsia="SimSun" w:cs="Arial"/>
                <w:bCs/>
                <w:szCs w:val="20"/>
                <w:lang w:eastAsia="zh-CN"/>
              </w:rPr>
              <w:t>Ministrstvo za delo, družino, socialne zadeve in enake možnosti</w:t>
            </w:r>
          </w:p>
        </w:tc>
      </w:tr>
      <w:tr w:rsidR="00D821A0" w:rsidRPr="006A0AC2" w14:paraId="38B71D46" w14:textId="77777777" w:rsidTr="008045F8">
        <w:tc>
          <w:tcPr>
            <w:tcW w:w="2127" w:type="dxa"/>
            <w:shd w:val="clear" w:color="auto" w:fill="auto"/>
            <w:vAlign w:val="center"/>
          </w:tcPr>
          <w:p w14:paraId="2E01B28F"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cs="Arial"/>
                <w:szCs w:val="20"/>
              </w:rPr>
              <w:t>MF</w:t>
            </w:r>
          </w:p>
        </w:tc>
        <w:tc>
          <w:tcPr>
            <w:tcW w:w="6479" w:type="dxa"/>
            <w:shd w:val="clear" w:color="auto" w:fill="auto"/>
            <w:vAlign w:val="center"/>
          </w:tcPr>
          <w:p w14:paraId="122BE32E"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finance</w:t>
            </w:r>
          </w:p>
        </w:tc>
      </w:tr>
      <w:tr w:rsidR="00D821A0" w:rsidRPr="006A0AC2" w14:paraId="2638EDA9" w14:textId="77777777" w:rsidTr="008045F8">
        <w:tc>
          <w:tcPr>
            <w:tcW w:w="2127" w:type="dxa"/>
            <w:shd w:val="clear" w:color="auto" w:fill="auto"/>
            <w:vAlign w:val="center"/>
          </w:tcPr>
          <w:p w14:paraId="63EADDCB"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MGTŠ</w:t>
            </w:r>
          </w:p>
        </w:tc>
        <w:tc>
          <w:tcPr>
            <w:tcW w:w="6479" w:type="dxa"/>
            <w:shd w:val="clear" w:color="auto" w:fill="auto"/>
            <w:vAlign w:val="center"/>
          </w:tcPr>
          <w:p w14:paraId="444BAD0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gospodarstvo, turizem in šport</w:t>
            </w:r>
          </w:p>
        </w:tc>
      </w:tr>
      <w:tr w:rsidR="00D821A0" w:rsidRPr="006A0AC2" w14:paraId="7937A11E" w14:textId="77777777" w:rsidTr="008045F8">
        <w:tc>
          <w:tcPr>
            <w:tcW w:w="2127" w:type="dxa"/>
            <w:shd w:val="clear" w:color="auto" w:fill="auto"/>
            <w:vAlign w:val="center"/>
          </w:tcPr>
          <w:p w14:paraId="71022E41"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MSP</w:t>
            </w:r>
          </w:p>
        </w:tc>
        <w:tc>
          <w:tcPr>
            <w:tcW w:w="6479" w:type="dxa"/>
            <w:shd w:val="clear" w:color="auto" w:fill="auto"/>
            <w:vAlign w:val="center"/>
          </w:tcPr>
          <w:p w14:paraId="7BB566DA" w14:textId="5EB0E2E0"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 xml:space="preserve">Ministrstvo za solidarno prihodnost </w:t>
            </w:r>
          </w:p>
        </w:tc>
      </w:tr>
      <w:tr w:rsidR="00D821A0" w:rsidRPr="006A0AC2" w14:paraId="15E152A9" w14:textId="77777777" w:rsidTr="008045F8">
        <w:tc>
          <w:tcPr>
            <w:tcW w:w="2127" w:type="dxa"/>
            <w:shd w:val="clear" w:color="auto" w:fill="auto"/>
            <w:vAlign w:val="center"/>
          </w:tcPr>
          <w:p w14:paraId="662CF9B3"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MJU</w:t>
            </w:r>
          </w:p>
        </w:tc>
        <w:tc>
          <w:tcPr>
            <w:tcW w:w="6479" w:type="dxa"/>
            <w:shd w:val="clear" w:color="auto" w:fill="auto"/>
            <w:vAlign w:val="center"/>
          </w:tcPr>
          <w:p w14:paraId="66744754"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javno upravo</w:t>
            </w:r>
          </w:p>
        </w:tc>
      </w:tr>
      <w:tr w:rsidR="00D821A0" w:rsidRPr="006A0AC2" w14:paraId="6BA8EB70" w14:textId="77777777" w:rsidTr="008045F8">
        <w:tc>
          <w:tcPr>
            <w:tcW w:w="2127" w:type="dxa"/>
            <w:shd w:val="clear" w:color="auto" w:fill="auto"/>
            <w:vAlign w:val="center"/>
          </w:tcPr>
          <w:p w14:paraId="002CDB84"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MK</w:t>
            </w:r>
          </w:p>
        </w:tc>
        <w:tc>
          <w:tcPr>
            <w:tcW w:w="6479" w:type="dxa"/>
            <w:shd w:val="clear" w:color="auto" w:fill="auto"/>
            <w:vAlign w:val="center"/>
          </w:tcPr>
          <w:p w14:paraId="53EDFA5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kulturo</w:t>
            </w:r>
          </w:p>
        </w:tc>
      </w:tr>
      <w:tr w:rsidR="00D821A0" w:rsidRPr="006A0AC2" w14:paraId="645D5EEA" w14:textId="77777777" w:rsidTr="008045F8">
        <w:tc>
          <w:tcPr>
            <w:tcW w:w="2127" w:type="dxa"/>
            <w:shd w:val="clear" w:color="auto" w:fill="auto"/>
            <w:vAlign w:val="center"/>
          </w:tcPr>
          <w:p w14:paraId="4A5D132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MKRR</w:t>
            </w:r>
          </w:p>
        </w:tc>
        <w:tc>
          <w:tcPr>
            <w:tcW w:w="6479" w:type="dxa"/>
            <w:shd w:val="clear" w:color="auto" w:fill="auto"/>
            <w:vAlign w:val="center"/>
          </w:tcPr>
          <w:p w14:paraId="6FB3EB78"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kohezijo in regionalni razvoj</w:t>
            </w:r>
          </w:p>
        </w:tc>
      </w:tr>
      <w:tr w:rsidR="00D821A0" w:rsidRPr="006A0AC2" w14:paraId="330570AB" w14:textId="77777777" w:rsidTr="008045F8">
        <w:tc>
          <w:tcPr>
            <w:tcW w:w="2127" w:type="dxa"/>
            <w:shd w:val="clear" w:color="auto" w:fill="auto"/>
            <w:vAlign w:val="center"/>
          </w:tcPr>
          <w:p w14:paraId="6D0F2ED1"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cs="Arial"/>
                <w:szCs w:val="20"/>
              </w:rPr>
              <w:t>MNVP</w:t>
            </w:r>
          </w:p>
        </w:tc>
        <w:tc>
          <w:tcPr>
            <w:tcW w:w="6479" w:type="dxa"/>
            <w:shd w:val="clear" w:color="auto" w:fill="auto"/>
            <w:vAlign w:val="center"/>
          </w:tcPr>
          <w:p w14:paraId="7A83F2C5"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naravne vire in prostor</w:t>
            </w:r>
          </w:p>
        </w:tc>
      </w:tr>
      <w:tr w:rsidR="00D821A0" w:rsidRPr="006A0AC2" w14:paraId="05D37EED" w14:textId="77777777" w:rsidTr="008045F8">
        <w:tc>
          <w:tcPr>
            <w:tcW w:w="2127" w:type="dxa"/>
            <w:shd w:val="clear" w:color="auto" w:fill="auto"/>
            <w:vAlign w:val="center"/>
          </w:tcPr>
          <w:p w14:paraId="72C028C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MOPE</w:t>
            </w:r>
          </w:p>
        </w:tc>
        <w:tc>
          <w:tcPr>
            <w:tcW w:w="6479" w:type="dxa"/>
            <w:shd w:val="clear" w:color="auto" w:fill="auto"/>
            <w:vAlign w:val="center"/>
          </w:tcPr>
          <w:p w14:paraId="50E8961C"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okolje, podnebje in energijo</w:t>
            </w:r>
          </w:p>
        </w:tc>
      </w:tr>
      <w:tr w:rsidR="00D821A0" w:rsidRPr="006A0AC2" w14:paraId="337BE7A7" w14:textId="77777777" w:rsidTr="008045F8">
        <w:tc>
          <w:tcPr>
            <w:tcW w:w="2127" w:type="dxa"/>
            <w:shd w:val="clear" w:color="auto" w:fill="auto"/>
            <w:vAlign w:val="center"/>
          </w:tcPr>
          <w:p w14:paraId="1DB8F9E8"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MP</w:t>
            </w:r>
          </w:p>
        </w:tc>
        <w:tc>
          <w:tcPr>
            <w:tcW w:w="6479" w:type="dxa"/>
            <w:shd w:val="clear" w:color="auto" w:fill="auto"/>
            <w:vAlign w:val="center"/>
          </w:tcPr>
          <w:p w14:paraId="5C57E869"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pravosodje</w:t>
            </w:r>
          </w:p>
        </w:tc>
      </w:tr>
      <w:tr w:rsidR="00D821A0" w:rsidRPr="006A0AC2" w14:paraId="0D2DDBAF" w14:textId="77777777" w:rsidTr="008045F8">
        <w:tc>
          <w:tcPr>
            <w:tcW w:w="2127" w:type="dxa"/>
            <w:shd w:val="clear" w:color="auto" w:fill="auto"/>
            <w:vAlign w:val="center"/>
          </w:tcPr>
          <w:p w14:paraId="3372AD89"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MVI</w:t>
            </w:r>
          </w:p>
        </w:tc>
        <w:tc>
          <w:tcPr>
            <w:tcW w:w="6479" w:type="dxa"/>
            <w:shd w:val="clear" w:color="auto" w:fill="auto"/>
            <w:vAlign w:val="center"/>
          </w:tcPr>
          <w:p w14:paraId="51783FA1"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vzgojo in izobraževanje</w:t>
            </w:r>
          </w:p>
        </w:tc>
      </w:tr>
      <w:tr w:rsidR="00D821A0" w:rsidRPr="006A0AC2" w14:paraId="00A949C9" w14:textId="77777777" w:rsidTr="008045F8">
        <w:tc>
          <w:tcPr>
            <w:tcW w:w="2127" w:type="dxa"/>
            <w:shd w:val="clear" w:color="auto" w:fill="auto"/>
            <w:vAlign w:val="center"/>
          </w:tcPr>
          <w:p w14:paraId="33517409"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MVZI</w:t>
            </w:r>
          </w:p>
        </w:tc>
        <w:tc>
          <w:tcPr>
            <w:tcW w:w="6479" w:type="dxa"/>
            <w:shd w:val="clear" w:color="auto" w:fill="auto"/>
            <w:vAlign w:val="center"/>
          </w:tcPr>
          <w:p w14:paraId="56DD3E3B"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visoko šolstvo, znanost in inovacije</w:t>
            </w:r>
          </w:p>
        </w:tc>
      </w:tr>
      <w:tr w:rsidR="00D821A0" w:rsidRPr="006A0AC2" w14:paraId="11FD6D98" w14:textId="77777777" w:rsidTr="008045F8">
        <w:tc>
          <w:tcPr>
            <w:tcW w:w="2127" w:type="dxa"/>
            <w:shd w:val="clear" w:color="auto" w:fill="auto"/>
            <w:vAlign w:val="center"/>
          </w:tcPr>
          <w:p w14:paraId="79804A28"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MZ</w:t>
            </w:r>
          </w:p>
        </w:tc>
        <w:tc>
          <w:tcPr>
            <w:tcW w:w="6479" w:type="dxa"/>
            <w:shd w:val="clear" w:color="auto" w:fill="auto"/>
            <w:vAlign w:val="center"/>
          </w:tcPr>
          <w:p w14:paraId="49A9CBD4"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zdravje</w:t>
            </w:r>
          </w:p>
        </w:tc>
      </w:tr>
      <w:tr w:rsidR="00D821A0" w:rsidRPr="006A0AC2" w14:paraId="758DF375" w14:textId="77777777" w:rsidTr="008045F8">
        <w:tc>
          <w:tcPr>
            <w:tcW w:w="2127" w:type="dxa"/>
            <w:shd w:val="clear" w:color="auto" w:fill="auto"/>
            <w:vAlign w:val="center"/>
          </w:tcPr>
          <w:p w14:paraId="4262111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 xml:space="preserve">MZEZ </w:t>
            </w:r>
          </w:p>
        </w:tc>
        <w:tc>
          <w:tcPr>
            <w:tcW w:w="6479" w:type="dxa"/>
            <w:shd w:val="clear" w:color="auto" w:fill="auto"/>
            <w:vAlign w:val="center"/>
          </w:tcPr>
          <w:p w14:paraId="4735C9DD"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zunanje in evropske zadeve</w:t>
            </w:r>
          </w:p>
        </w:tc>
      </w:tr>
      <w:tr w:rsidR="00D821A0" w:rsidRPr="006A0AC2" w14:paraId="07A2A2F1" w14:textId="77777777" w:rsidTr="008045F8">
        <w:tc>
          <w:tcPr>
            <w:tcW w:w="2127" w:type="dxa"/>
            <w:shd w:val="clear" w:color="auto" w:fill="auto"/>
            <w:vAlign w:val="center"/>
          </w:tcPr>
          <w:p w14:paraId="61C1B6FA" w14:textId="77777777" w:rsidR="00D821A0" w:rsidRPr="006A0AC2" w:rsidRDefault="00D821A0" w:rsidP="00D821A0">
            <w:pPr>
              <w:spacing w:after="0" w:line="240" w:lineRule="auto"/>
              <w:jc w:val="both"/>
              <w:rPr>
                <w:rFonts w:cs="Arial"/>
                <w:szCs w:val="20"/>
              </w:rPr>
            </w:pPr>
            <w:r w:rsidRPr="006A0AC2">
              <w:rPr>
                <w:rFonts w:cs="Arial"/>
                <w:szCs w:val="20"/>
              </w:rPr>
              <w:t>MZI</w:t>
            </w:r>
          </w:p>
        </w:tc>
        <w:tc>
          <w:tcPr>
            <w:tcW w:w="6479" w:type="dxa"/>
            <w:shd w:val="clear" w:color="auto" w:fill="auto"/>
            <w:vAlign w:val="center"/>
          </w:tcPr>
          <w:p w14:paraId="5F958F2D"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infrastrukturo</w:t>
            </w:r>
          </w:p>
        </w:tc>
      </w:tr>
      <w:tr w:rsidR="00D821A0" w:rsidRPr="006A0AC2" w14:paraId="0726C3D2" w14:textId="77777777" w:rsidTr="008045F8">
        <w:tc>
          <w:tcPr>
            <w:tcW w:w="2127" w:type="dxa"/>
            <w:shd w:val="clear" w:color="auto" w:fill="auto"/>
            <w:vAlign w:val="center"/>
          </w:tcPr>
          <w:p w14:paraId="0551B91E"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NIO</w:t>
            </w:r>
          </w:p>
        </w:tc>
        <w:tc>
          <w:tcPr>
            <w:tcW w:w="6479" w:type="dxa"/>
            <w:shd w:val="clear" w:color="auto" w:fill="auto"/>
            <w:vAlign w:val="center"/>
          </w:tcPr>
          <w:p w14:paraId="2B3764E7"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način izbora operacije: javni razpis, javni poziv ali neposredna potrditev operacije, programa</w:t>
            </w:r>
          </w:p>
        </w:tc>
      </w:tr>
      <w:tr w:rsidR="00D821A0" w:rsidRPr="006A0AC2" w14:paraId="746B90F8" w14:textId="77777777" w:rsidTr="008045F8">
        <w:tc>
          <w:tcPr>
            <w:tcW w:w="2127" w:type="dxa"/>
            <w:shd w:val="clear" w:color="auto" w:fill="auto"/>
            <w:vAlign w:val="center"/>
          </w:tcPr>
          <w:p w14:paraId="7532F0DB"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NPO</w:t>
            </w:r>
          </w:p>
        </w:tc>
        <w:tc>
          <w:tcPr>
            <w:tcW w:w="6479" w:type="dxa"/>
            <w:shd w:val="clear" w:color="auto" w:fill="auto"/>
            <w:vAlign w:val="center"/>
          </w:tcPr>
          <w:p w14:paraId="3E4EE9C9"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neposredna potrditev operacije</w:t>
            </w:r>
          </w:p>
        </w:tc>
      </w:tr>
      <w:tr w:rsidR="00D821A0" w:rsidRPr="006A0AC2" w14:paraId="64AF0DC3" w14:textId="77777777" w:rsidTr="008045F8">
        <w:tc>
          <w:tcPr>
            <w:tcW w:w="2127" w:type="dxa"/>
            <w:shd w:val="clear" w:color="auto" w:fill="auto"/>
            <w:vAlign w:val="center"/>
          </w:tcPr>
          <w:p w14:paraId="5DA568D6"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OP EKP</w:t>
            </w:r>
          </w:p>
        </w:tc>
        <w:tc>
          <w:tcPr>
            <w:tcW w:w="6479" w:type="dxa"/>
            <w:shd w:val="clear" w:color="auto" w:fill="auto"/>
            <w:vAlign w:val="center"/>
          </w:tcPr>
          <w:p w14:paraId="2DB3C591"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Operativni program za izvajanje evropske kohezijske politike v obdobju 2014–2020</w:t>
            </w:r>
          </w:p>
        </w:tc>
      </w:tr>
      <w:tr w:rsidR="00D821A0" w:rsidRPr="006A0AC2" w14:paraId="2934C6E7" w14:textId="77777777" w:rsidTr="008045F8">
        <w:tc>
          <w:tcPr>
            <w:tcW w:w="2127" w:type="dxa"/>
            <w:shd w:val="clear" w:color="auto" w:fill="auto"/>
            <w:vAlign w:val="center"/>
          </w:tcPr>
          <w:p w14:paraId="2AAFD39F"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OP ESPR</w:t>
            </w:r>
          </w:p>
        </w:tc>
        <w:tc>
          <w:tcPr>
            <w:tcW w:w="6479" w:type="dxa"/>
            <w:shd w:val="clear" w:color="auto" w:fill="auto"/>
            <w:vAlign w:val="center"/>
          </w:tcPr>
          <w:p w14:paraId="3656562D"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Operativni program za izvajanje Evropskega sklada za pomorstvo in ribištvo</w:t>
            </w:r>
          </w:p>
        </w:tc>
      </w:tr>
      <w:tr w:rsidR="00D821A0" w:rsidRPr="006A0AC2" w14:paraId="144B012D" w14:textId="77777777" w:rsidTr="008045F8">
        <w:tc>
          <w:tcPr>
            <w:tcW w:w="2127" w:type="dxa"/>
            <w:shd w:val="clear" w:color="auto" w:fill="auto"/>
            <w:vAlign w:val="center"/>
          </w:tcPr>
          <w:p w14:paraId="68BF5B7D"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operacija</w:t>
            </w:r>
          </w:p>
        </w:tc>
        <w:tc>
          <w:tcPr>
            <w:tcW w:w="6479" w:type="dxa"/>
            <w:shd w:val="clear" w:color="auto" w:fill="auto"/>
            <w:vAlign w:val="center"/>
          </w:tcPr>
          <w:p w14:paraId="1025C6DF"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potrjen projekt ali skupina projektov, ki jo izvaja en upravičenec ali več teh, ali potrjen program, ki ga izvaja upravičenec za doseganje ciljev prednostnih osi</w:t>
            </w:r>
          </w:p>
        </w:tc>
      </w:tr>
      <w:tr w:rsidR="00D821A0" w:rsidRPr="006A0AC2" w14:paraId="1269D36D" w14:textId="77777777" w:rsidTr="008045F8">
        <w:tc>
          <w:tcPr>
            <w:tcW w:w="2127" w:type="dxa"/>
            <w:shd w:val="clear" w:color="auto" w:fill="auto"/>
            <w:vAlign w:val="center"/>
          </w:tcPr>
          <w:p w14:paraId="1C78DC9D"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OU</w:t>
            </w:r>
          </w:p>
        </w:tc>
        <w:tc>
          <w:tcPr>
            <w:tcW w:w="6479" w:type="dxa"/>
            <w:shd w:val="clear" w:color="auto" w:fill="auto"/>
            <w:vAlign w:val="center"/>
          </w:tcPr>
          <w:p w14:paraId="63B42E87"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organ upravljanja</w:t>
            </w:r>
          </w:p>
        </w:tc>
      </w:tr>
      <w:tr w:rsidR="00D821A0" w:rsidRPr="006A0AC2" w14:paraId="21007922" w14:textId="77777777" w:rsidTr="008045F8">
        <w:tc>
          <w:tcPr>
            <w:tcW w:w="2127" w:type="dxa"/>
            <w:shd w:val="clear" w:color="auto" w:fill="auto"/>
            <w:vAlign w:val="center"/>
          </w:tcPr>
          <w:p w14:paraId="00E0C309" w14:textId="77777777" w:rsidR="00D821A0" w:rsidRPr="006A0AC2" w:rsidRDefault="00D821A0" w:rsidP="00D821A0">
            <w:pPr>
              <w:tabs>
                <w:tab w:val="left" w:pos="567"/>
              </w:tabs>
              <w:spacing w:after="0" w:line="240" w:lineRule="auto"/>
              <w:jc w:val="both"/>
              <w:rPr>
                <w:rFonts w:eastAsia="SimSun" w:cs="Arial"/>
                <w:bCs/>
                <w:szCs w:val="20"/>
                <w:lang w:eastAsia="zh-CN"/>
              </w:rPr>
            </w:pPr>
            <w:proofErr w:type="spellStart"/>
            <w:r w:rsidRPr="006A0AC2">
              <w:rPr>
                <w:rFonts w:eastAsia="SimSun" w:cs="Arial"/>
                <w:bCs/>
                <w:szCs w:val="20"/>
                <w:lang w:eastAsia="zh-CN"/>
              </w:rPr>
              <w:t>OzS</w:t>
            </w:r>
            <w:proofErr w:type="spellEnd"/>
          </w:p>
        </w:tc>
        <w:tc>
          <w:tcPr>
            <w:tcW w:w="6479" w:type="dxa"/>
            <w:shd w:val="clear" w:color="auto" w:fill="auto"/>
            <w:vAlign w:val="center"/>
          </w:tcPr>
          <w:p w14:paraId="49A6D9DB"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Odbor za spremljanje Operativnega programa za izvajanje evropske kohezijske politike v obdobju 2014–2020</w:t>
            </w:r>
          </w:p>
        </w:tc>
      </w:tr>
      <w:tr w:rsidR="00D821A0" w:rsidRPr="006A0AC2" w14:paraId="2089AC1D" w14:textId="77777777" w:rsidTr="008045F8">
        <w:tc>
          <w:tcPr>
            <w:tcW w:w="2127" w:type="dxa"/>
            <w:shd w:val="clear" w:color="auto" w:fill="auto"/>
            <w:vAlign w:val="center"/>
          </w:tcPr>
          <w:p w14:paraId="281A3D6C" w14:textId="71D7D96A"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PEKP</w:t>
            </w:r>
          </w:p>
        </w:tc>
        <w:tc>
          <w:tcPr>
            <w:tcW w:w="6479" w:type="dxa"/>
            <w:shd w:val="clear" w:color="auto" w:fill="auto"/>
            <w:vAlign w:val="center"/>
          </w:tcPr>
          <w:p w14:paraId="11B32471" w14:textId="00BCB983"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Program izvajanja evropske kohezijske politike v obdobju 2021–2027</w:t>
            </w:r>
          </w:p>
        </w:tc>
      </w:tr>
      <w:tr w:rsidR="00D821A0" w:rsidRPr="006A0AC2" w14:paraId="101080FF" w14:textId="77777777" w:rsidTr="008045F8">
        <w:tc>
          <w:tcPr>
            <w:tcW w:w="2127" w:type="dxa"/>
            <w:shd w:val="clear" w:color="auto" w:fill="auto"/>
            <w:vAlign w:val="center"/>
          </w:tcPr>
          <w:p w14:paraId="6EFC16F7" w14:textId="088DA24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PN</w:t>
            </w:r>
          </w:p>
        </w:tc>
        <w:tc>
          <w:tcPr>
            <w:tcW w:w="6479" w:type="dxa"/>
            <w:shd w:val="clear" w:color="auto" w:fill="auto"/>
            <w:vAlign w:val="center"/>
          </w:tcPr>
          <w:p w14:paraId="5809EE86" w14:textId="3C973C95"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prednostna naložba</w:t>
            </w:r>
          </w:p>
        </w:tc>
      </w:tr>
      <w:tr w:rsidR="00D821A0" w:rsidRPr="006A0AC2" w14:paraId="23BC5333" w14:textId="77777777" w:rsidTr="008045F8">
        <w:tc>
          <w:tcPr>
            <w:tcW w:w="2127" w:type="dxa"/>
            <w:shd w:val="clear" w:color="auto" w:fill="auto"/>
            <w:vAlign w:val="center"/>
          </w:tcPr>
          <w:p w14:paraId="2A33D2BD" w14:textId="71DE10FA"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POS</w:t>
            </w:r>
          </w:p>
        </w:tc>
        <w:tc>
          <w:tcPr>
            <w:tcW w:w="6479" w:type="dxa"/>
            <w:shd w:val="clear" w:color="auto" w:fill="auto"/>
            <w:vAlign w:val="center"/>
          </w:tcPr>
          <w:p w14:paraId="212857C8" w14:textId="43851F82"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cs="Arial"/>
                <w:szCs w:val="20"/>
              </w:rPr>
              <w:t>poenostavljene oblike stroškov</w:t>
            </w:r>
          </w:p>
        </w:tc>
      </w:tr>
      <w:tr w:rsidR="00D821A0" w:rsidRPr="006A0AC2" w14:paraId="0601BD33" w14:textId="77777777" w:rsidTr="008045F8">
        <w:tc>
          <w:tcPr>
            <w:tcW w:w="2127" w:type="dxa"/>
            <w:shd w:val="clear" w:color="auto" w:fill="auto"/>
            <w:vAlign w:val="center"/>
          </w:tcPr>
          <w:p w14:paraId="5E1081F0" w14:textId="5750CD61"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PO/PT</w:t>
            </w:r>
          </w:p>
        </w:tc>
        <w:tc>
          <w:tcPr>
            <w:tcW w:w="6479" w:type="dxa"/>
            <w:shd w:val="clear" w:color="auto" w:fill="auto"/>
            <w:vAlign w:val="center"/>
          </w:tcPr>
          <w:p w14:paraId="3A55BB5D" w14:textId="51E3EB10" w:rsidR="00D821A0" w:rsidRPr="006A0AC2" w:rsidRDefault="00D821A0" w:rsidP="00D821A0">
            <w:pPr>
              <w:tabs>
                <w:tab w:val="left" w:pos="567"/>
              </w:tabs>
              <w:spacing w:after="0" w:line="240" w:lineRule="auto"/>
              <w:jc w:val="both"/>
              <w:rPr>
                <w:rFonts w:cs="Arial"/>
                <w:szCs w:val="20"/>
              </w:rPr>
            </w:pPr>
            <w:r w:rsidRPr="006A0AC2">
              <w:rPr>
                <w:rFonts w:eastAsia="SimSun" w:cs="Arial"/>
                <w:bCs/>
                <w:szCs w:val="20"/>
                <w:lang w:eastAsia="zh-CN"/>
              </w:rPr>
              <w:t>Posredniški organ/ posredniško telo</w:t>
            </w:r>
          </w:p>
        </w:tc>
      </w:tr>
      <w:tr w:rsidR="00D821A0" w:rsidRPr="006A0AC2" w14:paraId="4181F318" w14:textId="77777777" w:rsidTr="008045F8">
        <w:tc>
          <w:tcPr>
            <w:tcW w:w="2127" w:type="dxa"/>
            <w:shd w:val="clear" w:color="auto" w:fill="auto"/>
            <w:vAlign w:val="center"/>
          </w:tcPr>
          <w:p w14:paraId="0BC3FBE9"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lastRenderedPageBreak/>
              <w:t>pravice porabe</w:t>
            </w:r>
          </w:p>
        </w:tc>
        <w:tc>
          <w:tcPr>
            <w:tcW w:w="6479" w:type="dxa"/>
            <w:shd w:val="clear" w:color="auto" w:fill="auto"/>
            <w:vAlign w:val="center"/>
          </w:tcPr>
          <w:p w14:paraId="78A3DDD3" w14:textId="77777777" w:rsidR="00D821A0" w:rsidRPr="006A0AC2" w:rsidRDefault="00D821A0" w:rsidP="00D821A0">
            <w:pPr>
              <w:autoSpaceDE w:val="0"/>
              <w:adjustRightInd w:val="0"/>
              <w:spacing w:after="0" w:line="240" w:lineRule="auto"/>
              <w:jc w:val="both"/>
              <w:rPr>
                <w:rFonts w:cs="Arial"/>
                <w:bCs/>
                <w:i/>
                <w:color w:val="000000"/>
                <w:szCs w:val="20"/>
              </w:rPr>
            </w:pPr>
            <w:r w:rsidRPr="006A0AC2">
              <w:rPr>
                <w:rFonts w:cs="Arial"/>
                <w:szCs w:val="20"/>
              </w:rPr>
              <w:t xml:space="preserve">razpoložljiva sredstva evropske kohezijske politike za obdobje 2014–2020 za cilj naložbe za rast in delovna mesta </w:t>
            </w:r>
          </w:p>
        </w:tc>
      </w:tr>
      <w:tr w:rsidR="00D821A0" w:rsidRPr="006A0AC2" w14:paraId="5558432F" w14:textId="77777777" w:rsidTr="008045F8">
        <w:tc>
          <w:tcPr>
            <w:tcW w:w="2127" w:type="dxa"/>
            <w:shd w:val="clear" w:color="auto" w:fill="auto"/>
            <w:vAlign w:val="center"/>
          </w:tcPr>
          <w:p w14:paraId="3157BAE8"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prednostna os</w:t>
            </w:r>
          </w:p>
        </w:tc>
        <w:tc>
          <w:tcPr>
            <w:tcW w:w="6479" w:type="dxa"/>
            <w:shd w:val="clear" w:color="auto" w:fill="auto"/>
            <w:vAlign w:val="center"/>
          </w:tcPr>
          <w:p w14:paraId="0DAA324C"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tematski cilj</w:t>
            </w:r>
          </w:p>
        </w:tc>
      </w:tr>
      <w:tr w:rsidR="00D821A0" w:rsidRPr="006A0AC2" w14:paraId="05092798" w14:textId="77777777" w:rsidTr="008045F8">
        <w:tc>
          <w:tcPr>
            <w:tcW w:w="2127" w:type="dxa"/>
            <w:shd w:val="clear" w:color="auto" w:fill="auto"/>
            <w:vAlign w:val="center"/>
          </w:tcPr>
          <w:p w14:paraId="46E8D9FE"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SID</w:t>
            </w:r>
          </w:p>
        </w:tc>
        <w:tc>
          <w:tcPr>
            <w:tcW w:w="6479" w:type="dxa"/>
            <w:shd w:val="clear" w:color="auto" w:fill="auto"/>
            <w:vAlign w:val="center"/>
          </w:tcPr>
          <w:p w14:paraId="6DFFAFD3"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Slovenska izvozna in razvojna banka d. d., Ljubljana</w:t>
            </w:r>
          </w:p>
        </w:tc>
      </w:tr>
      <w:tr w:rsidR="00D821A0" w:rsidRPr="006A0AC2" w14:paraId="128534E2" w14:textId="77777777" w:rsidTr="008045F8">
        <w:tc>
          <w:tcPr>
            <w:tcW w:w="2127" w:type="dxa"/>
            <w:shd w:val="clear" w:color="auto" w:fill="auto"/>
            <w:vAlign w:val="center"/>
          </w:tcPr>
          <w:p w14:paraId="4B40A219"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S4/S5</w:t>
            </w:r>
          </w:p>
        </w:tc>
        <w:tc>
          <w:tcPr>
            <w:tcW w:w="6479" w:type="dxa"/>
            <w:shd w:val="clear" w:color="auto" w:fill="auto"/>
            <w:vAlign w:val="center"/>
          </w:tcPr>
          <w:p w14:paraId="0997758C"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Slovenska strategija pametne specializacije</w:t>
            </w:r>
          </w:p>
        </w:tc>
      </w:tr>
      <w:tr w:rsidR="00D821A0" w:rsidRPr="006A0AC2" w14:paraId="3FB38749" w14:textId="77777777" w:rsidTr="008045F8">
        <w:tc>
          <w:tcPr>
            <w:tcW w:w="2127" w:type="dxa"/>
            <w:shd w:val="clear" w:color="auto" w:fill="auto"/>
            <w:vAlign w:val="center"/>
          </w:tcPr>
          <w:p w14:paraId="1B4A7E59"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MS Mincho" w:cs="Arial"/>
                <w:szCs w:val="20"/>
              </w:rPr>
              <w:t>SLR</w:t>
            </w:r>
          </w:p>
        </w:tc>
        <w:tc>
          <w:tcPr>
            <w:tcW w:w="6479" w:type="dxa"/>
            <w:shd w:val="clear" w:color="auto" w:fill="auto"/>
            <w:vAlign w:val="center"/>
          </w:tcPr>
          <w:p w14:paraId="13DDD14F"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strategija lokalnega razvoja</w:t>
            </w:r>
          </w:p>
        </w:tc>
      </w:tr>
      <w:tr w:rsidR="00D821A0" w:rsidRPr="006A0AC2" w14:paraId="46807B2C" w14:textId="77777777" w:rsidTr="008045F8">
        <w:tc>
          <w:tcPr>
            <w:tcW w:w="2127" w:type="dxa"/>
            <w:shd w:val="clear" w:color="auto" w:fill="auto"/>
            <w:vAlign w:val="center"/>
          </w:tcPr>
          <w:p w14:paraId="5FF01413" w14:textId="4C173AED" w:rsidR="00D821A0" w:rsidRPr="006A0AC2" w:rsidRDefault="00D821A0" w:rsidP="00D821A0">
            <w:pPr>
              <w:tabs>
                <w:tab w:val="left" w:pos="567"/>
              </w:tabs>
              <w:spacing w:after="0" w:line="240" w:lineRule="auto"/>
              <w:jc w:val="both"/>
              <w:rPr>
                <w:rFonts w:eastAsia="MS Mincho" w:cs="Arial"/>
                <w:szCs w:val="20"/>
              </w:rPr>
            </w:pPr>
            <w:r w:rsidRPr="006A0AC2">
              <w:rPr>
                <w:rFonts w:eastAsia="MS Mincho" w:cs="Arial"/>
                <w:szCs w:val="20"/>
              </w:rPr>
              <w:t>SRIP</w:t>
            </w:r>
          </w:p>
        </w:tc>
        <w:tc>
          <w:tcPr>
            <w:tcW w:w="6479" w:type="dxa"/>
            <w:shd w:val="clear" w:color="auto" w:fill="auto"/>
            <w:vAlign w:val="center"/>
          </w:tcPr>
          <w:p w14:paraId="183F111E" w14:textId="323C867E"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strateška razvojno-inovacijska partnerstva</w:t>
            </w:r>
          </w:p>
        </w:tc>
      </w:tr>
      <w:tr w:rsidR="00D821A0" w:rsidRPr="006A0AC2" w14:paraId="64F81312" w14:textId="77777777" w:rsidTr="008045F8">
        <w:tc>
          <w:tcPr>
            <w:tcW w:w="2127" w:type="dxa"/>
            <w:shd w:val="clear" w:color="auto" w:fill="auto"/>
            <w:vAlign w:val="center"/>
          </w:tcPr>
          <w:p w14:paraId="6559CF36" w14:textId="77777777" w:rsidR="00D821A0" w:rsidRPr="006A0AC2" w:rsidRDefault="00D821A0" w:rsidP="00D821A0">
            <w:pPr>
              <w:tabs>
                <w:tab w:val="left" w:pos="567"/>
              </w:tabs>
              <w:spacing w:after="0" w:line="240" w:lineRule="auto"/>
              <w:jc w:val="both"/>
              <w:rPr>
                <w:rFonts w:eastAsia="MS Mincho" w:cs="Arial"/>
                <w:szCs w:val="20"/>
              </w:rPr>
            </w:pPr>
            <w:r w:rsidRPr="006A0AC2">
              <w:rPr>
                <w:rFonts w:eastAsia="MS Mincho" w:cs="Arial"/>
                <w:szCs w:val="20"/>
              </w:rPr>
              <w:t>STEP</w:t>
            </w:r>
          </w:p>
        </w:tc>
        <w:tc>
          <w:tcPr>
            <w:tcW w:w="6479" w:type="dxa"/>
            <w:shd w:val="clear" w:color="auto" w:fill="auto"/>
            <w:vAlign w:val="center"/>
          </w:tcPr>
          <w:p w14:paraId="416F46B3" w14:textId="42FCA1C4" w:rsidR="00D821A0" w:rsidRPr="006A0AC2" w:rsidRDefault="00D821A0" w:rsidP="00D821A0">
            <w:pPr>
              <w:tabs>
                <w:tab w:val="left" w:pos="567"/>
              </w:tabs>
              <w:spacing w:after="0" w:line="240" w:lineRule="auto"/>
              <w:jc w:val="both"/>
              <w:rPr>
                <w:rFonts w:eastAsia="SimSun" w:cs="Arial"/>
                <w:bCs/>
                <w:szCs w:val="20"/>
                <w:lang w:eastAsia="zh-CN"/>
              </w:rPr>
            </w:pPr>
            <w:proofErr w:type="spellStart"/>
            <w:r w:rsidRPr="006A0AC2">
              <w:rPr>
                <w:rFonts w:eastAsia="SimSun" w:cs="Arial"/>
                <w:bCs/>
                <w:szCs w:val="20"/>
                <w:lang w:eastAsia="zh-CN"/>
              </w:rPr>
              <w:t>Strategic</w:t>
            </w:r>
            <w:proofErr w:type="spellEnd"/>
            <w:r w:rsidRPr="006A0AC2">
              <w:rPr>
                <w:rFonts w:eastAsia="SimSun" w:cs="Arial"/>
                <w:bCs/>
                <w:szCs w:val="20"/>
                <w:lang w:eastAsia="zh-CN"/>
              </w:rPr>
              <w:t xml:space="preserve"> Technologies </w:t>
            </w:r>
            <w:proofErr w:type="spellStart"/>
            <w:r w:rsidRPr="006A0AC2">
              <w:rPr>
                <w:rFonts w:eastAsia="SimSun" w:cs="Arial"/>
                <w:bCs/>
                <w:szCs w:val="20"/>
                <w:lang w:eastAsia="zh-CN"/>
              </w:rPr>
              <w:t>for</w:t>
            </w:r>
            <w:proofErr w:type="spellEnd"/>
            <w:r w:rsidRPr="006A0AC2">
              <w:rPr>
                <w:rFonts w:eastAsia="SimSun" w:cs="Arial"/>
                <w:bCs/>
                <w:szCs w:val="20"/>
                <w:lang w:eastAsia="zh-CN"/>
              </w:rPr>
              <w:t xml:space="preserve"> </w:t>
            </w:r>
            <w:proofErr w:type="spellStart"/>
            <w:r w:rsidRPr="006A0AC2">
              <w:rPr>
                <w:rFonts w:eastAsia="SimSun" w:cs="Arial"/>
                <w:bCs/>
                <w:szCs w:val="20"/>
                <w:lang w:eastAsia="zh-CN"/>
              </w:rPr>
              <w:t>Europe</w:t>
            </w:r>
            <w:proofErr w:type="spellEnd"/>
            <w:r w:rsidRPr="006A0AC2">
              <w:rPr>
                <w:rFonts w:eastAsia="SimSun" w:cs="Arial"/>
                <w:bCs/>
                <w:szCs w:val="20"/>
                <w:lang w:eastAsia="zh-CN"/>
              </w:rPr>
              <w:t xml:space="preserve"> Platform</w:t>
            </w:r>
          </w:p>
        </w:tc>
      </w:tr>
      <w:tr w:rsidR="00D821A0" w:rsidRPr="006A0AC2" w14:paraId="7AC9F7DC" w14:textId="77777777" w:rsidTr="008045F8">
        <w:tc>
          <w:tcPr>
            <w:tcW w:w="2127" w:type="dxa"/>
            <w:shd w:val="clear" w:color="auto" w:fill="auto"/>
            <w:vAlign w:val="center"/>
          </w:tcPr>
          <w:p w14:paraId="4B1A1190"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SVRK</w:t>
            </w:r>
          </w:p>
        </w:tc>
        <w:tc>
          <w:tcPr>
            <w:tcW w:w="6479" w:type="dxa"/>
            <w:shd w:val="clear" w:color="auto" w:fill="auto"/>
            <w:vAlign w:val="center"/>
          </w:tcPr>
          <w:p w14:paraId="4220AE4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Služba Vlade RS za razvoj in evropsko kohezijsko politiko, organ upravljanja za strukturne sklade in Kohezijski sklad</w:t>
            </w:r>
          </w:p>
        </w:tc>
      </w:tr>
      <w:tr w:rsidR="00D821A0" w:rsidRPr="006A0AC2" w14:paraId="75F631A1" w14:textId="77777777" w:rsidTr="008045F8">
        <w:tc>
          <w:tcPr>
            <w:tcW w:w="2127" w:type="dxa"/>
            <w:shd w:val="clear" w:color="auto" w:fill="auto"/>
            <w:vAlign w:val="center"/>
          </w:tcPr>
          <w:p w14:paraId="3136A39E"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TP</w:t>
            </w:r>
          </w:p>
        </w:tc>
        <w:tc>
          <w:tcPr>
            <w:tcW w:w="6479" w:type="dxa"/>
            <w:shd w:val="clear" w:color="auto" w:fill="auto"/>
            <w:vAlign w:val="center"/>
          </w:tcPr>
          <w:p w14:paraId="182F9F1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tehnična podpora</w:t>
            </w:r>
          </w:p>
        </w:tc>
      </w:tr>
      <w:tr w:rsidR="00D821A0" w:rsidRPr="006A0AC2" w14:paraId="6D9E0FDE" w14:textId="77777777" w:rsidTr="008045F8">
        <w:tc>
          <w:tcPr>
            <w:tcW w:w="2127" w:type="dxa"/>
            <w:shd w:val="clear" w:color="auto" w:fill="auto"/>
            <w:vAlign w:val="center"/>
          </w:tcPr>
          <w:p w14:paraId="00DAE14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Uredba EKP</w:t>
            </w:r>
          </w:p>
        </w:tc>
        <w:tc>
          <w:tcPr>
            <w:tcW w:w="6479" w:type="dxa"/>
            <w:shd w:val="clear" w:color="auto" w:fill="auto"/>
            <w:vAlign w:val="center"/>
          </w:tcPr>
          <w:p w14:paraId="68004683"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cs="Arial"/>
                <w:szCs w:val="20"/>
              </w:rPr>
              <w:t>Uredba o porabi sredstev evropske kohezijske politike v Republiki Sloveniji v programskem obdobju 2014–2020 za cilj naložbe za rast in delovna mesta</w:t>
            </w:r>
          </w:p>
        </w:tc>
      </w:tr>
      <w:tr w:rsidR="00D821A0" w:rsidRPr="006A0AC2" w14:paraId="6A4CBC09" w14:textId="77777777" w:rsidTr="008045F8">
        <w:tc>
          <w:tcPr>
            <w:tcW w:w="2127" w:type="dxa"/>
            <w:shd w:val="clear" w:color="auto" w:fill="auto"/>
            <w:vAlign w:val="center"/>
          </w:tcPr>
          <w:p w14:paraId="63D39BC0"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VFO</w:t>
            </w:r>
          </w:p>
        </w:tc>
        <w:tc>
          <w:tcPr>
            <w:tcW w:w="6479" w:type="dxa"/>
            <w:shd w:val="clear" w:color="auto" w:fill="auto"/>
            <w:vAlign w:val="center"/>
          </w:tcPr>
          <w:p w14:paraId="480B085D"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Calibri" w:cs="Arial"/>
                <w:szCs w:val="20"/>
              </w:rPr>
              <w:t>večletni finančni okvir EU</w:t>
            </w:r>
          </w:p>
        </w:tc>
      </w:tr>
      <w:tr w:rsidR="00D821A0" w:rsidRPr="006A0AC2" w14:paraId="05C13FEA" w14:textId="77777777" w:rsidTr="008045F8">
        <w:tc>
          <w:tcPr>
            <w:tcW w:w="2127" w:type="dxa"/>
            <w:shd w:val="clear" w:color="auto" w:fill="auto"/>
            <w:vAlign w:val="center"/>
          </w:tcPr>
          <w:p w14:paraId="1CD6A6D3"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YEI</w:t>
            </w:r>
          </w:p>
        </w:tc>
        <w:tc>
          <w:tcPr>
            <w:tcW w:w="6479" w:type="dxa"/>
            <w:shd w:val="clear" w:color="auto" w:fill="auto"/>
            <w:vAlign w:val="center"/>
          </w:tcPr>
          <w:p w14:paraId="71CAA24C"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Pobuda za zaposlovanje mladih (finančna sredstva so načrtovana kot dopolnilo sredstvom iz ESS v obdobju 2014–2020)</w:t>
            </w:r>
          </w:p>
        </w:tc>
      </w:tr>
      <w:tr w:rsidR="00D821A0" w:rsidRPr="006A0AC2" w14:paraId="684D203B" w14:textId="77777777" w:rsidTr="008045F8">
        <w:tc>
          <w:tcPr>
            <w:tcW w:w="2127" w:type="dxa"/>
            <w:shd w:val="clear" w:color="auto" w:fill="auto"/>
            <w:vAlign w:val="center"/>
          </w:tcPr>
          <w:p w14:paraId="61BDA2B0"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ZMOS</w:t>
            </w:r>
          </w:p>
        </w:tc>
        <w:tc>
          <w:tcPr>
            <w:tcW w:w="6479" w:type="dxa"/>
            <w:shd w:val="clear" w:color="auto" w:fill="auto"/>
            <w:vAlign w:val="center"/>
          </w:tcPr>
          <w:p w14:paraId="431719FF"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Združenje mestnih občin Slovenije</w:t>
            </w:r>
          </w:p>
        </w:tc>
      </w:tr>
      <w:tr w:rsidR="00D821A0" w:rsidRPr="006A0AC2" w14:paraId="59A658DD" w14:textId="77777777" w:rsidTr="008045F8">
        <w:tc>
          <w:tcPr>
            <w:tcW w:w="2127" w:type="dxa"/>
            <w:shd w:val="clear" w:color="auto" w:fill="auto"/>
            <w:vAlign w:val="center"/>
          </w:tcPr>
          <w:p w14:paraId="71DA540B" w14:textId="77777777" w:rsidR="00D821A0" w:rsidRPr="006A0AC2" w:rsidRDefault="00D821A0" w:rsidP="00D821A0">
            <w:pPr>
              <w:tabs>
                <w:tab w:val="left" w:pos="567"/>
              </w:tabs>
              <w:spacing w:after="0" w:line="240" w:lineRule="auto"/>
              <w:jc w:val="both"/>
              <w:rPr>
                <w:rFonts w:eastAsia="SimSun" w:cs="Arial"/>
                <w:bCs/>
                <w:szCs w:val="20"/>
                <w:lang w:eastAsia="zh-CN"/>
              </w:rPr>
            </w:pPr>
            <w:proofErr w:type="spellStart"/>
            <w:r w:rsidRPr="006A0AC2">
              <w:rPr>
                <w:rFonts w:eastAsia="SimSun" w:cs="Arial"/>
                <w:bCs/>
                <w:szCs w:val="20"/>
                <w:lang w:eastAsia="zh-CN"/>
              </w:rPr>
              <w:t>ZzI</w:t>
            </w:r>
            <w:proofErr w:type="spellEnd"/>
          </w:p>
        </w:tc>
        <w:tc>
          <w:tcPr>
            <w:tcW w:w="6479" w:type="dxa"/>
            <w:shd w:val="clear" w:color="auto" w:fill="auto"/>
            <w:vAlign w:val="center"/>
          </w:tcPr>
          <w:p w14:paraId="5FD71751"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zahtevek za izplačilo</w:t>
            </w:r>
          </w:p>
        </w:tc>
      </w:tr>
      <w:bookmarkEnd w:id="17"/>
    </w:tbl>
    <w:p w14:paraId="6FB70267" w14:textId="77777777" w:rsidR="007E18A1" w:rsidRPr="0025033E" w:rsidRDefault="007E18A1" w:rsidP="00ED5676">
      <w:pPr>
        <w:spacing w:line="276" w:lineRule="auto"/>
        <w:jc w:val="both"/>
        <w:rPr>
          <w:rFonts w:eastAsia="HGGothicM" w:cs="Arial"/>
        </w:rPr>
        <w:sectPr w:rsidR="007E18A1" w:rsidRPr="0025033E">
          <w:pgSz w:w="11906" w:h="16838"/>
          <w:pgMar w:top="1418" w:right="1418" w:bottom="1418" w:left="1418" w:header="709" w:footer="709" w:gutter="0"/>
          <w:cols w:space="708"/>
        </w:sectPr>
      </w:pPr>
    </w:p>
    <w:p w14:paraId="34F8CCF3" w14:textId="77777777" w:rsidR="009D68EB" w:rsidRPr="0025033E" w:rsidRDefault="009D68EB" w:rsidP="00D315EB">
      <w:pPr>
        <w:suppressAutoHyphens w:val="0"/>
        <w:autoSpaceDN/>
        <w:spacing w:after="0"/>
        <w:jc w:val="center"/>
        <w:rPr>
          <w:rFonts w:eastAsia="HGGothicM" w:cs="Arial"/>
          <w:b/>
          <w:color w:val="2E74B5"/>
          <w:sz w:val="22"/>
          <w:szCs w:val="22"/>
          <w:lang w:eastAsia="x-none"/>
        </w:rPr>
      </w:pPr>
      <w:bookmarkStart w:id="18" w:name="_Toc558805973"/>
      <w:bookmarkStart w:id="19" w:name="_Toc1337774168"/>
      <w:bookmarkStart w:id="20" w:name="_Toc204595319"/>
      <w:bookmarkStart w:id="21" w:name="_Toc1299853429"/>
      <w:bookmarkStart w:id="22" w:name="_Toc276748515"/>
      <w:bookmarkStart w:id="23" w:name="_Toc787574123"/>
      <w:bookmarkStart w:id="24" w:name="_Toc1379065192"/>
      <w:bookmarkStart w:id="25" w:name="_Toc1308387226"/>
      <w:bookmarkStart w:id="26" w:name="_Toc467314235"/>
      <w:bookmarkStart w:id="27" w:name="_Toc911886735"/>
      <w:bookmarkStart w:id="28" w:name="_Toc1462530050"/>
      <w:bookmarkStart w:id="29" w:name="_Toc1379595910"/>
      <w:bookmarkStart w:id="30" w:name="_Toc2006092952"/>
      <w:bookmarkStart w:id="31" w:name="_Toc1739294218"/>
      <w:bookmarkStart w:id="32" w:name="_Toc1840981132"/>
      <w:bookmarkStart w:id="33" w:name="_Toc299935706"/>
      <w:bookmarkStart w:id="34" w:name="_Toc1828184051"/>
      <w:bookmarkStart w:id="35" w:name="_Toc215266057"/>
      <w:bookmarkStart w:id="36" w:name="_Toc611172654"/>
      <w:bookmarkStart w:id="37" w:name="_Toc369422290"/>
      <w:bookmarkStart w:id="38" w:name="_Toc1722127333"/>
      <w:bookmarkStart w:id="39" w:name="_Toc907806681"/>
      <w:bookmarkStart w:id="40" w:name="_Toc933610509"/>
      <w:bookmarkStart w:id="41" w:name="_Toc2134243359"/>
      <w:bookmarkStart w:id="42" w:name="_Toc1331906492"/>
      <w:bookmarkStart w:id="43" w:name="_Toc989203233"/>
      <w:bookmarkStart w:id="44" w:name="_Toc925775372"/>
      <w:bookmarkStart w:id="45" w:name="_Toc840267118"/>
      <w:bookmarkStart w:id="46" w:name="_Toc888061547"/>
      <w:bookmarkStart w:id="47" w:name="_Toc588446153"/>
      <w:bookmarkStart w:id="48" w:name="_Toc1602112335"/>
      <w:bookmarkStart w:id="49" w:name="_Toc2007111824"/>
      <w:bookmarkStart w:id="50" w:name="_Toc910435387"/>
      <w:bookmarkStart w:id="51" w:name="_Toc265094537"/>
      <w:bookmarkStart w:id="52" w:name="_Toc1303026484"/>
      <w:bookmarkStart w:id="53" w:name="_Toc214997685"/>
      <w:bookmarkStart w:id="54" w:name="_Toc1129915611"/>
      <w:bookmarkStart w:id="55" w:name="_Toc529423988"/>
      <w:bookmarkStart w:id="56" w:name="_Toc1314682962"/>
      <w:bookmarkStart w:id="57" w:name="_Toc364437237"/>
      <w:bookmarkStart w:id="58" w:name="_Toc1752696687"/>
      <w:bookmarkStart w:id="59" w:name="_Toc935686337"/>
      <w:bookmarkStart w:id="60" w:name="_Toc1581414871"/>
      <w:bookmarkStart w:id="61" w:name="_Toc552026495"/>
      <w:bookmarkStart w:id="62" w:name="_Toc794136107"/>
      <w:bookmarkStart w:id="63" w:name="_Toc1132810085"/>
      <w:bookmarkStart w:id="64" w:name="_Toc2054215907"/>
      <w:bookmarkStart w:id="65" w:name="_Toc429641800"/>
      <w:bookmarkStart w:id="66" w:name="_Toc1012754163"/>
      <w:bookmarkStart w:id="67" w:name="_Toc1286025785"/>
      <w:bookmarkStart w:id="68" w:name="_Toc710158920"/>
      <w:bookmarkStart w:id="69" w:name="_Toc489972748"/>
      <w:bookmarkStart w:id="70" w:name="_Toc730990598"/>
      <w:bookmarkStart w:id="71" w:name="_Toc728687562"/>
      <w:bookmarkStart w:id="72" w:name="_Toc2006781558"/>
      <w:bookmarkStart w:id="73" w:name="_Toc395363613"/>
      <w:bookmarkStart w:id="74" w:name="_Toc1917041092"/>
      <w:bookmarkStart w:id="75" w:name="_Toc91934929"/>
      <w:bookmarkStart w:id="76" w:name="_Toc129285892"/>
      <w:bookmarkStart w:id="77" w:name="_Toc1236736446"/>
      <w:bookmarkStart w:id="78" w:name="_Toc977350809"/>
      <w:bookmarkStart w:id="79" w:name="_Toc1426614488"/>
      <w:bookmarkStart w:id="80" w:name="_Toc1563811008"/>
      <w:bookmarkStart w:id="81" w:name="_Toc611542782"/>
      <w:bookmarkStart w:id="82" w:name="_Toc329168116"/>
      <w:bookmarkStart w:id="83" w:name="_Toc1746019340"/>
      <w:bookmarkStart w:id="84" w:name="_Toc704240501"/>
      <w:bookmarkStart w:id="85" w:name="_Toc615219393"/>
      <w:bookmarkStart w:id="86" w:name="_Toc690732609"/>
      <w:bookmarkStart w:id="87" w:name="_Toc199284563"/>
      <w:bookmarkStart w:id="88" w:name="_Toc426869936"/>
      <w:bookmarkStart w:id="89" w:name="_Toc1196128655"/>
      <w:bookmarkStart w:id="90" w:name="_Toc85600054"/>
      <w:bookmarkStart w:id="91" w:name="_Toc822571468"/>
      <w:bookmarkStart w:id="92" w:name="_Toc1225382650"/>
      <w:bookmarkStart w:id="93" w:name="_Toc912415360"/>
      <w:bookmarkStart w:id="94" w:name="_Toc2090814630"/>
      <w:bookmarkStart w:id="95" w:name="_Toc1721121512"/>
      <w:bookmarkStart w:id="96" w:name="_Toc2073896224"/>
      <w:bookmarkStart w:id="97" w:name="_Toc1375974840"/>
      <w:bookmarkStart w:id="98" w:name="_Toc1955079296"/>
      <w:bookmarkStart w:id="99" w:name="_Toc487874125"/>
      <w:bookmarkStart w:id="100" w:name="_Toc131019291"/>
      <w:bookmarkStart w:id="101" w:name="_Toc1458979740"/>
      <w:bookmarkStart w:id="102" w:name="_Toc187739292"/>
      <w:bookmarkStart w:id="103" w:name="_Toc187740025"/>
      <w:r w:rsidRPr="0025033E">
        <w:rPr>
          <w:rFonts w:eastAsia="HGGothicM" w:cs="Arial"/>
          <w:b/>
          <w:color w:val="2E74B5"/>
          <w:sz w:val="22"/>
          <w:szCs w:val="22"/>
          <w:lang w:eastAsia="x-none"/>
        </w:rPr>
        <w:lastRenderedPageBreak/>
        <w:t>POVZETEK</w:t>
      </w:r>
    </w:p>
    <w:p w14:paraId="47DB44D8" w14:textId="77777777" w:rsidR="009D68EB" w:rsidRPr="0025033E" w:rsidRDefault="009D68EB" w:rsidP="00ED5676">
      <w:pPr>
        <w:suppressAutoHyphens w:val="0"/>
        <w:autoSpaceDN/>
        <w:spacing w:after="0" w:line="288" w:lineRule="auto"/>
        <w:jc w:val="both"/>
        <w:rPr>
          <w:rFonts w:eastAsia="SimSun" w:cs="Arial"/>
          <w:sz w:val="22"/>
          <w:szCs w:val="22"/>
          <w:lang w:eastAsia="zh-CN"/>
        </w:rPr>
      </w:pPr>
    </w:p>
    <w:p w14:paraId="258A8130" w14:textId="77777777" w:rsidR="00567269" w:rsidRDefault="009D68EB" w:rsidP="00567269">
      <w:pPr>
        <w:suppressAutoHyphens w:val="0"/>
        <w:autoSpaceDN/>
        <w:spacing w:after="0" w:line="288" w:lineRule="auto"/>
        <w:jc w:val="both"/>
        <w:rPr>
          <w:rFonts w:cs="Arial"/>
          <w:szCs w:val="20"/>
        </w:rPr>
      </w:pPr>
      <w:r w:rsidRPr="00D315EB">
        <w:rPr>
          <w:rFonts w:cs="Arial"/>
          <w:szCs w:val="20"/>
        </w:rPr>
        <w:t xml:space="preserve">Poročilo o izvajanju evropske kohezijske politike 2014–2020 v prvem delu povzema pregled stanja v okviru </w:t>
      </w:r>
      <w:r w:rsidRPr="00D315EB">
        <w:rPr>
          <w:rFonts w:cs="Arial"/>
          <w:bCs/>
          <w:szCs w:val="20"/>
        </w:rPr>
        <w:t xml:space="preserve">Operativnega programa za izvajanje evropske kohezijske politike v obdobju 2014–2020 </w:t>
      </w:r>
      <w:r w:rsidRPr="00D315EB">
        <w:rPr>
          <w:rFonts w:cs="Arial"/>
          <w:szCs w:val="20"/>
        </w:rPr>
        <w:t xml:space="preserve">na dan 31. 12. 2024, </w:t>
      </w:r>
    </w:p>
    <w:p w14:paraId="4FAB789B" w14:textId="44B2C126" w:rsidR="00567269" w:rsidRPr="00010CAC" w:rsidRDefault="00567269" w:rsidP="00567269">
      <w:pPr>
        <w:suppressAutoHyphens w:val="0"/>
        <w:autoSpaceDN/>
        <w:spacing w:after="0" w:line="288" w:lineRule="auto"/>
        <w:jc w:val="both"/>
        <w:rPr>
          <w:rFonts w:cs="Arial"/>
          <w:color w:val="000000"/>
          <w:szCs w:val="20"/>
        </w:rPr>
      </w:pPr>
      <w:r>
        <w:rPr>
          <w:rFonts w:cs="Arial"/>
          <w:color w:val="000000"/>
          <w:szCs w:val="20"/>
        </w:rPr>
        <w:t>Do konca leta 2024</w:t>
      </w:r>
      <w:r w:rsidRPr="00010CAC">
        <w:rPr>
          <w:rFonts w:cs="Arial"/>
          <w:color w:val="000000"/>
          <w:szCs w:val="20"/>
        </w:rPr>
        <w:t xml:space="preserve"> so bile izdane vse odločitve o podpri</w:t>
      </w:r>
      <w:r>
        <w:rPr>
          <w:rFonts w:cs="Arial"/>
          <w:color w:val="000000"/>
          <w:szCs w:val="20"/>
        </w:rPr>
        <w:t xml:space="preserve"> ter</w:t>
      </w:r>
      <w:r w:rsidRPr="00010CAC">
        <w:rPr>
          <w:rFonts w:cs="Arial"/>
          <w:color w:val="000000"/>
          <w:szCs w:val="20"/>
        </w:rPr>
        <w:t xml:space="preserve"> </w:t>
      </w:r>
      <w:r>
        <w:rPr>
          <w:rFonts w:cs="Arial"/>
          <w:color w:val="000000"/>
          <w:szCs w:val="20"/>
        </w:rPr>
        <w:t>i</w:t>
      </w:r>
      <w:r w:rsidRPr="00010CAC">
        <w:rPr>
          <w:rFonts w:cs="Arial"/>
          <w:color w:val="000000"/>
          <w:szCs w:val="20"/>
        </w:rPr>
        <w:t>zvedena so bila tudi vsa izplačila, trenutno pa še poteka zaključevanje operaciji vezanih za obdobje 2014–2020.</w:t>
      </w:r>
    </w:p>
    <w:p w14:paraId="446C92F4" w14:textId="77777777" w:rsidR="009D68EB" w:rsidRPr="00D315EB" w:rsidRDefault="009D68EB" w:rsidP="00ED5676">
      <w:pPr>
        <w:suppressAutoHyphens w:val="0"/>
        <w:autoSpaceDN/>
        <w:spacing w:after="0" w:line="288" w:lineRule="auto"/>
        <w:jc w:val="both"/>
        <w:rPr>
          <w:rFonts w:cs="Arial"/>
          <w:szCs w:val="20"/>
        </w:rPr>
      </w:pPr>
    </w:p>
    <w:p w14:paraId="144E71EF" w14:textId="66897799" w:rsidR="009D68EB" w:rsidRPr="00D315EB" w:rsidRDefault="009D68EB" w:rsidP="00ED5676">
      <w:pPr>
        <w:suppressAutoHyphens w:val="0"/>
        <w:autoSpaceDN/>
        <w:spacing w:after="0" w:line="288" w:lineRule="auto"/>
        <w:jc w:val="both"/>
        <w:rPr>
          <w:rFonts w:eastAsia="SimSun" w:cs="Arial"/>
          <w:szCs w:val="20"/>
          <w:lang w:eastAsia="zh-CN"/>
        </w:rPr>
      </w:pPr>
      <w:r w:rsidRPr="00D315EB">
        <w:rPr>
          <w:rFonts w:eastAsia="SimSun" w:cs="Arial"/>
          <w:szCs w:val="20"/>
          <w:lang w:eastAsia="zh-CN"/>
        </w:rPr>
        <w:t>Poročilo poleg kumulativnega stanja za obdobje od januarja 2014 do konca decembra 2024 vsebuje tudi opis izzivov ter ključnih aktivnosti v drugem polletju leta 2024.</w:t>
      </w:r>
    </w:p>
    <w:p w14:paraId="2075A8C1" w14:textId="77777777" w:rsidR="009D68EB" w:rsidRPr="00D315EB" w:rsidRDefault="009D68EB" w:rsidP="00ED5676">
      <w:pPr>
        <w:suppressAutoHyphens w:val="0"/>
        <w:autoSpaceDN/>
        <w:spacing w:after="0" w:line="288" w:lineRule="auto"/>
        <w:jc w:val="both"/>
        <w:rPr>
          <w:rFonts w:eastAsia="SimSun" w:cs="Arial"/>
          <w:szCs w:val="20"/>
          <w:lang w:eastAsia="zh-CN"/>
        </w:rPr>
      </w:pPr>
    </w:p>
    <w:p w14:paraId="5BF3F31B" w14:textId="2D3A67C7" w:rsidR="009D68EB" w:rsidRPr="00D315EB" w:rsidRDefault="009D68EB" w:rsidP="00ED5676">
      <w:pPr>
        <w:suppressAutoHyphens w:val="0"/>
        <w:autoSpaceDN/>
        <w:spacing w:after="0" w:line="288" w:lineRule="auto"/>
        <w:jc w:val="both"/>
        <w:rPr>
          <w:rFonts w:eastAsia="Calibri" w:cs="Arial"/>
          <w:szCs w:val="20"/>
        </w:rPr>
      </w:pPr>
      <w:bookmarkStart w:id="104" w:name="_Hlk156215178"/>
      <w:r w:rsidRPr="00D315EB">
        <w:rPr>
          <w:rFonts w:eastAsia="SimSun" w:cs="Arial"/>
          <w:szCs w:val="20"/>
          <w:lang w:eastAsia="zh-CN"/>
        </w:rPr>
        <w:t xml:space="preserve">Drugi del poročila </w:t>
      </w:r>
      <w:r w:rsidRPr="00D315EB">
        <w:rPr>
          <w:rFonts w:eastAsia="Calibri" w:cs="Arial"/>
          <w:szCs w:val="20"/>
        </w:rPr>
        <w:t>opisuje stanje pri koriščenju sredstev evropske kohezijske politike v okviru izvajanja Programa evropske kohezijske politike v programskem obdobju 2021–2027</w:t>
      </w:r>
      <w:r w:rsidR="0050687B">
        <w:rPr>
          <w:rFonts w:eastAsia="Calibri" w:cs="Arial"/>
          <w:szCs w:val="20"/>
        </w:rPr>
        <w:t xml:space="preserve"> (PEKP)</w:t>
      </w:r>
      <w:r w:rsidRPr="00D315EB">
        <w:rPr>
          <w:rFonts w:eastAsia="Calibri" w:cs="Arial"/>
          <w:szCs w:val="20"/>
        </w:rPr>
        <w:t>, ki je sledeče:</w:t>
      </w:r>
    </w:p>
    <w:p w14:paraId="38C24992" w14:textId="47A93703" w:rsidR="009D68EB" w:rsidRPr="00D315EB" w:rsidRDefault="009D68EB" w:rsidP="009864BC">
      <w:pPr>
        <w:numPr>
          <w:ilvl w:val="0"/>
          <w:numId w:val="8"/>
        </w:numPr>
        <w:suppressAutoHyphens w:val="0"/>
        <w:autoSpaceDN/>
        <w:spacing w:after="0" w:line="288" w:lineRule="auto"/>
        <w:jc w:val="both"/>
        <w:rPr>
          <w:rFonts w:cs="Arial"/>
          <w:szCs w:val="20"/>
        </w:rPr>
      </w:pPr>
      <w:r w:rsidRPr="00D315EB">
        <w:rPr>
          <w:rFonts w:cs="Arial"/>
          <w:szCs w:val="20"/>
        </w:rPr>
        <w:t xml:space="preserve">odločitve o podpori v skupni vrednosti </w:t>
      </w:r>
      <w:r w:rsidR="00D16B62" w:rsidRPr="00D315EB">
        <w:rPr>
          <w:rFonts w:cs="Arial"/>
          <w:szCs w:val="20"/>
        </w:rPr>
        <w:t>791.314.116</w:t>
      </w:r>
      <w:r w:rsidRPr="00D315EB">
        <w:rPr>
          <w:rFonts w:cs="Arial"/>
          <w:szCs w:val="20"/>
        </w:rPr>
        <w:t xml:space="preserve"> EUR (EU del), kar je 2</w:t>
      </w:r>
      <w:r w:rsidR="00D16B62" w:rsidRPr="00D315EB">
        <w:rPr>
          <w:rFonts w:cs="Arial"/>
          <w:szCs w:val="20"/>
        </w:rPr>
        <w:t>5</w:t>
      </w:r>
      <w:r w:rsidRPr="00D315EB">
        <w:rPr>
          <w:rFonts w:cs="Arial"/>
          <w:szCs w:val="20"/>
        </w:rPr>
        <w:t xml:space="preserve"> % vseh razpoložljivih sredstev;</w:t>
      </w:r>
    </w:p>
    <w:p w14:paraId="108D3C0F" w14:textId="72D87D38" w:rsidR="009D68EB" w:rsidRPr="00D315EB" w:rsidRDefault="009D68EB" w:rsidP="009864BC">
      <w:pPr>
        <w:numPr>
          <w:ilvl w:val="0"/>
          <w:numId w:val="8"/>
        </w:numPr>
        <w:suppressAutoHyphens w:val="0"/>
        <w:autoSpaceDN/>
        <w:spacing w:after="0" w:line="288" w:lineRule="auto"/>
        <w:jc w:val="both"/>
        <w:rPr>
          <w:rFonts w:cs="Arial"/>
          <w:szCs w:val="20"/>
        </w:rPr>
      </w:pPr>
      <w:r w:rsidRPr="00D315EB">
        <w:rPr>
          <w:rFonts w:cs="Arial"/>
          <w:szCs w:val="20"/>
        </w:rPr>
        <w:t>znesek potrjenih operacij v skupni vrednosti 5</w:t>
      </w:r>
      <w:r w:rsidR="00D16B62" w:rsidRPr="00D315EB">
        <w:rPr>
          <w:rFonts w:cs="Arial"/>
          <w:szCs w:val="20"/>
        </w:rPr>
        <w:t>2</w:t>
      </w:r>
      <w:r w:rsidRPr="00D315EB">
        <w:rPr>
          <w:rFonts w:cs="Arial"/>
          <w:szCs w:val="20"/>
        </w:rPr>
        <w:t>1.41</w:t>
      </w:r>
      <w:r w:rsidR="00D16B62" w:rsidRPr="00D315EB">
        <w:rPr>
          <w:rFonts w:cs="Arial"/>
          <w:szCs w:val="20"/>
        </w:rPr>
        <w:t>3</w:t>
      </w:r>
      <w:r w:rsidRPr="00D315EB">
        <w:rPr>
          <w:rFonts w:cs="Arial"/>
          <w:szCs w:val="20"/>
        </w:rPr>
        <w:t>.</w:t>
      </w:r>
      <w:r w:rsidR="00D16B62" w:rsidRPr="00D315EB">
        <w:rPr>
          <w:rFonts w:cs="Arial"/>
          <w:szCs w:val="20"/>
        </w:rPr>
        <w:t>805</w:t>
      </w:r>
      <w:r w:rsidRPr="00D315EB">
        <w:rPr>
          <w:rFonts w:cs="Arial"/>
          <w:szCs w:val="20"/>
        </w:rPr>
        <w:t xml:space="preserve"> EUR (EU del), kar je 1</w:t>
      </w:r>
      <w:r w:rsidR="00D16B62" w:rsidRPr="00D315EB">
        <w:rPr>
          <w:rFonts w:cs="Arial"/>
          <w:szCs w:val="20"/>
        </w:rPr>
        <w:t>7</w:t>
      </w:r>
      <w:r w:rsidRPr="00D315EB">
        <w:rPr>
          <w:rFonts w:cs="Arial"/>
          <w:szCs w:val="20"/>
        </w:rPr>
        <w:t xml:space="preserve"> % razpoložljivih sredstev;</w:t>
      </w:r>
    </w:p>
    <w:p w14:paraId="1545D302" w14:textId="3D6F3A35" w:rsidR="009D68EB" w:rsidRDefault="009D68EB" w:rsidP="009864BC">
      <w:pPr>
        <w:numPr>
          <w:ilvl w:val="0"/>
          <w:numId w:val="8"/>
        </w:numPr>
        <w:suppressAutoHyphens w:val="0"/>
        <w:autoSpaceDN/>
        <w:spacing w:after="0" w:line="288" w:lineRule="auto"/>
        <w:jc w:val="both"/>
        <w:rPr>
          <w:rFonts w:cs="Arial"/>
          <w:szCs w:val="20"/>
        </w:rPr>
      </w:pPr>
      <w:r w:rsidRPr="00D315EB">
        <w:rPr>
          <w:rFonts w:cs="Arial"/>
          <w:szCs w:val="20"/>
        </w:rPr>
        <w:t xml:space="preserve">izplačila iz državnega proračuna v skupni vrednosti </w:t>
      </w:r>
      <w:r w:rsidR="00D16B62" w:rsidRPr="00D315EB">
        <w:rPr>
          <w:rFonts w:cs="Arial"/>
          <w:szCs w:val="20"/>
        </w:rPr>
        <w:t>74</w:t>
      </w:r>
      <w:r w:rsidRPr="00D315EB">
        <w:rPr>
          <w:rFonts w:cs="Arial"/>
          <w:szCs w:val="20"/>
        </w:rPr>
        <w:t>.</w:t>
      </w:r>
      <w:r w:rsidR="00D16B62" w:rsidRPr="00D315EB">
        <w:rPr>
          <w:rFonts w:cs="Arial"/>
          <w:szCs w:val="20"/>
        </w:rPr>
        <w:t>248</w:t>
      </w:r>
      <w:r w:rsidRPr="00D315EB">
        <w:rPr>
          <w:rFonts w:cs="Arial"/>
          <w:szCs w:val="20"/>
        </w:rPr>
        <w:t>.2</w:t>
      </w:r>
      <w:r w:rsidR="00D16B62" w:rsidRPr="00D315EB">
        <w:rPr>
          <w:rFonts w:cs="Arial"/>
          <w:szCs w:val="20"/>
        </w:rPr>
        <w:t>6</w:t>
      </w:r>
      <w:r w:rsidRPr="00D315EB">
        <w:rPr>
          <w:rFonts w:cs="Arial"/>
          <w:szCs w:val="20"/>
        </w:rPr>
        <w:t xml:space="preserve">6 EUR (EU del), kar je </w:t>
      </w:r>
      <w:r w:rsidR="00D16B62" w:rsidRPr="00D315EB">
        <w:rPr>
          <w:rFonts w:cs="Arial"/>
          <w:szCs w:val="20"/>
        </w:rPr>
        <w:t>2</w:t>
      </w:r>
      <w:r w:rsidRPr="00D315EB">
        <w:rPr>
          <w:rFonts w:cs="Arial"/>
          <w:szCs w:val="20"/>
        </w:rPr>
        <w:t xml:space="preserve"> % razpoložljivih sredstev. </w:t>
      </w:r>
    </w:p>
    <w:p w14:paraId="1F635CC3" w14:textId="77777777" w:rsidR="0030659F" w:rsidRPr="00D315EB" w:rsidRDefault="0030659F" w:rsidP="0030659F">
      <w:pPr>
        <w:suppressAutoHyphens w:val="0"/>
        <w:autoSpaceDN/>
        <w:spacing w:after="0" w:line="288" w:lineRule="auto"/>
        <w:jc w:val="both"/>
        <w:rPr>
          <w:rFonts w:cs="Arial"/>
          <w:szCs w:val="20"/>
        </w:rPr>
      </w:pPr>
    </w:p>
    <w:p w14:paraId="4D510260" w14:textId="5A3B180C" w:rsidR="00F80745" w:rsidRDefault="00F80745" w:rsidP="0030659F">
      <w:pPr>
        <w:suppressAutoHyphens w:val="0"/>
        <w:autoSpaceDN/>
        <w:spacing w:after="0"/>
        <w:jc w:val="both"/>
        <w:rPr>
          <w:rFonts w:eastAsia="HGGothicM" w:cs="Arial"/>
          <w:szCs w:val="20"/>
          <w:lang w:eastAsia="x-none"/>
        </w:rPr>
      </w:pPr>
      <w:bookmarkStart w:id="105" w:name="_Hlk171404463"/>
      <w:bookmarkEnd w:id="104"/>
      <w:r w:rsidRPr="00F80745">
        <w:rPr>
          <w:rFonts w:eastAsia="HGGothicM" w:cs="Arial"/>
          <w:szCs w:val="20"/>
          <w:lang w:eastAsia="x-none"/>
        </w:rPr>
        <w:t xml:space="preserve">Od potrditve </w:t>
      </w:r>
      <w:r>
        <w:rPr>
          <w:rFonts w:eastAsia="HGGothicM" w:cs="Arial"/>
          <w:szCs w:val="20"/>
          <w:lang w:eastAsia="x-none"/>
        </w:rPr>
        <w:t>P</w:t>
      </w:r>
      <w:r w:rsidRPr="00F80745">
        <w:rPr>
          <w:rFonts w:eastAsia="HGGothicM" w:cs="Arial"/>
          <w:szCs w:val="20"/>
          <w:lang w:eastAsia="x-none"/>
        </w:rPr>
        <w:t xml:space="preserve">EKP, ki se je pripravljal in usklajeval v letih 2021 in 2022, je preteklo že več kot 2 leti. V tem času so se temeljito spremenile geopolitične razmere v svetu, prav tako pa so se skozi izvajanje PEKP že pokazale prve vrzeli med načrtovanjem in izvedljivostjo posameznih ukrepov v razpoložljivem času. Trenutne analize izvajanja </w:t>
      </w:r>
      <w:r>
        <w:rPr>
          <w:rFonts w:eastAsia="HGGothicM" w:cs="Arial"/>
          <w:szCs w:val="20"/>
          <w:lang w:eastAsia="x-none"/>
        </w:rPr>
        <w:t>P</w:t>
      </w:r>
      <w:r w:rsidRPr="00F80745">
        <w:rPr>
          <w:rFonts w:eastAsia="HGGothicM" w:cs="Arial"/>
          <w:szCs w:val="20"/>
          <w:lang w:eastAsia="x-none"/>
        </w:rPr>
        <w:t>EKP kažejo, da v primeru ne ukrepanja obstaja tveganje izgube dodeljenih sredstev. Iz pregleda po prednostnih nalogah oziroma vsebinah izdanih odločitev o podpori, predvsem pa podpisanih pogodb o sofinanciranju (potrjene operacije) je moč razbrati, da napredek pri koriščenju sredstev EKP predstavljajo predvsem t.im. mehki ukrepi s področja znanja in spretnosti, medtem ko pri infrastrukturnih ukrepih še ni vidnega napredka.</w:t>
      </w:r>
      <w:r w:rsidRPr="00F80745">
        <w:rPr>
          <w:rFonts w:cs="Arial"/>
          <w:szCs w:val="20"/>
        </w:rPr>
        <w:t xml:space="preserve"> Podatki o certificiranju na polovici programskega obdobja jasno narekujejo potrebo po spremembi Programa, ki pri izvajanju močno odstopa od načrtovane dinamike po posameznih letih. </w:t>
      </w:r>
      <w:r w:rsidRPr="00F80745">
        <w:rPr>
          <w:rFonts w:eastAsia="HGGothicM" w:cs="Arial"/>
          <w:szCs w:val="20"/>
          <w:lang w:eastAsia="x-none"/>
        </w:rPr>
        <w:t xml:space="preserve">Dodaten razlog za pristop k spremembi obstoječega </w:t>
      </w:r>
      <w:r>
        <w:rPr>
          <w:rFonts w:eastAsia="HGGothicM" w:cs="Arial"/>
          <w:szCs w:val="20"/>
          <w:lang w:eastAsia="x-none"/>
        </w:rPr>
        <w:t>P</w:t>
      </w:r>
      <w:r w:rsidRPr="00F80745">
        <w:rPr>
          <w:rFonts w:eastAsia="HGGothicM" w:cs="Arial"/>
          <w:szCs w:val="20"/>
          <w:lang w:eastAsia="x-none"/>
        </w:rPr>
        <w:t>EKP pa predstavlja sprejem Uredbe STEP (Uredba (EU) 2024/795) o vzpostavitvi platforme za strateške tehnologije, katere cilj je uporaba obstoječih instrumentov financiranja z namenom pospešitve izvajanja in omogočitve mobilizacije višjih zneskov finančne podpore za zeleni in digitalni prehod.</w:t>
      </w:r>
    </w:p>
    <w:p w14:paraId="0EABE202" w14:textId="77777777" w:rsidR="0030659F" w:rsidRPr="00F80745" w:rsidRDefault="0030659F" w:rsidP="0030659F">
      <w:pPr>
        <w:suppressAutoHyphens w:val="0"/>
        <w:autoSpaceDN/>
        <w:spacing w:after="0"/>
        <w:jc w:val="both"/>
        <w:rPr>
          <w:rFonts w:eastAsia="HGGothicM" w:cs="Arial"/>
          <w:szCs w:val="20"/>
          <w:lang w:eastAsia="x-none"/>
        </w:rPr>
      </w:pPr>
    </w:p>
    <w:p w14:paraId="42E52667" w14:textId="73F03DC8" w:rsidR="00F80745" w:rsidRPr="00F80745" w:rsidRDefault="00F80745" w:rsidP="0030659F">
      <w:pPr>
        <w:suppressAutoHyphens w:val="0"/>
        <w:autoSpaceDN/>
        <w:spacing w:after="0"/>
        <w:jc w:val="both"/>
        <w:rPr>
          <w:rFonts w:eastAsia="HGGothicM" w:cs="Arial"/>
          <w:szCs w:val="20"/>
          <w:lang w:eastAsia="x-none"/>
        </w:rPr>
      </w:pPr>
      <w:r w:rsidRPr="00F80745">
        <w:rPr>
          <w:rFonts w:eastAsia="HGGothicM" w:cs="Arial"/>
          <w:szCs w:val="20"/>
          <w:lang w:eastAsia="x-none"/>
        </w:rPr>
        <w:t xml:space="preserve"> Pristop k spremembi </w:t>
      </w:r>
      <w:r>
        <w:rPr>
          <w:rFonts w:eastAsia="HGGothicM" w:cs="Arial"/>
          <w:szCs w:val="20"/>
          <w:lang w:eastAsia="x-none"/>
        </w:rPr>
        <w:t>P</w:t>
      </w:r>
      <w:r w:rsidRPr="00F80745">
        <w:rPr>
          <w:rFonts w:eastAsia="HGGothicM" w:cs="Arial"/>
          <w:szCs w:val="20"/>
          <w:lang w:eastAsia="x-none"/>
        </w:rPr>
        <w:t>EKP 2021–2027:</w:t>
      </w:r>
    </w:p>
    <w:p w14:paraId="6BFF27BD" w14:textId="2D8FEECA" w:rsidR="00F80745" w:rsidRPr="00F80745" w:rsidRDefault="00F80745" w:rsidP="00982E0E">
      <w:pPr>
        <w:numPr>
          <w:ilvl w:val="0"/>
          <w:numId w:val="27"/>
        </w:numPr>
        <w:suppressAutoHyphens w:val="0"/>
        <w:autoSpaceDN/>
        <w:spacing w:after="0"/>
        <w:jc w:val="both"/>
        <w:rPr>
          <w:rFonts w:eastAsia="HGGothicM" w:cs="Arial"/>
          <w:szCs w:val="20"/>
          <w:lang w:eastAsia="x-none"/>
        </w:rPr>
      </w:pPr>
      <w:r w:rsidRPr="00F80745">
        <w:rPr>
          <w:rFonts w:eastAsia="HGGothicM" w:cs="Arial"/>
          <w:szCs w:val="20"/>
          <w:lang w:eastAsia="x-none"/>
        </w:rPr>
        <w:t>doda se nov specifični cilj na Cilju politike 1 - Konkurenčnejša in pametnejša Evropa s spodbujanjem inovativne in pametne gospodarske preobrazbe ter regionalne povezljivosti na področju IKT, in sicer Specifični cilj RSO1.6 »</w:t>
      </w:r>
      <w:r w:rsidR="00982E0E">
        <w:rPr>
          <w:rFonts w:eastAsia="HGGothicM" w:cs="Arial"/>
          <w:szCs w:val="20"/>
          <w:lang w:eastAsia="x-none"/>
        </w:rPr>
        <w:t>Razvoj ali proizvodnja kritičnih tehnologij</w:t>
      </w:r>
      <w:r w:rsidRPr="00F80745">
        <w:rPr>
          <w:rFonts w:eastAsia="HGGothicM" w:cs="Arial"/>
          <w:szCs w:val="20"/>
          <w:lang w:eastAsia="x-none"/>
        </w:rPr>
        <w:t xml:space="preserve">«, </w:t>
      </w:r>
    </w:p>
    <w:p w14:paraId="36A47433" w14:textId="77777777" w:rsidR="00F80745" w:rsidRPr="00F80745" w:rsidRDefault="00F80745" w:rsidP="009864BC">
      <w:pPr>
        <w:numPr>
          <w:ilvl w:val="0"/>
          <w:numId w:val="27"/>
        </w:numPr>
        <w:suppressAutoHyphens w:val="0"/>
        <w:autoSpaceDN/>
        <w:spacing w:after="0"/>
        <w:jc w:val="both"/>
        <w:rPr>
          <w:rFonts w:eastAsia="HGGothicM" w:cs="Arial"/>
          <w:szCs w:val="20"/>
          <w:lang w:eastAsia="x-none"/>
        </w:rPr>
      </w:pPr>
      <w:r w:rsidRPr="00F80745">
        <w:rPr>
          <w:rFonts w:eastAsia="HGGothicM" w:cs="Arial"/>
          <w:szCs w:val="20"/>
          <w:lang w:eastAsia="x-none"/>
        </w:rPr>
        <w:t>izdela se vmesni pregled z oceno izvajanja Programa PEKP ter identificira ukrepe, ki predstavljajo večje tveganje pri uresničevanju ciljev načrtovanih ciljev in kazalnikov.</w:t>
      </w:r>
    </w:p>
    <w:p w14:paraId="5E0A89CA" w14:textId="77777777" w:rsidR="00F80745" w:rsidRPr="00F80745" w:rsidRDefault="00F80745" w:rsidP="0030659F">
      <w:pPr>
        <w:suppressAutoHyphens w:val="0"/>
        <w:autoSpaceDN/>
        <w:spacing w:after="0" w:line="276" w:lineRule="auto"/>
        <w:jc w:val="both"/>
        <w:rPr>
          <w:rFonts w:eastAsia="HGGothicM" w:cs="Arial"/>
          <w:szCs w:val="20"/>
          <w:lang w:eastAsia="x-none"/>
        </w:rPr>
      </w:pPr>
    </w:p>
    <w:p w14:paraId="6879B2A0" w14:textId="1AF47DF3" w:rsidR="00F80745" w:rsidRPr="00F80745" w:rsidRDefault="00F80745" w:rsidP="0030659F">
      <w:pPr>
        <w:suppressAutoHyphens w:val="0"/>
        <w:autoSpaceDN/>
        <w:spacing w:after="0"/>
        <w:jc w:val="both"/>
        <w:rPr>
          <w:rFonts w:eastAsia="HGGothicM" w:cs="Arial"/>
          <w:szCs w:val="20"/>
          <w:lang w:eastAsia="x-none"/>
        </w:rPr>
      </w:pPr>
      <w:r w:rsidRPr="00F80745">
        <w:rPr>
          <w:rFonts w:eastAsia="HGGothicM" w:cs="Arial"/>
          <w:szCs w:val="20"/>
          <w:lang w:eastAsia="x-none"/>
        </w:rPr>
        <w:t>Vlada Republike Slovenije se je s sklepom št. 54402-4/2022/17 z dne 24. 10. 2024 seznanila z Izhodišči za spremembo Programa evropske kohezijske politike v obdobju 2021–2027 v Sloveniji in naložila Ministrstvu za kohezijo in regionalni razvoj, da pripravi spremembo Programa evropske kohezijske politike v obdobju 2021–2027 z vključitvijo ukrepov platforme STEP in ga v sodelovanju s pristojnimi resorji tehnično uskladi z Evropsko komisijo in predloži Vladi Republike Slovenije v sprejem najkasneje do konca februarja 2025.</w:t>
      </w:r>
    </w:p>
    <w:p w14:paraId="1D9EFE74" w14:textId="1FC68635" w:rsidR="00F80745" w:rsidRPr="00F80745" w:rsidRDefault="00F80745" w:rsidP="0030659F">
      <w:pPr>
        <w:suppressAutoHyphens w:val="0"/>
        <w:autoSpaceDN/>
        <w:spacing w:after="0" w:line="276" w:lineRule="auto"/>
        <w:jc w:val="both"/>
        <w:rPr>
          <w:rFonts w:eastAsia="HGGothicM" w:cs="Arial"/>
          <w:szCs w:val="20"/>
          <w:lang w:eastAsia="x-none"/>
        </w:rPr>
      </w:pPr>
    </w:p>
    <w:p w14:paraId="0D1648A8" w14:textId="77777777" w:rsidR="009D68EB" w:rsidRPr="00D315EB" w:rsidRDefault="009D68EB" w:rsidP="00ED5676">
      <w:pPr>
        <w:suppressAutoHyphens w:val="0"/>
        <w:autoSpaceDN/>
        <w:jc w:val="both"/>
        <w:rPr>
          <w:rFonts w:eastAsia="HGGothicM" w:cs="Arial"/>
          <w:szCs w:val="20"/>
          <w:lang w:eastAsia="x-none"/>
        </w:rPr>
        <w:sectPr w:rsidR="009D68EB" w:rsidRPr="00D315EB" w:rsidSect="009D68EB">
          <w:headerReference w:type="default" r:id="rId19"/>
          <w:footerReference w:type="default" r:id="rId20"/>
          <w:pgSz w:w="11900" w:h="16840" w:code="9"/>
          <w:pgMar w:top="1701" w:right="1135" w:bottom="1418" w:left="1265" w:header="851" w:footer="327" w:gutter="0"/>
          <w:pgNumType w:start="1"/>
          <w:cols w:space="708"/>
          <w:titlePg/>
          <w:docGrid w:linePitch="272"/>
        </w:sectPr>
      </w:pPr>
      <w:r w:rsidRPr="00D315EB">
        <w:rPr>
          <w:rFonts w:eastAsia="HGGothicM" w:cs="Arial"/>
          <w:szCs w:val="20"/>
          <w:lang w:eastAsia="x-none"/>
        </w:rPr>
        <w:t>Tudi v tem delu poročilo vsebuje opis ključnih aktivnosti v drugem polletju leta 2024.</w:t>
      </w:r>
      <w:bookmarkEnd w:id="105"/>
    </w:p>
    <w:p w14:paraId="39427C39" w14:textId="17ABE081" w:rsidR="000E7A5A" w:rsidRPr="0025033E" w:rsidRDefault="00306071" w:rsidP="009864BC">
      <w:pPr>
        <w:pStyle w:val="Naslov10"/>
        <w:numPr>
          <w:ilvl w:val="0"/>
          <w:numId w:val="32"/>
        </w:numPr>
        <w:spacing w:before="0" w:after="0" w:line="276" w:lineRule="auto"/>
        <w:rPr>
          <w:rFonts w:cs="Arial"/>
        </w:rPr>
      </w:pPr>
      <w:bookmarkStart w:id="106" w:name="_Toc191460211"/>
      <w:r w:rsidRPr="0025033E">
        <w:rPr>
          <w:rFonts w:cs="Arial"/>
        </w:rPr>
        <w:lastRenderedPageBreak/>
        <w:t>UVOD</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6"/>
      <w:r w:rsidRPr="0025033E">
        <w:rPr>
          <w:rFonts w:cs="Arial"/>
        </w:rPr>
        <w:t xml:space="preserve"> </w:t>
      </w:r>
    </w:p>
    <w:p w14:paraId="09C4BB79" w14:textId="77777777" w:rsidR="00F425EA" w:rsidRPr="0025033E" w:rsidRDefault="00F425EA" w:rsidP="00ED5676">
      <w:pPr>
        <w:shd w:val="clear" w:color="auto" w:fill="FFFFFF"/>
        <w:spacing w:after="0" w:line="276" w:lineRule="auto"/>
        <w:jc w:val="both"/>
        <w:rPr>
          <w:rFonts w:cs="Arial"/>
          <w:szCs w:val="20"/>
        </w:rPr>
      </w:pPr>
    </w:p>
    <w:p w14:paraId="6C7874B4" w14:textId="77777777" w:rsidR="009D68EB" w:rsidRPr="0025033E" w:rsidRDefault="009D68EB" w:rsidP="00ED5676">
      <w:pPr>
        <w:spacing w:after="0" w:line="276" w:lineRule="auto"/>
        <w:jc w:val="both"/>
        <w:rPr>
          <w:rFonts w:cs="Arial"/>
          <w:szCs w:val="20"/>
        </w:rPr>
      </w:pPr>
      <w:r w:rsidRPr="0025033E">
        <w:rPr>
          <w:rFonts w:cs="Arial"/>
          <w:szCs w:val="20"/>
        </w:rPr>
        <w:t>Evropska unija s finančnimi sredstvi podpira projekte in programe na različnih področjih: regionalni in urbani razvoj, zaposlovanje in socialno vključevanje, kmetijstvo in razvoj podeželja, pomorske zadeve in ribištvo, raziskave in inovacije, podpora malim in srednje velikim podjetjem.</w:t>
      </w:r>
    </w:p>
    <w:p w14:paraId="6422005E" w14:textId="77777777" w:rsidR="009D68EB" w:rsidRPr="0025033E" w:rsidRDefault="009D68EB" w:rsidP="00ED5676">
      <w:pPr>
        <w:spacing w:after="0" w:line="276" w:lineRule="auto"/>
        <w:jc w:val="both"/>
        <w:rPr>
          <w:rFonts w:cs="Arial"/>
          <w:szCs w:val="20"/>
        </w:rPr>
      </w:pPr>
    </w:p>
    <w:p w14:paraId="07751468" w14:textId="77777777" w:rsidR="009D68EB" w:rsidRPr="0025033E" w:rsidRDefault="009D68EB" w:rsidP="00ED5676">
      <w:pPr>
        <w:spacing w:after="0" w:line="276" w:lineRule="auto"/>
        <w:jc w:val="both"/>
        <w:rPr>
          <w:rFonts w:cs="Arial"/>
          <w:szCs w:val="20"/>
        </w:rPr>
      </w:pPr>
      <w:r w:rsidRPr="0025033E">
        <w:rPr>
          <w:rFonts w:cs="Arial"/>
          <w:szCs w:val="20"/>
        </w:rPr>
        <w:t xml:space="preserve">Upravljanje proračunskih sredstev EU poteka v partnerstvu med EK in državo članico v skladu z načelom deljenega upravljanja, in sicer predvsem upravljanje sredstev strukturnih in investicijskih skladov, ki jih urejajo skupna določila, opredeljena v Skupnem strateškem okviru. </w:t>
      </w:r>
    </w:p>
    <w:p w14:paraId="319C8FBB" w14:textId="77777777" w:rsidR="009D68EB" w:rsidRPr="0025033E" w:rsidRDefault="009D68EB" w:rsidP="00ED5676">
      <w:pPr>
        <w:spacing w:after="0" w:line="276" w:lineRule="auto"/>
        <w:jc w:val="both"/>
        <w:rPr>
          <w:rFonts w:cs="Arial"/>
          <w:szCs w:val="20"/>
        </w:rPr>
      </w:pPr>
    </w:p>
    <w:p w14:paraId="5E42CA61" w14:textId="0DDE1E7B" w:rsidR="009D68EB" w:rsidRPr="00D901BB" w:rsidRDefault="009D68EB" w:rsidP="00ED5676">
      <w:pPr>
        <w:spacing w:after="0" w:line="276" w:lineRule="auto"/>
        <w:jc w:val="both"/>
        <w:rPr>
          <w:rFonts w:cs="Arial"/>
          <w:szCs w:val="20"/>
        </w:rPr>
      </w:pPr>
      <w:r w:rsidRPr="00D901BB">
        <w:rPr>
          <w:rFonts w:cs="Arial"/>
          <w:szCs w:val="20"/>
        </w:rPr>
        <w:t xml:space="preserve">Poročilo obravnava </w:t>
      </w:r>
      <w:r w:rsidR="00D16B62" w:rsidRPr="00D901BB">
        <w:rPr>
          <w:rFonts w:cs="Arial"/>
          <w:szCs w:val="20"/>
        </w:rPr>
        <w:t>»I</w:t>
      </w:r>
      <w:r w:rsidRPr="00D901BB">
        <w:rPr>
          <w:rFonts w:cs="Arial"/>
          <w:szCs w:val="20"/>
        </w:rPr>
        <w:t>zvajanje programov evropske kohezijske politike v pristojnosti Ministrstva za kohezijo in regionalni razvoj (MKRR)</w:t>
      </w:r>
      <w:r w:rsidR="00D16B62" w:rsidRPr="00D901BB">
        <w:rPr>
          <w:rFonts w:cs="Arial"/>
          <w:szCs w:val="20"/>
        </w:rPr>
        <w:t>«</w:t>
      </w:r>
      <w:r w:rsidRPr="00D901BB">
        <w:rPr>
          <w:rFonts w:cs="Arial"/>
          <w:szCs w:val="20"/>
        </w:rPr>
        <w:t>, ki opravlja naloge organa upravljanja za evropske strukturne in investicijske sklade, in sicer:</w:t>
      </w:r>
    </w:p>
    <w:p w14:paraId="435AD616" w14:textId="77777777" w:rsidR="009D68EB" w:rsidRPr="00D901BB" w:rsidRDefault="009D68EB" w:rsidP="009864BC">
      <w:pPr>
        <w:numPr>
          <w:ilvl w:val="0"/>
          <w:numId w:val="9"/>
        </w:numPr>
        <w:spacing w:after="0" w:line="276" w:lineRule="auto"/>
        <w:jc w:val="both"/>
        <w:rPr>
          <w:rFonts w:cs="Arial"/>
          <w:szCs w:val="20"/>
        </w:rPr>
      </w:pPr>
      <w:r w:rsidRPr="00D901BB">
        <w:rPr>
          <w:rFonts w:cs="Arial"/>
          <w:szCs w:val="20"/>
        </w:rPr>
        <w:t>za programsko obdobje 2014–2020 Operativni program za izvajanje evropske kohezijske politike 2014–2020, cilj: naložbe za rast in delovna mesta, ki je podlaga za koriščenje sredstev v vrednosti 3,336 milijarde evrov</w:t>
      </w:r>
      <w:r w:rsidRPr="00D901BB">
        <w:rPr>
          <w:rFonts w:cs="Arial"/>
          <w:szCs w:val="20"/>
          <w:vertAlign w:val="superscript"/>
        </w:rPr>
        <w:footnoteReference w:id="2"/>
      </w:r>
      <w:r w:rsidRPr="00D901BB">
        <w:rPr>
          <w:rFonts w:cs="Arial"/>
          <w:szCs w:val="20"/>
        </w:rPr>
        <w:t xml:space="preserve"> za sklade Evropski sklad za regionalni razvoj (ESRR), Evropski socialni sklad (ESS) in Kohezijski sklad (KS);</w:t>
      </w:r>
    </w:p>
    <w:p w14:paraId="41FF9008" w14:textId="77777777" w:rsidR="00375290" w:rsidRPr="0025033E" w:rsidRDefault="009D68EB" w:rsidP="009864BC">
      <w:pPr>
        <w:numPr>
          <w:ilvl w:val="0"/>
          <w:numId w:val="9"/>
        </w:numPr>
        <w:spacing w:after="0" w:line="276" w:lineRule="auto"/>
        <w:jc w:val="both"/>
        <w:rPr>
          <w:rFonts w:cs="Arial"/>
          <w:szCs w:val="20"/>
        </w:rPr>
      </w:pPr>
      <w:r w:rsidRPr="0025033E">
        <w:rPr>
          <w:rFonts w:cs="Arial"/>
          <w:bCs/>
          <w:szCs w:val="20"/>
        </w:rPr>
        <w:t xml:space="preserve">za programsko obdobje </w:t>
      </w:r>
      <w:r w:rsidRPr="0025033E">
        <w:rPr>
          <w:rFonts w:cs="Arial"/>
          <w:szCs w:val="20"/>
        </w:rPr>
        <w:t xml:space="preserve">2021–2027 Program evropske kohezijske politike (PEKP) v katerega so vključeni štirje skladi: Kohezijski sklad (KS), Evropski sklad za regionalni razvoj (ESRR), Evropski socialni sklad plus (ESS+) in Sklad za pravični prehod (SPP). Slovenija je v programskem obdobju 2021–2027 upravičena do 3,2 milijarde evrov evropskih sredstev. </w:t>
      </w:r>
    </w:p>
    <w:p w14:paraId="71F4F2C1" w14:textId="0326AAD7" w:rsidR="009D68EB" w:rsidRPr="0025033E" w:rsidRDefault="009D68EB" w:rsidP="00ED5676">
      <w:pPr>
        <w:spacing w:after="0" w:line="276" w:lineRule="auto"/>
        <w:jc w:val="both"/>
        <w:rPr>
          <w:rFonts w:cs="Arial"/>
          <w:szCs w:val="20"/>
        </w:rPr>
      </w:pPr>
    </w:p>
    <w:p w14:paraId="5D11D304" w14:textId="77777777" w:rsidR="009D68EB" w:rsidRPr="0025033E" w:rsidRDefault="009D68EB" w:rsidP="00ED5676">
      <w:pPr>
        <w:spacing w:after="0" w:line="276" w:lineRule="auto"/>
        <w:jc w:val="both"/>
        <w:rPr>
          <w:rFonts w:cs="Arial"/>
          <w:szCs w:val="20"/>
        </w:rPr>
      </w:pPr>
      <w:r w:rsidRPr="0025033E">
        <w:rPr>
          <w:rFonts w:cs="Arial"/>
          <w:szCs w:val="20"/>
        </w:rPr>
        <w:t>Gre za znatna in pomembna razvojna sredstva, za katera moramo zagotoviti, da bodo zakonito, gospodarno in učinkovito porabljena, zastavljeni cilji pa uspešno doseženi.</w:t>
      </w:r>
    </w:p>
    <w:p w14:paraId="0FD938DE" w14:textId="77777777" w:rsidR="009D68EB" w:rsidRPr="0025033E" w:rsidRDefault="009D68EB" w:rsidP="00ED5676">
      <w:pPr>
        <w:spacing w:after="0" w:line="276" w:lineRule="auto"/>
        <w:jc w:val="both"/>
        <w:rPr>
          <w:rFonts w:cs="Arial"/>
          <w:szCs w:val="20"/>
        </w:rPr>
      </w:pPr>
    </w:p>
    <w:p w14:paraId="1B674C28" w14:textId="74626823" w:rsidR="009D68EB" w:rsidRPr="0025033E" w:rsidRDefault="009D68EB" w:rsidP="00ED5676">
      <w:pPr>
        <w:spacing w:after="0" w:line="276" w:lineRule="auto"/>
        <w:jc w:val="both"/>
        <w:rPr>
          <w:rFonts w:cs="Arial"/>
          <w:szCs w:val="20"/>
        </w:rPr>
      </w:pPr>
      <w:r w:rsidRPr="0025033E">
        <w:rPr>
          <w:rFonts w:cs="Arial"/>
          <w:szCs w:val="20"/>
        </w:rPr>
        <w:t>Namen poročila je redno seznanjati Vlado RS in pristojni odbor Državnega zbora s stanjem izvajanja EKP z vsebinskega, časovnega in finančnega vidika.</w:t>
      </w:r>
    </w:p>
    <w:p w14:paraId="64E15426" w14:textId="77777777" w:rsidR="009D68EB" w:rsidRPr="0025033E" w:rsidRDefault="009D68EB" w:rsidP="00ED5676">
      <w:pPr>
        <w:spacing w:after="0" w:line="276" w:lineRule="auto"/>
        <w:jc w:val="both"/>
        <w:rPr>
          <w:rFonts w:cs="Arial"/>
          <w:szCs w:val="20"/>
        </w:rPr>
      </w:pPr>
    </w:p>
    <w:p w14:paraId="142B3119" w14:textId="4A715E68" w:rsidR="000E7A5A" w:rsidRPr="0025033E" w:rsidRDefault="009D68EB" w:rsidP="00ED5676">
      <w:pPr>
        <w:spacing w:after="0" w:line="276" w:lineRule="auto"/>
        <w:jc w:val="both"/>
        <w:rPr>
          <w:rFonts w:cs="Arial"/>
          <w:szCs w:val="20"/>
        </w:rPr>
      </w:pPr>
      <w:r w:rsidRPr="0025033E">
        <w:rPr>
          <w:rFonts w:cs="Arial"/>
          <w:szCs w:val="20"/>
        </w:rPr>
        <w:t>Poročilo je pripravil MKRR v vlogi OU v sodelovanju s posredniškimi telesi (PT), ki so vključeni v izvajanje EKP – Ministrstvo za gospodarstvo, turizem in šport (MGTŠ), Ministrstvo za naravne vire in prostor (MNVP), Ministrstvo za infrastrukturo (MZI), Ministrstvo za okolje, podnebje in energijo (MOPE), Ministrstvo za delo, družino, socialne zadeve in enake možnosti (MDSSZ), Ministrstvo za pravosodje (MP), Ministrstvo za javno upravo (MJU), Ministrstvo za vzgojo in izobraževanje (MVI), Ministrstvo za visoko šolstvo, znanost, in inovacije (MVZI), Ministrstvo za zdravje (MZ), Ministrstvo za kulturo (MK), Ministrstvo za kohezijo in regionalni razvoj (MKRR), Ministrstvo za solidarno prihodnost (MSP), Ministrstvo za digitalno preobrazbo (MDP)</w:t>
      </w:r>
      <w:r w:rsidR="00D64A0F" w:rsidRPr="0025033E">
        <w:rPr>
          <w:rFonts w:cs="Arial"/>
          <w:szCs w:val="20"/>
        </w:rPr>
        <w:t>,</w:t>
      </w:r>
      <w:r w:rsidRPr="0025033E">
        <w:rPr>
          <w:rFonts w:cs="Arial"/>
          <w:szCs w:val="20"/>
        </w:rPr>
        <w:t xml:space="preserve"> Združenje mestnih občin Slovenije (ZMOS) in organom za potrjevanje/računovodskim organom - Ministrstvo za finance (MF).</w:t>
      </w:r>
    </w:p>
    <w:p w14:paraId="127EA5A5" w14:textId="6007CEFF" w:rsidR="000E7A5A" w:rsidRPr="0025033E" w:rsidRDefault="000E7A5A" w:rsidP="00ED5676">
      <w:pPr>
        <w:spacing w:after="0" w:line="276" w:lineRule="auto"/>
        <w:jc w:val="both"/>
        <w:rPr>
          <w:rFonts w:cs="Arial"/>
          <w:szCs w:val="20"/>
        </w:rPr>
      </w:pPr>
      <w:bookmarkStart w:id="107" w:name="_Toc120473788"/>
      <w:bookmarkStart w:id="108" w:name="_Toc764422932"/>
      <w:bookmarkStart w:id="109" w:name="_Toc1215928310"/>
      <w:bookmarkStart w:id="110" w:name="_Toc814500028"/>
      <w:bookmarkStart w:id="111" w:name="_Toc1117911846"/>
      <w:bookmarkStart w:id="112" w:name="_Toc50397766"/>
      <w:bookmarkStart w:id="113" w:name="_Toc1665254959"/>
      <w:bookmarkStart w:id="114" w:name="_Toc1695757308"/>
      <w:bookmarkStart w:id="115" w:name="_Toc2044264976"/>
      <w:bookmarkStart w:id="116" w:name="_Toc648762339"/>
      <w:bookmarkStart w:id="117" w:name="_Toc315342767"/>
      <w:bookmarkStart w:id="118" w:name="_Toc1264098701"/>
      <w:bookmarkStart w:id="119" w:name="_Toc191202715"/>
      <w:bookmarkStart w:id="120" w:name="_Toc2115850327"/>
      <w:bookmarkStart w:id="121" w:name="_Toc1668615332"/>
      <w:bookmarkStart w:id="122" w:name="_Toc627814872"/>
      <w:bookmarkStart w:id="123" w:name="_Toc2030812291"/>
      <w:bookmarkStart w:id="124" w:name="_Toc1218370456"/>
      <w:bookmarkStart w:id="125" w:name="_Toc1185633417"/>
      <w:bookmarkStart w:id="126" w:name="_Toc167425872"/>
      <w:bookmarkStart w:id="127" w:name="_Toc925149073"/>
      <w:bookmarkStart w:id="128" w:name="_Toc1847337248"/>
      <w:bookmarkStart w:id="129" w:name="_Toc1268586131"/>
      <w:bookmarkStart w:id="130" w:name="_Toc1771901008"/>
      <w:bookmarkStart w:id="131" w:name="_Toc1941601539"/>
      <w:bookmarkStart w:id="132" w:name="_Toc764027845"/>
      <w:bookmarkStart w:id="133" w:name="_Toc1902173429"/>
      <w:bookmarkStart w:id="134" w:name="_Toc431577650"/>
      <w:bookmarkStart w:id="135" w:name="_Toc1396346825"/>
      <w:bookmarkStart w:id="136" w:name="_Toc946411702"/>
      <w:bookmarkStart w:id="137" w:name="_Toc1255705533"/>
      <w:bookmarkStart w:id="138" w:name="_Toc340777964"/>
      <w:bookmarkStart w:id="139" w:name="_Toc1235433218"/>
      <w:bookmarkStart w:id="140" w:name="_Toc1550751267"/>
      <w:bookmarkStart w:id="141" w:name="_Toc303462860"/>
      <w:bookmarkStart w:id="142" w:name="_Toc1747502803"/>
      <w:bookmarkStart w:id="143" w:name="_Toc486498094"/>
      <w:bookmarkStart w:id="144" w:name="_Toc478939170"/>
      <w:bookmarkStart w:id="145" w:name="_Toc1712463562"/>
      <w:bookmarkStart w:id="146" w:name="_Toc1386147789"/>
      <w:bookmarkStart w:id="147" w:name="_Toc1830725044"/>
      <w:bookmarkStart w:id="148" w:name="_Toc1523886782"/>
      <w:bookmarkStart w:id="149" w:name="_Toc225564784"/>
      <w:bookmarkStart w:id="150" w:name="_Toc1630294427"/>
      <w:bookmarkStart w:id="151" w:name="_Toc832413710"/>
      <w:bookmarkStart w:id="152" w:name="_Toc1691108179"/>
      <w:bookmarkStart w:id="153" w:name="_Toc1661516512"/>
      <w:bookmarkStart w:id="154" w:name="_Toc1565588039"/>
      <w:bookmarkStart w:id="155" w:name="_Toc170141194"/>
      <w:bookmarkStart w:id="156" w:name="_Toc709567595"/>
      <w:bookmarkStart w:id="157" w:name="_Toc1729633612"/>
      <w:bookmarkStart w:id="158" w:name="_Toc137713029"/>
      <w:bookmarkStart w:id="159" w:name="_Toc1823683714"/>
      <w:bookmarkStart w:id="160" w:name="_Toc611810084"/>
      <w:bookmarkStart w:id="161" w:name="_Toc895432680"/>
      <w:bookmarkStart w:id="162" w:name="_Toc1118056409"/>
      <w:bookmarkStart w:id="163" w:name="_Toc1444487641"/>
      <w:bookmarkStart w:id="164" w:name="_Toc1008364184"/>
      <w:bookmarkStart w:id="165" w:name="_Toc1756303373"/>
      <w:bookmarkStart w:id="166" w:name="_Toc959437639"/>
      <w:bookmarkStart w:id="167" w:name="_Toc2101471342"/>
      <w:bookmarkStart w:id="168" w:name="_Toc1697294393"/>
      <w:bookmarkStart w:id="169" w:name="_Toc1942792341"/>
      <w:bookmarkStart w:id="170" w:name="_Toc627435807"/>
      <w:bookmarkStart w:id="171" w:name="_Toc570340735"/>
      <w:bookmarkStart w:id="172" w:name="_Toc918826158"/>
      <w:bookmarkStart w:id="173" w:name="_Toc42864861"/>
      <w:bookmarkStart w:id="174" w:name="_Toc579025541"/>
      <w:bookmarkStart w:id="175" w:name="_Toc1022473172"/>
      <w:bookmarkStart w:id="176" w:name="_Toc241995665"/>
      <w:bookmarkStart w:id="177" w:name="_Toc471656657"/>
      <w:bookmarkStart w:id="178" w:name="_Toc1857422841"/>
      <w:bookmarkStart w:id="179" w:name="_Toc1726505091"/>
      <w:bookmarkStart w:id="180" w:name="_Toc1432678973"/>
      <w:bookmarkStart w:id="181" w:name="_Toc141607085"/>
      <w:bookmarkStart w:id="182" w:name="_Toc1995454034"/>
      <w:bookmarkStart w:id="183" w:name="_Toc1697001833"/>
      <w:bookmarkStart w:id="184" w:name="_Toc2123415295"/>
      <w:bookmarkStart w:id="185" w:name="_Toc276220032"/>
      <w:bookmarkStart w:id="186" w:name="_Toc1354767819"/>
      <w:bookmarkStart w:id="187" w:name="_Toc118854608"/>
      <w:bookmarkStart w:id="188" w:name="_Toc75631326"/>
      <w:bookmarkStart w:id="189" w:name="_Toc2119261645"/>
      <w:bookmarkStart w:id="190" w:name="_Toc998237007"/>
    </w:p>
    <w:p w14:paraId="1FA56BE8" w14:textId="4C34FE45" w:rsidR="000E7A5A" w:rsidRPr="0025033E" w:rsidRDefault="009D68EB" w:rsidP="009864BC">
      <w:pPr>
        <w:pStyle w:val="Naslov10"/>
        <w:pageBreakBefore/>
        <w:numPr>
          <w:ilvl w:val="0"/>
          <w:numId w:val="32"/>
        </w:numPr>
        <w:spacing w:before="0" w:after="0" w:line="276" w:lineRule="auto"/>
        <w:rPr>
          <w:rFonts w:cs="Arial"/>
        </w:rPr>
      </w:pPr>
      <w:bookmarkStart w:id="191" w:name="_Toc188012419"/>
      <w:bookmarkStart w:id="192" w:name="_Toc188012439"/>
      <w:bookmarkStart w:id="193" w:name="_Toc19146021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25033E">
        <w:rPr>
          <w:rFonts w:cs="Arial"/>
          <w:caps w:val="0"/>
        </w:rPr>
        <w:lastRenderedPageBreak/>
        <w:t>PROGRAMSKO OBDOBJE 2014–2020: AKTUALNO STANJE IN GLAVNE AKTIVNOSTI V DRUGEM POLLETJU LETA 2024</w:t>
      </w:r>
      <w:bookmarkEnd w:id="191"/>
      <w:bookmarkEnd w:id="192"/>
      <w:bookmarkEnd w:id="193"/>
    </w:p>
    <w:p w14:paraId="28296944" w14:textId="77777777" w:rsidR="000E7A5A" w:rsidRPr="0025033E" w:rsidRDefault="000E7A5A" w:rsidP="00ED5676">
      <w:pPr>
        <w:autoSpaceDE w:val="0"/>
        <w:spacing w:after="0" w:line="276" w:lineRule="auto"/>
        <w:jc w:val="both"/>
        <w:rPr>
          <w:rFonts w:cs="Arial"/>
          <w:sz w:val="22"/>
          <w:szCs w:val="22"/>
        </w:rPr>
      </w:pPr>
    </w:p>
    <w:p w14:paraId="4EFFB6ED" w14:textId="77777777" w:rsidR="009D68EB" w:rsidRPr="0025033E" w:rsidRDefault="009D68EB" w:rsidP="00ED5676">
      <w:pPr>
        <w:autoSpaceDE w:val="0"/>
        <w:spacing w:after="0" w:line="276" w:lineRule="auto"/>
        <w:jc w:val="both"/>
        <w:rPr>
          <w:rFonts w:cs="Arial"/>
          <w:szCs w:val="20"/>
        </w:rPr>
      </w:pPr>
      <w:r w:rsidRPr="0025033E">
        <w:rPr>
          <w:rFonts w:cs="Arial"/>
          <w:szCs w:val="20"/>
        </w:rPr>
        <w:t xml:space="preserve">Poročilo o izvajanju evropske kohezijske politike 2014–2020 povzema pregled stanja v okviru OP EKP-ja na dan 31. 12. 2024. </w:t>
      </w:r>
    </w:p>
    <w:p w14:paraId="43197079" w14:textId="77777777" w:rsidR="009D68EB" w:rsidRPr="0025033E" w:rsidRDefault="009D68EB" w:rsidP="00ED5676">
      <w:pPr>
        <w:autoSpaceDE w:val="0"/>
        <w:spacing w:after="0" w:line="276" w:lineRule="auto"/>
        <w:jc w:val="both"/>
        <w:rPr>
          <w:rFonts w:cs="Arial"/>
          <w:szCs w:val="20"/>
        </w:rPr>
      </w:pPr>
    </w:p>
    <w:p w14:paraId="41FCABA5" w14:textId="77777777" w:rsidR="009D68EB" w:rsidRPr="0025033E" w:rsidRDefault="009D68EB" w:rsidP="00ED5676">
      <w:pPr>
        <w:autoSpaceDE w:val="0"/>
        <w:spacing w:after="0" w:line="276" w:lineRule="auto"/>
        <w:jc w:val="both"/>
        <w:rPr>
          <w:rFonts w:cs="Arial"/>
          <w:szCs w:val="20"/>
        </w:rPr>
      </w:pPr>
      <w:r w:rsidRPr="0025033E">
        <w:rPr>
          <w:rFonts w:cs="Arial"/>
          <w:szCs w:val="20"/>
        </w:rPr>
        <w:t xml:space="preserve">Poročilo poleg kumulativnega stanja za obdobje od januarja 2014 do konca decembra 2024 vsebuje tudi opis ključnih težav in izzivov ter ključnih aktivnosti v drugem polletju leta 2024. </w:t>
      </w:r>
    </w:p>
    <w:p w14:paraId="1551C30B" w14:textId="77777777" w:rsidR="009D68EB" w:rsidRPr="0025033E" w:rsidRDefault="009D68EB" w:rsidP="00ED5676">
      <w:pPr>
        <w:autoSpaceDE w:val="0"/>
        <w:spacing w:after="0" w:line="276" w:lineRule="auto"/>
        <w:jc w:val="both"/>
        <w:rPr>
          <w:rFonts w:cs="Arial"/>
          <w:szCs w:val="20"/>
        </w:rPr>
      </w:pPr>
    </w:p>
    <w:p w14:paraId="49EC7B81" w14:textId="2649328B" w:rsidR="005F66E4" w:rsidRPr="0025033E" w:rsidRDefault="009D68EB" w:rsidP="00ED5676">
      <w:pPr>
        <w:autoSpaceDE w:val="0"/>
        <w:spacing w:after="0" w:line="276" w:lineRule="auto"/>
        <w:jc w:val="both"/>
        <w:rPr>
          <w:rFonts w:cs="Arial"/>
          <w:szCs w:val="20"/>
        </w:rPr>
      </w:pPr>
      <w:r w:rsidRPr="0025033E">
        <w:rPr>
          <w:rFonts w:cs="Arial"/>
          <w:szCs w:val="20"/>
        </w:rPr>
        <w:t>Pripravljeno je na osnovi podatkov iz informacijskega sistema organa upravljanja (IS e-MA), podatkov iz informacijskega sistema organa za potrjevanje (IS e-CA) in informacijskega sistema Ministrstva za finance (</w:t>
      </w:r>
      <w:proofErr w:type="spellStart"/>
      <w:r w:rsidRPr="0025033E">
        <w:rPr>
          <w:rFonts w:cs="Arial"/>
          <w:szCs w:val="20"/>
        </w:rPr>
        <w:t>MFeRAC</w:t>
      </w:r>
      <w:proofErr w:type="spellEnd"/>
      <w:r w:rsidRPr="0025033E">
        <w:rPr>
          <w:rFonts w:cs="Arial"/>
          <w:szCs w:val="20"/>
        </w:rPr>
        <w:t>)</w:t>
      </w:r>
      <w:bookmarkStart w:id="194" w:name="_Toc2134391385"/>
      <w:bookmarkStart w:id="195" w:name="_Toc1628721831"/>
      <w:bookmarkStart w:id="196" w:name="_Toc1533250470"/>
      <w:bookmarkStart w:id="197" w:name="_Toc669380309"/>
      <w:bookmarkStart w:id="198" w:name="_Toc28250290"/>
      <w:bookmarkStart w:id="199" w:name="_Toc2114349783"/>
      <w:bookmarkStart w:id="200" w:name="_Toc659732024"/>
      <w:bookmarkStart w:id="201" w:name="_Toc1827273649"/>
      <w:bookmarkStart w:id="202" w:name="_Toc680896035"/>
      <w:bookmarkStart w:id="203" w:name="_Toc1804887703"/>
      <w:bookmarkStart w:id="204" w:name="_Toc1193526689"/>
      <w:bookmarkStart w:id="205" w:name="_Toc2024011564"/>
      <w:bookmarkStart w:id="206" w:name="_Toc1188631376"/>
      <w:bookmarkStart w:id="207" w:name="_Toc864506373"/>
      <w:bookmarkStart w:id="208" w:name="_Toc1046152266"/>
      <w:bookmarkStart w:id="209" w:name="_Toc1984809573"/>
      <w:bookmarkStart w:id="210" w:name="_Toc718962381"/>
      <w:bookmarkStart w:id="211" w:name="_Toc720032912"/>
      <w:bookmarkStart w:id="212" w:name="_Toc1115334804"/>
      <w:bookmarkStart w:id="213" w:name="_Toc416620296"/>
      <w:bookmarkStart w:id="214" w:name="_Toc949411659"/>
      <w:bookmarkStart w:id="215" w:name="_Toc1364735480"/>
      <w:bookmarkStart w:id="216" w:name="_Toc1096241852"/>
      <w:bookmarkStart w:id="217" w:name="_Toc1425867386"/>
      <w:bookmarkStart w:id="218" w:name="_Toc1146046766"/>
      <w:bookmarkStart w:id="219" w:name="_Toc1247362127"/>
      <w:bookmarkStart w:id="220" w:name="_Toc793818064"/>
      <w:bookmarkStart w:id="221" w:name="_Toc885476135"/>
      <w:bookmarkStart w:id="222" w:name="_Toc521479990"/>
      <w:bookmarkStart w:id="223" w:name="_Toc777024143"/>
      <w:bookmarkStart w:id="224" w:name="_Toc118003600"/>
      <w:bookmarkStart w:id="225" w:name="_Toc318552542"/>
      <w:bookmarkStart w:id="226" w:name="_Toc242479764"/>
      <w:bookmarkStart w:id="227" w:name="_Toc529114034"/>
      <w:bookmarkStart w:id="228" w:name="_Toc438315104"/>
      <w:bookmarkStart w:id="229" w:name="_Toc1164621543"/>
      <w:bookmarkStart w:id="230" w:name="_Toc2060346900"/>
      <w:bookmarkStart w:id="231" w:name="_Toc671154266"/>
      <w:bookmarkStart w:id="232" w:name="_Toc974439367"/>
      <w:bookmarkStart w:id="233" w:name="_Toc1020411897"/>
      <w:bookmarkStart w:id="234" w:name="_Toc1924990997"/>
      <w:bookmarkStart w:id="235" w:name="_Toc710028810"/>
      <w:bookmarkStart w:id="236" w:name="_Toc1292016531"/>
      <w:bookmarkStart w:id="237" w:name="_Toc723606518"/>
      <w:bookmarkStart w:id="238" w:name="_Toc456792236"/>
      <w:bookmarkStart w:id="239" w:name="_Toc716205887"/>
      <w:bookmarkStart w:id="240" w:name="_Toc841355158"/>
      <w:bookmarkStart w:id="241" w:name="_Toc1570113021"/>
      <w:bookmarkStart w:id="242" w:name="_Toc1735999587"/>
      <w:bookmarkStart w:id="243" w:name="_Toc435417538"/>
      <w:bookmarkStart w:id="244" w:name="_Toc364810135"/>
      <w:bookmarkStart w:id="245" w:name="_Toc704298800"/>
      <w:bookmarkStart w:id="246" w:name="_Toc1861337344"/>
      <w:bookmarkStart w:id="247" w:name="_Toc1448837595"/>
      <w:bookmarkStart w:id="248" w:name="_Toc658924221"/>
      <w:bookmarkStart w:id="249" w:name="_Toc1023838528"/>
      <w:bookmarkStart w:id="250" w:name="_Toc523817305"/>
      <w:bookmarkStart w:id="251" w:name="_Toc953113507"/>
      <w:bookmarkStart w:id="252" w:name="_Toc126869263"/>
      <w:bookmarkStart w:id="253" w:name="_Toc516107004"/>
      <w:bookmarkStart w:id="254" w:name="_Toc792158577"/>
      <w:bookmarkStart w:id="255" w:name="_Toc208689414"/>
      <w:bookmarkStart w:id="256" w:name="_Toc653523652"/>
      <w:bookmarkStart w:id="257" w:name="_Toc674391137"/>
      <w:bookmarkStart w:id="258" w:name="_Toc1911823959"/>
      <w:bookmarkStart w:id="259" w:name="_Toc389206998"/>
      <w:bookmarkStart w:id="260" w:name="_Toc562316667"/>
      <w:bookmarkStart w:id="261" w:name="_Toc10760451"/>
      <w:bookmarkStart w:id="262" w:name="_Toc603847072"/>
      <w:bookmarkStart w:id="263" w:name="_Toc1909724330"/>
      <w:bookmarkStart w:id="264" w:name="_Toc642692395"/>
      <w:bookmarkStart w:id="265" w:name="_Toc1419794994"/>
      <w:bookmarkStart w:id="266" w:name="_Toc1488006112"/>
      <w:bookmarkStart w:id="267" w:name="_Toc180392504"/>
      <w:bookmarkStart w:id="268" w:name="_Toc1243210818"/>
      <w:bookmarkStart w:id="269" w:name="_Toc2097518663"/>
      <w:bookmarkStart w:id="270" w:name="_Toc1052315802"/>
      <w:bookmarkStart w:id="271" w:name="_Toc1930598229"/>
      <w:bookmarkStart w:id="272" w:name="_Toc1025368590"/>
      <w:bookmarkStart w:id="273" w:name="_Toc1430441595"/>
      <w:bookmarkStart w:id="274" w:name="_Toc914432969"/>
      <w:bookmarkStart w:id="275" w:name="_Toc1904182747"/>
      <w:bookmarkStart w:id="276" w:name="_Toc376761496"/>
      <w:bookmarkStart w:id="277" w:name="_Toc462182075"/>
      <w:r w:rsidR="00375290" w:rsidRPr="0025033E">
        <w:rPr>
          <w:rFonts w:cs="Arial"/>
          <w:szCs w:val="20"/>
        </w:rPr>
        <w:t>.</w:t>
      </w:r>
    </w:p>
    <w:p w14:paraId="0A0B636B" w14:textId="77777777" w:rsidR="009D68EB" w:rsidRPr="0025033E" w:rsidRDefault="009D68EB" w:rsidP="00ED5676">
      <w:pPr>
        <w:autoSpaceDE w:val="0"/>
        <w:spacing w:after="0" w:line="276" w:lineRule="auto"/>
        <w:jc w:val="both"/>
        <w:rPr>
          <w:rFonts w:cs="Arial"/>
          <w:szCs w:val="20"/>
        </w:rPr>
      </w:pPr>
    </w:p>
    <w:p w14:paraId="7AFE03F7" w14:textId="07BE2DAC" w:rsidR="000E7A5A" w:rsidRPr="0025033E" w:rsidRDefault="00306071" w:rsidP="00ED5676">
      <w:pPr>
        <w:pStyle w:val="Naslov2"/>
        <w:spacing w:before="0"/>
        <w:rPr>
          <w:rFonts w:cs="Arial"/>
          <w:sz w:val="20"/>
          <w:szCs w:val="20"/>
        </w:rPr>
      </w:pPr>
      <w:bookmarkStart w:id="278" w:name="_Toc187739294"/>
      <w:bookmarkStart w:id="279" w:name="_Toc187740027"/>
      <w:bookmarkStart w:id="280" w:name="_Toc191460213"/>
      <w:r w:rsidRPr="0025033E">
        <w:rPr>
          <w:rFonts w:cs="Arial"/>
          <w:sz w:val="20"/>
          <w:szCs w:val="20"/>
        </w:rPr>
        <w:t>2.1</w:t>
      </w:r>
      <w:r w:rsidRPr="0025033E">
        <w:rPr>
          <w:rFonts w:cs="Arial"/>
          <w:sz w:val="20"/>
          <w:szCs w:val="20"/>
        </w:rPr>
        <w:tab/>
      </w:r>
      <w:r w:rsidR="009D68EB" w:rsidRPr="004655CD">
        <w:rPr>
          <w:rFonts w:cs="Arial"/>
          <w:szCs w:val="24"/>
        </w:rPr>
        <w:t>STANJE IZVAJANJA OP EKP</w:t>
      </w:r>
      <w:bookmarkEnd w:id="280"/>
      <w:r w:rsidR="009D68EB" w:rsidRPr="004655CD">
        <w:rPr>
          <w:rFonts w:cs="Arial"/>
          <w:szCs w:val="24"/>
        </w:rPr>
        <w:t xml:space="preserve"> </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3AB7CF8B" w14:textId="77777777" w:rsidR="009D68EB" w:rsidRPr="0025033E" w:rsidRDefault="009D68EB" w:rsidP="00ED5676">
      <w:pPr>
        <w:spacing w:after="0"/>
        <w:jc w:val="both"/>
        <w:rPr>
          <w:rFonts w:eastAsia="SimSun" w:cs="Arial"/>
          <w:szCs w:val="20"/>
        </w:rPr>
      </w:pPr>
    </w:p>
    <w:p w14:paraId="307E42C0" w14:textId="77777777" w:rsidR="009D68EB" w:rsidRPr="0025033E" w:rsidRDefault="009D68EB" w:rsidP="00ED5676">
      <w:pPr>
        <w:suppressAutoHyphens w:val="0"/>
        <w:autoSpaceDE w:val="0"/>
        <w:adjustRightInd w:val="0"/>
        <w:spacing w:after="0" w:line="288" w:lineRule="auto"/>
        <w:jc w:val="both"/>
        <w:rPr>
          <w:rFonts w:cs="Arial"/>
          <w:szCs w:val="20"/>
        </w:rPr>
      </w:pPr>
      <w:r w:rsidRPr="0025033E">
        <w:rPr>
          <w:rFonts w:cs="Arial"/>
          <w:szCs w:val="20"/>
        </w:rPr>
        <w:t xml:space="preserve">Slovenija je pri izvajanju EKP razdeljena na dve kohezijski regiji, in sicer na kohezijsko regijo Vzhodna Slovenija (v nadaljnjem besedilu: KRVS) in kohezijsko regijo Zahodna Slovenija (v nadaljnjem besedilu: KRZS). Na podlagi enotne metodologije EU so sredstva ESRR in ESS razdeljena tako, da KRVS pripada 60,6 % razpoložljivih sredstev in KRZS 39,4 % razpoložljivih sredstev. Za osnovno delitev med skladoma (tj. ESRR in ESS) so bile upoštevane razlike v razvitosti, potrebah in stanju na trgu dela v obeh kohezijskih regijah ter v napovedih povečevanja stopnje tveganja revščine. </w:t>
      </w:r>
    </w:p>
    <w:p w14:paraId="76D399A9" w14:textId="77777777" w:rsidR="009D68EB" w:rsidRPr="009C7925" w:rsidRDefault="009D68EB" w:rsidP="00ED5676">
      <w:pPr>
        <w:suppressAutoHyphens w:val="0"/>
        <w:autoSpaceDE w:val="0"/>
        <w:adjustRightInd w:val="0"/>
        <w:spacing w:after="0" w:line="288" w:lineRule="auto"/>
        <w:jc w:val="both"/>
        <w:rPr>
          <w:rFonts w:cs="Arial"/>
          <w:szCs w:val="20"/>
        </w:rPr>
      </w:pPr>
    </w:p>
    <w:p w14:paraId="2EBAE766" w14:textId="77777777" w:rsidR="009D68EB" w:rsidRPr="009C7925" w:rsidRDefault="009D68EB" w:rsidP="00ED5676">
      <w:pPr>
        <w:suppressAutoHyphens w:val="0"/>
        <w:autoSpaceDE w:val="0"/>
        <w:adjustRightInd w:val="0"/>
        <w:spacing w:after="0" w:line="288" w:lineRule="auto"/>
        <w:jc w:val="both"/>
        <w:rPr>
          <w:rFonts w:cs="Arial"/>
          <w:szCs w:val="20"/>
        </w:rPr>
      </w:pPr>
      <w:r w:rsidRPr="009C7925">
        <w:rPr>
          <w:rFonts w:cs="Arial"/>
          <w:szCs w:val="20"/>
        </w:rPr>
        <w:t>V okviru razpoložljivih sredstev za programsko obdobje 2014–2020 je razdelitev sredstev po skladih naslednja:</w:t>
      </w:r>
    </w:p>
    <w:p w14:paraId="534C0966" w14:textId="77777777" w:rsidR="009D68EB" w:rsidRPr="009C7925" w:rsidRDefault="009D68EB" w:rsidP="009864BC">
      <w:pPr>
        <w:numPr>
          <w:ilvl w:val="0"/>
          <w:numId w:val="11"/>
        </w:numPr>
        <w:suppressAutoHyphens w:val="0"/>
        <w:autoSpaceDE w:val="0"/>
        <w:autoSpaceDN/>
        <w:adjustRightInd w:val="0"/>
        <w:spacing w:after="0" w:line="276" w:lineRule="auto"/>
        <w:ind w:left="714" w:hanging="357"/>
        <w:jc w:val="both"/>
        <w:rPr>
          <w:rFonts w:cs="Arial"/>
          <w:szCs w:val="20"/>
        </w:rPr>
      </w:pPr>
      <w:r w:rsidRPr="009C7925">
        <w:rPr>
          <w:rFonts w:cs="Arial"/>
          <w:szCs w:val="20"/>
        </w:rPr>
        <w:t>ESRR: 1.416.685.363 EUR;</w:t>
      </w:r>
    </w:p>
    <w:p w14:paraId="271163A0" w14:textId="77777777" w:rsidR="009D68EB" w:rsidRPr="009C7925" w:rsidRDefault="009D68EB" w:rsidP="009864BC">
      <w:pPr>
        <w:numPr>
          <w:ilvl w:val="0"/>
          <w:numId w:val="11"/>
        </w:numPr>
        <w:suppressAutoHyphens w:val="0"/>
        <w:autoSpaceDE w:val="0"/>
        <w:autoSpaceDN/>
        <w:adjustRightInd w:val="0"/>
        <w:spacing w:after="0" w:line="276" w:lineRule="auto"/>
        <w:ind w:left="714" w:hanging="357"/>
        <w:jc w:val="both"/>
        <w:rPr>
          <w:rFonts w:cs="Arial"/>
          <w:szCs w:val="20"/>
        </w:rPr>
      </w:pPr>
      <w:r w:rsidRPr="009C7925">
        <w:rPr>
          <w:rFonts w:cs="Arial"/>
          <w:szCs w:val="20"/>
        </w:rPr>
        <w:t>ESS: 718.769.595 EUR;</w:t>
      </w:r>
    </w:p>
    <w:p w14:paraId="6127B53C" w14:textId="77777777" w:rsidR="009D68EB" w:rsidRPr="009C7925" w:rsidRDefault="009D68EB" w:rsidP="009864BC">
      <w:pPr>
        <w:numPr>
          <w:ilvl w:val="0"/>
          <w:numId w:val="11"/>
        </w:numPr>
        <w:suppressAutoHyphens w:val="0"/>
        <w:autoSpaceDE w:val="0"/>
        <w:autoSpaceDN/>
        <w:adjustRightInd w:val="0"/>
        <w:spacing w:after="0" w:line="276" w:lineRule="auto"/>
        <w:ind w:left="714" w:hanging="357"/>
        <w:jc w:val="both"/>
        <w:rPr>
          <w:rFonts w:cs="Arial"/>
          <w:szCs w:val="20"/>
        </w:rPr>
      </w:pPr>
      <w:r w:rsidRPr="009C7925">
        <w:rPr>
          <w:rFonts w:cs="Arial"/>
          <w:szCs w:val="20"/>
        </w:rPr>
        <w:t>KS: 914.046.895 EUR;</w:t>
      </w:r>
    </w:p>
    <w:p w14:paraId="4B609CE8" w14:textId="77777777" w:rsidR="009D68EB" w:rsidRPr="009C7925" w:rsidRDefault="009D68EB" w:rsidP="009864BC">
      <w:pPr>
        <w:numPr>
          <w:ilvl w:val="0"/>
          <w:numId w:val="11"/>
        </w:numPr>
        <w:suppressAutoHyphens w:val="0"/>
        <w:autoSpaceDE w:val="0"/>
        <w:autoSpaceDN/>
        <w:adjustRightInd w:val="0"/>
        <w:spacing w:after="0" w:line="276" w:lineRule="auto"/>
        <w:ind w:left="714" w:hanging="357"/>
        <w:jc w:val="both"/>
        <w:rPr>
          <w:rFonts w:cs="Arial"/>
          <w:szCs w:val="20"/>
        </w:rPr>
      </w:pPr>
      <w:r w:rsidRPr="009C7925">
        <w:rPr>
          <w:rFonts w:cs="Arial"/>
          <w:szCs w:val="20"/>
        </w:rPr>
        <w:t>YEI: 18.423.072 EUR;</w:t>
      </w:r>
    </w:p>
    <w:p w14:paraId="54704F84" w14:textId="77777777" w:rsidR="009D68EB" w:rsidRPr="009C7925" w:rsidRDefault="009D68EB" w:rsidP="009864BC">
      <w:pPr>
        <w:numPr>
          <w:ilvl w:val="0"/>
          <w:numId w:val="11"/>
        </w:numPr>
        <w:suppressAutoHyphens w:val="0"/>
        <w:autoSpaceDE w:val="0"/>
        <w:autoSpaceDN/>
        <w:adjustRightInd w:val="0"/>
        <w:spacing w:after="0" w:line="276" w:lineRule="auto"/>
        <w:ind w:left="714" w:hanging="357"/>
        <w:jc w:val="both"/>
        <w:rPr>
          <w:rFonts w:cs="Arial"/>
          <w:szCs w:val="20"/>
        </w:rPr>
      </w:pPr>
      <w:proofErr w:type="spellStart"/>
      <w:r w:rsidRPr="009C7925">
        <w:rPr>
          <w:rFonts w:cs="Arial"/>
          <w:szCs w:val="20"/>
        </w:rPr>
        <w:t>React</w:t>
      </w:r>
      <w:proofErr w:type="spellEnd"/>
      <w:r w:rsidRPr="009C7925">
        <w:rPr>
          <w:rFonts w:cs="Arial"/>
          <w:szCs w:val="20"/>
        </w:rPr>
        <w:t xml:space="preserve"> EU ESRR: 255.741.210 EUR;</w:t>
      </w:r>
    </w:p>
    <w:p w14:paraId="73A74F9F" w14:textId="77777777" w:rsidR="009D68EB" w:rsidRPr="009C7925" w:rsidRDefault="009D68EB" w:rsidP="009864BC">
      <w:pPr>
        <w:numPr>
          <w:ilvl w:val="0"/>
          <w:numId w:val="11"/>
        </w:numPr>
        <w:suppressAutoHyphens w:val="0"/>
        <w:autoSpaceDE w:val="0"/>
        <w:autoSpaceDN/>
        <w:adjustRightInd w:val="0"/>
        <w:spacing w:after="0" w:line="276" w:lineRule="auto"/>
        <w:ind w:left="714" w:hanging="357"/>
        <w:jc w:val="both"/>
        <w:rPr>
          <w:rFonts w:cs="Arial"/>
          <w:szCs w:val="20"/>
        </w:rPr>
      </w:pPr>
      <w:proofErr w:type="spellStart"/>
      <w:r w:rsidRPr="009C7925">
        <w:rPr>
          <w:rFonts w:cs="Arial"/>
          <w:szCs w:val="20"/>
        </w:rPr>
        <w:t>React</w:t>
      </w:r>
      <w:proofErr w:type="spellEnd"/>
      <w:r w:rsidRPr="009C7925">
        <w:rPr>
          <w:rFonts w:cs="Arial"/>
          <w:szCs w:val="20"/>
        </w:rPr>
        <w:t xml:space="preserve"> EU ESS: 13.205.000 EUR.</w:t>
      </w:r>
    </w:p>
    <w:p w14:paraId="74A66A57" w14:textId="77777777" w:rsidR="009D68EB" w:rsidRPr="009C7925" w:rsidRDefault="009D68EB" w:rsidP="00ED5676">
      <w:pPr>
        <w:suppressAutoHyphens w:val="0"/>
        <w:autoSpaceDE w:val="0"/>
        <w:adjustRightInd w:val="0"/>
        <w:spacing w:after="0" w:line="288" w:lineRule="auto"/>
        <w:jc w:val="both"/>
        <w:rPr>
          <w:rFonts w:cs="Arial"/>
          <w:szCs w:val="20"/>
        </w:rPr>
      </w:pPr>
    </w:p>
    <w:p w14:paraId="2F4A74E2" w14:textId="77777777" w:rsidR="009D68EB" w:rsidRPr="009C7925" w:rsidRDefault="009D68EB" w:rsidP="00ED5676">
      <w:pPr>
        <w:suppressAutoHyphens w:val="0"/>
        <w:autoSpaceDN/>
        <w:spacing w:after="0" w:line="288" w:lineRule="auto"/>
        <w:jc w:val="both"/>
        <w:rPr>
          <w:rFonts w:eastAsia="SimSun" w:cs="Arial"/>
          <w:szCs w:val="20"/>
          <w:lang w:eastAsia="zh-CN"/>
        </w:rPr>
      </w:pPr>
      <w:r w:rsidRPr="009C7925">
        <w:rPr>
          <w:rFonts w:eastAsia="SimSun" w:cs="Arial"/>
          <w:szCs w:val="20"/>
          <w:lang w:eastAsia="zh-CN"/>
        </w:rPr>
        <w:t>V okviru razdelitve razpoložljivih sredstev posameznih skladov glede na geografsko upravičenost, kamor spada razdelitev na obe kohezijski regiji, je stanje naslednje:</w:t>
      </w:r>
    </w:p>
    <w:p w14:paraId="0ADD72BC" w14:textId="77777777" w:rsidR="009D68EB" w:rsidRPr="009C7925" w:rsidRDefault="009D68EB" w:rsidP="009864BC">
      <w:pPr>
        <w:numPr>
          <w:ilvl w:val="0"/>
          <w:numId w:val="12"/>
        </w:numPr>
        <w:suppressAutoHyphens w:val="0"/>
        <w:autoSpaceDE w:val="0"/>
        <w:autoSpaceDN/>
        <w:adjustRightInd w:val="0"/>
        <w:spacing w:after="0" w:line="288" w:lineRule="auto"/>
        <w:ind w:left="714" w:hanging="357"/>
        <w:jc w:val="both"/>
        <w:rPr>
          <w:rFonts w:eastAsia="SimSun" w:cs="Arial"/>
          <w:szCs w:val="20"/>
          <w:lang w:eastAsia="zh-CN"/>
        </w:rPr>
      </w:pPr>
      <w:r w:rsidRPr="009C7925">
        <w:rPr>
          <w:rFonts w:eastAsia="SimSun" w:cs="Arial"/>
          <w:szCs w:val="20"/>
          <w:lang w:eastAsia="zh-CN"/>
        </w:rPr>
        <w:t xml:space="preserve">kohezijski regiji Zahodna Slovenija je iz ESRR in ESS skupaj namenjenih 849 mio EUR razpoložljivih sredstev; </w:t>
      </w:r>
    </w:p>
    <w:p w14:paraId="6C873A7C" w14:textId="77777777" w:rsidR="009D68EB" w:rsidRPr="009C7925" w:rsidRDefault="009D68EB" w:rsidP="009864BC">
      <w:pPr>
        <w:numPr>
          <w:ilvl w:val="0"/>
          <w:numId w:val="12"/>
        </w:numPr>
        <w:suppressAutoHyphens w:val="0"/>
        <w:autoSpaceDE w:val="0"/>
        <w:autoSpaceDN/>
        <w:adjustRightInd w:val="0"/>
        <w:spacing w:after="0" w:line="288" w:lineRule="auto"/>
        <w:jc w:val="both"/>
        <w:rPr>
          <w:rFonts w:eastAsia="SimSun" w:cs="Arial"/>
          <w:szCs w:val="20"/>
          <w:lang w:eastAsia="zh-CN"/>
        </w:rPr>
      </w:pPr>
      <w:r w:rsidRPr="009C7925">
        <w:rPr>
          <w:rFonts w:eastAsia="SimSun" w:cs="Arial"/>
          <w:szCs w:val="20"/>
          <w:lang w:eastAsia="zh-CN"/>
        </w:rPr>
        <w:t xml:space="preserve">kohezijski regiji Vzhodna Slovenija je iz ESRR in ESS skupaj namenjenih 1,305 mrd EUR razpoložljivih sredstev (zajeta so tudi sredstva pobude za zaposlovanje mladih, v nadaljnjem besedilu: YEI); </w:t>
      </w:r>
    </w:p>
    <w:p w14:paraId="762245C9" w14:textId="46F218B9" w:rsidR="009D68EB" w:rsidRPr="009C7925" w:rsidRDefault="009D68EB" w:rsidP="009864BC">
      <w:pPr>
        <w:numPr>
          <w:ilvl w:val="0"/>
          <w:numId w:val="12"/>
        </w:numPr>
        <w:suppressAutoHyphens w:val="0"/>
        <w:autoSpaceDE w:val="0"/>
        <w:autoSpaceDN/>
        <w:adjustRightInd w:val="0"/>
        <w:spacing w:after="0" w:line="288" w:lineRule="auto"/>
        <w:jc w:val="both"/>
        <w:rPr>
          <w:rFonts w:eastAsia="SimSun" w:cs="Arial"/>
          <w:szCs w:val="20"/>
          <w:lang w:eastAsia="zh-CN"/>
        </w:rPr>
      </w:pPr>
      <w:r w:rsidRPr="009C7925">
        <w:rPr>
          <w:rFonts w:eastAsia="SimSun" w:cs="Arial"/>
          <w:szCs w:val="20"/>
          <w:lang w:eastAsia="zh-CN"/>
        </w:rPr>
        <w:t xml:space="preserve">obema regijama je skupaj na voljo 914 mio EUR iz sklada KS, ki se ne deli med regijama in se izvaja na območju celotne Slovenije, ter 269 mio EUR iz mehanizma </w:t>
      </w:r>
      <w:proofErr w:type="spellStart"/>
      <w:r w:rsidRPr="009C7925">
        <w:rPr>
          <w:rFonts w:eastAsia="SimSun" w:cs="Arial"/>
          <w:szCs w:val="20"/>
          <w:lang w:eastAsia="zh-CN"/>
        </w:rPr>
        <w:t>React</w:t>
      </w:r>
      <w:proofErr w:type="spellEnd"/>
      <w:r w:rsidRPr="009C7925">
        <w:rPr>
          <w:rFonts w:eastAsia="SimSun" w:cs="Arial"/>
          <w:szCs w:val="20"/>
          <w:lang w:eastAsia="zh-CN"/>
        </w:rPr>
        <w:t xml:space="preserve"> EU.</w:t>
      </w:r>
    </w:p>
    <w:p w14:paraId="5759724C" w14:textId="77777777" w:rsidR="009D68EB" w:rsidRPr="009C7925" w:rsidRDefault="009D68EB" w:rsidP="00ED5676">
      <w:pPr>
        <w:suppressAutoHyphens w:val="0"/>
        <w:autoSpaceDE w:val="0"/>
        <w:autoSpaceDN/>
        <w:adjustRightInd w:val="0"/>
        <w:spacing w:after="0" w:line="288" w:lineRule="auto"/>
        <w:ind w:left="720"/>
        <w:jc w:val="both"/>
        <w:rPr>
          <w:rFonts w:eastAsia="SimSun" w:cs="Arial"/>
          <w:szCs w:val="20"/>
          <w:lang w:eastAsia="zh-CN"/>
        </w:rPr>
      </w:pPr>
    </w:p>
    <w:p w14:paraId="1BDC32D9" w14:textId="77777777" w:rsidR="009D68EB" w:rsidRPr="009C7925" w:rsidRDefault="009D68EB" w:rsidP="00ED5676">
      <w:pPr>
        <w:suppressAutoHyphens w:val="0"/>
        <w:autoSpaceDN/>
        <w:spacing w:after="0" w:line="288" w:lineRule="auto"/>
        <w:jc w:val="both"/>
        <w:rPr>
          <w:rFonts w:eastAsia="SimSun" w:cs="Arial"/>
          <w:szCs w:val="20"/>
          <w:lang w:eastAsia="zh-CN"/>
        </w:rPr>
      </w:pPr>
      <w:r w:rsidRPr="009C7925">
        <w:rPr>
          <w:rFonts w:eastAsia="SimSun" w:cs="Arial"/>
          <w:szCs w:val="20"/>
          <w:lang w:eastAsia="zh-CN"/>
        </w:rPr>
        <w:t xml:space="preserve">Ne glede na razdelitev po skladih ali kohezijskih regijah izvajanje EKP zajema različne vidike, od finančnega, kamor lahko štejemo napredek, vezan na uspešnost koriščenja EU sredstev, do vsebinskega, kjer je moč spremljati vsebinski napredek na posamezni prednostni osi. </w:t>
      </w:r>
    </w:p>
    <w:p w14:paraId="50DD129C" w14:textId="77777777" w:rsidR="0025033E" w:rsidRPr="0025033E" w:rsidRDefault="0025033E" w:rsidP="00ED5676">
      <w:pPr>
        <w:suppressAutoHyphens w:val="0"/>
        <w:autoSpaceDN/>
        <w:spacing w:after="0" w:line="288" w:lineRule="auto"/>
        <w:jc w:val="both"/>
        <w:rPr>
          <w:rFonts w:eastAsia="SimSun" w:cs="Arial"/>
          <w:szCs w:val="20"/>
          <w:lang w:eastAsia="zh-CN"/>
        </w:rPr>
      </w:pPr>
    </w:p>
    <w:p w14:paraId="799CECEE" w14:textId="77777777" w:rsidR="0025033E" w:rsidRPr="0025033E" w:rsidRDefault="0025033E" w:rsidP="00ED5676">
      <w:pPr>
        <w:suppressAutoHyphens w:val="0"/>
        <w:autoSpaceDN/>
        <w:spacing w:after="0" w:line="288" w:lineRule="auto"/>
        <w:jc w:val="both"/>
        <w:rPr>
          <w:rFonts w:eastAsia="SimSun" w:cs="Arial"/>
          <w:szCs w:val="20"/>
          <w:lang w:eastAsia="zh-CN"/>
        </w:rPr>
      </w:pPr>
    </w:p>
    <w:p w14:paraId="1BA765CA" w14:textId="77777777" w:rsidR="0025033E" w:rsidRPr="0025033E" w:rsidRDefault="0025033E" w:rsidP="00ED5676">
      <w:pPr>
        <w:suppressAutoHyphens w:val="0"/>
        <w:autoSpaceDN/>
        <w:spacing w:after="0" w:line="288" w:lineRule="auto"/>
        <w:jc w:val="both"/>
        <w:rPr>
          <w:rFonts w:eastAsia="SimSun" w:cs="Arial"/>
          <w:szCs w:val="20"/>
          <w:lang w:eastAsia="zh-CN"/>
        </w:rPr>
      </w:pPr>
    </w:p>
    <w:p w14:paraId="06649760" w14:textId="77777777" w:rsidR="0025033E" w:rsidRPr="0025033E" w:rsidRDefault="0025033E" w:rsidP="00ED5676">
      <w:pPr>
        <w:suppressAutoHyphens w:val="0"/>
        <w:autoSpaceDN/>
        <w:spacing w:after="0" w:line="288" w:lineRule="auto"/>
        <w:jc w:val="both"/>
        <w:rPr>
          <w:rFonts w:eastAsia="SimSun" w:cs="Arial"/>
          <w:szCs w:val="20"/>
          <w:lang w:eastAsia="zh-CN"/>
        </w:rPr>
      </w:pPr>
    </w:p>
    <w:p w14:paraId="6B5D1359" w14:textId="77777777" w:rsidR="0025033E" w:rsidRPr="0025033E" w:rsidRDefault="0025033E" w:rsidP="00ED5676">
      <w:pPr>
        <w:suppressAutoHyphens w:val="0"/>
        <w:autoSpaceDN/>
        <w:spacing w:after="0" w:line="288" w:lineRule="auto"/>
        <w:jc w:val="both"/>
        <w:rPr>
          <w:rFonts w:eastAsia="SimSun" w:cs="Arial"/>
          <w:szCs w:val="20"/>
          <w:lang w:eastAsia="zh-CN"/>
        </w:rPr>
      </w:pPr>
    </w:p>
    <w:p w14:paraId="08B4AF02" w14:textId="77777777" w:rsidR="0025033E" w:rsidRPr="0025033E" w:rsidRDefault="0025033E" w:rsidP="00ED5676">
      <w:pPr>
        <w:suppressAutoHyphens w:val="0"/>
        <w:autoSpaceDN/>
        <w:spacing w:after="0" w:line="288" w:lineRule="auto"/>
        <w:jc w:val="both"/>
        <w:rPr>
          <w:rFonts w:eastAsia="SimSun" w:cs="Arial"/>
          <w:szCs w:val="20"/>
          <w:lang w:eastAsia="zh-CN"/>
        </w:rPr>
      </w:pPr>
    </w:p>
    <w:p w14:paraId="707DB88A" w14:textId="77777777" w:rsidR="009D68EB" w:rsidRPr="0025033E" w:rsidRDefault="009D68EB" w:rsidP="00ED5676">
      <w:pPr>
        <w:suppressAutoHyphens w:val="0"/>
        <w:autoSpaceDN/>
        <w:spacing w:after="0" w:line="288" w:lineRule="auto"/>
        <w:jc w:val="both"/>
        <w:rPr>
          <w:rFonts w:cs="Arial"/>
          <w:szCs w:val="20"/>
        </w:rPr>
      </w:pPr>
      <w:r w:rsidRPr="0025033E">
        <w:rPr>
          <w:rFonts w:cs="Arial"/>
          <w:szCs w:val="20"/>
        </w:rPr>
        <w:lastRenderedPageBreak/>
        <w:t>Sistem koriščenja EKP je kompleksen in zajema več faz, ki si sledijo v sosledju:</w:t>
      </w:r>
    </w:p>
    <w:p w14:paraId="221D7F98" w14:textId="77777777" w:rsidR="009D68EB" w:rsidRPr="0025033E" w:rsidRDefault="009D68EB" w:rsidP="00ED5676">
      <w:pPr>
        <w:suppressAutoHyphens w:val="0"/>
        <w:autoSpaceDN/>
        <w:spacing w:after="0" w:line="288" w:lineRule="auto"/>
        <w:jc w:val="both"/>
        <w:rPr>
          <w:rFonts w:cs="Arial"/>
          <w:szCs w:val="20"/>
        </w:rPr>
      </w:pPr>
    </w:p>
    <w:p w14:paraId="60B4AEA0" w14:textId="77777777" w:rsidR="009D68EB" w:rsidRPr="0025033E" w:rsidRDefault="009D68EB" w:rsidP="009864BC">
      <w:pPr>
        <w:numPr>
          <w:ilvl w:val="0"/>
          <w:numId w:val="10"/>
        </w:numPr>
        <w:suppressAutoHyphens w:val="0"/>
        <w:autoSpaceDN/>
        <w:spacing w:after="0" w:line="288" w:lineRule="auto"/>
        <w:jc w:val="both"/>
        <w:rPr>
          <w:rFonts w:cs="Arial"/>
          <w:szCs w:val="20"/>
        </w:rPr>
      </w:pPr>
      <w:r w:rsidRPr="0025033E">
        <w:rPr>
          <w:rFonts w:cs="Arial"/>
          <w:b/>
          <w:szCs w:val="20"/>
        </w:rPr>
        <w:t xml:space="preserve">FAZA: </w:t>
      </w:r>
      <w:r w:rsidRPr="0025033E">
        <w:rPr>
          <w:rFonts w:cs="Arial"/>
          <w:szCs w:val="20"/>
        </w:rPr>
        <w:t>OU oceni vlogo PO za odobritev evropskih sredstev za posamični javni razpis/projekt oziroma program. V kolikor je vloga skladna z vsebino OP EKP, OU izda odločitev o podpori</w:t>
      </w:r>
      <w:r w:rsidRPr="0025033E">
        <w:rPr>
          <w:rFonts w:cs="Arial"/>
          <w:szCs w:val="20"/>
          <w:vertAlign w:val="superscript"/>
        </w:rPr>
        <w:footnoteReference w:id="3"/>
      </w:r>
      <w:r w:rsidRPr="0025033E">
        <w:rPr>
          <w:rFonts w:cs="Arial"/>
          <w:szCs w:val="20"/>
        </w:rPr>
        <w:t xml:space="preserve"> PO. </w:t>
      </w:r>
    </w:p>
    <w:p w14:paraId="0E9C2A1D" w14:textId="77777777" w:rsidR="009D68EB" w:rsidRPr="0025033E" w:rsidRDefault="009D68EB" w:rsidP="009864BC">
      <w:pPr>
        <w:numPr>
          <w:ilvl w:val="0"/>
          <w:numId w:val="10"/>
        </w:numPr>
        <w:suppressAutoHyphens w:val="0"/>
        <w:autoSpaceDN/>
        <w:spacing w:after="0" w:line="288" w:lineRule="auto"/>
        <w:jc w:val="both"/>
        <w:rPr>
          <w:rFonts w:cs="Arial"/>
          <w:szCs w:val="20"/>
        </w:rPr>
      </w:pPr>
      <w:r w:rsidRPr="0025033E">
        <w:rPr>
          <w:rFonts w:cs="Arial"/>
          <w:b/>
          <w:szCs w:val="20"/>
        </w:rPr>
        <w:t xml:space="preserve">FAZA: </w:t>
      </w:r>
      <w:r w:rsidRPr="0025033E">
        <w:rPr>
          <w:rFonts w:cs="Arial"/>
          <w:szCs w:val="20"/>
        </w:rPr>
        <w:t xml:space="preserve">PO izvedejo postopke izbora (npr. objavijo javne razpise), dodelijo sredstva in sklenejo pogodbe o sofinanciranju z upravičenci, kar je podlaga za dejansko financiranje projektov iz sredstev EKP. </w:t>
      </w:r>
    </w:p>
    <w:p w14:paraId="180842ED" w14:textId="77777777" w:rsidR="009D68EB" w:rsidRPr="0025033E" w:rsidRDefault="009D68EB" w:rsidP="009864BC">
      <w:pPr>
        <w:numPr>
          <w:ilvl w:val="0"/>
          <w:numId w:val="10"/>
        </w:numPr>
        <w:suppressAutoHyphens w:val="0"/>
        <w:autoSpaceDN/>
        <w:spacing w:after="0" w:line="288" w:lineRule="auto"/>
        <w:jc w:val="both"/>
        <w:rPr>
          <w:rFonts w:cs="Arial"/>
          <w:szCs w:val="20"/>
        </w:rPr>
      </w:pPr>
      <w:r w:rsidRPr="0025033E">
        <w:rPr>
          <w:rFonts w:cs="Arial"/>
          <w:b/>
          <w:szCs w:val="20"/>
        </w:rPr>
        <w:t xml:space="preserve">FAZA: </w:t>
      </w:r>
      <w:r w:rsidRPr="0025033E">
        <w:rPr>
          <w:rFonts w:cs="Arial"/>
          <w:szCs w:val="20"/>
        </w:rPr>
        <w:t xml:space="preserve">izvedba projekta (upravičenec, izvajalci) v skladu s pogodbo o sofinanciranju. Za izvedene aktivnosti upravičenci PO izstavijo račune (zahtevke za izplačila, v nadaljnjem besedilu: ZZI), ki se nato plačajo (založijo) iz državnega proračuna. </w:t>
      </w:r>
    </w:p>
    <w:p w14:paraId="0FFC2DE8" w14:textId="77777777" w:rsidR="009D68EB" w:rsidRPr="0025033E" w:rsidRDefault="009D68EB" w:rsidP="009864BC">
      <w:pPr>
        <w:numPr>
          <w:ilvl w:val="0"/>
          <w:numId w:val="10"/>
        </w:numPr>
        <w:suppressAutoHyphens w:val="0"/>
        <w:autoSpaceDN/>
        <w:spacing w:after="0" w:line="288" w:lineRule="auto"/>
        <w:jc w:val="both"/>
        <w:rPr>
          <w:rFonts w:cs="Arial"/>
          <w:szCs w:val="20"/>
        </w:rPr>
      </w:pPr>
      <w:r w:rsidRPr="0025033E">
        <w:rPr>
          <w:rFonts w:cs="Arial"/>
          <w:b/>
          <w:szCs w:val="20"/>
        </w:rPr>
        <w:t xml:space="preserve">FAZA: </w:t>
      </w:r>
      <w:r w:rsidRPr="0025033E">
        <w:rPr>
          <w:rFonts w:cs="Arial"/>
          <w:szCs w:val="20"/>
        </w:rPr>
        <w:t xml:space="preserve">predstavlja prenos plačanih in preverjenih ZZI iz e-MA v informacijski sistem organa za potrjevanje (e-CA). Organ za potrjevanje pri MF ZZI-je pregleda, jih potrdi, izvede povračilo sredstev EU iz podračuna na Banki Slovenije v državni proračun in nato v Bruselj pošlje zahtevek za povračilo sredstev. Četrta faza predstavlja koriščenje sredstev.  </w:t>
      </w:r>
    </w:p>
    <w:p w14:paraId="63E75244" w14:textId="77777777" w:rsidR="009D68EB" w:rsidRPr="0025033E" w:rsidRDefault="009D68EB" w:rsidP="009864BC">
      <w:pPr>
        <w:pStyle w:val="Odstavekseznama"/>
        <w:numPr>
          <w:ilvl w:val="0"/>
          <w:numId w:val="10"/>
        </w:numPr>
        <w:spacing w:after="0"/>
        <w:jc w:val="both"/>
        <w:rPr>
          <w:rFonts w:cs="Arial"/>
          <w:szCs w:val="20"/>
        </w:rPr>
        <w:sectPr w:rsidR="009D68EB" w:rsidRPr="0025033E" w:rsidSect="00014A15">
          <w:headerReference w:type="default" r:id="rId21"/>
          <w:pgSz w:w="11906" w:h="16838" w:code="9"/>
          <w:pgMar w:top="1418" w:right="1418" w:bottom="1418" w:left="1418" w:header="709" w:footer="709" w:gutter="0"/>
          <w:cols w:space="708"/>
          <w:docGrid w:linePitch="272"/>
        </w:sectPr>
      </w:pPr>
      <w:r w:rsidRPr="0025033E">
        <w:rPr>
          <w:rFonts w:cs="Arial"/>
          <w:b/>
          <w:szCs w:val="20"/>
        </w:rPr>
        <w:t xml:space="preserve">FAZA: </w:t>
      </w:r>
      <w:r w:rsidRPr="0025033E">
        <w:rPr>
          <w:rFonts w:cs="Arial"/>
          <w:szCs w:val="20"/>
        </w:rPr>
        <w:t>predstavlja preverjanje zahtevkov pri EK in plačilo sredstev iz proračuna EU na podračune pri Banki Slovenija</w:t>
      </w:r>
    </w:p>
    <w:p w14:paraId="7949D088" w14:textId="57AF9AC7" w:rsidR="009D68EB" w:rsidRDefault="009D68EB" w:rsidP="00ED5676">
      <w:pPr>
        <w:pStyle w:val="Napis"/>
        <w:keepNext/>
        <w:spacing w:after="0"/>
        <w:jc w:val="both"/>
        <w:rPr>
          <w:rFonts w:cs="Arial"/>
          <w:b w:val="0"/>
          <w:bCs w:val="0"/>
          <w:color w:val="auto"/>
        </w:rPr>
      </w:pPr>
      <w:bookmarkStart w:id="281" w:name="_Toc191386692"/>
      <w:r w:rsidRPr="0025033E">
        <w:rPr>
          <w:rFonts w:cs="Arial"/>
          <w:b w:val="0"/>
          <w:bCs w:val="0"/>
          <w:color w:val="auto"/>
        </w:rPr>
        <w:lastRenderedPageBreak/>
        <w:t xml:space="preserve">Tabela </w:t>
      </w:r>
      <w:r w:rsidRPr="0025033E">
        <w:rPr>
          <w:rFonts w:cs="Arial"/>
          <w:b w:val="0"/>
          <w:bCs w:val="0"/>
          <w:color w:val="auto"/>
        </w:rPr>
        <w:fldChar w:fldCharType="begin"/>
      </w:r>
      <w:r w:rsidRPr="0025033E">
        <w:rPr>
          <w:rFonts w:cs="Arial"/>
          <w:b w:val="0"/>
          <w:bCs w:val="0"/>
          <w:color w:val="auto"/>
        </w:rPr>
        <w:instrText xml:space="preserve"> SEQ Tabela \* ARABIC </w:instrText>
      </w:r>
      <w:r w:rsidRPr="0025033E">
        <w:rPr>
          <w:rFonts w:cs="Arial"/>
          <w:b w:val="0"/>
          <w:bCs w:val="0"/>
          <w:color w:val="auto"/>
        </w:rPr>
        <w:fldChar w:fldCharType="separate"/>
      </w:r>
      <w:r w:rsidR="00476D26" w:rsidRPr="0025033E">
        <w:rPr>
          <w:rFonts w:cs="Arial"/>
          <w:b w:val="0"/>
          <w:bCs w:val="0"/>
          <w:noProof/>
          <w:color w:val="auto"/>
        </w:rPr>
        <w:t>1</w:t>
      </w:r>
      <w:r w:rsidRPr="0025033E">
        <w:rPr>
          <w:rFonts w:cs="Arial"/>
          <w:b w:val="0"/>
          <w:bCs w:val="0"/>
          <w:color w:val="auto"/>
        </w:rPr>
        <w:fldChar w:fldCharType="end"/>
      </w:r>
      <w:r w:rsidRPr="0025033E">
        <w:rPr>
          <w:rFonts w:cs="Arial"/>
          <w:b w:val="0"/>
          <w:bCs w:val="0"/>
          <w:color w:val="auto"/>
        </w:rPr>
        <w:t>: Stanje izvajanja po skladih in regijah skupaj (</w:t>
      </w:r>
      <w:proofErr w:type="spellStart"/>
      <w:r w:rsidRPr="0025033E">
        <w:rPr>
          <w:rFonts w:cs="Arial"/>
          <w:b w:val="0"/>
          <w:bCs w:val="0"/>
          <w:color w:val="auto"/>
        </w:rPr>
        <w:t>vklj</w:t>
      </w:r>
      <w:proofErr w:type="spellEnd"/>
      <w:r w:rsidRPr="0025033E">
        <w:rPr>
          <w:rFonts w:cs="Arial"/>
          <w:b w:val="0"/>
          <w:bCs w:val="0"/>
          <w:color w:val="auto"/>
        </w:rPr>
        <w:t xml:space="preserve">. </w:t>
      </w:r>
      <w:proofErr w:type="spellStart"/>
      <w:r w:rsidRPr="0025033E">
        <w:rPr>
          <w:rFonts w:cs="Arial"/>
          <w:b w:val="0"/>
          <w:bCs w:val="0"/>
          <w:color w:val="auto"/>
        </w:rPr>
        <w:t>React</w:t>
      </w:r>
      <w:proofErr w:type="spellEnd"/>
      <w:r w:rsidRPr="0025033E">
        <w:rPr>
          <w:rFonts w:cs="Arial"/>
          <w:b w:val="0"/>
          <w:bCs w:val="0"/>
          <w:color w:val="auto"/>
        </w:rPr>
        <w:t>-EU): obdobje od 1. 1. 20</w:t>
      </w:r>
      <w:r w:rsidR="00982E0E">
        <w:rPr>
          <w:rFonts w:cs="Arial"/>
          <w:b w:val="0"/>
          <w:bCs w:val="0"/>
          <w:color w:val="auto"/>
        </w:rPr>
        <w:t>1</w:t>
      </w:r>
      <w:r w:rsidRPr="0025033E">
        <w:rPr>
          <w:rFonts w:cs="Arial"/>
          <w:b w:val="0"/>
          <w:bCs w:val="0"/>
          <w:color w:val="auto"/>
        </w:rPr>
        <w:t>4 do 31. 12. 2024</w:t>
      </w:r>
      <w:bookmarkEnd w:id="281"/>
    </w:p>
    <w:p w14:paraId="5057ADE5" w14:textId="77777777" w:rsidR="00DE0029" w:rsidRPr="00DE0029" w:rsidRDefault="00DE0029" w:rsidP="00DE0029"/>
    <w:tbl>
      <w:tblPr>
        <w:tblW w:w="12882" w:type="dxa"/>
        <w:tblCellMar>
          <w:left w:w="0" w:type="dxa"/>
          <w:right w:w="0" w:type="dxa"/>
        </w:tblCellMar>
        <w:tblLook w:val="04A0" w:firstRow="1" w:lastRow="0" w:firstColumn="1" w:lastColumn="0" w:noHBand="0" w:noVBand="1"/>
      </w:tblPr>
      <w:tblGrid>
        <w:gridCol w:w="1340"/>
        <w:gridCol w:w="1525"/>
        <w:gridCol w:w="1669"/>
        <w:gridCol w:w="1588"/>
        <w:gridCol w:w="974"/>
        <w:gridCol w:w="1811"/>
        <w:gridCol w:w="1036"/>
        <w:gridCol w:w="1770"/>
        <w:gridCol w:w="1015"/>
        <w:gridCol w:w="148"/>
        <w:gridCol w:w="6"/>
      </w:tblGrid>
      <w:tr w:rsidR="00DE0029" w:rsidRPr="00DE0029" w14:paraId="370C27FC" w14:textId="77777777" w:rsidTr="00DE0029">
        <w:trPr>
          <w:trHeight w:val="585"/>
        </w:trPr>
        <w:tc>
          <w:tcPr>
            <w:tcW w:w="1339" w:type="dxa"/>
            <w:vMerge w:val="restart"/>
            <w:tcBorders>
              <w:top w:val="single" w:sz="8" w:space="0" w:color="auto"/>
              <w:left w:val="single" w:sz="8" w:space="0" w:color="auto"/>
              <w:bottom w:val="single" w:sz="8" w:space="0" w:color="000000"/>
              <w:right w:val="single" w:sz="8" w:space="0" w:color="auto"/>
            </w:tcBorders>
            <w:shd w:val="clear" w:color="auto" w:fill="DDEBF7"/>
            <w:tcMar>
              <w:top w:w="0" w:type="dxa"/>
              <w:left w:w="70" w:type="dxa"/>
              <w:bottom w:w="0" w:type="dxa"/>
              <w:right w:w="70" w:type="dxa"/>
            </w:tcMar>
            <w:vAlign w:val="center"/>
            <w:hideMark/>
          </w:tcPr>
          <w:p w14:paraId="4EB70D79" w14:textId="77777777" w:rsidR="00DE0029" w:rsidRPr="00DE0029" w:rsidRDefault="00DE0029" w:rsidP="00DE0029">
            <w:pPr>
              <w:rPr>
                <w:b/>
                <w:bCs/>
              </w:rPr>
            </w:pPr>
            <w:r w:rsidRPr="00DE0029">
              <w:rPr>
                <w:b/>
                <w:bCs/>
              </w:rPr>
              <w:t>Sklad</w:t>
            </w:r>
          </w:p>
        </w:tc>
        <w:tc>
          <w:tcPr>
            <w:tcW w:w="1524" w:type="dxa"/>
            <w:vMerge w:val="restart"/>
            <w:tcBorders>
              <w:top w:val="single" w:sz="8" w:space="0" w:color="auto"/>
              <w:left w:val="nil"/>
              <w:bottom w:val="single" w:sz="8" w:space="0" w:color="000000"/>
              <w:right w:val="single" w:sz="8" w:space="0" w:color="auto"/>
            </w:tcBorders>
            <w:shd w:val="clear" w:color="auto" w:fill="DDEBF7"/>
            <w:tcMar>
              <w:top w:w="0" w:type="dxa"/>
              <w:left w:w="70" w:type="dxa"/>
              <w:bottom w:w="0" w:type="dxa"/>
              <w:right w:w="70" w:type="dxa"/>
            </w:tcMar>
            <w:vAlign w:val="center"/>
            <w:hideMark/>
          </w:tcPr>
          <w:p w14:paraId="5F8CA848" w14:textId="77777777" w:rsidR="00DE0029" w:rsidRPr="00DE0029" w:rsidRDefault="00DE0029" w:rsidP="00DE0029">
            <w:pPr>
              <w:rPr>
                <w:b/>
                <w:bCs/>
              </w:rPr>
            </w:pPr>
            <w:r w:rsidRPr="00DE0029">
              <w:rPr>
                <w:b/>
                <w:bCs/>
              </w:rPr>
              <w:t>Regija</w:t>
            </w:r>
          </w:p>
        </w:tc>
        <w:tc>
          <w:tcPr>
            <w:tcW w:w="1669" w:type="dxa"/>
            <w:vMerge w:val="restart"/>
            <w:tcBorders>
              <w:top w:val="single" w:sz="8" w:space="0" w:color="auto"/>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14:paraId="3220BD61" w14:textId="77777777" w:rsidR="00DE0029" w:rsidRPr="00DE0029" w:rsidRDefault="00DE0029" w:rsidP="00DE0029">
            <w:pPr>
              <w:rPr>
                <w:b/>
                <w:bCs/>
              </w:rPr>
            </w:pPr>
            <w:r w:rsidRPr="00DE0029">
              <w:rPr>
                <w:b/>
                <w:bCs/>
              </w:rPr>
              <w:t xml:space="preserve">Pravice porabe </w:t>
            </w:r>
          </w:p>
        </w:tc>
        <w:tc>
          <w:tcPr>
            <w:tcW w:w="2563" w:type="dxa"/>
            <w:gridSpan w:val="2"/>
            <w:vMerge w:val="restart"/>
            <w:tcBorders>
              <w:top w:val="single" w:sz="8" w:space="0" w:color="auto"/>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14:paraId="2D0E094E" w14:textId="77777777" w:rsidR="00DE0029" w:rsidRPr="00DE0029" w:rsidRDefault="00DE0029" w:rsidP="00DE0029">
            <w:pPr>
              <w:rPr>
                <w:b/>
                <w:bCs/>
              </w:rPr>
            </w:pPr>
            <w:r w:rsidRPr="00DE0029">
              <w:rPr>
                <w:b/>
                <w:bCs/>
              </w:rPr>
              <w:t>Odločitve o podpori 31.12.2024</w:t>
            </w:r>
          </w:p>
        </w:tc>
        <w:tc>
          <w:tcPr>
            <w:tcW w:w="2847" w:type="dxa"/>
            <w:gridSpan w:val="2"/>
            <w:vMerge w:val="restart"/>
            <w:tcBorders>
              <w:top w:val="single" w:sz="8" w:space="0" w:color="auto"/>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14:paraId="0E87D1BA" w14:textId="77777777" w:rsidR="00DE0029" w:rsidRPr="00DE0029" w:rsidRDefault="00DE0029" w:rsidP="00DE0029">
            <w:pPr>
              <w:rPr>
                <w:b/>
                <w:bCs/>
              </w:rPr>
            </w:pPr>
            <w:r w:rsidRPr="00DE0029">
              <w:rPr>
                <w:b/>
                <w:bCs/>
              </w:rPr>
              <w:t>Potrjene operacije 31.12.2024</w:t>
            </w:r>
          </w:p>
        </w:tc>
        <w:tc>
          <w:tcPr>
            <w:tcW w:w="2786" w:type="dxa"/>
            <w:gridSpan w:val="2"/>
            <w:vMerge w:val="restart"/>
            <w:tcBorders>
              <w:top w:val="single" w:sz="8" w:space="0" w:color="auto"/>
              <w:left w:val="nil"/>
              <w:bottom w:val="single" w:sz="8" w:space="0" w:color="auto"/>
              <w:right w:val="single" w:sz="8" w:space="0" w:color="000000"/>
            </w:tcBorders>
            <w:shd w:val="clear" w:color="auto" w:fill="DDEBF7"/>
            <w:tcMar>
              <w:top w:w="0" w:type="dxa"/>
              <w:left w:w="70" w:type="dxa"/>
              <w:bottom w:w="0" w:type="dxa"/>
              <w:right w:w="70" w:type="dxa"/>
            </w:tcMar>
            <w:vAlign w:val="center"/>
            <w:hideMark/>
          </w:tcPr>
          <w:p w14:paraId="0B857EA0" w14:textId="77777777" w:rsidR="00DE0029" w:rsidRPr="00DE0029" w:rsidRDefault="00DE0029" w:rsidP="00DE0029">
            <w:pPr>
              <w:rPr>
                <w:b/>
                <w:bCs/>
              </w:rPr>
            </w:pPr>
            <w:r w:rsidRPr="00DE0029">
              <w:rPr>
                <w:b/>
                <w:bCs/>
              </w:rPr>
              <w:t>Izplačila iz DP 31.12.2024</w:t>
            </w:r>
          </w:p>
        </w:tc>
        <w:tc>
          <w:tcPr>
            <w:tcW w:w="148" w:type="dxa"/>
            <w:vAlign w:val="center"/>
            <w:hideMark/>
          </w:tcPr>
          <w:p w14:paraId="1B57807E" w14:textId="77777777" w:rsidR="00DE0029" w:rsidRPr="00DE0029" w:rsidRDefault="00DE0029" w:rsidP="00DE0029">
            <w:r w:rsidRPr="00DE0029">
              <w:t> </w:t>
            </w:r>
          </w:p>
        </w:tc>
        <w:tc>
          <w:tcPr>
            <w:tcW w:w="6" w:type="dxa"/>
            <w:vAlign w:val="center"/>
            <w:hideMark/>
          </w:tcPr>
          <w:p w14:paraId="06E91660" w14:textId="77777777" w:rsidR="00DE0029" w:rsidRPr="00DE0029" w:rsidRDefault="00DE0029" w:rsidP="00DE0029"/>
        </w:tc>
      </w:tr>
      <w:tr w:rsidR="00DE0029" w:rsidRPr="00DE0029" w14:paraId="09B16313" w14:textId="77777777" w:rsidTr="001468A6">
        <w:trPr>
          <w:trHeight w:val="5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866B07B" w14:textId="77777777" w:rsidR="00DE0029" w:rsidRPr="00DE0029" w:rsidRDefault="00DE0029" w:rsidP="00DE0029">
            <w:pPr>
              <w:rPr>
                <w:b/>
                <w:bCs/>
              </w:rPr>
            </w:pPr>
          </w:p>
        </w:tc>
        <w:tc>
          <w:tcPr>
            <w:tcW w:w="0" w:type="auto"/>
            <w:vMerge/>
            <w:tcBorders>
              <w:top w:val="single" w:sz="8" w:space="0" w:color="auto"/>
              <w:left w:val="nil"/>
              <w:bottom w:val="single" w:sz="8" w:space="0" w:color="000000"/>
              <w:right w:val="single" w:sz="8" w:space="0" w:color="auto"/>
            </w:tcBorders>
            <w:vAlign w:val="center"/>
            <w:hideMark/>
          </w:tcPr>
          <w:p w14:paraId="468D58E4" w14:textId="77777777" w:rsidR="00DE0029" w:rsidRPr="00DE0029" w:rsidRDefault="00DE0029" w:rsidP="00DE0029">
            <w:pPr>
              <w:rPr>
                <w:b/>
                <w:bCs/>
              </w:rPr>
            </w:pPr>
          </w:p>
        </w:tc>
        <w:tc>
          <w:tcPr>
            <w:tcW w:w="0" w:type="auto"/>
            <w:vMerge/>
            <w:tcBorders>
              <w:top w:val="single" w:sz="8" w:space="0" w:color="auto"/>
              <w:left w:val="nil"/>
              <w:bottom w:val="single" w:sz="8" w:space="0" w:color="auto"/>
              <w:right w:val="single" w:sz="8" w:space="0" w:color="auto"/>
            </w:tcBorders>
            <w:vAlign w:val="center"/>
            <w:hideMark/>
          </w:tcPr>
          <w:p w14:paraId="3798067C" w14:textId="77777777" w:rsidR="00DE0029" w:rsidRPr="00DE0029" w:rsidRDefault="00DE0029" w:rsidP="00DE0029">
            <w:pPr>
              <w:rPr>
                <w:b/>
                <w:bCs/>
              </w:rPr>
            </w:pPr>
          </w:p>
        </w:tc>
        <w:tc>
          <w:tcPr>
            <w:tcW w:w="0" w:type="auto"/>
            <w:gridSpan w:val="2"/>
            <w:vMerge/>
            <w:tcBorders>
              <w:top w:val="single" w:sz="8" w:space="0" w:color="auto"/>
              <w:left w:val="nil"/>
              <w:bottom w:val="single" w:sz="8" w:space="0" w:color="auto"/>
              <w:right w:val="single" w:sz="8" w:space="0" w:color="auto"/>
            </w:tcBorders>
            <w:vAlign w:val="center"/>
            <w:hideMark/>
          </w:tcPr>
          <w:p w14:paraId="5E3D8CDA" w14:textId="77777777" w:rsidR="00DE0029" w:rsidRPr="00DE0029" w:rsidRDefault="00DE0029" w:rsidP="00DE0029">
            <w:pPr>
              <w:rPr>
                <w:b/>
                <w:bCs/>
              </w:rPr>
            </w:pPr>
          </w:p>
        </w:tc>
        <w:tc>
          <w:tcPr>
            <w:tcW w:w="0" w:type="auto"/>
            <w:gridSpan w:val="2"/>
            <w:vMerge/>
            <w:tcBorders>
              <w:top w:val="single" w:sz="8" w:space="0" w:color="auto"/>
              <w:left w:val="nil"/>
              <w:bottom w:val="single" w:sz="8" w:space="0" w:color="auto"/>
              <w:right w:val="single" w:sz="8" w:space="0" w:color="auto"/>
            </w:tcBorders>
            <w:vAlign w:val="center"/>
            <w:hideMark/>
          </w:tcPr>
          <w:p w14:paraId="7A515DCF" w14:textId="77777777" w:rsidR="00DE0029" w:rsidRPr="00DE0029" w:rsidRDefault="00DE0029" w:rsidP="00DE0029">
            <w:pPr>
              <w:rPr>
                <w:b/>
                <w:bCs/>
              </w:rPr>
            </w:pPr>
          </w:p>
        </w:tc>
        <w:tc>
          <w:tcPr>
            <w:tcW w:w="0" w:type="auto"/>
            <w:gridSpan w:val="2"/>
            <w:vMerge/>
            <w:tcBorders>
              <w:top w:val="single" w:sz="8" w:space="0" w:color="auto"/>
              <w:left w:val="nil"/>
              <w:bottom w:val="single" w:sz="8" w:space="0" w:color="auto"/>
              <w:right w:val="single" w:sz="8" w:space="0" w:color="000000"/>
            </w:tcBorders>
            <w:vAlign w:val="center"/>
            <w:hideMark/>
          </w:tcPr>
          <w:p w14:paraId="1E88CD81" w14:textId="77777777" w:rsidR="00DE0029" w:rsidRPr="00DE0029" w:rsidRDefault="00DE0029" w:rsidP="00DE0029">
            <w:pPr>
              <w:rPr>
                <w:b/>
                <w:bCs/>
              </w:rPr>
            </w:pPr>
          </w:p>
        </w:tc>
        <w:tc>
          <w:tcPr>
            <w:tcW w:w="148" w:type="dxa"/>
            <w:vAlign w:val="center"/>
            <w:hideMark/>
          </w:tcPr>
          <w:p w14:paraId="014098B9" w14:textId="77777777" w:rsidR="00DE0029" w:rsidRPr="00DE0029" w:rsidRDefault="00DE0029" w:rsidP="00DE0029">
            <w:r w:rsidRPr="00DE0029">
              <w:t> </w:t>
            </w:r>
          </w:p>
        </w:tc>
        <w:tc>
          <w:tcPr>
            <w:tcW w:w="6" w:type="dxa"/>
            <w:vAlign w:val="center"/>
            <w:hideMark/>
          </w:tcPr>
          <w:p w14:paraId="262F8FEE" w14:textId="77777777" w:rsidR="00DE0029" w:rsidRPr="00DE0029" w:rsidRDefault="00DE0029" w:rsidP="00DE0029"/>
        </w:tc>
      </w:tr>
      <w:tr w:rsidR="00DE0029" w:rsidRPr="00DE0029" w14:paraId="0D77DF51" w14:textId="77777777" w:rsidTr="001468A6">
        <w:trPr>
          <w:trHeight w:val="25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328510" w14:textId="77777777" w:rsidR="00DE0029" w:rsidRPr="00DE0029" w:rsidRDefault="00DE0029" w:rsidP="00DE0029">
            <w:pPr>
              <w:rPr>
                <w:b/>
                <w:bCs/>
              </w:rPr>
            </w:pPr>
          </w:p>
        </w:tc>
        <w:tc>
          <w:tcPr>
            <w:tcW w:w="0" w:type="auto"/>
            <w:vMerge/>
            <w:tcBorders>
              <w:top w:val="single" w:sz="8" w:space="0" w:color="auto"/>
              <w:left w:val="nil"/>
              <w:bottom w:val="single" w:sz="8" w:space="0" w:color="000000"/>
              <w:right w:val="single" w:sz="8" w:space="0" w:color="auto"/>
            </w:tcBorders>
            <w:vAlign w:val="center"/>
            <w:hideMark/>
          </w:tcPr>
          <w:p w14:paraId="2E279F00" w14:textId="77777777" w:rsidR="00DE0029" w:rsidRPr="00DE0029" w:rsidRDefault="00DE0029" w:rsidP="00DE0029">
            <w:pPr>
              <w:rPr>
                <w:b/>
                <w:bCs/>
              </w:rPr>
            </w:pPr>
          </w:p>
        </w:tc>
        <w:tc>
          <w:tcPr>
            <w:tcW w:w="0" w:type="auto"/>
            <w:vMerge/>
            <w:tcBorders>
              <w:top w:val="single" w:sz="8" w:space="0" w:color="auto"/>
              <w:left w:val="nil"/>
              <w:bottom w:val="single" w:sz="8" w:space="0" w:color="auto"/>
              <w:right w:val="single" w:sz="8" w:space="0" w:color="auto"/>
            </w:tcBorders>
            <w:vAlign w:val="center"/>
            <w:hideMark/>
          </w:tcPr>
          <w:p w14:paraId="410B9FB0" w14:textId="77777777" w:rsidR="00DE0029" w:rsidRPr="00DE0029" w:rsidRDefault="00DE0029" w:rsidP="00DE0029">
            <w:pPr>
              <w:rPr>
                <w:b/>
                <w:bCs/>
              </w:rPr>
            </w:pPr>
          </w:p>
        </w:tc>
        <w:tc>
          <w:tcPr>
            <w:tcW w:w="0" w:type="auto"/>
            <w:gridSpan w:val="2"/>
            <w:vMerge/>
            <w:tcBorders>
              <w:top w:val="single" w:sz="8" w:space="0" w:color="auto"/>
              <w:left w:val="nil"/>
              <w:bottom w:val="single" w:sz="8" w:space="0" w:color="auto"/>
              <w:right w:val="single" w:sz="8" w:space="0" w:color="auto"/>
            </w:tcBorders>
            <w:vAlign w:val="center"/>
            <w:hideMark/>
          </w:tcPr>
          <w:p w14:paraId="75F9F0DC" w14:textId="77777777" w:rsidR="00DE0029" w:rsidRPr="00DE0029" w:rsidRDefault="00DE0029" w:rsidP="00DE0029">
            <w:pPr>
              <w:rPr>
                <w:b/>
                <w:bCs/>
              </w:rPr>
            </w:pPr>
          </w:p>
        </w:tc>
        <w:tc>
          <w:tcPr>
            <w:tcW w:w="0" w:type="auto"/>
            <w:gridSpan w:val="2"/>
            <w:vMerge/>
            <w:tcBorders>
              <w:top w:val="single" w:sz="8" w:space="0" w:color="auto"/>
              <w:left w:val="nil"/>
              <w:bottom w:val="single" w:sz="8" w:space="0" w:color="auto"/>
              <w:right w:val="single" w:sz="8" w:space="0" w:color="auto"/>
            </w:tcBorders>
            <w:vAlign w:val="center"/>
            <w:hideMark/>
          </w:tcPr>
          <w:p w14:paraId="109A2488" w14:textId="77777777" w:rsidR="00DE0029" w:rsidRPr="00DE0029" w:rsidRDefault="00DE0029" w:rsidP="00DE0029">
            <w:pPr>
              <w:rPr>
                <w:b/>
                <w:bCs/>
              </w:rPr>
            </w:pPr>
          </w:p>
        </w:tc>
        <w:tc>
          <w:tcPr>
            <w:tcW w:w="0" w:type="auto"/>
            <w:gridSpan w:val="2"/>
            <w:vMerge/>
            <w:tcBorders>
              <w:top w:val="single" w:sz="8" w:space="0" w:color="auto"/>
              <w:left w:val="nil"/>
              <w:bottom w:val="single" w:sz="8" w:space="0" w:color="auto"/>
              <w:right w:val="single" w:sz="8" w:space="0" w:color="000000"/>
            </w:tcBorders>
            <w:vAlign w:val="center"/>
            <w:hideMark/>
          </w:tcPr>
          <w:p w14:paraId="04782B95" w14:textId="77777777" w:rsidR="00DE0029" w:rsidRPr="00DE0029" w:rsidRDefault="00DE0029" w:rsidP="00DE0029">
            <w:pPr>
              <w:rPr>
                <w:b/>
                <w:bCs/>
              </w:rPr>
            </w:pPr>
          </w:p>
        </w:tc>
        <w:tc>
          <w:tcPr>
            <w:tcW w:w="148" w:type="dxa"/>
            <w:noWrap/>
            <w:tcMar>
              <w:top w:w="0" w:type="dxa"/>
              <w:left w:w="70" w:type="dxa"/>
              <w:bottom w:w="0" w:type="dxa"/>
              <w:right w:w="70" w:type="dxa"/>
            </w:tcMar>
            <w:vAlign w:val="bottom"/>
            <w:hideMark/>
          </w:tcPr>
          <w:p w14:paraId="112CB31F" w14:textId="77777777" w:rsidR="00DE0029" w:rsidRPr="00DE0029" w:rsidRDefault="00DE0029" w:rsidP="00DE0029"/>
        </w:tc>
        <w:tc>
          <w:tcPr>
            <w:tcW w:w="6" w:type="dxa"/>
            <w:vAlign w:val="center"/>
            <w:hideMark/>
          </w:tcPr>
          <w:p w14:paraId="7AE06461" w14:textId="77777777" w:rsidR="00DE0029" w:rsidRPr="00DE0029" w:rsidRDefault="00DE0029" w:rsidP="00DE0029"/>
        </w:tc>
      </w:tr>
      <w:tr w:rsidR="00DE0029" w:rsidRPr="00DE0029" w14:paraId="0FF9D2EF" w14:textId="77777777" w:rsidTr="00DE0029">
        <w:trPr>
          <w:trHeight w:val="267"/>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ABEE67D" w14:textId="77777777" w:rsidR="00DE0029" w:rsidRPr="00DE0029" w:rsidRDefault="00DE0029" w:rsidP="00DE0029">
            <w:pPr>
              <w:rPr>
                <w:b/>
                <w:bCs/>
              </w:rPr>
            </w:pPr>
          </w:p>
        </w:tc>
        <w:tc>
          <w:tcPr>
            <w:tcW w:w="0" w:type="auto"/>
            <w:vMerge/>
            <w:tcBorders>
              <w:top w:val="single" w:sz="8" w:space="0" w:color="auto"/>
              <w:left w:val="nil"/>
              <w:bottom w:val="single" w:sz="8" w:space="0" w:color="000000"/>
              <w:right w:val="single" w:sz="8" w:space="0" w:color="auto"/>
            </w:tcBorders>
            <w:vAlign w:val="center"/>
            <w:hideMark/>
          </w:tcPr>
          <w:p w14:paraId="189D2EDE" w14:textId="77777777" w:rsidR="00DE0029" w:rsidRPr="00DE0029" w:rsidRDefault="00DE0029" w:rsidP="00DE0029">
            <w:pPr>
              <w:rPr>
                <w:b/>
                <w:bCs/>
              </w:rPr>
            </w:pPr>
          </w:p>
        </w:tc>
        <w:tc>
          <w:tcPr>
            <w:tcW w:w="1669" w:type="dxa"/>
            <w:vMerge w:val="restart"/>
            <w:tcBorders>
              <w:top w:val="nil"/>
              <w:left w:val="nil"/>
              <w:bottom w:val="single" w:sz="8" w:space="0" w:color="000000"/>
              <w:right w:val="single" w:sz="8" w:space="0" w:color="auto"/>
            </w:tcBorders>
            <w:shd w:val="clear" w:color="auto" w:fill="DDEBF7"/>
            <w:tcMar>
              <w:top w:w="0" w:type="dxa"/>
              <w:left w:w="70" w:type="dxa"/>
              <w:bottom w:w="0" w:type="dxa"/>
              <w:right w:w="70" w:type="dxa"/>
            </w:tcMar>
            <w:vAlign w:val="center"/>
            <w:hideMark/>
          </w:tcPr>
          <w:p w14:paraId="611BABE0" w14:textId="77777777" w:rsidR="00DE0029" w:rsidRPr="00DE0029" w:rsidRDefault="00DE0029" w:rsidP="00DE0029">
            <w:pPr>
              <w:rPr>
                <w:b/>
                <w:bCs/>
              </w:rPr>
            </w:pPr>
            <w:r w:rsidRPr="00DE0029">
              <w:rPr>
                <w:b/>
                <w:bCs/>
              </w:rPr>
              <w:t>EU del (EUR)</w:t>
            </w:r>
          </w:p>
        </w:tc>
        <w:tc>
          <w:tcPr>
            <w:tcW w:w="1588" w:type="dxa"/>
            <w:vMerge w:val="restart"/>
            <w:tcBorders>
              <w:top w:val="nil"/>
              <w:left w:val="nil"/>
              <w:bottom w:val="single" w:sz="8" w:space="0" w:color="000000"/>
              <w:right w:val="single" w:sz="8" w:space="0" w:color="auto"/>
            </w:tcBorders>
            <w:shd w:val="clear" w:color="auto" w:fill="DDEBF7"/>
            <w:tcMar>
              <w:top w:w="0" w:type="dxa"/>
              <w:left w:w="70" w:type="dxa"/>
              <w:bottom w:w="0" w:type="dxa"/>
              <w:right w:w="70" w:type="dxa"/>
            </w:tcMar>
            <w:vAlign w:val="center"/>
            <w:hideMark/>
          </w:tcPr>
          <w:p w14:paraId="7D9D972C" w14:textId="77777777" w:rsidR="00DE0029" w:rsidRPr="00DE0029" w:rsidRDefault="00DE0029" w:rsidP="00DE0029">
            <w:pPr>
              <w:rPr>
                <w:b/>
                <w:bCs/>
              </w:rPr>
            </w:pPr>
            <w:r w:rsidRPr="00DE0029">
              <w:rPr>
                <w:b/>
                <w:bCs/>
              </w:rPr>
              <w:t>EU del (EUR)</w:t>
            </w:r>
          </w:p>
        </w:tc>
        <w:tc>
          <w:tcPr>
            <w:tcW w:w="974" w:type="dxa"/>
            <w:vMerge w:val="restart"/>
            <w:tcBorders>
              <w:top w:val="nil"/>
              <w:left w:val="nil"/>
              <w:bottom w:val="single" w:sz="8" w:space="0" w:color="000000"/>
              <w:right w:val="single" w:sz="8" w:space="0" w:color="auto"/>
            </w:tcBorders>
            <w:shd w:val="clear" w:color="auto" w:fill="DDEBF7"/>
            <w:tcMar>
              <w:top w:w="0" w:type="dxa"/>
              <w:left w:w="70" w:type="dxa"/>
              <w:bottom w:w="0" w:type="dxa"/>
              <w:right w:w="70" w:type="dxa"/>
            </w:tcMar>
            <w:vAlign w:val="center"/>
            <w:hideMark/>
          </w:tcPr>
          <w:p w14:paraId="21BD7B48" w14:textId="77777777" w:rsidR="00DE0029" w:rsidRPr="00DE0029" w:rsidRDefault="00DE0029" w:rsidP="00DE0029">
            <w:pPr>
              <w:rPr>
                <w:b/>
                <w:bCs/>
              </w:rPr>
            </w:pPr>
            <w:r w:rsidRPr="00DE0029">
              <w:rPr>
                <w:b/>
                <w:bCs/>
              </w:rPr>
              <w:t>%</w:t>
            </w:r>
          </w:p>
        </w:tc>
        <w:tc>
          <w:tcPr>
            <w:tcW w:w="1811" w:type="dxa"/>
            <w:vMerge w:val="restart"/>
            <w:tcBorders>
              <w:top w:val="nil"/>
              <w:left w:val="nil"/>
              <w:bottom w:val="single" w:sz="8" w:space="0" w:color="000000"/>
              <w:right w:val="single" w:sz="8" w:space="0" w:color="auto"/>
            </w:tcBorders>
            <w:shd w:val="clear" w:color="auto" w:fill="DDEBF7"/>
            <w:tcMar>
              <w:top w:w="0" w:type="dxa"/>
              <w:left w:w="70" w:type="dxa"/>
              <w:bottom w:w="0" w:type="dxa"/>
              <w:right w:w="70" w:type="dxa"/>
            </w:tcMar>
            <w:vAlign w:val="center"/>
            <w:hideMark/>
          </w:tcPr>
          <w:p w14:paraId="7D2F3C37" w14:textId="77777777" w:rsidR="00DE0029" w:rsidRPr="00DE0029" w:rsidRDefault="00DE0029" w:rsidP="00DE0029">
            <w:pPr>
              <w:rPr>
                <w:b/>
                <w:bCs/>
              </w:rPr>
            </w:pPr>
            <w:r w:rsidRPr="00DE0029">
              <w:rPr>
                <w:b/>
                <w:bCs/>
              </w:rPr>
              <w:t>EU del (EUR)</w:t>
            </w:r>
          </w:p>
        </w:tc>
        <w:tc>
          <w:tcPr>
            <w:tcW w:w="1036" w:type="dxa"/>
            <w:vMerge w:val="restart"/>
            <w:tcBorders>
              <w:top w:val="nil"/>
              <w:left w:val="nil"/>
              <w:bottom w:val="single" w:sz="8" w:space="0" w:color="000000"/>
              <w:right w:val="single" w:sz="8" w:space="0" w:color="auto"/>
            </w:tcBorders>
            <w:shd w:val="clear" w:color="auto" w:fill="DDEBF7"/>
            <w:tcMar>
              <w:top w:w="0" w:type="dxa"/>
              <w:left w:w="70" w:type="dxa"/>
              <w:bottom w:w="0" w:type="dxa"/>
              <w:right w:w="70" w:type="dxa"/>
            </w:tcMar>
            <w:vAlign w:val="center"/>
            <w:hideMark/>
          </w:tcPr>
          <w:p w14:paraId="1825F9A0" w14:textId="77777777" w:rsidR="00DE0029" w:rsidRPr="00DE0029" w:rsidRDefault="00DE0029" w:rsidP="00DE0029">
            <w:pPr>
              <w:rPr>
                <w:b/>
                <w:bCs/>
              </w:rPr>
            </w:pPr>
            <w:r w:rsidRPr="00DE0029">
              <w:rPr>
                <w:b/>
                <w:bCs/>
              </w:rPr>
              <w:t>%</w:t>
            </w:r>
          </w:p>
        </w:tc>
        <w:tc>
          <w:tcPr>
            <w:tcW w:w="1770" w:type="dxa"/>
            <w:vMerge w:val="restart"/>
            <w:tcBorders>
              <w:top w:val="nil"/>
              <w:left w:val="nil"/>
              <w:bottom w:val="single" w:sz="8" w:space="0" w:color="000000"/>
              <w:right w:val="single" w:sz="8" w:space="0" w:color="auto"/>
            </w:tcBorders>
            <w:shd w:val="clear" w:color="auto" w:fill="DDEBF7"/>
            <w:tcMar>
              <w:top w:w="0" w:type="dxa"/>
              <w:left w:w="70" w:type="dxa"/>
              <w:bottom w:w="0" w:type="dxa"/>
              <w:right w:w="70" w:type="dxa"/>
            </w:tcMar>
            <w:vAlign w:val="center"/>
            <w:hideMark/>
          </w:tcPr>
          <w:p w14:paraId="03E63B7B" w14:textId="77777777" w:rsidR="00DE0029" w:rsidRPr="00DE0029" w:rsidRDefault="00DE0029" w:rsidP="00DE0029">
            <w:pPr>
              <w:rPr>
                <w:b/>
                <w:bCs/>
              </w:rPr>
            </w:pPr>
            <w:r w:rsidRPr="00DE0029">
              <w:rPr>
                <w:b/>
                <w:bCs/>
              </w:rPr>
              <w:t>EU del (EUR)</w:t>
            </w:r>
          </w:p>
        </w:tc>
        <w:tc>
          <w:tcPr>
            <w:tcW w:w="1015" w:type="dxa"/>
            <w:vMerge w:val="restart"/>
            <w:tcBorders>
              <w:top w:val="nil"/>
              <w:left w:val="nil"/>
              <w:bottom w:val="single" w:sz="8" w:space="0" w:color="000000"/>
              <w:right w:val="single" w:sz="8" w:space="0" w:color="auto"/>
            </w:tcBorders>
            <w:shd w:val="clear" w:color="auto" w:fill="DDEBF7"/>
            <w:tcMar>
              <w:top w:w="0" w:type="dxa"/>
              <w:left w:w="70" w:type="dxa"/>
              <w:bottom w:w="0" w:type="dxa"/>
              <w:right w:w="70" w:type="dxa"/>
            </w:tcMar>
            <w:vAlign w:val="center"/>
            <w:hideMark/>
          </w:tcPr>
          <w:p w14:paraId="328494AF" w14:textId="77777777" w:rsidR="00DE0029" w:rsidRPr="00DE0029" w:rsidRDefault="00DE0029" w:rsidP="00DE0029">
            <w:pPr>
              <w:rPr>
                <w:b/>
                <w:bCs/>
              </w:rPr>
            </w:pPr>
            <w:r w:rsidRPr="00DE0029">
              <w:rPr>
                <w:b/>
                <w:bCs/>
              </w:rPr>
              <w:t>%</w:t>
            </w:r>
          </w:p>
        </w:tc>
        <w:tc>
          <w:tcPr>
            <w:tcW w:w="148" w:type="dxa"/>
            <w:tcMar>
              <w:top w:w="0" w:type="dxa"/>
              <w:left w:w="70" w:type="dxa"/>
              <w:bottom w:w="0" w:type="dxa"/>
              <w:right w:w="70" w:type="dxa"/>
            </w:tcMar>
            <w:vAlign w:val="center"/>
            <w:hideMark/>
          </w:tcPr>
          <w:p w14:paraId="2348BD7D" w14:textId="77777777" w:rsidR="00DE0029" w:rsidRPr="00DE0029" w:rsidRDefault="00DE0029" w:rsidP="00DE0029">
            <w:pPr>
              <w:rPr>
                <w:b/>
                <w:bCs/>
              </w:rPr>
            </w:pPr>
          </w:p>
        </w:tc>
        <w:tc>
          <w:tcPr>
            <w:tcW w:w="6" w:type="dxa"/>
            <w:vAlign w:val="center"/>
            <w:hideMark/>
          </w:tcPr>
          <w:p w14:paraId="389A3BED" w14:textId="77777777" w:rsidR="00DE0029" w:rsidRPr="00DE0029" w:rsidRDefault="00DE0029" w:rsidP="00DE0029"/>
        </w:tc>
      </w:tr>
      <w:tr w:rsidR="00DE0029" w:rsidRPr="00DE0029" w14:paraId="6231942B" w14:textId="77777777" w:rsidTr="00DE0029">
        <w:trPr>
          <w:trHeight w:val="25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1DDA83" w14:textId="77777777" w:rsidR="00DE0029" w:rsidRPr="00DE0029" w:rsidRDefault="00DE0029" w:rsidP="00DE0029">
            <w:pPr>
              <w:rPr>
                <w:b/>
                <w:bCs/>
              </w:rPr>
            </w:pPr>
          </w:p>
        </w:tc>
        <w:tc>
          <w:tcPr>
            <w:tcW w:w="0" w:type="auto"/>
            <w:vMerge/>
            <w:tcBorders>
              <w:top w:val="single" w:sz="8" w:space="0" w:color="auto"/>
              <w:left w:val="nil"/>
              <w:bottom w:val="single" w:sz="8" w:space="0" w:color="000000"/>
              <w:right w:val="single" w:sz="8" w:space="0" w:color="auto"/>
            </w:tcBorders>
            <w:vAlign w:val="center"/>
            <w:hideMark/>
          </w:tcPr>
          <w:p w14:paraId="5A54BC90" w14:textId="77777777" w:rsidR="00DE0029" w:rsidRPr="00DE0029" w:rsidRDefault="00DE0029" w:rsidP="00DE0029">
            <w:pPr>
              <w:rPr>
                <w:b/>
                <w:bCs/>
              </w:rPr>
            </w:pPr>
          </w:p>
        </w:tc>
        <w:tc>
          <w:tcPr>
            <w:tcW w:w="0" w:type="auto"/>
            <w:vMerge/>
            <w:tcBorders>
              <w:top w:val="nil"/>
              <w:left w:val="nil"/>
              <w:bottom w:val="single" w:sz="8" w:space="0" w:color="000000"/>
              <w:right w:val="single" w:sz="8" w:space="0" w:color="auto"/>
            </w:tcBorders>
            <w:vAlign w:val="center"/>
            <w:hideMark/>
          </w:tcPr>
          <w:p w14:paraId="7FD2CC95" w14:textId="77777777" w:rsidR="00DE0029" w:rsidRPr="00DE0029" w:rsidRDefault="00DE0029" w:rsidP="00DE0029">
            <w:pPr>
              <w:rPr>
                <w:b/>
                <w:bCs/>
              </w:rPr>
            </w:pPr>
          </w:p>
        </w:tc>
        <w:tc>
          <w:tcPr>
            <w:tcW w:w="0" w:type="auto"/>
            <w:vMerge/>
            <w:tcBorders>
              <w:top w:val="nil"/>
              <w:left w:val="nil"/>
              <w:bottom w:val="single" w:sz="8" w:space="0" w:color="000000"/>
              <w:right w:val="single" w:sz="8" w:space="0" w:color="auto"/>
            </w:tcBorders>
            <w:vAlign w:val="center"/>
            <w:hideMark/>
          </w:tcPr>
          <w:p w14:paraId="54FF5C06" w14:textId="77777777" w:rsidR="00DE0029" w:rsidRPr="00DE0029" w:rsidRDefault="00DE0029" w:rsidP="00DE0029">
            <w:pPr>
              <w:rPr>
                <w:b/>
                <w:bCs/>
              </w:rPr>
            </w:pPr>
          </w:p>
        </w:tc>
        <w:tc>
          <w:tcPr>
            <w:tcW w:w="0" w:type="auto"/>
            <w:vMerge/>
            <w:tcBorders>
              <w:top w:val="nil"/>
              <w:left w:val="nil"/>
              <w:bottom w:val="single" w:sz="8" w:space="0" w:color="000000"/>
              <w:right w:val="single" w:sz="8" w:space="0" w:color="auto"/>
            </w:tcBorders>
            <w:vAlign w:val="center"/>
            <w:hideMark/>
          </w:tcPr>
          <w:p w14:paraId="637A4199" w14:textId="77777777" w:rsidR="00DE0029" w:rsidRPr="00DE0029" w:rsidRDefault="00DE0029" w:rsidP="00DE0029">
            <w:pPr>
              <w:rPr>
                <w:b/>
                <w:bCs/>
              </w:rPr>
            </w:pPr>
          </w:p>
        </w:tc>
        <w:tc>
          <w:tcPr>
            <w:tcW w:w="0" w:type="auto"/>
            <w:vMerge/>
            <w:tcBorders>
              <w:top w:val="nil"/>
              <w:left w:val="nil"/>
              <w:bottom w:val="single" w:sz="8" w:space="0" w:color="000000"/>
              <w:right w:val="single" w:sz="8" w:space="0" w:color="auto"/>
            </w:tcBorders>
            <w:vAlign w:val="center"/>
            <w:hideMark/>
          </w:tcPr>
          <w:p w14:paraId="6433683E" w14:textId="77777777" w:rsidR="00DE0029" w:rsidRPr="00DE0029" w:rsidRDefault="00DE0029" w:rsidP="00DE0029">
            <w:pPr>
              <w:rPr>
                <w:b/>
                <w:bCs/>
              </w:rPr>
            </w:pPr>
          </w:p>
        </w:tc>
        <w:tc>
          <w:tcPr>
            <w:tcW w:w="0" w:type="auto"/>
            <w:vMerge/>
            <w:tcBorders>
              <w:top w:val="nil"/>
              <w:left w:val="nil"/>
              <w:bottom w:val="single" w:sz="8" w:space="0" w:color="000000"/>
              <w:right w:val="single" w:sz="8" w:space="0" w:color="auto"/>
            </w:tcBorders>
            <w:vAlign w:val="center"/>
            <w:hideMark/>
          </w:tcPr>
          <w:p w14:paraId="2332EE50" w14:textId="77777777" w:rsidR="00DE0029" w:rsidRPr="00DE0029" w:rsidRDefault="00DE0029" w:rsidP="00DE0029">
            <w:pPr>
              <w:rPr>
                <w:b/>
                <w:bCs/>
              </w:rPr>
            </w:pPr>
          </w:p>
        </w:tc>
        <w:tc>
          <w:tcPr>
            <w:tcW w:w="0" w:type="auto"/>
            <w:vMerge/>
            <w:tcBorders>
              <w:top w:val="nil"/>
              <w:left w:val="nil"/>
              <w:bottom w:val="single" w:sz="8" w:space="0" w:color="000000"/>
              <w:right w:val="single" w:sz="8" w:space="0" w:color="auto"/>
            </w:tcBorders>
            <w:vAlign w:val="center"/>
            <w:hideMark/>
          </w:tcPr>
          <w:p w14:paraId="73ED3A17" w14:textId="77777777" w:rsidR="00DE0029" w:rsidRPr="00DE0029" w:rsidRDefault="00DE0029" w:rsidP="00DE0029">
            <w:pPr>
              <w:rPr>
                <w:b/>
                <w:bCs/>
              </w:rPr>
            </w:pPr>
          </w:p>
        </w:tc>
        <w:tc>
          <w:tcPr>
            <w:tcW w:w="0" w:type="auto"/>
            <w:vMerge/>
            <w:tcBorders>
              <w:top w:val="nil"/>
              <w:left w:val="nil"/>
              <w:bottom w:val="single" w:sz="8" w:space="0" w:color="000000"/>
              <w:right w:val="single" w:sz="8" w:space="0" w:color="auto"/>
            </w:tcBorders>
            <w:vAlign w:val="center"/>
            <w:hideMark/>
          </w:tcPr>
          <w:p w14:paraId="6EDA8C0C" w14:textId="77777777" w:rsidR="00DE0029" w:rsidRPr="00DE0029" w:rsidRDefault="00DE0029" w:rsidP="00DE0029">
            <w:pPr>
              <w:rPr>
                <w:b/>
                <w:bCs/>
              </w:rPr>
            </w:pPr>
          </w:p>
        </w:tc>
        <w:tc>
          <w:tcPr>
            <w:tcW w:w="148" w:type="dxa"/>
            <w:noWrap/>
            <w:tcMar>
              <w:top w:w="0" w:type="dxa"/>
              <w:left w:w="70" w:type="dxa"/>
              <w:bottom w:w="0" w:type="dxa"/>
              <w:right w:w="70" w:type="dxa"/>
            </w:tcMar>
            <w:vAlign w:val="bottom"/>
            <w:hideMark/>
          </w:tcPr>
          <w:p w14:paraId="513BA6C3" w14:textId="77777777" w:rsidR="00DE0029" w:rsidRPr="00DE0029" w:rsidRDefault="00DE0029" w:rsidP="00DE0029"/>
        </w:tc>
        <w:tc>
          <w:tcPr>
            <w:tcW w:w="6" w:type="dxa"/>
            <w:vAlign w:val="center"/>
            <w:hideMark/>
          </w:tcPr>
          <w:p w14:paraId="78797129" w14:textId="77777777" w:rsidR="00DE0029" w:rsidRPr="00DE0029" w:rsidRDefault="00DE0029" w:rsidP="00DE0029"/>
        </w:tc>
      </w:tr>
      <w:tr w:rsidR="00DE0029" w:rsidRPr="00DE0029" w14:paraId="788317A3" w14:textId="77777777" w:rsidTr="00DE0029">
        <w:trPr>
          <w:trHeight w:val="254"/>
        </w:trPr>
        <w:tc>
          <w:tcPr>
            <w:tcW w:w="1339"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55D6EB96" w14:textId="77777777" w:rsidR="00DE0029" w:rsidRPr="00DE0029" w:rsidRDefault="00DE0029" w:rsidP="00DE0029">
            <w:pPr>
              <w:rPr>
                <w:b/>
                <w:bCs/>
              </w:rPr>
            </w:pPr>
            <w:r w:rsidRPr="00DE0029">
              <w:rPr>
                <w:b/>
                <w:bCs/>
              </w:rPr>
              <w:t>ESRR</w:t>
            </w:r>
          </w:p>
        </w:tc>
        <w:tc>
          <w:tcPr>
            <w:tcW w:w="15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18BB5A" w14:textId="77777777" w:rsidR="00DE0029" w:rsidRPr="00DE0029" w:rsidRDefault="00DE0029" w:rsidP="00DE0029">
            <w:r w:rsidRPr="00DE0029">
              <w:t>Vzhodna</w:t>
            </w:r>
          </w:p>
        </w:tc>
        <w:tc>
          <w:tcPr>
            <w:tcW w:w="16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D827B7" w14:textId="77777777" w:rsidR="00DE0029" w:rsidRPr="00DE0029" w:rsidRDefault="00DE0029" w:rsidP="00DE0029">
            <w:r w:rsidRPr="00DE0029">
              <w:t>907.392.844</w:t>
            </w:r>
          </w:p>
        </w:tc>
        <w:tc>
          <w:tcPr>
            <w:tcW w:w="15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785DEA" w14:textId="77777777" w:rsidR="00DE0029" w:rsidRPr="00DE0029" w:rsidRDefault="00DE0029" w:rsidP="00DE0029">
            <w:r w:rsidRPr="00DE0029">
              <w:t>1.001.315.700</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B7A9F5" w14:textId="77777777" w:rsidR="00DE0029" w:rsidRPr="00DE0029" w:rsidRDefault="00DE0029" w:rsidP="00DE0029">
            <w:r w:rsidRPr="00DE0029">
              <w:t>110%</w:t>
            </w:r>
          </w:p>
        </w:tc>
        <w:tc>
          <w:tcPr>
            <w:tcW w:w="18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FFEE92" w14:textId="77777777" w:rsidR="00DE0029" w:rsidRPr="00DE0029" w:rsidRDefault="00DE0029" w:rsidP="00DE0029">
            <w:r w:rsidRPr="00DE0029">
              <w:t>957.017.764</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705DB0" w14:textId="77777777" w:rsidR="00DE0029" w:rsidRPr="00DE0029" w:rsidRDefault="00DE0029" w:rsidP="00DE0029">
            <w:r w:rsidRPr="00DE0029">
              <w:t>105%</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C6EC25" w14:textId="77777777" w:rsidR="00DE0029" w:rsidRPr="00DE0029" w:rsidRDefault="00DE0029" w:rsidP="00DE0029">
            <w:r w:rsidRPr="00DE0029">
              <w:t>904.947.153</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5E4506" w14:textId="77777777" w:rsidR="00DE0029" w:rsidRPr="00DE0029" w:rsidRDefault="00DE0029" w:rsidP="00DE0029">
            <w:r w:rsidRPr="00DE0029">
              <w:t>100%</w:t>
            </w:r>
          </w:p>
        </w:tc>
        <w:tc>
          <w:tcPr>
            <w:tcW w:w="148" w:type="dxa"/>
            <w:tcMar>
              <w:top w:w="0" w:type="dxa"/>
              <w:left w:w="70" w:type="dxa"/>
              <w:bottom w:w="0" w:type="dxa"/>
              <w:right w:w="70" w:type="dxa"/>
            </w:tcMar>
            <w:vAlign w:val="center"/>
            <w:hideMark/>
          </w:tcPr>
          <w:p w14:paraId="668ABB23" w14:textId="77777777" w:rsidR="00DE0029" w:rsidRPr="00DE0029" w:rsidRDefault="00DE0029" w:rsidP="00DE0029"/>
        </w:tc>
        <w:tc>
          <w:tcPr>
            <w:tcW w:w="6" w:type="dxa"/>
            <w:vAlign w:val="center"/>
            <w:hideMark/>
          </w:tcPr>
          <w:p w14:paraId="733A2440" w14:textId="77777777" w:rsidR="00DE0029" w:rsidRPr="00DE0029" w:rsidRDefault="00DE0029" w:rsidP="00DE0029"/>
        </w:tc>
      </w:tr>
      <w:tr w:rsidR="00DE0029" w:rsidRPr="00DE0029" w14:paraId="30AA0E71" w14:textId="77777777" w:rsidTr="00DE0029">
        <w:trPr>
          <w:trHeight w:val="254"/>
        </w:trPr>
        <w:tc>
          <w:tcPr>
            <w:tcW w:w="0" w:type="auto"/>
            <w:vMerge/>
            <w:tcBorders>
              <w:top w:val="nil"/>
              <w:left w:val="single" w:sz="8" w:space="0" w:color="auto"/>
              <w:bottom w:val="single" w:sz="8" w:space="0" w:color="000000"/>
              <w:right w:val="single" w:sz="8" w:space="0" w:color="auto"/>
            </w:tcBorders>
            <w:vAlign w:val="center"/>
            <w:hideMark/>
          </w:tcPr>
          <w:p w14:paraId="0A42BD92" w14:textId="77777777" w:rsidR="00DE0029" w:rsidRPr="00DE0029" w:rsidRDefault="00DE0029" w:rsidP="00DE0029">
            <w:pPr>
              <w:rPr>
                <w:b/>
                <w:bCs/>
              </w:rPr>
            </w:pPr>
          </w:p>
        </w:tc>
        <w:tc>
          <w:tcPr>
            <w:tcW w:w="15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6F2EE7" w14:textId="77777777" w:rsidR="00DE0029" w:rsidRPr="00DE0029" w:rsidRDefault="00DE0029" w:rsidP="00DE0029">
            <w:r w:rsidRPr="00DE0029">
              <w:t>Zahodna</w:t>
            </w:r>
          </w:p>
        </w:tc>
        <w:tc>
          <w:tcPr>
            <w:tcW w:w="16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673BD7" w14:textId="77777777" w:rsidR="00DE0029" w:rsidRPr="00DE0029" w:rsidRDefault="00DE0029" w:rsidP="00DE0029">
            <w:r w:rsidRPr="00DE0029">
              <w:t>509.292.519</w:t>
            </w:r>
          </w:p>
        </w:tc>
        <w:tc>
          <w:tcPr>
            <w:tcW w:w="15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6FA4D6" w14:textId="77777777" w:rsidR="00DE0029" w:rsidRPr="00DE0029" w:rsidRDefault="00DE0029" w:rsidP="00DE0029">
            <w:r w:rsidRPr="00DE0029">
              <w:t>639.640.406</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1377CA" w14:textId="77777777" w:rsidR="00DE0029" w:rsidRPr="00DE0029" w:rsidRDefault="00DE0029" w:rsidP="00DE0029">
            <w:r w:rsidRPr="00DE0029">
              <w:t>126%</w:t>
            </w:r>
          </w:p>
        </w:tc>
        <w:tc>
          <w:tcPr>
            <w:tcW w:w="18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E75640" w14:textId="77777777" w:rsidR="00DE0029" w:rsidRPr="00DE0029" w:rsidRDefault="00DE0029" w:rsidP="00DE0029">
            <w:r w:rsidRPr="00DE0029">
              <w:t>631.072.531</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E4B53B" w14:textId="77777777" w:rsidR="00DE0029" w:rsidRPr="00DE0029" w:rsidRDefault="00DE0029" w:rsidP="00DE0029">
            <w:r w:rsidRPr="00DE0029">
              <w:t>124%</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9098C6B" w14:textId="77777777" w:rsidR="00DE0029" w:rsidRPr="00DE0029" w:rsidRDefault="00DE0029" w:rsidP="00DE0029">
            <w:r w:rsidRPr="00DE0029">
              <w:t>598.250.273</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5CEBF7" w14:textId="77777777" w:rsidR="00DE0029" w:rsidRPr="00DE0029" w:rsidRDefault="00DE0029" w:rsidP="00DE0029">
            <w:r w:rsidRPr="00DE0029">
              <w:t>117%</w:t>
            </w:r>
          </w:p>
        </w:tc>
        <w:tc>
          <w:tcPr>
            <w:tcW w:w="148" w:type="dxa"/>
            <w:tcMar>
              <w:top w:w="0" w:type="dxa"/>
              <w:left w:w="70" w:type="dxa"/>
              <w:bottom w:w="0" w:type="dxa"/>
              <w:right w:w="70" w:type="dxa"/>
            </w:tcMar>
            <w:vAlign w:val="center"/>
            <w:hideMark/>
          </w:tcPr>
          <w:p w14:paraId="4DD54FC0" w14:textId="77777777" w:rsidR="00DE0029" w:rsidRPr="00DE0029" w:rsidRDefault="00DE0029" w:rsidP="00DE0029"/>
        </w:tc>
        <w:tc>
          <w:tcPr>
            <w:tcW w:w="6" w:type="dxa"/>
            <w:vAlign w:val="center"/>
            <w:hideMark/>
          </w:tcPr>
          <w:p w14:paraId="0B615DAF" w14:textId="77777777" w:rsidR="00DE0029" w:rsidRPr="00DE0029" w:rsidRDefault="00DE0029" w:rsidP="00DE0029"/>
        </w:tc>
      </w:tr>
      <w:tr w:rsidR="00DE0029" w:rsidRPr="00DE0029" w14:paraId="622E6C1B" w14:textId="77777777" w:rsidTr="00DE0029">
        <w:trPr>
          <w:trHeight w:val="267"/>
        </w:trPr>
        <w:tc>
          <w:tcPr>
            <w:tcW w:w="0" w:type="auto"/>
            <w:vMerge/>
            <w:tcBorders>
              <w:top w:val="nil"/>
              <w:left w:val="single" w:sz="8" w:space="0" w:color="auto"/>
              <w:bottom w:val="single" w:sz="8" w:space="0" w:color="000000"/>
              <w:right w:val="single" w:sz="8" w:space="0" w:color="auto"/>
            </w:tcBorders>
            <w:vAlign w:val="center"/>
            <w:hideMark/>
          </w:tcPr>
          <w:p w14:paraId="7196183F" w14:textId="77777777" w:rsidR="00DE0029" w:rsidRPr="00DE0029" w:rsidRDefault="00DE0029" w:rsidP="00DE0029">
            <w:pPr>
              <w:rPr>
                <w:b/>
                <w:bCs/>
              </w:rPr>
            </w:pPr>
          </w:p>
        </w:tc>
        <w:tc>
          <w:tcPr>
            <w:tcW w:w="1524" w:type="dxa"/>
            <w:tcBorders>
              <w:top w:val="nil"/>
              <w:left w:val="nil"/>
              <w:bottom w:val="single" w:sz="8" w:space="0" w:color="auto"/>
              <w:right w:val="nil"/>
            </w:tcBorders>
            <w:noWrap/>
            <w:tcMar>
              <w:top w:w="0" w:type="dxa"/>
              <w:left w:w="70" w:type="dxa"/>
              <w:bottom w:w="0" w:type="dxa"/>
              <w:right w:w="70" w:type="dxa"/>
            </w:tcMar>
            <w:vAlign w:val="bottom"/>
            <w:hideMark/>
          </w:tcPr>
          <w:p w14:paraId="262D2E90" w14:textId="77777777" w:rsidR="00DE0029" w:rsidRPr="00DE0029" w:rsidRDefault="00DE0029" w:rsidP="00DE0029">
            <w:r w:rsidRPr="00DE0029">
              <w:t>Celotna SI</w:t>
            </w:r>
          </w:p>
        </w:tc>
        <w:tc>
          <w:tcPr>
            <w:tcW w:w="16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E5FFF97" w14:textId="77777777" w:rsidR="00DE0029" w:rsidRPr="00DE0029" w:rsidRDefault="00DE0029" w:rsidP="00DE0029">
            <w:r w:rsidRPr="00DE0029">
              <w:t>255.741.210</w:t>
            </w:r>
          </w:p>
        </w:tc>
        <w:tc>
          <w:tcPr>
            <w:tcW w:w="15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DCFCF4" w14:textId="77777777" w:rsidR="00DE0029" w:rsidRPr="00DE0029" w:rsidRDefault="00DE0029" w:rsidP="00DE0029">
            <w:r w:rsidRPr="00DE0029">
              <w:t>276.172.328</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E0DFDA" w14:textId="77777777" w:rsidR="00DE0029" w:rsidRPr="00DE0029" w:rsidRDefault="00DE0029" w:rsidP="00DE0029">
            <w:r w:rsidRPr="00DE0029">
              <w:t>108%</w:t>
            </w:r>
          </w:p>
        </w:tc>
        <w:tc>
          <w:tcPr>
            <w:tcW w:w="18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F8856A" w14:textId="77777777" w:rsidR="00DE0029" w:rsidRPr="00DE0029" w:rsidRDefault="00DE0029" w:rsidP="00DE0029">
            <w:r w:rsidRPr="00DE0029">
              <w:t>272.884.972</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22F778" w14:textId="77777777" w:rsidR="00DE0029" w:rsidRPr="00DE0029" w:rsidRDefault="00DE0029" w:rsidP="00DE0029">
            <w:r w:rsidRPr="00DE0029">
              <w:t>107%</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7C86C4" w14:textId="77777777" w:rsidR="00DE0029" w:rsidRPr="00DE0029" w:rsidRDefault="00DE0029" w:rsidP="00DE0029">
            <w:r w:rsidRPr="00DE0029">
              <w:t>265.335.993</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4AF4AF" w14:textId="77777777" w:rsidR="00DE0029" w:rsidRPr="00DE0029" w:rsidRDefault="00DE0029" w:rsidP="00DE0029">
            <w:r w:rsidRPr="00DE0029">
              <w:t>104%</w:t>
            </w:r>
          </w:p>
        </w:tc>
        <w:tc>
          <w:tcPr>
            <w:tcW w:w="148" w:type="dxa"/>
            <w:tcMar>
              <w:top w:w="0" w:type="dxa"/>
              <w:left w:w="70" w:type="dxa"/>
              <w:bottom w:w="0" w:type="dxa"/>
              <w:right w:w="70" w:type="dxa"/>
            </w:tcMar>
            <w:vAlign w:val="center"/>
            <w:hideMark/>
          </w:tcPr>
          <w:p w14:paraId="0F998B22" w14:textId="77777777" w:rsidR="00DE0029" w:rsidRPr="00DE0029" w:rsidRDefault="00DE0029" w:rsidP="00DE0029"/>
        </w:tc>
        <w:tc>
          <w:tcPr>
            <w:tcW w:w="6" w:type="dxa"/>
            <w:vAlign w:val="center"/>
            <w:hideMark/>
          </w:tcPr>
          <w:p w14:paraId="107B5B9D" w14:textId="77777777" w:rsidR="00DE0029" w:rsidRPr="00DE0029" w:rsidRDefault="00DE0029" w:rsidP="00DE0029"/>
        </w:tc>
      </w:tr>
      <w:tr w:rsidR="00DE0029" w:rsidRPr="00DE0029" w14:paraId="1D8770AD" w14:textId="77777777" w:rsidTr="00DE0029">
        <w:trPr>
          <w:trHeight w:val="254"/>
        </w:trPr>
        <w:tc>
          <w:tcPr>
            <w:tcW w:w="2864" w:type="dxa"/>
            <w:gridSpan w:val="2"/>
            <w:tcBorders>
              <w:top w:val="nil"/>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14:paraId="42A978D6" w14:textId="77777777" w:rsidR="00DE0029" w:rsidRPr="00DE0029" w:rsidRDefault="00DE0029" w:rsidP="00DE0029">
            <w:pPr>
              <w:rPr>
                <w:b/>
                <w:bCs/>
              </w:rPr>
            </w:pPr>
            <w:r w:rsidRPr="00DE0029">
              <w:rPr>
                <w:b/>
                <w:bCs/>
              </w:rPr>
              <w:t>Skupaj ESRR</w:t>
            </w:r>
          </w:p>
        </w:tc>
        <w:tc>
          <w:tcPr>
            <w:tcW w:w="1669"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7A8D7F28" w14:textId="77777777" w:rsidR="00DE0029" w:rsidRPr="00DE0029" w:rsidRDefault="00DE0029" w:rsidP="00DE0029">
            <w:pPr>
              <w:rPr>
                <w:b/>
                <w:bCs/>
              </w:rPr>
            </w:pPr>
            <w:r w:rsidRPr="00DE0029">
              <w:rPr>
                <w:b/>
                <w:bCs/>
              </w:rPr>
              <w:t>1.672.426.573</w:t>
            </w:r>
          </w:p>
        </w:tc>
        <w:tc>
          <w:tcPr>
            <w:tcW w:w="1588"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2154246F" w14:textId="77777777" w:rsidR="00DE0029" w:rsidRPr="00DE0029" w:rsidRDefault="00DE0029" w:rsidP="00DE0029">
            <w:pPr>
              <w:rPr>
                <w:b/>
                <w:bCs/>
              </w:rPr>
            </w:pPr>
            <w:r w:rsidRPr="00DE0029">
              <w:rPr>
                <w:b/>
                <w:bCs/>
              </w:rPr>
              <w:t>1.917.128.435</w:t>
            </w:r>
          </w:p>
        </w:tc>
        <w:tc>
          <w:tcPr>
            <w:tcW w:w="974"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34067664" w14:textId="77777777" w:rsidR="00DE0029" w:rsidRPr="00DE0029" w:rsidRDefault="00DE0029" w:rsidP="00DE0029">
            <w:pPr>
              <w:rPr>
                <w:b/>
                <w:bCs/>
              </w:rPr>
            </w:pPr>
            <w:r w:rsidRPr="00DE0029">
              <w:rPr>
                <w:b/>
                <w:bCs/>
              </w:rPr>
              <w:t>115%</w:t>
            </w:r>
          </w:p>
        </w:tc>
        <w:tc>
          <w:tcPr>
            <w:tcW w:w="1811"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76F8996A" w14:textId="77777777" w:rsidR="00DE0029" w:rsidRPr="00DE0029" w:rsidRDefault="00DE0029" w:rsidP="00DE0029">
            <w:pPr>
              <w:rPr>
                <w:b/>
                <w:bCs/>
              </w:rPr>
            </w:pPr>
            <w:r w:rsidRPr="00DE0029">
              <w:rPr>
                <w:b/>
                <w:bCs/>
              </w:rPr>
              <w:t>1.860.975.267</w:t>
            </w:r>
          </w:p>
        </w:tc>
        <w:tc>
          <w:tcPr>
            <w:tcW w:w="1036"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3A227577" w14:textId="77777777" w:rsidR="00DE0029" w:rsidRPr="00DE0029" w:rsidRDefault="00DE0029" w:rsidP="00DE0029">
            <w:pPr>
              <w:rPr>
                <w:b/>
                <w:bCs/>
              </w:rPr>
            </w:pPr>
            <w:r w:rsidRPr="00DE0029">
              <w:rPr>
                <w:b/>
                <w:bCs/>
              </w:rPr>
              <w:t>111%</w:t>
            </w:r>
          </w:p>
        </w:tc>
        <w:tc>
          <w:tcPr>
            <w:tcW w:w="1770"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570116BE" w14:textId="77777777" w:rsidR="00DE0029" w:rsidRPr="00DE0029" w:rsidRDefault="00DE0029" w:rsidP="00DE0029">
            <w:pPr>
              <w:rPr>
                <w:b/>
                <w:bCs/>
              </w:rPr>
            </w:pPr>
            <w:r w:rsidRPr="00DE0029">
              <w:rPr>
                <w:b/>
                <w:bCs/>
              </w:rPr>
              <w:t>1.768.533.419</w:t>
            </w:r>
          </w:p>
        </w:tc>
        <w:tc>
          <w:tcPr>
            <w:tcW w:w="1015"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5FD25FEC" w14:textId="77777777" w:rsidR="00DE0029" w:rsidRPr="00DE0029" w:rsidRDefault="00DE0029" w:rsidP="00DE0029">
            <w:pPr>
              <w:rPr>
                <w:b/>
                <w:bCs/>
              </w:rPr>
            </w:pPr>
            <w:r w:rsidRPr="00DE0029">
              <w:rPr>
                <w:b/>
                <w:bCs/>
              </w:rPr>
              <w:t>106%</w:t>
            </w:r>
          </w:p>
        </w:tc>
        <w:tc>
          <w:tcPr>
            <w:tcW w:w="148" w:type="dxa"/>
            <w:tcMar>
              <w:top w:w="0" w:type="dxa"/>
              <w:left w:w="70" w:type="dxa"/>
              <w:bottom w:w="0" w:type="dxa"/>
              <w:right w:w="70" w:type="dxa"/>
            </w:tcMar>
            <w:vAlign w:val="center"/>
            <w:hideMark/>
          </w:tcPr>
          <w:p w14:paraId="24B6C5F7" w14:textId="77777777" w:rsidR="00DE0029" w:rsidRPr="00DE0029" w:rsidRDefault="00DE0029" w:rsidP="00DE0029">
            <w:pPr>
              <w:rPr>
                <w:b/>
                <w:bCs/>
              </w:rPr>
            </w:pPr>
          </w:p>
        </w:tc>
        <w:tc>
          <w:tcPr>
            <w:tcW w:w="6" w:type="dxa"/>
            <w:vAlign w:val="center"/>
            <w:hideMark/>
          </w:tcPr>
          <w:p w14:paraId="12D5576B" w14:textId="77777777" w:rsidR="00DE0029" w:rsidRPr="00DE0029" w:rsidRDefault="00DE0029" w:rsidP="00DE0029"/>
        </w:tc>
      </w:tr>
      <w:tr w:rsidR="00DE0029" w:rsidRPr="00DE0029" w14:paraId="651D503B" w14:textId="77777777" w:rsidTr="00DE0029">
        <w:trPr>
          <w:trHeight w:val="254"/>
        </w:trPr>
        <w:tc>
          <w:tcPr>
            <w:tcW w:w="1339"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6FFA574A" w14:textId="77777777" w:rsidR="00DE0029" w:rsidRPr="00DE0029" w:rsidRDefault="00DE0029" w:rsidP="00DE0029">
            <w:pPr>
              <w:rPr>
                <w:b/>
                <w:bCs/>
              </w:rPr>
            </w:pPr>
            <w:r w:rsidRPr="00DE0029">
              <w:rPr>
                <w:b/>
                <w:bCs/>
              </w:rPr>
              <w:t>ESS</w:t>
            </w:r>
          </w:p>
        </w:tc>
        <w:tc>
          <w:tcPr>
            <w:tcW w:w="15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F3A5CB" w14:textId="77777777" w:rsidR="00DE0029" w:rsidRPr="00DE0029" w:rsidRDefault="00DE0029" w:rsidP="00DE0029">
            <w:r w:rsidRPr="00DE0029">
              <w:t>Vzhodna</w:t>
            </w:r>
          </w:p>
        </w:tc>
        <w:tc>
          <w:tcPr>
            <w:tcW w:w="16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2C5CF3" w14:textId="77777777" w:rsidR="00DE0029" w:rsidRPr="00DE0029" w:rsidRDefault="00DE0029" w:rsidP="00DE0029">
            <w:r w:rsidRPr="00DE0029">
              <w:t>379.473.557</w:t>
            </w:r>
          </w:p>
        </w:tc>
        <w:tc>
          <w:tcPr>
            <w:tcW w:w="15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F6A806" w14:textId="77777777" w:rsidR="00DE0029" w:rsidRPr="00DE0029" w:rsidRDefault="00DE0029" w:rsidP="00DE0029">
            <w:r w:rsidRPr="00DE0029">
              <w:t>404.412.279</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98CE8A" w14:textId="77777777" w:rsidR="00DE0029" w:rsidRPr="00DE0029" w:rsidRDefault="00DE0029" w:rsidP="00DE0029">
            <w:r w:rsidRPr="00DE0029">
              <w:t>107%</w:t>
            </w:r>
          </w:p>
        </w:tc>
        <w:tc>
          <w:tcPr>
            <w:tcW w:w="18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384E3D" w14:textId="77777777" w:rsidR="00DE0029" w:rsidRPr="00DE0029" w:rsidRDefault="00DE0029" w:rsidP="00DE0029">
            <w:r w:rsidRPr="00DE0029">
              <w:t>387.261.978</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1E464A" w14:textId="77777777" w:rsidR="00DE0029" w:rsidRPr="00DE0029" w:rsidRDefault="00DE0029" w:rsidP="00DE0029">
            <w:r w:rsidRPr="00DE0029">
              <w:t>102%</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7B4D56" w14:textId="77777777" w:rsidR="00DE0029" w:rsidRPr="00DE0029" w:rsidRDefault="00DE0029" w:rsidP="00DE0029">
            <w:r w:rsidRPr="00DE0029">
              <w:t>381.233.538</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52CEE2" w14:textId="77777777" w:rsidR="00DE0029" w:rsidRPr="00DE0029" w:rsidRDefault="00DE0029" w:rsidP="00DE0029">
            <w:r w:rsidRPr="00DE0029">
              <w:t>100%</w:t>
            </w:r>
          </w:p>
        </w:tc>
        <w:tc>
          <w:tcPr>
            <w:tcW w:w="148" w:type="dxa"/>
            <w:tcMar>
              <w:top w:w="0" w:type="dxa"/>
              <w:left w:w="70" w:type="dxa"/>
              <w:bottom w:w="0" w:type="dxa"/>
              <w:right w:w="70" w:type="dxa"/>
            </w:tcMar>
            <w:vAlign w:val="center"/>
            <w:hideMark/>
          </w:tcPr>
          <w:p w14:paraId="74D78A7E" w14:textId="77777777" w:rsidR="00DE0029" w:rsidRPr="00DE0029" w:rsidRDefault="00DE0029" w:rsidP="00DE0029"/>
        </w:tc>
        <w:tc>
          <w:tcPr>
            <w:tcW w:w="6" w:type="dxa"/>
            <w:vAlign w:val="center"/>
            <w:hideMark/>
          </w:tcPr>
          <w:p w14:paraId="0BE8EE2D" w14:textId="77777777" w:rsidR="00DE0029" w:rsidRPr="00DE0029" w:rsidRDefault="00DE0029" w:rsidP="00DE0029"/>
        </w:tc>
      </w:tr>
      <w:tr w:rsidR="00DE0029" w:rsidRPr="00DE0029" w14:paraId="46F20D02" w14:textId="77777777" w:rsidTr="00DE0029">
        <w:trPr>
          <w:trHeight w:val="267"/>
        </w:trPr>
        <w:tc>
          <w:tcPr>
            <w:tcW w:w="0" w:type="auto"/>
            <w:vMerge/>
            <w:tcBorders>
              <w:top w:val="nil"/>
              <w:left w:val="single" w:sz="8" w:space="0" w:color="auto"/>
              <w:bottom w:val="single" w:sz="8" w:space="0" w:color="000000"/>
              <w:right w:val="single" w:sz="8" w:space="0" w:color="auto"/>
            </w:tcBorders>
            <w:vAlign w:val="center"/>
            <w:hideMark/>
          </w:tcPr>
          <w:p w14:paraId="3733DFFB" w14:textId="77777777" w:rsidR="00DE0029" w:rsidRPr="00DE0029" w:rsidRDefault="00DE0029" w:rsidP="00DE0029">
            <w:pPr>
              <w:rPr>
                <w:b/>
                <w:bCs/>
              </w:rPr>
            </w:pPr>
          </w:p>
        </w:tc>
        <w:tc>
          <w:tcPr>
            <w:tcW w:w="15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24747B" w14:textId="77777777" w:rsidR="00DE0029" w:rsidRPr="00DE0029" w:rsidRDefault="00DE0029" w:rsidP="00DE0029">
            <w:r w:rsidRPr="00DE0029">
              <w:t>Zahodna</w:t>
            </w:r>
          </w:p>
        </w:tc>
        <w:tc>
          <w:tcPr>
            <w:tcW w:w="16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956A6C" w14:textId="77777777" w:rsidR="00DE0029" w:rsidRPr="00DE0029" w:rsidRDefault="00DE0029" w:rsidP="00DE0029">
            <w:r w:rsidRPr="00DE0029">
              <w:t>339.296.038</w:t>
            </w:r>
          </w:p>
        </w:tc>
        <w:tc>
          <w:tcPr>
            <w:tcW w:w="15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20A5F8" w14:textId="77777777" w:rsidR="00DE0029" w:rsidRPr="00DE0029" w:rsidRDefault="00DE0029" w:rsidP="00DE0029">
            <w:r w:rsidRPr="00DE0029">
              <w:t>367.770.281</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8C1B4C" w14:textId="77777777" w:rsidR="00DE0029" w:rsidRPr="00DE0029" w:rsidRDefault="00DE0029" w:rsidP="00DE0029">
            <w:r w:rsidRPr="00DE0029">
              <w:t>108%</w:t>
            </w:r>
          </w:p>
        </w:tc>
        <w:tc>
          <w:tcPr>
            <w:tcW w:w="18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000447" w14:textId="77777777" w:rsidR="00DE0029" w:rsidRPr="00DE0029" w:rsidRDefault="00DE0029" w:rsidP="00DE0029">
            <w:r w:rsidRPr="00DE0029">
              <w:t>356.939.760</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CB1178C" w14:textId="77777777" w:rsidR="00DE0029" w:rsidRPr="00DE0029" w:rsidRDefault="00DE0029" w:rsidP="00DE0029">
            <w:r w:rsidRPr="00DE0029">
              <w:t>105%</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E12416" w14:textId="77777777" w:rsidR="00DE0029" w:rsidRPr="00DE0029" w:rsidRDefault="00DE0029" w:rsidP="00DE0029">
            <w:r w:rsidRPr="00DE0029">
              <w:t>353.756.271</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322BBF" w14:textId="77777777" w:rsidR="00DE0029" w:rsidRPr="00DE0029" w:rsidRDefault="00DE0029" w:rsidP="00DE0029">
            <w:r w:rsidRPr="00DE0029">
              <w:t>104%</w:t>
            </w:r>
          </w:p>
        </w:tc>
        <w:tc>
          <w:tcPr>
            <w:tcW w:w="148" w:type="dxa"/>
            <w:tcMar>
              <w:top w:w="0" w:type="dxa"/>
              <w:left w:w="70" w:type="dxa"/>
              <w:bottom w:w="0" w:type="dxa"/>
              <w:right w:w="70" w:type="dxa"/>
            </w:tcMar>
            <w:vAlign w:val="center"/>
            <w:hideMark/>
          </w:tcPr>
          <w:p w14:paraId="57C50A5D" w14:textId="77777777" w:rsidR="00DE0029" w:rsidRPr="00DE0029" w:rsidRDefault="00DE0029" w:rsidP="00DE0029"/>
        </w:tc>
        <w:tc>
          <w:tcPr>
            <w:tcW w:w="6" w:type="dxa"/>
            <w:vAlign w:val="center"/>
            <w:hideMark/>
          </w:tcPr>
          <w:p w14:paraId="3D2B72AB" w14:textId="77777777" w:rsidR="00DE0029" w:rsidRPr="00DE0029" w:rsidRDefault="00DE0029" w:rsidP="00DE0029"/>
        </w:tc>
      </w:tr>
      <w:tr w:rsidR="00DE0029" w:rsidRPr="00DE0029" w14:paraId="1E09BAA1" w14:textId="77777777" w:rsidTr="00DE0029">
        <w:trPr>
          <w:trHeight w:val="254"/>
        </w:trPr>
        <w:tc>
          <w:tcPr>
            <w:tcW w:w="0" w:type="auto"/>
            <w:vMerge/>
            <w:tcBorders>
              <w:top w:val="nil"/>
              <w:left w:val="single" w:sz="8" w:space="0" w:color="auto"/>
              <w:bottom w:val="single" w:sz="8" w:space="0" w:color="000000"/>
              <w:right w:val="single" w:sz="8" w:space="0" w:color="auto"/>
            </w:tcBorders>
            <w:vAlign w:val="center"/>
            <w:hideMark/>
          </w:tcPr>
          <w:p w14:paraId="559C0F38" w14:textId="77777777" w:rsidR="00DE0029" w:rsidRPr="00DE0029" w:rsidRDefault="00DE0029" w:rsidP="00DE0029">
            <w:pPr>
              <w:rPr>
                <w:b/>
                <w:bCs/>
              </w:rPr>
            </w:pPr>
          </w:p>
        </w:tc>
        <w:tc>
          <w:tcPr>
            <w:tcW w:w="1524" w:type="dxa"/>
            <w:tcBorders>
              <w:top w:val="nil"/>
              <w:left w:val="nil"/>
              <w:bottom w:val="single" w:sz="8" w:space="0" w:color="auto"/>
              <w:right w:val="nil"/>
            </w:tcBorders>
            <w:noWrap/>
            <w:tcMar>
              <w:top w:w="0" w:type="dxa"/>
              <w:left w:w="70" w:type="dxa"/>
              <w:bottom w:w="0" w:type="dxa"/>
              <w:right w:w="70" w:type="dxa"/>
            </w:tcMar>
            <w:vAlign w:val="bottom"/>
            <w:hideMark/>
          </w:tcPr>
          <w:p w14:paraId="5F00C8C9" w14:textId="77777777" w:rsidR="00DE0029" w:rsidRPr="00DE0029" w:rsidRDefault="00DE0029" w:rsidP="00DE0029">
            <w:r w:rsidRPr="00DE0029">
              <w:t>Celotna SI</w:t>
            </w:r>
          </w:p>
        </w:tc>
        <w:tc>
          <w:tcPr>
            <w:tcW w:w="16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C23A102" w14:textId="77777777" w:rsidR="00DE0029" w:rsidRPr="00DE0029" w:rsidRDefault="00DE0029" w:rsidP="00DE0029">
            <w:r w:rsidRPr="00DE0029">
              <w:t>13.205.000</w:t>
            </w:r>
          </w:p>
        </w:tc>
        <w:tc>
          <w:tcPr>
            <w:tcW w:w="15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E4A956" w14:textId="77777777" w:rsidR="00DE0029" w:rsidRPr="00DE0029" w:rsidRDefault="00DE0029" w:rsidP="00DE0029">
            <w:r w:rsidRPr="00DE0029">
              <w:t>15.060.526</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411965" w14:textId="77777777" w:rsidR="00DE0029" w:rsidRPr="00DE0029" w:rsidRDefault="00DE0029" w:rsidP="00DE0029">
            <w:r w:rsidRPr="00DE0029">
              <w:t>114%</w:t>
            </w:r>
          </w:p>
        </w:tc>
        <w:tc>
          <w:tcPr>
            <w:tcW w:w="18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77E04D" w14:textId="77777777" w:rsidR="00DE0029" w:rsidRPr="00DE0029" w:rsidRDefault="00DE0029" w:rsidP="00DE0029">
            <w:r w:rsidRPr="00DE0029">
              <w:t>14.045.342</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E4D50C" w14:textId="77777777" w:rsidR="00DE0029" w:rsidRPr="00DE0029" w:rsidRDefault="00DE0029" w:rsidP="00DE0029">
            <w:r w:rsidRPr="00DE0029">
              <w:t>106%</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CDF67D" w14:textId="77777777" w:rsidR="00DE0029" w:rsidRPr="00DE0029" w:rsidRDefault="00DE0029" w:rsidP="00DE0029">
            <w:r w:rsidRPr="00DE0029">
              <w:t>13.845.052</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75FE0A" w14:textId="77777777" w:rsidR="00DE0029" w:rsidRPr="00DE0029" w:rsidRDefault="00DE0029" w:rsidP="00DE0029">
            <w:r w:rsidRPr="00DE0029">
              <w:t>105%</w:t>
            </w:r>
          </w:p>
        </w:tc>
        <w:tc>
          <w:tcPr>
            <w:tcW w:w="148" w:type="dxa"/>
            <w:tcMar>
              <w:top w:w="0" w:type="dxa"/>
              <w:left w:w="70" w:type="dxa"/>
              <w:bottom w:w="0" w:type="dxa"/>
              <w:right w:w="70" w:type="dxa"/>
            </w:tcMar>
            <w:vAlign w:val="center"/>
            <w:hideMark/>
          </w:tcPr>
          <w:p w14:paraId="079F9D61" w14:textId="77777777" w:rsidR="00DE0029" w:rsidRPr="00DE0029" w:rsidRDefault="00DE0029" w:rsidP="00DE0029"/>
        </w:tc>
        <w:tc>
          <w:tcPr>
            <w:tcW w:w="6" w:type="dxa"/>
            <w:vAlign w:val="center"/>
            <w:hideMark/>
          </w:tcPr>
          <w:p w14:paraId="11653A41" w14:textId="77777777" w:rsidR="00DE0029" w:rsidRPr="00DE0029" w:rsidRDefault="00DE0029" w:rsidP="00DE0029"/>
        </w:tc>
      </w:tr>
      <w:tr w:rsidR="00DE0029" w:rsidRPr="00DE0029" w14:paraId="107510BF" w14:textId="77777777" w:rsidTr="00DE0029">
        <w:trPr>
          <w:trHeight w:val="267"/>
        </w:trPr>
        <w:tc>
          <w:tcPr>
            <w:tcW w:w="2864" w:type="dxa"/>
            <w:gridSpan w:val="2"/>
            <w:tcBorders>
              <w:top w:val="nil"/>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14:paraId="71441B49" w14:textId="77777777" w:rsidR="00DE0029" w:rsidRPr="00DE0029" w:rsidRDefault="00DE0029" w:rsidP="00DE0029">
            <w:pPr>
              <w:rPr>
                <w:b/>
                <w:bCs/>
              </w:rPr>
            </w:pPr>
            <w:r w:rsidRPr="00DE0029">
              <w:rPr>
                <w:b/>
                <w:bCs/>
              </w:rPr>
              <w:t>Skupaj ESS</w:t>
            </w:r>
          </w:p>
        </w:tc>
        <w:tc>
          <w:tcPr>
            <w:tcW w:w="1669"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5CD7A126" w14:textId="77777777" w:rsidR="00DE0029" w:rsidRPr="00DE0029" w:rsidRDefault="00DE0029" w:rsidP="00DE0029">
            <w:pPr>
              <w:rPr>
                <w:b/>
                <w:bCs/>
              </w:rPr>
            </w:pPr>
            <w:r w:rsidRPr="00DE0029">
              <w:rPr>
                <w:b/>
                <w:bCs/>
              </w:rPr>
              <w:t>731.974.595</w:t>
            </w:r>
          </w:p>
        </w:tc>
        <w:tc>
          <w:tcPr>
            <w:tcW w:w="1588"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574E22B8" w14:textId="77777777" w:rsidR="00DE0029" w:rsidRPr="00DE0029" w:rsidRDefault="00DE0029" w:rsidP="00DE0029">
            <w:pPr>
              <w:rPr>
                <w:b/>
                <w:bCs/>
              </w:rPr>
            </w:pPr>
            <w:r w:rsidRPr="00DE0029">
              <w:rPr>
                <w:b/>
                <w:bCs/>
              </w:rPr>
              <w:t>787.243.086</w:t>
            </w:r>
          </w:p>
        </w:tc>
        <w:tc>
          <w:tcPr>
            <w:tcW w:w="974"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6B96C69B" w14:textId="77777777" w:rsidR="00DE0029" w:rsidRPr="00DE0029" w:rsidRDefault="00DE0029" w:rsidP="00DE0029">
            <w:pPr>
              <w:rPr>
                <w:b/>
                <w:bCs/>
              </w:rPr>
            </w:pPr>
            <w:r w:rsidRPr="00DE0029">
              <w:rPr>
                <w:b/>
                <w:bCs/>
              </w:rPr>
              <w:t>108%</w:t>
            </w:r>
          </w:p>
        </w:tc>
        <w:tc>
          <w:tcPr>
            <w:tcW w:w="1811"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124E1961" w14:textId="77777777" w:rsidR="00DE0029" w:rsidRPr="00DE0029" w:rsidRDefault="00DE0029" w:rsidP="00DE0029">
            <w:pPr>
              <w:rPr>
                <w:b/>
                <w:bCs/>
              </w:rPr>
            </w:pPr>
            <w:r w:rsidRPr="00DE0029">
              <w:rPr>
                <w:b/>
                <w:bCs/>
              </w:rPr>
              <w:t>758.247.080</w:t>
            </w:r>
          </w:p>
        </w:tc>
        <w:tc>
          <w:tcPr>
            <w:tcW w:w="1036"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59305576" w14:textId="77777777" w:rsidR="00DE0029" w:rsidRPr="00DE0029" w:rsidRDefault="00DE0029" w:rsidP="00DE0029">
            <w:pPr>
              <w:rPr>
                <w:b/>
                <w:bCs/>
              </w:rPr>
            </w:pPr>
            <w:r w:rsidRPr="00DE0029">
              <w:rPr>
                <w:b/>
                <w:bCs/>
              </w:rPr>
              <w:t>104%</w:t>
            </w:r>
          </w:p>
        </w:tc>
        <w:tc>
          <w:tcPr>
            <w:tcW w:w="1770"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2E4B64B0" w14:textId="77777777" w:rsidR="00DE0029" w:rsidRPr="00DE0029" w:rsidRDefault="00DE0029" w:rsidP="00DE0029">
            <w:pPr>
              <w:rPr>
                <w:b/>
                <w:bCs/>
              </w:rPr>
            </w:pPr>
            <w:r w:rsidRPr="00DE0029">
              <w:rPr>
                <w:b/>
                <w:bCs/>
              </w:rPr>
              <w:t>748.834.861</w:t>
            </w:r>
          </w:p>
        </w:tc>
        <w:tc>
          <w:tcPr>
            <w:tcW w:w="1015"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1D627F18" w14:textId="77777777" w:rsidR="00DE0029" w:rsidRPr="00DE0029" w:rsidRDefault="00DE0029" w:rsidP="00DE0029">
            <w:pPr>
              <w:rPr>
                <w:b/>
                <w:bCs/>
              </w:rPr>
            </w:pPr>
            <w:r w:rsidRPr="00DE0029">
              <w:rPr>
                <w:b/>
                <w:bCs/>
              </w:rPr>
              <w:t>102%</w:t>
            </w:r>
          </w:p>
        </w:tc>
        <w:tc>
          <w:tcPr>
            <w:tcW w:w="148" w:type="dxa"/>
            <w:tcMar>
              <w:top w:w="0" w:type="dxa"/>
              <w:left w:w="70" w:type="dxa"/>
              <w:bottom w:w="0" w:type="dxa"/>
              <w:right w:w="70" w:type="dxa"/>
            </w:tcMar>
            <w:vAlign w:val="center"/>
            <w:hideMark/>
          </w:tcPr>
          <w:p w14:paraId="66B27650" w14:textId="77777777" w:rsidR="00DE0029" w:rsidRPr="00DE0029" w:rsidRDefault="00DE0029" w:rsidP="00DE0029">
            <w:pPr>
              <w:rPr>
                <w:b/>
                <w:bCs/>
              </w:rPr>
            </w:pPr>
          </w:p>
        </w:tc>
        <w:tc>
          <w:tcPr>
            <w:tcW w:w="6" w:type="dxa"/>
            <w:vAlign w:val="center"/>
            <w:hideMark/>
          </w:tcPr>
          <w:p w14:paraId="6771B68C" w14:textId="77777777" w:rsidR="00DE0029" w:rsidRPr="00DE0029" w:rsidRDefault="00DE0029" w:rsidP="00DE0029"/>
        </w:tc>
      </w:tr>
      <w:tr w:rsidR="00DE0029" w:rsidRPr="00DE0029" w14:paraId="1A646A1F" w14:textId="77777777" w:rsidTr="00DE0029">
        <w:trPr>
          <w:trHeight w:val="254"/>
        </w:trPr>
        <w:tc>
          <w:tcPr>
            <w:tcW w:w="13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103AD6" w14:textId="77777777" w:rsidR="00DE0029" w:rsidRPr="00DE0029" w:rsidRDefault="00DE0029" w:rsidP="00DE0029">
            <w:pPr>
              <w:rPr>
                <w:b/>
                <w:bCs/>
              </w:rPr>
            </w:pPr>
            <w:r w:rsidRPr="00DE0029">
              <w:rPr>
                <w:b/>
                <w:bCs/>
              </w:rPr>
              <w:t>KS</w:t>
            </w:r>
          </w:p>
        </w:tc>
        <w:tc>
          <w:tcPr>
            <w:tcW w:w="1524" w:type="dxa"/>
            <w:tcBorders>
              <w:top w:val="nil"/>
              <w:left w:val="nil"/>
              <w:bottom w:val="single" w:sz="8" w:space="0" w:color="auto"/>
              <w:right w:val="nil"/>
            </w:tcBorders>
            <w:noWrap/>
            <w:tcMar>
              <w:top w:w="0" w:type="dxa"/>
              <w:left w:w="70" w:type="dxa"/>
              <w:bottom w:w="0" w:type="dxa"/>
              <w:right w:w="70" w:type="dxa"/>
            </w:tcMar>
            <w:vAlign w:val="bottom"/>
            <w:hideMark/>
          </w:tcPr>
          <w:p w14:paraId="67AE2092" w14:textId="77777777" w:rsidR="00DE0029" w:rsidRPr="00DE0029" w:rsidRDefault="00DE0029" w:rsidP="00DE0029">
            <w:r w:rsidRPr="00DE0029">
              <w:t>Celotna SI</w:t>
            </w:r>
          </w:p>
        </w:tc>
        <w:tc>
          <w:tcPr>
            <w:tcW w:w="16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E24728F" w14:textId="77777777" w:rsidR="00DE0029" w:rsidRPr="00DE0029" w:rsidRDefault="00DE0029" w:rsidP="00DE0029">
            <w:r w:rsidRPr="00DE0029">
              <w:t>914.046.895</w:t>
            </w:r>
          </w:p>
        </w:tc>
        <w:tc>
          <w:tcPr>
            <w:tcW w:w="15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4B928A" w14:textId="77777777" w:rsidR="00DE0029" w:rsidRPr="00DE0029" w:rsidRDefault="00DE0029" w:rsidP="00DE0029">
            <w:r w:rsidRPr="00DE0029">
              <w:t>1.102.339.961</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41B9FC" w14:textId="77777777" w:rsidR="00DE0029" w:rsidRPr="00DE0029" w:rsidRDefault="00DE0029" w:rsidP="00DE0029">
            <w:r w:rsidRPr="00DE0029">
              <w:t>121%</w:t>
            </w:r>
          </w:p>
        </w:tc>
        <w:tc>
          <w:tcPr>
            <w:tcW w:w="18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88CA24" w14:textId="77777777" w:rsidR="00DE0029" w:rsidRPr="00DE0029" w:rsidRDefault="00DE0029" w:rsidP="00DE0029">
            <w:r w:rsidRPr="00DE0029">
              <w:t>1.056.875.342</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BFBFDC" w14:textId="77777777" w:rsidR="00DE0029" w:rsidRPr="00DE0029" w:rsidRDefault="00DE0029" w:rsidP="00DE0029">
            <w:r w:rsidRPr="00DE0029">
              <w:t>116%</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3053A2" w14:textId="77777777" w:rsidR="00DE0029" w:rsidRPr="00DE0029" w:rsidRDefault="00DE0029" w:rsidP="00DE0029">
            <w:r w:rsidRPr="00DE0029">
              <w:t>1.017.612.489</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05394F" w14:textId="77777777" w:rsidR="00DE0029" w:rsidRPr="00DE0029" w:rsidRDefault="00DE0029" w:rsidP="00DE0029">
            <w:r w:rsidRPr="00DE0029">
              <w:t>111%</w:t>
            </w:r>
          </w:p>
        </w:tc>
        <w:tc>
          <w:tcPr>
            <w:tcW w:w="148" w:type="dxa"/>
            <w:tcMar>
              <w:top w:w="0" w:type="dxa"/>
              <w:left w:w="70" w:type="dxa"/>
              <w:bottom w:w="0" w:type="dxa"/>
              <w:right w:w="70" w:type="dxa"/>
            </w:tcMar>
            <w:vAlign w:val="center"/>
            <w:hideMark/>
          </w:tcPr>
          <w:p w14:paraId="32743BCE" w14:textId="77777777" w:rsidR="00DE0029" w:rsidRPr="00DE0029" w:rsidRDefault="00DE0029" w:rsidP="00DE0029"/>
        </w:tc>
        <w:tc>
          <w:tcPr>
            <w:tcW w:w="6" w:type="dxa"/>
            <w:vAlign w:val="center"/>
            <w:hideMark/>
          </w:tcPr>
          <w:p w14:paraId="302718D7" w14:textId="77777777" w:rsidR="00DE0029" w:rsidRPr="00DE0029" w:rsidRDefault="00DE0029" w:rsidP="00DE0029"/>
        </w:tc>
      </w:tr>
      <w:tr w:rsidR="00DE0029" w:rsidRPr="00DE0029" w14:paraId="1368E032" w14:textId="77777777" w:rsidTr="00DE0029">
        <w:trPr>
          <w:trHeight w:val="254"/>
        </w:trPr>
        <w:tc>
          <w:tcPr>
            <w:tcW w:w="2864" w:type="dxa"/>
            <w:gridSpan w:val="2"/>
            <w:tcBorders>
              <w:top w:val="nil"/>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14:paraId="3D7A865B" w14:textId="77777777" w:rsidR="00DE0029" w:rsidRPr="00DE0029" w:rsidRDefault="00DE0029" w:rsidP="00DE0029">
            <w:pPr>
              <w:rPr>
                <w:b/>
                <w:bCs/>
              </w:rPr>
            </w:pPr>
            <w:r w:rsidRPr="00DE0029">
              <w:rPr>
                <w:b/>
                <w:bCs/>
              </w:rPr>
              <w:t>Skupaj KS</w:t>
            </w:r>
          </w:p>
        </w:tc>
        <w:tc>
          <w:tcPr>
            <w:tcW w:w="1669"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208121D5" w14:textId="77777777" w:rsidR="00DE0029" w:rsidRPr="00DE0029" w:rsidRDefault="00DE0029" w:rsidP="00DE0029">
            <w:pPr>
              <w:rPr>
                <w:b/>
                <w:bCs/>
              </w:rPr>
            </w:pPr>
            <w:r w:rsidRPr="00DE0029">
              <w:rPr>
                <w:b/>
                <w:bCs/>
              </w:rPr>
              <w:t>914.046.895</w:t>
            </w:r>
          </w:p>
        </w:tc>
        <w:tc>
          <w:tcPr>
            <w:tcW w:w="1588"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14FBBAE1" w14:textId="77777777" w:rsidR="00DE0029" w:rsidRPr="00DE0029" w:rsidRDefault="00DE0029" w:rsidP="00DE0029">
            <w:pPr>
              <w:rPr>
                <w:b/>
                <w:bCs/>
              </w:rPr>
            </w:pPr>
            <w:r w:rsidRPr="00DE0029">
              <w:rPr>
                <w:b/>
                <w:bCs/>
              </w:rPr>
              <w:t>1.102.339.961</w:t>
            </w:r>
          </w:p>
        </w:tc>
        <w:tc>
          <w:tcPr>
            <w:tcW w:w="974"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183CFCB1" w14:textId="77777777" w:rsidR="00DE0029" w:rsidRPr="00DE0029" w:rsidRDefault="00DE0029" w:rsidP="00DE0029">
            <w:pPr>
              <w:rPr>
                <w:b/>
                <w:bCs/>
              </w:rPr>
            </w:pPr>
            <w:r w:rsidRPr="00DE0029">
              <w:rPr>
                <w:b/>
                <w:bCs/>
              </w:rPr>
              <w:t>121%</w:t>
            </w:r>
          </w:p>
        </w:tc>
        <w:tc>
          <w:tcPr>
            <w:tcW w:w="1811"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76B6D98E" w14:textId="77777777" w:rsidR="00DE0029" w:rsidRPr="00DE0029" w:rsidRDefault="00DE0029" w:rsidP="00DE0029">
            <w:pPr>
              <w:rPr>
                <w:b/>
                <w:bCs/>
              </w:rPr>
            </w:pPr>
            <w:r w:rsidRPr="00DE0029">
              <w:rPr>
                <w:b/>
                <w:bCs/>
              </w:rPr>
              <w:t>1.056.875.342</w:t>
            </w:r>
          </w:p>
        </w:tc>
        <w:tc>
          <w:tcPr>
            <w:tcW w:w="1036"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5FC512D2" w14:textId="77777777" w:rsidR="00DE0029" w:rsidRPr="00DE0029" w:rsidRDefault="00DE0029" w:rsidP="00DE0029">
            <w:pPr>
              <w:rPr>
                <w:b/>
                <w:bCs/>
              </w:rPr>
            </w:pPr>
            <w:r w:rsidRPr="00DE0029">
              <w:rPr>
                <w:b/>
                <w:bCs/>
              </w:rPr>
              <w:t>116%</w:t>
            </w:r>
          </w:p>
        </w:tc>
        <w:tc>
          <w:tcPr>
            <w:tcW w:w="1770"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266FF468" w14:textId="77777777" w:rsidR="00DE0029" w:rsidRPr="00DE0029" w:rsidRDefault="00DE0029" w:rsidP="00DE0029">
            <w:pPr>
              <w:rPr>
                <w:b/>
                <w:bCs/>
              </w:rPr>
            </w:pPr>
            <w:r w:rsidRPr="00DE0029">
              <w:rPr>
                <w:b/>
                <w:bCs/>
              </w:rPr>
              <w:t>1.017.612.489</w:t>
            </w:r>
          </w:p>
        </w:tc>
        <w:tc>
          <w:tcPr>
            <w:tcW w:w="1015"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300005C3" w14:textId="77777777" w:rsidR="00DE0029" w:rsidRPr="00DE0029" w:rsidRDefault="00DE0029" w:rsidP="00DE0029">
            <w:pPr>
              <w:rPr>
                <w:b/>
                <w:bCs/>
              </w:rPr>
            </w:pPr>
            <w:r w:rsidRPr="00DE0029">
              <w:rPr>
                <w:b/>
                <w:bCs/>
              </w:rPr>
              <w:t>111%</w:t>
            </w:r>
          </w:p>
        </w:tc>
        <w:tc>
          <w:tcPr>
            <w:tcW w:w="148" w:type="dxa"/>
            <w:tcMar>
              <w:top w:w="0" w:type="dxa"/>
              <w:left w:w="70" w:type="dxa"/>
              <w:bottom w:w="0" w:type="dxa"/>
              <w:right w:w="70" w:type="dxa"/>
            </w:tcMar>
            <w:vAlign w:val="center"/>
            <w:hideMark/>
          </w:tcPr>
          <w:p w14:paraId="0BE9C45D" w14:textId="77777777" w:rsidR="00DE0029" w:rsidRPr="00DE0029" w:rsidRDefault="00DE0029" w:rsidP="00DE0029">
            <w:pPr>
              <w:rPr>
                <w:b/>
                <w:bCs/>
              </w:rPr>
            </w:pPr>
          </w:p>
        </w:tc>
        <w:tc>
          <w:tcPr>
            <w:tcW w:w="6" w:type="dxa"/>
            <w:vAlign w:val="center"/>
            <w:hideMark/>
          </w:tcPr>
          <w:p w14:paraId="221ED1F1" w14:textId="77777777" w:rsidR="00DE0029" w:rsidRPr="00DE0029" w:rsidRDefault="00DE0029" w:rsidP="00DE0029"/>
        </w:tc>
      </w:tr>
      <w:tr w:rsidR="00DE0029" w:rsidRPr="00DE0029" w14:paraId="4C88CA8A" w14:textId="77777777" w:rsidTr="00DE0029">
        <w:trPr>
          <w:trHeight w:val="254"/>
        </w:trPr>
        <w:tc>
          <w:tcPr>
            <w:tcW w:w="13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6DA93E" w14:textId="77777777" w:rsidR="00DE0029" w:rsidRPr="00DE0029" w:rsidRDefault="00DE0029" w:rsidP="00DE0029">
            <w:pPr>
              <w:rPr>
                <w:b/>
                <w:bCs/>
              </w:rPr>
            </w:pPr>
            <w:r w:rsidRPr="00DE0029">
              <w:rPr>
                <w:b/>
                <w:bCs/>
              </w:rPr>
              <w:t>YEI</w:t>
            </w:r>
          </w:p>
        </w:tc>
        <w:tc>
          <w:tcPr>
            <w:tcW w:w="15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028983" w14:textId="77777777" w:rsidR="00DE0029" w:rsidRPr="00DE0029" w:rsidRDefault="00DE0029" w:rsidP="00DE0029">
            <w:r w:rsidRPr="00DE0029">
              <w:t>Vzhodna</w:t>
            </w:r>
          </w:p>
        </w:tc>
        <w:tc>
          <w:tcPr>
            <w:tcW w:w="16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624632" w14:textId="77777777" w:rsidR="00DE0029" w:rsidRPr="00DE0029" w:rsidRDefault="00DE0029" w:rsidP="00DE0029">
            <w:r w:rsidRPr="00DE0029">
              <w:t>18.423.072</w:t>
            </w:r>
          </w:p>
        </w:tc>
        <w:tc>
          <w:tcPr>
            <w:tcW w:w="15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2BE3AC" w14:textId="77777777" w:rsidR="00DE0029" w:rsidRPr="00DE0029" w:rsidRDefault="00DE0029" w:rsidP="00DE0029">
            <w:r w:rsidRPr="00DE0029">
              <w:t>18.423.072</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6CA32D3" w14:textId="77777777" w:rsidR="00DE0029" w:rsidRPr="00DE0029" w:rsidRDefault="00DE0029" w:rsidP="00DE0029">
            <w:r w:rsidRPr="00DE0029">
              <w:t>100%</w:t>
            </w:r>
          </w:p>
        </w:tc>
        <w:tc>
          <w:tcPr>
            <w:tcW w:w="18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0C8D5D" w14:textId="77777777" w:rsidR="00DE0029" w:rsidRPr="00DE0029" w:rsidRDefault="00DE0029" w:rsidP="00DE0029">
            <w:r w:rsidRPr="00DE0029">
              <w:t>18.423.072</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97F1EB" w14:textId="77777777" w:rsidR="00DE0029" w:rsidRPr="00DE0029" w:rsidRDefault="00DE0029" w:rsidP="00DE0029">
            <w:r w:rsidRPr="00DE0029">
              <w:t>100%</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2882A3" w14:textId="77777777" w:rsidR="00DE0029" w:rsidRPr="00DE0029" w:rsidRDefault="00DE0029" w:rsidP="00DE0029">
            <w:r w:rsidRPr="00DE0029">
              <w:t>17.308.298</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287EE1" w14:textId="77777777" w:rsidR="00DE0029" w:rsidRPr="00DE0029" w:rsidRDefault="00DE0029" w:rsidP="00DE0029">
            <w:r w:rsidRPr="00DE0029">
              <w:t>94%</w:t>
            </w:r>
          </w:p>
        </w:tc>
        <w:tc>
          <w:tcPr>
            <w:tcW w:w="148" w:type="dxa"/>
            <w:tcMar>
              <w:top w:w="0" w:type="dxa"/>
              <w:left w:w="70" w:type="dxa"/>
              <w:bottom w:w="0" w:type="dxa"/>
              <w:right w:w="70" w:type="dxa"/>
            </w:tcMar>
            <w:vAlign w:val="center"/>
            <w:hideMark/>
          </w:tcPr>
          <w:p w14:paraId="67986B82" w14:textId="77777777" w:rsidR="00DE0029" w:rsidRPr="00DE0029" w:rsidRDefault="00DE0029" w:rsidP="00DE0029"/>
        </w:tc>
        <w:tc>
          <w:tcPr>
            <w:tcW w:w="6" w:type="dxa"/>
            <w:vAlign w:val="center"/>
            <w:hideMark/>
          </w:tcPr>
          <w:p w14:paraId="5D61381C" w14:textId="77777777" w:rsidR="00DE0029" w:rsidRPr="00DE0029" w:rsidRDefault="00DE0029" w:rsidP="00DE0029"/>
        </w:tc>
      </w:tr>
      <w:tr w:rsidR="00DE0029" w:rsidRPr="00DE0029" w14:paraId="1A41CD33" w14:textId="77777777" w:rsidTr="00DE0029">
        <w:trPr>
          <w:trHeight w:val="254"/>
        </w:trPr>
        <w:tc>
          <w:tcPr>
            <w:tcW w:w="2864" w:type="dxa"/>
            <w:gridSpan w:val="2"/>
            <w:tcBorders>
              <w:top w:val="nil"/>
              <w:left w:val="single" w:sz="8" w:space="0" w:color="auto"/>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5B205151" w14:textId="77777777" w:rsidR="00DE0029" w:rsidRPr="00DE0029" w:rsidRDefault="00DE0029" w:rsidP="00DE0029">
            <w:pPr>
              <w:rPr>
                <w:b/>
                <w:bCs/>
              </w:rPr>
            </w:pPr>
            <w:r w:rsidRPr="00DE0029">
              <w:rPr>
                <w:b/>
                <w:bCs/>
              </w:rPr>
              <w:t>Skupaj YEI</w:t>
            </w:r>
          </w:p>
        </w:tc>
        <w:tc>
          <w:tcPr>
            <w:tcW w:w="1669"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01DC72F6" w14:textId="77777777" w:rsidR="00DE0029" w:rsidRPr="00DE0029" w:rsidRDefault="00DE0029" w:rsidP="00DE0029">
            <w:pPr>
              <w:rPr>
                <w:b/>
                <w:bCs/>
              </w:rPr>
            </w:pPr>
            <w:r w:rsidRPr="00DE0029">
              <w:rPr>
                <w:b/>
                <w:bCs/>
              </w:rPr>
              <w:t>18.423.072</w:t>
            </w:r>
          </w:p>
        </w:tc>
        <w:tc>
          <w:tcPr>
            <w:tcW w:w="1588"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0132F561" w14:textId="77777777" w:rsidR="00DE0029" w:rsidRPr="00DE0029" w:rsidRDefault="00DE0029" w:rsidP="00DE0029">
            <w:pPr>
              <w:rPr>
                <w:b/>
                <w:bCs/>
              </w:rPr>
            </w:pPr>
            <w:r w:rsidRPr="00DE0029">
              <w:rPr>
                <w:b/>
                <w:bCs/>
              </w:rPr>
              <w:t>18.423.072</w:t>
            </w:r>
          </w:p>
        </w:tc>
        <w:tc>
          <w:tcPr>
            <w:tcW w:w="974"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1AFC2B96" w14:textId="77777777" w:rsidR="00DE0029" w:rsidRPr="00DE0029" w:rsidRDefault="00DE0029" w:rsidP="00DE0029">
            <w:pPr>
              <w:rPr>
                <w:b/>
                <w:bCs/>
              </w:rPr>
            </w:pPr>
            <w:r w:rsidRPr="00DE0029">
              <w:rPr>
                <w:b/>
                <w:bCs/>
              </w:rPr>
              <w:t>100%</w:t>
            </w:r>
          </w:p>
        </w:tc>
        <w:tc>
          <w:tcPr>
            <w:tcW w:w="1811"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5720DD72" w14:textId="77777777" w:rsidR="00DE0029" w:rsidRPr="00DE0029" w:rsidRDefault="00DE0029" w:rsidP="00DE0029">
            <w:pPr>
              <w:rPr>
                <w:b/>
                <w:bCs/>
              </w:rPr>
            </w:pPr>
            <w:r w:rsidRPr="00DE0029">
              <w:rPr>
                <w:b/>
                <w:bCs/>
              </w:rPr>
              <w:t>18.423.072</w:t>
            </w:r>
          </w:p>
        </w:tc>
        <w:tc>
          <w:tcPr>
            <w:tcW w:w="1036"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22DC41CF" w14:textId="77777777" w:rsidR="00DE0029" w:rsidRPr="00DE0029" w:rsidRDefault="00DE0029" w:rsidP="00DE0029">
            <w:pPr>
              <w:rPr>
                <w:b/>
                <w:bCs/>
              </w:rPr>
            </w:pPr>
            <w:r w:rsidRPr="00DE0029">
              <w:rPr>
                <w:b/>
                <w:bCs/>
              </w:rPr>
              <w:t>100%</w:t>
            </w:r>
          </w:p>
        </w:tc>
        <w:tc>
          <w:tcPr>
            <w:tcW w:w="1770"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76D566D5" w14:textId="77777777" w:rsidR="00DE0029" w:rsidRPr="00DE0029" w:rsidRDefault="00DE0029" w:rsidP="00DE0029">
            <w:pPr>
              <w:rPr>
                <w:b/>
                <w:bCs/>
              </w:rPr>
            </w:pPr>
            <w:r w:rsidRPr="00DE0029">
              <w:rPr>
                <w:b/>
                <w:bCs/>
              </w:rPr>
              <w:t>17.308.298</w:t>
            </w:r>
          </w:p>
        </w:tc>
        <w:tc>
          <w:tcPr>
            <w:tcW w:w="1015"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73D6E1E7" w14:textId="77777777" w:rsidR="00DE0029" w:rsidRPr="00DE0029" w:rsidRDefault="00DE0029" w:rsidP="00DE0029">
            <w:pPr>
              <w:rPr>
                <w:b/>
                <w:bCs/>
              </w:rPr>
            </w:pPr>
            <w:r w:rsidRPr="00DE0029">
              <w:rPr>
                <w:b/>
                <w:bCs/>
              </w:rPr>
              <w:t>94%</w:t>
            </w:r>
          </w:p>
        </w:tc>
        <w:tc>
          <w:tcPr>
            <w:tcW w:w="148" w:type="dxa"/>
            <w:tcMar>
              <w:top w:w="0" w:type="dxa"/>
              <w:left w:w="70" w:type="dxa"/>
              <w:bottom w:w="0" w:type="dxa"/>
              <w:right w:w="70" w:type="dxa"/>
            </w:tcMar>
            <w:vAlign w:val="center"/>
            <w:hideMark/>
          </w:tcPr>
          <w:p w14:paraId="15A543BF" w14:textId="77777777" w:rsidR="00DE0029" w:rsidRPr="00DE0029" w:rsidRDefault="00DE0029" w:rsidP="00DE0029">
            <w:pPr>
              <w:rPr>
                <w:b/>
                <w:bCs/>
              </w:rPr>
            </w:pPr>
          </w:p>
        </w:tc>
        <w:tc>
          <w:tcPr>
            <w:tcW w:w="6" w:type="dxa"/>
            <w:vAlign w:val="center"/>
            <w:hideMark/>
          </w:tcPr>
          <w:p w14:paraId="0024AE5D" w14:textId="77777777" w:rsidR="00DE0029" w:rsidRPr="00DE0029" w:rsidRDefault="00DE0029" w:rsidP="00DE0029"/>
        </w:tc>
      </w:tr>
      <w:tr w:rsidR="00DE0029" w:rsidRPr="00DE0029" w14:paraId="38D4B22E" w14:textId="77777777" w:rsidTr="00DE0029">
        <w:trPr>
          <w:trHeight w:val="254"/>
        </w:trPr>
        <w:tc>
          <w:tcPr>
            <w:tcW w:w="1339"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6969E5D5" w14:textId="77777777" w:rsidR="00DE0029" w:rsidRPr="00DE0029" w:rsidRDefault="00DE0029" w:rsidP="00DE0029">
            <w:pPr>
              <w:rPr>
                <w:b/>
                <w:bCs/>
              </w:rPr>
            </w:pPr>
            <w:r w:rsidRPr="00DE0029">
              <w:rPr>
                <w:b/>
                <w:bCs/>
              </w:rPr>
              <w:t xml:space="preserve">OP </w:t>
            </w:r>
          </w:p>
        </w:tc>
        <w:tc>
          <w:tcPr>
            <w:tcW w:w="15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A30F74" w14:textId="77777777" w:rsidR="00DE0029" w:rsidRPr="00DE0029" w:rsidRDefault="00DE0029" w:rsidP="00DE0029">
            <w:r w:rsidRPr="00DE0029">
              <w:t>Vzhodna</w:t>
            </w:r>
          </w:p>
        </w:tc>
        <w:tc>
          <w:tcPr>
            <w:tcW w:w="16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94907B" w14:textId="77777777" w:rsidR="00DE0029" w:rsidRPr="00DE0029" w:rsidRDefault="00DE0029" w:rsidP="00DE0029">
            <w:r w:rsidRPr="00DE0029">
              <w:t>1.305.289.473</w:t>
            </w:r>
          </w:p>
        </w:tc>
        <w:tc>
          <w:tcPr>
            <w:tcW w:w="15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77B97F" w14:textId="77777777" w:rsidR="00DE0029" w:rsidRPr="00DE0029" w:rsidRDefault="00DE0029" w:rsidP="00DE0029">
            <w:r w:rsidRPr="00DE0029">
              <w:t>1.424.151.051</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13E586" w14:textId="77777777" w:rsidR="00DE0029" w:rsidRPr="00DE0029" w:rsidRDefault="00DE0029" w:rsidP="00DE0029">
            <w:r w:rsidRPr="00DE0029">
              <w:t>109%</w:t>
            </w:r>
          </w:p>
        </w:tc>
        <w:tc>
          <w:tcPr>
            <w:tcW w:w="18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591BD8" w14:textId="77777777" w:rsidR="00DE0029" w:rsidRPr="00DE0029" w:rsidRDefault="00DE0029" w:rsidP="00DE0029">
            <w:r w:rsidRPr="00DE0029">
              <w:t>1.362.702.815</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8E2954" w14:textId="77777777" w:rsidR="00DE0029" w:rsidRPr="00DE0029" w:rsidRDefault="00DE0029" w:rsidP="00DE0029">
            <w:r w:rsidRPr="00DE0029">
              <w:t>104%</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D438BB" w14:textId="77777777" w:rsidR="00DE0029" w:rsidRPr="00DE0029" w:rsidRDefault="00DE0029" w:rsidP="00DE0029">
            <w:r w:rsidRPr="00DE0029">
              <w:t>1.303.488.989</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914722" w14:textId="77777777" w:rsidR="00DE0029" w:rsidRPr="00DE0029" w:rsidRDefault="00DE0029" w:rsidP="00DE0029">
            <w:r w:rsidRPr="00DE0029">
              <w:t>100%</w:t>
            </w:r>
          </w:p>
        </w:tc>
        <w:tc>
          <w:tcPr>
            <w:tcW w:w="148" w:type="dxa"/>
            <w:tcMar>
              <w:top w:w="0" w:type="dxa"/>
              <w:left w:w="70" w:type="dxa"/>
              <w:bottom w:w="0" w:type="dxa"/>
              <w:right w:w="70" w:type="dxa"/>
            </w:tcMar>
            <w:vAlign w:val="center"/>
            <w:hideMark/>
          </w:tcPr>
          <w:p w14:paraId="0962BE18" w14:textId="77777777" w:rsidR="00DE0029" w:rsidRPr="00DE0029" w:rsidRDefault="00DE0029" w:rsidP="00DE0029"/>
        </w:tc>
        <w:tc>
          <w:tcPr>
            <w:tcW w:w="6" w:type="dxa"/>
            <w:vAlign w:val="center"/>
            <w:hideMark/>
          </w:tcPr>
          <w:p w14:paraId="2C2350EC" w14:textId="77777777" w:rsidR="00DE0029" w:rsidRPr="00DE0029" w:rsidRDefault="00DE0029" w:rsidP="00DE0029"/>
        </w:tc>
      </w:tr>
      <w:tr w:rsidR="00DE0029" w:rsidRPr="00DE0029" w14:paraId="2082E20B" w14:textId="77777777" w:rsidTr="00DE0029">
        <w:trPr>
          <w:trHeight w:val="254"/>
        </w:trPr>
        <w:tc>
          <w:tcPr>
            <w:tcW w:w="0" w:type="auto"/>
            <w:vMerge/>
            <w:tcBorders>
              <w:top w:val="nil"/>
              <w:left w:val="single" w:sz="8" w:space="0" w:color="auto"/>
              <w:bottom w:val="single" w:sz="8" w:space="0" w:color="000000"/>
              <w:right w:val="single" w:sz="8" w:space="0" w:color="auto"/>
            </w:tcBorders>
            <w:vAlign w:val="center"/>
            <w:hideMark/>
          </w:tcPr>
          <w:p w14:paraId="0BDFF7FE" w14:textId="77777777" w:rsidR="00DE0029" w:rsidRPr="00DE0029" w:rsidRDefault="00DE0029" w:rsidP="00DE0029">
            <w:pPr>
              <w:rPr>
                <w:b/>
                <w:bCs/>
              </w:rPr>
            </w:pPr>
          </w:p>
        </w:tc>
        <w:tc>
          <w:tcPr>
            <w:tcW w:w="15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399322" w14:textId="77777777" w:rsidR="00DE0029" w:rsidRPr="00DE0029" w:rsidRDefault="00DE0029" w:rsidP="00DE0029">
            <w:r w:rsidRPr="00DE0029">
              <w:t>Zahodna</w:t>
            </w:r>
          </w:p>
        </w:tc>
        <w:tc>
          <w:tcPr>
            <w:tcW w:w="16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CE3A3E" w14:textId="77777777" w:rsidR="00DE0029" w:rsidRPr="00DE0029" w:rsidRDefault="00DE0029" w:rsidP="00DE0029">
            <w:r w:rsidRPr="00DE0029">
              <w:t>848.588.557</w:t>
            </w:r>
          </w:p>
        </w:tc>
        <w:tc>
          <w:tcPr>
            <w:tcW w:w="15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9D53E2" w14:textId="77777777" w:rsidR="00DE0029" w:rsidRPr="00DE0029" w:rsidRDefault="00DE0029" w:rsidP="00DE0029">
            <w:r w:rsidRPr="00DE0029">
              <w:t>1.007.410.687</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A7EC95" w14:textId="77777777" w:rsidR="00DE0029" w:rsidRPr="00DE0029" w:rsidRDefault="00DE0029" w:rsidP="00DE0029">
            <w:r w:rsidRPr="00DE0029">
              <w:t>119%</w:t>
            </w:r>
          </w:p>
        </w:tc>
        <w:tc>
          <w:tcPr>
            <w:tcW w:w="18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2BBDC2" w14:textId="77777777" w:rsidR="00DE0029" w:rsidRPr="00DE0029" w:rsidRDefault="00DE0029" w:rsidP="00DE0029">
            <w:r w:rsidRPr="00DE0029">
              <w:t>988.012.290</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1BAD11" w14:textId="77777777" w:rsidR="00DE0029" w:rsidRPr="00DE0029" w:rsidRDefault="00DE0029" w:rsidP="00DE0029">
            <w:r w:rsidRPr="00DE0029">
              <w:t>116%</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CB4D1B" w14:textId="77777777" w:rsidR="00DE0029" w:rsidRPr="00DE0029" w:rsidRDefault="00DE0029" w:rsidP="00DE0029">
            <w:r w:rsidRPr="00DE0029">
              <w:t>952.006.544</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959B5E2" w14:textId="77777777" w:rsidR="00DE0029" w:rsidRPr="00DE0029" w:rsidRDefault="00DE0029" w:rsidP="00DE0029">
            <w:r w:rsidRPr="00DE0029">
              <w:t>112%</w:t>
            </w:r>
          </w:p>
        </w:tc>
        <w:tc>
          <w:tcPr>
            <w:tcW w:w="148" w:type="dxa"/>
            <w:tcMar>
              <w:top w:w="0" w:type="dxa"/>
              <w:left w:w="70" w:type="dxa"/>
              <w:bottom w:w="0" w:type="dxa"/>
              <w:right w:w="70" w:type="dxa"/>
            </w:tcMar>
            <w:vAlign w:val="center"/>
            <w:hideMark/>
          </w:tcPr>
          <w:p w14:paraId="01A39E55" w14:textId="77777777" w:rsidR="00DE0029" w:rsidRPr="00DE0029" w:rsidRDefault="00DE0029" w:rsidP="00DE0029"/>
        </w:tc>
        <w:tc>
          <w:tcPr>
            <w:tcW w:w="6" w:type="dxa"/>
            <w:vAlign w:val="center"/>
            <w:hideMark/>
          </w:tcPr>
          <w:p w14:paraId="7CFDE6D6" w14:textId="77777777" w:rsidR="00DE0029" w:rsidRPr="00DE0029" w:rsidRDefault="00DE0029" w:rsidP="00DE0029"/>
        </w:tc>
      </w:tr>
      <w:tr w:rsidR="00DE0029" w:rsidRPr="00DE0029" w14:paraId="12373188" w14:textId="77777777" w:rsidTr="00DE0029">
        <w:trPr>
          <w:trHeight w:val="254"/>
        </w:trPr>
        <w:tc>
          <w:tcPr>
            <w:tcW w:w="0" w:type="auto"/>
            <w:vMerge/>
            <w:tcBorders>
              <w:top w:val="nil"/>
              <w:left w:val="single" w:sz="8" w:space="0" w:color="auto"/>
              <w:bottom w:val="single" w:sz="8" w:space="0" w:color="000000"/>
              <w:right w:val="single" w:sz="8" w:space="0" w:color="auto"/>
            </w:tcBorders>
            <w:vAlign w:val="center"/>
            <w:hideMark/>
          </w:tcPr>
          <w:p w14:paraId="59CB14CF" w14:textId="77777777" w:rsidR="00DE0029" w:rsidRPr="00DE0029" w:rsidRDefault="00DE0029" w:rsidP="00DE0029">
            <w:pPr>
              <w:rPr>
                <w:b/>
                <w:bCs/>
              </w:rPr>
            </w:pPr>
          </w:p>
        </w:tc>
        <w:tc>
          <w:tcPr>
            <w:tcW w:w="1524" w:type="dxa"/>
            <w:tcBorders>
              <w:top w:val="nil"/>
              <w:left w:val="nil"/>
              <w:bottom w:val="single" w:sz="8" w:space="0" w:color="auto"/>
              <w:right w:val="nil"/>
            </w:tcBorders>
            <w:noWrap/>
            <w:tcMar>
              <w:top w:w="0" w:type="dxa"/>
              <w:left w:w="70" w:type="dxa"/>
              <w:bottom w:w="0" w:type="dxa"/>
              <w:right w:w="70" w:type="dxa"/>
            </w:tcMar>
            <w:vAlign w:val="bottom"/>
            <w:hideMark/>
          </w:tcPr>
          <w:p w14:paraId="5EEA1C11" w14:textId="77777777" w:rsidR="00DE0029" w:rsidRPr="00DE0029" w:rsidRDefault="00DE0029" w:rsidP="00DE0029">
            <w:r w:rsidRPr="00DE0029">
              <w:t>Celotna SI</w:t>
            </w:r>
          </w:p>
        </w:tc>
        <w:tc>
          <w:tcPr>
            <w:tcW w:w="16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643B455" w14:textId="77777777" w:rsidR="00DE0029" w:rsidRPr="00DE0029" w:rsidRDefault="00DE0029" w:rsidP="00DE0029">
            <w:r w:rsidRPr="00DE0029">
              <w:t>1.182.993.105</w:t>
            </w:r>
          </w:p>
        </w:tc>
        <w:tc>
          <w:tcPr>
            <w:tcW w:w="15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69F9E4" w14:textId="77777777" w:rsidR="00DE0029" w:rsidRPr="00DE0029" w:rsidRDefault="00DE0029" w:rsidP="00DE0029">
            <w:r w:rsidRPr="00DE0029">
              <w:t>1.393.572.815</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A497F0" w14:textId="77777777" w:rsidR="00DE0029" w:rsidRPr="00DE0029" w:rsidRDefault="00DE0029" w:rsidP="00DE0029">
            <w:r w:rsidRPr="00DE0029">
              <w:t>118%</w:t>
            </w:r>
          </w:p>
        </w:tc>
        <w:tc>
          <w:tcPr>
            <w:tcW w:w="18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65B29F" w14:textId="77777777" w:rsidR="00DE0029" w:rsidRPr="00DE0029" w:rsidRDefault="00DE0029" w:rsidP="00DE0029">
            <w:r w:rsidRPr="00DE0029">
              <w:t>1.343.805.657</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824ED6" w14:textId="77777777" w:rsidR="00DE0029" w:rsidRPr="00DE0029" w:rsidRDefault="00DE0029" w:rsidP="00DE0029">
            <w:r w:rsidRPr="00DE0029">
              <w:t>114%</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172FC0" w14:textId="77777777" w:rsidR="00DE0029" w:rsidRPr="00DE0029" w:rsidRDefault="00DE0029" w:rsidP="00DE0029">
            <w:r w:rsidRPr="00DE0029">
              <w:t>1.296.793.533</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8FA195" w14:textId="77777777" w:rsidR="00DE0029" w:rsidRPr="00DE0029" w:rsidRDefault="00DE0029" w:rsidP="00DE0029">
            <w:r w:rsidRPr="00DE0029">
              <w:t>110%</w:t>
            </w:r>
          </w:p>
        </w:tc>
        <w:tc>
          <w:tcPr>
            <w:tcW w:w="148" w:type="dxa"/>
            <w:tcMar>
              <w:top w:w="0" w:type="dxa"/>
              <w:left w:w="70" w:type="dxa"/>
              <w:bottom w:w="0" w:type="dxa"/>
              <w:right w:w="70" w:type="dxa"/>
            </w:tcMar>
            <w:vAlign w:val="center"/>
            <w:hideMark/>
          </w:tcPr>
          <w:p w14:paraId="3E3699E2" w14:textId="77777777" w:rsidR="00DE0029" w:rsidRPr="00DE0029" w:rsidRDefault="00DE0029" w:rsidP="00DE0029"/>
        </w:tc>
        <w:tc>
          <w:tcPr>
            <w:tcW w:w="6" w:type="dxa"/>
            <w:vAlign w:val="center"/>
            <w:hideMark/>
          </w:tcPr>
          <w:p w14:paraId="4FBA5B40" w14:textId="77777777" w:rsidR="00DE0029" w:rsidRPr="00DE0029" w:rsidRDefault="00DE0029" w:rsidP="00DE0029"/>
        </w:tc>
      </w:tr>
      <w:tr w:rsidR="00DE0029" w:rsidRPr="00DE0029" w14:paraId="7164E020" w14:textId="77777777" w:rsidTr="00DE0029">
        <w:trPr>
          <w:trHeight w:val="254"/>
        </w:trPr>
        <w:tc>
          <w:tcPr>
            <w:tcW w:w="2864" w:type="dxa"/>
            <w:gridSpan w:val="2"/>
            <w:tcBorders>
              <w:top w:val="nil"/>
              <w:left w:val="single" w:sz="8" w:space="0" w:color="auto"/>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5D40E436" w14:textId="1C6C4C62" w:rsidR="00DE0029" w:rsidRPr="00DE0029" w:rsidRDefault="00AD0ACF" w:rsidP="00DE0029">
            <w:pPr>
              <w:rPr>
                <w:b/>
                <w:bCs/>
              </w:rPr>
            </w:pPr>
            <w:r w:rsidRPr="00DE0029">
              <w:rPr>
                <w:b/>
                <w:bCs/>
              </w:rPr>
              <w:t xml:space="preserve">SKUPAJ OP </w:t>
            </w:r>
          </w:p>
        </w:tc>
        <w:tc>
          <w:tcPr>
            <w:tcW w:w="1669"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1D7FDB0A" w14:textId="77777777" w:rsidR="00DE0029" w:rsidRPr="00DE0029" w:rsidRDefault="00DE0029" w:rsidP="00DE0029">
            <w:pPr>
              <w:rPr>
                <w:b/>
                <w:bCs/>
              </w:rPr>
            </w:pPr>
            <w:r w:rsidRPr="00DE0029">
              <w:rPr>
                <w:b/>
                <w:bCs/>
              </w:rPr>
              <w:t>3.336.871.135</w:t>
            </w:r>
          </w:p>
        </w:tc>
        <w:tc>
          <w:tcPr>
            <w:tcW w:w="1588"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4D02C5EE" w14:textId="77777777" w:rsidR="00DE0029" w:rsidRPr="00DE0029" w:rsidRDefault="00DE0029" w:rsidP="00DE0029">
            <w:pPr>
              <w:rPr>
                <w:b/>
                <w:bCs/>
              </w:rPr>
            </w:pPr>
            <w:r w:rsidRPr="00DE0029">
              <w:rPr>
                <w:b/>
                <w:bCs/>
              </w:rPr>
              <w:t>3.825.134.553</w:t>
            </w:r>
          </w:p>
        </w:tc>
        <w:tc>
          <w:tcPr>
            <w:tcW w:w="974"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7E70173F" w14:textId="77777777" w:rsidR="00DE0029" w:rsidRPr="00DE0029" w:rsidRDefault="00DE0029" w:rsidP="00DE0029">
            <w:pPr>
              <w:rPr>
                <w:b/>
                <w:bCs/>
              </w:rPr>
            </w:pPr>
            <w:r w:rsidRPr="00DE0029">
              <w:rPr>
                <w:b/>
                <w:bCs/>
              </w:rPr>
              <w:t>115%</w:t>
            </w:r>
          </w:p>
        </w:tc>
        <w:tc>
          <w:tcPr>
            <w:tcW w:w="1811"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2D38B949" w14:textId="77777777" w:rsidR="00DE0029" w:rsidRPr="00DE0029" w:rsidRDefault="00DE0029" w:rsidP="00DE0029">
            <w:pPr>
              <w:rPr>
                <w:b/>
                <w:bCs/>
              </w:rPr>
            </w:pPr>
            <w:r w:rsidRPr="00DE0029">
              <w:rPr>
                <w:b/>
                <w:bCs/>
              </w:rPr>
              <w:t>3.694.520.761</w:t>
            </w:r>
          </w:p>
        </w:tc>
        <w:tc>
          <w:tcPr>
            <w:tcW w:w="1036"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7428E07C" w14:textId="77777777" w:rsidR="00DE0029" w:rsidRPr="00DE0029" w:rsidRDefault="00DE0029" w:rsidP="00DE0029">
            <w:pPr>
              <w:rPr>
                <w:b/>
                <w:bCs/>
              </w:rPr>
            </w:pPr>
            <w:r w:rsidRPr="00DE0029">
              <w:rPr>
                <w:b/>
                <w:bCs/>
              </w:rPr>
              <w:t>111%</w:t>
            </w:r>
          </w:p>
        </w:tc>
        <w:tc>
          <w:tcPr>
            <w:tcW w:w="1770"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5F38F360" w14:textId="77777777" w:rsidR="00DE0029" w:rsidRPr="00DE0029" w:rsidRDefault="00DE0029" w:rsidP="00DE0029">
            <w:pPr>
              <w:rPr>
                <w:b/>
                <w:bCs/>
              </w:rPr>
            </w:pPr>
            <w:r w:rsidRPr="00DE0029">
              <w:rPr>
                <w:b/>
                <w:bCs/>
              </w:rPr>
              <w:t>3.552.289.066</w:t>
            </w:r>
          </w:p>
        </w:tc>
        <w:tc>
          <w:tcPr>
            <w:tcW w:w="1015"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26DD8D4F" w14:textId="77777777" w:rsidR="00DE0029" w:rsidRPr="00DE0029" w:rsidRDefault="00DE0029" w:rsidP="00DE0029">
            <w:pPr>
              <w:rPr>
                <w:b/>
                <w:bCs/>
              </w:rPr>
            </w:pPr>
            <w:r w:rsidRPr="00DE0029">
              <w:rPr>
                <w:b/>
                <w:bCs/>
              </w:rPr>
              <w:t>106%</w:t>
            </w:r>
          </w:p>
        </w:tc>
        <w:tc>
          <w:tcPr>
            <w:tcW w:w="148" w:type="dxa"/>
            <w:tcMar>
              <w:top w:w="0" w:type="dxa"/>
              <w:left w:w="70" w:type="dxa"/>
              <w:bottom w:w="0" w:type="dxa"/>
              <w:right w:w="70" w:type="dxa"/>
            </w:tcMar>
            <w:vAlign w:val="center"/>
            <w:hideMark/>
          </w:tcPr>
          <w:p w14:paraId="1C82C49A" w14:textId="77777777" w:rsidR="00DE0029" w:rsidRPr="00DE0029" w:rsidRDefault="00DE0029" w:rsidP="00DE0029">
            <w:pPr>
              <w:rPr>
                <w:b/>
                <w:bCs/>
              </w:rPr>
            </w:pPr>
          </w:p>
        </w:tc>
        <w:tc>
          <w:tcPr>
            <w:tcW w:w="6" w:type="dxa"/>
            <w:vAlign w:val="center"/>
            <w:hideMark/>
          </w:tcPr>
          <w:p w14:paraId="5FBD0490" w14:textId="77777777" w:rsidR="00DE0029" w:rsidRPr="00DE0029" w:rsidRDefault="00DE0029" w:rsidP="00DE0029"/>
        </w:tc>
      </w:tr>
    </w:tbl>
    <w:p w14:paraId="3A0DC6FA" w14:textId="77777777" w:rsidR="00DE0029" w:rsidRPr="00DE0029" w:rsidRDefault="00DE0029" w:rsidP="001468A6"/>
    <w:p w14:paraId="0FB95CAD" w14:textId="77777777" w:rsidR="009173C9" w:rsidRPr="009173C9" w:rsidRDefault="009173C9" w:rsidP="009173C9">
      <w:pPr>
        <w:spacing w:after="0"/>
      </w:pPr>
    </w:p>
    <w:p w14:paraId="0C80DB85" w14:textId="6054F4FB" w:rsidR="009D68EB" w:rsidRPr="00010CAC" w:rsidRDefault="009D68EB" w:rsidP="00ED5676">
      <w:pPr>
        <w:spacing w:after="0" w:line="288" w:lineRule="auto"/>
        <w:contextualSpacing/>
        <w:jc w:val="both"/>
        <w:rPr>
          <w:rFonts w:eastAsia="SimSun" w:cs="Arial"/>
          <w:iCs/>
          <w:sz w:val="16"/>
          <w:szCs w:val="16"/>
          <w:lang w:eastAsia="zh-CN"/>
        </w:rPr>
      </w:pPr>
      <w:r w:rsidRPr="00010CAC">
        <w:rPr>
          <w:rFonts w:eastAsia="SimSun" w:cs="Arial"/>
          <w:iCs/>
          <w:sz w:val="16"/>
          <w:szCs w:val="16"/>
          <w:lang w:eastAsia="zh-CN"/>
        </w:rPr>
        <w:t xml:space="preserve">Vir: e-MA, MKRR, e-CA, </w:t>
      </w:r>
      <w:proofErr w:type="spellStart"/>
      <w:r w:rsidRPr="00010CAC">
        <w:rPr>
          <w:rFonts w:eastAsia="SimSun" w:cs="Arial"/>
          <w:iCs/>
          <w:sz w:val="16"/>
          <w:szCs w:val="16"/>
          <w:lang w:eastAsia="zh-CN"/>
        </w:rPr>
        <w:t>MFeRAC</w:t>
      </w:r>
      <w:proofErr w:type="spellEnd"/>
      <w:r w:rsidRPr="00010CAC">
        <w:rPr>
          <w:rFonts w:eastAsia="SimSun" w:cs="Arial"/>
          <w:iCs/>
          <w:sz w:val="16"/>
          <w:szCs w:val="16"/>
          <w:lang w:eastAsia="zh-CN"/>
        </w:rPr>
        <w:t>, MF</w:t>
      </w:r>
      <w:r w:rsidRPr="00010CAC" w:rsidDel="006979BB">
        <w:rPr>
          <w:rFonts w:eastAsia="SimSun" w:cs="Arial"/>
          <w:iCs/>
          <w:sz w:val="16"/>
          <w:szCs w:val="16"/>
          <w:lang w:eastAsia="zh-CN"/>
        </w:rPr>
        <w:t xml:space="preserve"> </w:t>
      </w:r>
    </w:p>
    <w:p w14:paraId="266A860C" w14:textId="77777777" w:rsidR="009D68EB" w:rsidRPr="00010CAC" w:rsidRDefault="009D68EB" w:rsidP="00ED5676">
      <w:pPr>
        <w:spacing w:after="0" w:line="288" w:lineRule="auto"/>
        <w:contextualSpacing/>
        <w:jc w:val="both"/>
        <w:rPr>
          <w:rFonts w:eastAsia="SimSun" w:cs="Arial"/>
          <w:sz w:val="16"/>
          <w:szCs w:val="16"/>
          <w:lang w:eastAsia="zh-CN"/>
        </w:rPr>
      </w:pPr>
      <w:r w:rsidRPr="00010CAC">
        <w:rPr>
          <w:rFonts w:eastAsia="SimSun" w:cs="Arial"/>
          <w:sz w:val="16"/>
          <w:szCs w:val="16"/>
          <w:lang w:eastAsia="zh-CN"/>
        </w:rPr>
        <w:t>* Razpoložljiva sredstva/pravice porabe EKP za obdobje 2014−2020 (EU del) – OP EKP.</w:t>
      </w:r>
    </w:p>
    <w:p w14:paraId="5FA54F07" w14:textId="77777777" w:rsidR="009D68EB" w:rsidRPr="00010CAC" w:rsidRDefault="009D68EB" w:rsidP="00ED5676">
      <w:pPr>
        <w:spacing w:after="0" w:line="288" w:lineRule="auto"/>
        <w:jc w:val="both"/>
        <w:rPr>
          <w:rFonts w:eastAsia="Courier New" w:cs="Arial"/>
          <w:strike/>
          <w:color w:val="000000"/>
          <w:sz w:val="16"/>
          <w:szCs w:val="16"/>
          <w:lang w:bidi="sl-SI"/>
        </w:rPr>
      </w:pPr>
      <w:r w:rsidRPr="00010CAC">
        <w:rPr>
          <w:rFonts w:eastAsia="SimSun" w:cs="Arial"/>
          <w:sz w:val="16"/>
          <w:szCs w:val="16"/>
          <w:lang w:eastAsia="zh-CN"/>
        </w:rPr>
        <w:t xml:space="preserve">** Odločitve o podpori zajemajo vrednost vlog za posamezen projekt, program ali javni razpis/poziv, brez neupravičenih stroškov. </w:t>
      </w:r>
    </w:p>
    <w:p w14:paraId="63D5A31F" w14:textId="77777777" w:rsidR="009D68EB" w:rsidRPr="00010CAC" w:rsidRDefault="009D68EB" w:rsidP="00ED5676">
      <w:pPr>
        <w:spacing w:after="0" w:line="288" w:lineRule="auto"/>
        <w:contextualSpacing/>
        <w:jc w:val="both"/>
        <w:rPr>
          <w:rFonts w:cs="Arial"/>
          <w:color w:val="000000"/>
          <w:sz w:val="16"/>
          <w:szCs w:val="16"/>
        </w:rPr>
      </w:pPr>
      <w:r w:rsidRPr="00010CAC">
        <w:rPr>
          <w:rFonts w:cs="Arial"/>
          <w:color w:val="000000"/>
          <w:sz w:val="16"/>
          <w:szCs w:val="16"/>
        </w:rPr>
        <w:t>*** Potrjene operacije pomenijo pogodbe o sofinanciranju oziroma odločitve o podpori, kadar je upravičenec neposredni proračunski uporabnik.</w:t>
      </w:r>
    </w:p>
    <w:p w14:paraId="15DFC577" w14:textId="77777777" w:rsidR="009D68EB" w:rsidRPr="00010CAC" w:rsidRDefault="009D68EB" w:rsidP="00ED5676">
      <w:pPr>
        <w:spacing w:after="0" w:line="288" w:lineRule="auto"/>
        <w:contextualSpacing/>
        <w:jc w:val="both"/>
        <w:rPr>
          <w:rFonts w:cs="Arial"/>
          <w:color w:val="000000"/>
          <w:sz w:val="16"/>
          <w:szCs w:val="16"/>
        </w:rPr>
      </w:pPr>
      <w:r w:rsidRPr="00010CAC">
        <w:rPr>
          <w:rFonts w:cs="Arial"/>
          <w:color w:val="000000"/>
          <w:sz w:val="16"/>
          <w:szCs w:val="16"/>
        </w:rPr>
        <w:t xml:space="preserve">**** Izplačila iz državnega proračuna, vključno s prenesenimi sredstvi na Sklad skladov za izvajanje FI, ki pa se ne izkazujejo v bilanci prihodkov in odhodkov državnega proračuna (vir: </w:t>
      </w:r>
      <w:proofErr w:type="spellStart"/>
      <w:r w:rsidRPr="00010CAC">
        <w:rPr>
          <w:rFonts w:cs="Arial"/>
          <w:color w:val="000000"/>
          <w:sz w:val="16"/>
          <w:szCs w:val="16"/>
        </w:rPr>
        <w:t>MFeRAC</w:t>
      </w:r>
      <w:proofErr w:type="spellEnd"/>
      <w:r w:rsidRPr="00010CAC">
        <w:rPr>
          <w:rFonts w:cs="Arial"/>
          <w:color w:val="000000"/>
          <w:sz w:val="16"/>
          <w:szCs w:val="16"/>
        </w:rPr>
        <w:t>, izpis na dan 6. 1. 2025 za obdobje do 31. 12. 2024).</w:t>
      </w:r>
    </w:p>
    <w:p w14:paraId="106486AD" w14:textId="77777777" w:rsidR="00010CAC" w:rsidRDefault="00010CAC" w:rsidP="00ED5676">
      <w:pPr>
        <w:suppressAutoHyphens w:val="0"/>
        <w:autoSpaceDN/>
        <w:spacing w:after="0" w:line="288" w:lineRule="auto"/>
        <w:jc w:val="both"/>
        <w:rPr>
          <w:rFonts w:cs="Arial"/>
          <w:szCs w:val="20"/>
        </w:rPr>
        <w:sectPr w:rsidR="00010CAC" w:rsidSect="00010CAC">
          <w:pgSz w:w="16838" w:h="11906" w:orient="landscape" w:code="9"/>
          <w:pgMar w:top="1418" w:right="1418" w:bottom="1418" w:left="1418" w:header="709" w:footer="709" w:gutter="0"/>
          <w:cols w:space="708"/>
          <w:docGrid w:linePitch="272"/>
        </w:sectPr>
      </w:pPr>
      <w:bookmarkStart w:id="282" w:name="_Toc811375672"/>
      <w:bookmarkStart w:id="283" w:name="_Toc1843457698"/>
      <w:bookmarkStart w:id="284" w:name="_Toc729027369"/>
      <w:bookmarkStart w:id="285" w:name="_Toc80921757"/>
      <w:bookmarkStart w:id="286" w:name="_Toc1055577106"/>
      <w:bookmarkStart w:id="287" w:name="_Toc2948018"/>
      <w:bookmarkStart w:id="288" w:name="_Toc1821735555"/>
      <w:bookmarkStart w:id="289" w:name="_Toc1446957278"/>
      <w:bookmarkStart w:id="290" w:name="_Toc1661063000"/>
      <w:bookmarkStart w:id="291" w:name="_Toc1871060050"/>
      <w:bookmarkStart w:id="292" w:name="_Toc1026281747"/>
      <w:bookmarkStart w:id="293" w:name="_Toc1862091674"/>
      <w:bookmarkStart w:id="294" w:name="_Toc824125528"/>
      <w:bookmarkStart w:id="295" w:name="_Toc1285879383"/>
      <w:bookmarkStart w:id="296" w:name="_Toc569123638"/>
      <w:bookmarkStart w:id="297" w:name="_Toc594610043"/>
      <w:bookmarkStart w:id="298" w:name="_Toc1892669577"/>
      <w:bookmarkStart w:id="299" w:name="_Toc46972827"/>
      <w:bookmarkStart w:id="300" w:name="_Toc221889179"/>
      <w:bookmarkStart w:id="301" w:name="_Toc475393023"/>
      <w:bookmarkStart w:id="302" w:name="_Toc91161605"/>
      <w:bookmarkStart w:id="303" w:name="_Toc1053165452"/>
      <w:bookmarkStart w:id="304" w:name="_Toc1833083381"/>
      <w:bookmarkStart w:id="305" w:name="_Toc2133730676"/>
      <w:bookmarkStart w:id="306" w:name="_Toc1397773916"/>
      <w:bookmarkStart w:id="307" w:name="_Toc604090390"/>
      <w:bookmarkStart w:id="308" w:name="_Toc2069177793"/>
      <w:bookmarkStart w:id="309" w:name="_Toc195119792"/>
      <w:bookmarkStart w:id="310" w:name="_Toc361199476"/>
      <w:bookmarkStart w:id="311" w:name="_Toc620545563"/>
      <w:bookmarkStart w:id="312" w:name="_Toc613881824"/>
      <w:bookmarkStart w:id="313" w:name="_Toc186501154"/>
      <w:bookmarkStart w:id="314" w:name="_Toc1252741888"/>
      <w:bookmarkStart w:id="315" w:name="_Toc239607055"/>
      <w:bookmarkStart w:id="316" w:name="_Toc342921315"/>
      <w:bookmarkStart w:id="317" w:name="_Toc2013470784"/>
      <w:bookmarkStart w:id="318" w:name="_Toc413287133"/>
      <w:bookmarkStart w:id="319" w:name="_Toc1832139548"/>
      <w:bookmarkStart w:id="320" w:name="_Toc1861307263"/>
      <w:bookmarkStart w:id="321" w:name="_Toc1043929937"/>
      <w:bookmarkStart w:id="322" w:name="_Toc1890176500"/>
      <w:bookmarkStart w:id="323" w:name="_Toc159488908"/>
      <w:bookmarkStart w:id="324" w:name="_Toc759767702"/>
      <w:bookmarkStart w:id="325" w:name="_Toc548407367"/>
      <w:bookmarkStart w:id="326" w:name="_Toc257620840"/>
      <w:bookmarkStart w:id="327" w:name="_Toc183384745"/>
      <w:bookmarkStart w:id="328" w:name="_Toc1950889684"/>
      <w:bookmarkStart w:id="329" w:name="_Toc605404265"/>
      <w:bookmarkStart w:id="330" w:name="_Toc1255695709"/>
      <w:bookmarkStart w:id="331" w:name="_Toc35729077"/>
      <w:bookmarkStart w:id="332" w:name="_Toc1444113472"/>
      <w:bookmarkStart w:id="333" w:name="_Toc1457897120"/>
      <w:bookmarkStart w:id="334" w:name="_Toc1926144767"/>
      <w:bookmarkStart w:id="335" w:name="_Toc835963338"/>
      <w:bookmarkStart w:id="336" w:name="_Toc1014356761"/>
      <w:bookmarkStart w:id="337" w:name="_Toc896184705"/>
      <w:bookmarkStart w:id="338" w:name="_Toc1628657584"/>
      <w:bookmarkStart w:id="339" w:name="_Toc244308402"/>
      <w:bookmarkStart w:id="340" w:name="_Toc2022064560"/>
      <w:bookmarkStart w:id="341" w:name="_Toc148558712"/>
      <w:bookmarkStart w:id="342" w:name="_Toc1241176962"/>
      <w:bookmarkStart w:id="343" w:name="_Toc1978413279"/>
      <w:bookmarkStart w:id="344" w:name="_Toc1225338773"/>
      <w:bookmarkStart w:id="345" w:name="_Toc190212744"/>
      <w:bookmarkStart w:id="346" w:name="_Toc66840986"/>
      <w:bookmarkStart w:id="347" w:name="_Toc1558468896"/>
      <w:bookmarkStart w:id="348" w:name="_Toc1918094453"/>
      <w:bookmarkStart w:id="349" w:name="_Toc1336806097"/>
      <w:bookmarkStart w:id="350" w:name="_Toc1675918993"/>
      <w:bookmarkStart w:id="351" w:name="_Toc173706820"/>
      <w:bookmarkStart w:id="352" w:name="_Toc1165862031"/>
      <w:bookmarkStart w:id="353" w:name="_Toc685981024"/>
      <w:bookmarkStart w:id="354" w:name="_Toc1099610023"/>
      <w:bookmarkStart w:id="355" w:name="_Toc1874646745"/>
      <w:bookmarkStart w:id="356" w:name="_Toc795837407"/>
      <w:bookmarkStart w:id="357" w:name="_Toc80713222"/>
      <w:bookmarkStart w:id="358" w:name="_Toc1104131031"/>
      <w:bookmarkStart w:id="359" w:name="_Toc1001529094"/>
      <w:bookmarkStart w:id="360" w:name="_Toc457496576"/>
      <w:bookmarkStart w:id="361" w:name="_Toc793688986"/>
      <w:bookmarkStart w:id="362" w:name="_Toc805199105"/>
      <w:bookmarkStart w:id="363" w:name="_Toc1355812571"/>
      <w:bookmarkStart w:id="364" w:name="_Toc116269677"/>
      <w:bookmarkStart w:id="365" w:name="_Toc311431946"/>
      <w:bookmarkStart w:id="366" w:name="_Toc187739295"/>
      <w:bookmarkStart w:id="367" w:name="_Toc187740028"/>
    </w:p>
    <w:p w14:paraId="49F30B46" w14:textId="77777777" w:rsidR="0007777C" w:rsidRPr="0025033E" w:rsidRDefault="0007777C" w:rsidP="00ED5676">
      <w:pPr>
        <w:suppressAutoHyphens w:val="0"/>
        <w:autoSpaceDN/>
        <w:spacing w:after="0" w:line="288" w:lineRule="auto"/>
        <w:jc w:val="both"/>
        <w:rPr>
          <w:rFonts w:cs="Arial"/>
          <w:color w:val="FF0000"/>
          <w:szCs w:val="20"/>
        </w:rPr>
      </w:pPr>
      <w:r w:rsidRPr="0025033E">
        <w:rPr>
          <w:rFonts w:cs="Arial"/>
          <w:szCs w:val="20"/>
        </w:rPr>
        <w:lastRenderedPageBreak/>
        <w:t xml:space="preserve">V celotnem obdobju izvajanja je bilo do konca decembra 2024: </w:t>
      </w:r>
    </w:p>
    <w:p w14:paraId="0C04517A" w14:textId="7B6244BC" w:rsidR="0007777C" w:rsidRPr="004D2657" w:rsidRDefault="0007777C" w:rsidP="009864BC">
      <w:pPr>
        <w:numPr>
          <w:ilvl w:val="0"/>
          <w:numId w:val="8"/>
        </w:numPr>
        <w:suppressAutoHyphens w:val="0"/>
        <w:autoSpaceDN/>
        <w:spacing w:after="0" w:line="288" w:lineRule="auto"/>
        <w:jc w:val="both"/>
        <w:rPr>
          <w:rFonts w:cs="Arial"/>
          <w:szCs w:val="20"/>
        </w:rPr>
      </w:pPr>
      <w:r w:rsidRPr="004D2657">
        <w:rPr>
          <w:rFonts w:cs="Arial"/>
          <w:szCs w:val="20"/>
        </w:rPr>
        <w:t xml:space="preserve">odločitve o podpori v skupni vrednosti </w:t>
      </w:r>
      <w:r w:rsidR="00010CAC" w:rsidRPr="00010CAC">
        <w:rPr>
          <w:rFonts w:eastAsia="SimSun" w:cs="Arial"/>
          <w:szCs w:val="20"/>
          <w:lang w:eastAsia="zh-CN"/>
        </w:rPr>
        <w:t>3.825.134.553</w:t>
      </w:r>
      <w:r w:rsidR="00010CAC">
        <w:rPr>
          <w:rFonts w:eastAsia="SimSun" w:cs="Arial"/>
          <w:szCs w:val="20"/>
          <w:lang w:eastAsia="zh-CN"/>
        </w:rPr>
        <w:t xml:space="preserve"> </w:t>
      </w:r>
      <w:r w:rsidRPr="004D2657">
        <w:rPr>
          <w:rFonts w:cs="Arial"/>
          <w:szCs w:val="20"/>
        </w:rPr>
        <w:t>EUR (EU del), kar je 11</w:t>
      </w:r>
      <w:r w:rsidR="00010CAC">
        <w:rPr>
          <w:rFonts w:cs="Arial"/>
          <w:szCs w:val="20"/>
        </w:rPr>
        <w:t>5</w:t>
      </w:r>
      <w:r w:rsidRPr="004D2657">
        <w:rPr>
          <w:rFonts w:cs="Arial"/>
          <w:szCs w:val="20"/>
        </w:rPr>
        <w:t xml:space="preserve"> % vseh razpoložljivih sredstev;</w:t>
      </w:r>
    </w:p>
    <w:p w14:paraId="1CB66F05" w14:textId="0725460F" w:rsidR="0007777C" w:rsidRPr="004D2657" w:rsidRDefault="0007777C" w:rsidP="009864BC">
      <w:pPr>
        <w:numPr>
          <w:ilvl w:val="0"/>
          <w:numId w:val="6"/>
        </w:numPr>
        <w:suppressAutoHyphens w:val="0"/>
        <w:autoSpaceDN/>
        <w:spacing w:after="0" w:line="288" w:lineRule="auto"/>
        <w:jc w:val="both"/>
        <w:rPr>
          <w:rFonts w:cs="Arial"/>
          <w:szCs w:val="20"/>
        </w:rPr>
      </w:pPr>
      <w:r w:rsidRPr="004D2657">
        <w:rPr>
          <w:rFonts w:cs="Arial"/>
          <w:szCs w:val="20"/>
        </w:rPr>
        <w:t xml:space="preserve">znesek potrjenih operacij v skupni vrednosti </w:t>
      </w:r>
      <w:r w:rsidR="00010CAC" w:rsidRPr="00010CAC">
        <w:rPr>
          <w:rFonts w:eastAsia="SimSun" w:cs="Arial"/>
          <w:szCs w:val="20"/>
          <w:lang w:eastAsia="zh-CN"/>
        </w:rPr>
        <w:t>3.694.520.761</w:t>
      </w:r>
      <w:r w:rsidRPr="004D2657">
        <w:rPr>
          <w:rFonts w:eastAsia="SimSun" w:cs="Arial"/>
          <w:szCs w:val="20"/>
          <w:lang w:eastAsia="zh-CN"/>
        </w:rPr>
        <w:t xml:space="preserve"> </w:t>
      </w:r>
      <w:r w:rsidRPr="004D2657">
        <w:rPr>
          <w:rFonts w:cs="Arial"/>
          <w:szCs w:val="20"/>
        </w:rPr>
        <w:t>EUR (EU del), kar je 111 % razpoložljivih sredstev;</w:t>
      </w:r>
    </w:p>
    <w:p w14:paraId="1DCDC10D" w14:textId="43694090" w:rsidR="0007777C" w:rsidRPr="004D2657" w:rsidRDefault="0007777C" w:rsidP="009864BC">
      <w:pPr>
        <w:numPr>
          <w:ilvl w:val="0"/>
          <w:numId w:val="6"/>
        </w:numPr>
        <w:suppressAutoHyphens w:val="0"/>
        <w:autoSpaceDN/>
        <w:spacing w:after="0" w:line="288" w:lineRule="auto"/>
        <w:jc w:val="both"/>
        <w:rPr>
          <w:rFonts w:cs="Arial"/>
          <w:szCs w:val="20"/>
        </w:rPr>
      </w:pPr>
      <w:r w:rsidRPr="004D2657">
        <w:rPr>
          <w:rFonts w:cs="Arial"/>
          <w:szCs w:val="20"/>
        </w:rPr>
        <w:t xml:space="preserve">izplačila iz državnega proračuna v skupni vrednosti </w:t>
      </w:r>
      <w:r w:rsidR="002628D4" w:rsidRPr="002628D4">
        <w:rPr>
          <w:rFonts w:eastAsia="SimSun" w:cs="Arial"/>
          <w:szCs w:val="20"/>
          <w:lang w:eastAsia="zh-CN"/>
        </w:rPr>
        <w:t>3.553.538.954</w:t>
      </w:r>
      <w:r w:rsidR="002628D4">
        <w:rPr>
          <w:rFonts w:eastAsia="SimSun" w:cs="Arial"/>
          <w:szCs w:val="20"/>
          <w:lang w:eastAsia="zh-CN"/>
        </w:rPr>
        <w:t xml:space="preserve"> </w:t>
      </w:r>
      <w:r w:rsidRPr="004D2657">
        <w:rPr>
          <w:rFonts w:cs="Arial"/>
          <w:szCs w:val="20"/>
        </w:rPr>
        <w:t>EUR (EU del), kar je 10</w:t>
      </w:r>
      <w:r w:rsidR="002628D4">
        <w:rPr>
          <w:rFonts w:cs="Arial"/>
          <w:szCs w:val="20"/>
        </w:rPr>
        <w:t>6</w:t>
      </w:r>
      <w:r w:rsidRPr="004D2657">
        <w:rPr>
          <w:rFonts w:cs="Arial"/>
          <w:szCs w:val="20"/>
        </w:rPr>
        <w:t xml:space="preserve"> % razpoložljivih sredstev. </w:t>
      </w:r>
    </w:p>
    <w:p w14:paraId="697EA869" w14:textId="77777777" w:rsidR="0007777C" w:rsidRPr="0025033E" w:rsidRDefault="0007777C" w:rsidP="00ED5676">
      <w:pPr>
        <w:suppressAutoHyphens w:val="0"/>
        <w:autoSpaceDE w:val="0"/>
        <w:adjustRightInd w:val="0"/>
        <w:spacing w:after="0" w:line="288" w:lineRule="auto"/>
        <w:jc w:val="both"/>
        <w:rPr>
          <w:rFonts w:cs="Arial"/>
          <w:i/>
          <w:szCs w:val="20"/>
        </w:rPr>
      </w:pPr>
    </w:p>
    <w:p w14:paraId="3B0FC4F2" w14:textId="638809DC" w:rsidR="0007777C" w:rsidRPr="0025033E" w:rsidRDefault="0007777C" w:rsidP="00ED5676">
      <w:pPr>
        <w:suppressAutoHyphens w:val="0"/>
        <w:autoSpaceDE w:val="0"/>
        <w:adjustRightInd w:val="0"/>
        <w:spacing w:after="0" w:line="288" w:lineRule="auto"/>
        <w:jc w:val="both"/>
        <w:rPr>
          <w:rFonts w:cs="Arial"/>
          <w:bCs/>
          <w:szCs w:val="20"/>
        </w:rPr>
      </w:pPr>
      <w:r w:rsidRPr="0025033E">
        <w:rPr>
          <w:rFonts w:cs="Arial"/>
          <w:szCs w:val="20"/>
        </w:rPr>
        <w:t>Z odločitvami o podpori odobrena sredstva presegajo razpoložljive pravice porabe (preko 100 %) z namenom, da končna praviloma nižja realizacija povračil iz evropskega proračuna (zaradi ugotovljenih neupravičenih izdatkov, nižje realiziranih izplačil od načrtovanih, odstopov od sofinanciranja ipd.) še vedno omogoči 100</w:t>
      </w:r>
      <w:r w:rsidR="0072108C" w:rsidRPr="0025033E">
        <w:rPr>
          <w:rFonts w:cs="Arial"/>
          <w:szCs w:val="20"/>
        </w:rPr>
        <w:t xml:space="preserve"> % </w:t>
      </w:r>
      <w:r w:rsidRPr="0025033E">
        <w:rPr>
          <w:rFonts w:cs="Arial"/>
          <w:szCs w:val="20"/>
        </w:rPr>
        <w:t xml:space="preserve">porabo razpoložljivih sredstev in doseganje ciljev OP EKP (gre za </w:t>
      </w:r>
      <w:proofErr w:type="spellStart"/>
      <w:r w:rsidRPr="0025033E">
        <w:rPr>
          <w:rFonts w:cs="Arial"/>
          <w:szCs w:val="20"/>
        </w:rPr>
        <w:t>t.i</w:t>
      </w:r>
      <w:proofErr w:type="spellEnd"/>
      <w:r w:rsidRPr="0025033E">
        <w:rPr>
          <w:rFonts w:cs="Arial"/>
          <w:szCs w:val="20"/>
        </w:rPr>
        <w:t xml:space="preserve">. </w:t>
      </w:r>
      <w:proofErr w:type="spellStart"/>
      <w:r w:rsidRPr="0025033E">
        <w:rPr>
          <w:rFonts w:cs="Arial"/>
          <w:szCs w:val="20"/>
        </w:rPr>
        <w:t>overcommitment</w:t>
      </w:r>
      <w:proofErr w:type="spellEnd"/>
      <w:r w:rsidRPr="0025033E">
        <w:rPr>
          <w:rFonts w:cs="Arial"/>
          <w:szCs w:val="20"/>
        </w:rPr>
        <w:t>, ki pomeni zagotavljanje dodatnih pravic porabe nad pravicami porabe OP EKP in je potrebno na prednostnih naložbah, kjer je višje tveganje za nedoseganje 100</w:t>
      </w:r>
      <w:r w:rsidR="0072108C" w:rsidRPr="0025033E">
        <w:rPr>
          <w:rFonts w:cs="Arial"/>
          <w:szCs w:val="20"/>
        </w:rPr>
        <w:t xml:space="preserve"> % </w:t>
      </w:r>
      <w:r w:rsidRPr="0025033E">
        <w:rPr>
          <w:rFonts w:cs="Arial"/>
          <w:szCs w:val="20"/>
        </w:rPr>
        <w:t xml:space="preserve">koriščenja EU sredstev). </w:t>
      </w:r>
      <w:r w:rsidRPr="0025033E">
        <w:rPr>
          <w:rFonts w:cs="Arial"/>
          <w:bCs/>
          <w:szCs w:val="20"/>
        </w:rPr>
        <w:t xml:space="preserve">OU redno spremlja izvajanje OP EKP in sprejema ustrezne ukrepe z namenom stoodstotne porabe razpoložljivih sredstev in doseganja ciljev OP EKP. </w:t>
      </w:r>
    </w:p>
    <w:p w14:paraId="67035AF8" w14:textId="77777777" w:rsidR="0007777C" w:rsidRPr="0025033E" w:rsidRDefault="0007777C" w:rsidP="00ED5676">
      <w:pPr>
        <w:suppressAutoHyphens w:val="0"/>
        <w:autoSpaceDE w:val="0"/>
        <w:adjustRightInd w:val="0"/>
        <w:spacing w:after="0" w:line="288" w:lineRule="auto"/>
        <w:jc w:val="both"/>
        <w:rPr>
          <w:rFonts w:cs="Arial"/>
          <w:bCs/>
          <w:szCs w:val="20"/>
        </w:rPr>
      </w:pPr>
    </w:p>
    <w:p w14:paraId="2C661026" w14:textId="77777777" w:rsidR="0007777C" w:rsidRPr="0025033E" w:rsidRDefault="0007777C" w:rsidP="00ED5676">
      <w:pPr>
        <w:suppressAutoHyphens w:val="0"/>
        <w:autoSpaceDE w:val="0"/>
        <w:adjustRightInd w:val="0"/>
        <w:spacing w:after="0" w:line="288" w:lineRule="auto"/>
        <w:jc w:val="both"/>
        <w:rPr>
          <w:rFonts w:cs="Arial"/>
          <w:szCs w:val="20"/>
        </w:rPr>
      </w:pPr>
      <w:r w:rsidRPr="0025033E">
        <w:rPr>
          <w:rFonts w:cs="Arial"/>
          <w:szCs w:val="20"/>
        </w:rPr>
        <w:t xml:space="preserve">Izvajanje evropske kohezijske politike je potekalo v okviru 11 prednostnih osi, ki so tematsko določale cilje in ukrepe. Naknadno sta bili dodani še dve prednostni osi kot odziv na pandemijo covida-19: </w:t>
      </w:r>
    </w:p>
    <w:p w14:paraId="62865F63"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1. PREDNOSTNA OS: Mednarodna konkurenčnost raziskav, inovacij in tehnološkega razvoja v skladu s pametno specializacijo za večjo konkurenčnost in ozelenitev gospodarstva;</w:t>
      </w:r>
    </w:p>
    <w:p w14:paraId="58065425"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2. PREDNOSTNA OS: Povečanje dostopnosti do informacijsko-komunikacijskih tehnologij ter njihove uporabe in kakovosti;</w:t>
      </w:r>
    </w:p>
    <w:p w14:paraId="05D700F6"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3. PREDNOSTNA OS: Dinamično in konkurenčno podjetništvo za zeleno gospodarsko rast;</w:t>
      </w:r>
    </w:p>
    <w:p w14:paraId="244C97F7"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4. PREDNOSTNA OS: Trajnostna raba in proizvodnja energije in pametna omrežja;</w:t>
      </w:r>
    </w:p>
    <w:p w14:paraId="296E93DB"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5. PREDNOSTNA OS: Prilagajanje podnebnim spremembam;</w:t>
      </w:r>
    </w:p>
    <w:p w14:paraId="122B0A15"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6. PREDNOSTNA OS: Boljše stanje okolja in biotske raznovrstnosti;</w:t>
      </w:r>
    </w:p>
    <w:p w14:paraId="182E9316"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7. PREDNOSTNA OS: Gradnja infrastrukture in ukrepi za spodbujanje trajnostne mobilnosti;</w:t>
      </w:r>
    </w:p>
    <w:p w14:paraId="4DCD6318"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8. PREDNOSTNA OS: Spodbujanje zaposlovanja in transnacionalna mobilnost delovne sile;</w:t>
      </w:r>
    </w:p>
    <w:p w14:paraId="5B5F8115"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9. PREDNOSTNA OS: Socialna vključenost in zmanjševanje tveganja revščine;</w:t>
      </w:r>
    </w:p>
    <w:p w14:paraId="79E7FC02"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10. PREDNOSTNA OS: Znanje, spretnosti in vseživljenjsko učenje za boljšo zaposljivost;</w:t>
      </w:r>
    </w:p>
    <w:p w14:paraId="53BBE2D2"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11. PREDNOSTNA OS Pravna država, izboljšanje institucionalnih zmogljivosti, učinkovita javna uprava, podpora razvoju NVO in krepitev zmogljivosti socialnih partnerjev;</w:t>
      </w:r>
    </w:p>
    <w:p w14:paraId="69F96322"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12. PREDNOSTNA OS: Tehnična podpora KS;</w:t>
      </w:r>
    </w:p>
    <w:p w14:paraId="1F5D0F2E"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13. PREDNOSTNA OS: Tehnična podpora ESRR;</w:t>
      </w:r>
    </w:p>
    <w:p w14:paraId="501C2CE7"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14. PREDNOSTNA OS: Tehnična podpora ESS;</w:t>
      </w:r>
    </w:p>
    <w:p w14:paraId="63F387E9"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pPr>
      <w:r w:rsidRPr="0025033E">
        <w:rPr>
          <w:rFonts w:cs="Arial"/>
          <w:szCs w:val="20"/>
        </w:rPr>
        <w:t>15. PREDNOSTNA OS: Spodbujanje odprave posledic krize v okviru REACT-EU – ESRR</w:t>
      </w:r>
    </w:p>
    <w:p w14:paraId="043E9FAA" w14:textId="77777777" w:rsidR="0007777C" w:rsidRPr="0025033E" w:rsidRDefault="0007777C" w:rsidP="009864BC">
      <w:pPr>
        <w:numPr>
          <w:ilvl w:val="0"/>
          <w:numId w:val="7"/>
        </w:numPr>
        <w:suppressAutoHyphens w:val="0"/>
        <w:autoSpaceDE w:val="0"/>
        <w:autoSpaceDN/>
        <w:adjustRightInd w:val="0"/>
        <w:spacing w:after="0" w:line="288" w:lineRule="auto"/>
        <w:jc w:val="both"/>
        <w:rPr>
          <w:rFonts w:cs="Arial"/>
          <w:szCs w:val="20"/>
        </w:rPr>
        <w:sectPr w:rsidR="0007777C" w:rsidRPr="0025033E" w:rsidSect="00014A15">
          <w:pgSz w:w="11906" w:h="16838" w:code="9"/>
          <w:pgMar w:top="1418" w:right="1418" w:bottom="1418" w:left="1418" w:header="709" w:footer="709" w:gutter="0"/>
          <w:cols w:space="708"/>
          <w:docGrid w:linePitch="272"/>
        </w:sectPr>
      </w:pPr>
      <w:r w:rsidRPr="0025033E">
        <w:rPr>
          <w:rFonts w:cs="Arial"/>
          <w:szCs w:val="20"/>
        </w:rPr>
        <w:t>16. PREDNOSTNA OS: Spodbujanje odprave posledic krize v okviru REACT-EU – ESS.</w:t>
      </w:r>
    </w:p>
    <w:p w14:paraId="0C6212A1" w14:textId="77958CDC" w:rsidR="0007777C" w:rsidRDefault="0007777C" w:rsidP="00ED5676">
      <w:pPr>
        <w:pStyle w:val="Napis"/>
        <w:keepNext/>
        <w:spacing w:after="0"/>
        <w:jc w:val="both"/>
        <w:rPr>
          <w:rFonts w:cs="Arial"/>
          <w:b w:val="0"/>
          <w:bCs w:val="0"/>
        </w:rPr>
      </w:pPr>
      <w:bookmarkStart w:id="368" w:name="_Toc191386693"/>
      <w:r w:rsidRPr="0025033E">
        <w:rPr>
          <w:rFonts w:cs="Arial"/>
          <w:b w:val="0"/>
          <w:bCs w:val="0"/>
        </w:rPr>
        <w:lastRenderedPageBreak/>
        <w:t xml:space="preserve">Tabela </w:t>
      </w:r>
      <w:r w:rsidRPr="0025033E">
        <w:rPr>
          <w:rFonts w:cs="Arial"/>
          <w:b w:val="0"/>
          <w:bCs w:val="0"/>
        </w:rPr>
        <w:fldChar w:fldCharType="begin"/>
      </w:r>
      <w:r w:rsidRPr="0025033E">
        <w:rPr>
          <w:rFonts w:cs="Arial"/>
          <w:b w:val="0"/>
          <w:bCs w:val="0"/>
        </w:rPr>
        <w:instrText xml:space="preserve"> SEQ Tabela \* ARABIC </w:instrText>
      </w:r>
      <w:r w:rsidRPr="0025033E">
        <w:rPr>
          <w:rFonts w:cs="Arial"/>
          <w:b w:val="0"/>
          <w:bCs w:val="0"/>
        </w:rPr>
        <w:fldChar w:fldCharType="separate"/>
      </w:r>
      <w:r w:rsidR="00476D26" w:rsidRPr="0025033E">
        <w:rPr>
          <w:rFonts w:cs="Arial"/>
          <w:b w:val="0"/>
          <w:bCs w:val="0"/>
          <w:noProof/>
        </w:rPr>
        <w:t>2</w:t>
      </w:r>
      <w:r w:rsidRPr="0025033E">
        <w:rPr>
          <w:rFonts w:cs="Arial"/>
          <w:b w:val="0"/>
          <w:bCs w:val="0"/>
        </w:rPr>
        <w:fldChar w:fldCharType="end"/>
      </w:r>
      <w:r w:rsidRPr="0025033E">
        <w:rPr>
          <w:rFonts w:cs="Arial"/>
          <w:b w:val="0"/>
          <w:bCs w:val="0"/>
        </w:rPr>
        <w:t>: Stanje izvajanja po prednostnih oseh skupaj (</w:t>
      </w:r>
      <w:proofErr w:type="spellStart"/>
      <w:r w:rsidRPr="0025033E">
        <w:rPr>
          <w:rFonts w:cs="Arial"/>
          <w:b w:val="0"/>
          <w:bCs w:val="0"/>
        </w:rPr>
        <w:t>vklj</w:t>
      </w:r>
      <w:proofErr w:type="spellEnd"/>
      <w:r w:rsidRPr="0025033E">
        <w:rPr>
          <w:rFonts w:cs="Arial"/>
          <w:b w:val="0"/>
          <w:bCs w:val="0"/>
        </w:rPr>
        <w:t xml:space="preserve">. </w:t>
      </w:r>
      <w:proofErr w:type="spellStart"/>
      <w:r w:rsidRPr="0025033E">
        <w:rPr>
          <w:rFonts w:cs="Arial"/>
          <w:b w:val="0"/>
          <w:bCs w:val="0"/>
        </w:rPr>
        <w:t>React</w:t>
      </w:r>
      <w:proofErr w:type="spellEnd"/>
      <w:r w:rsidRPr="0025033E">
        <w:rPr>
          <w:rFonts w:cs="Arial"/>
          <w:b w:val="0"/>
          <w:bCs w:val="0"/>
        </w:rPr>
        <w:t>-EU): obdobje od 1. 1. 2014 do 31. 12. 2024</w:t>
      </w:r>
      <w:bookmarkEnd w:id="368"/>
    </w:p>
    <w:p w14:paraId="26247C46" w14:textId="77777777" w:rsidR="00DE0029" w:rsidRDefault="00DE0029" w:rsidP="00DE0029"/>
    <w:tbl>
      <w:tblPr>
        <w:tblW w:w="11200" w:type="dxa"/>
        <w:tblCellMar>
          <w:left w:w="0" w:type="dxa"/>
          <w:right w:w="0" w:type="dxa"/>
        </w:tblCellMar>
        <w:tblLook w:val="04A0" w:firstRow="1" w:lastRow="0" w:firstColumn="1" w:lastColumn="0" w:noHBand="0" w:noVBand="1"/>
      </w:tblPr>
      <w:tblGrid>
        <w:gridCol w:w="1500"/>
        <w:gridCol w:w="1640"/>
        <w:gridCol w:w="1560"/>
        <w:gridCol w:w="960"/>
        <w:gridCol w:w="1780"/>
        <w:gridCol w:w="1020"/>
        <w:gridCol w:w="1740"/>
        <w:gridCol w:w="1000"/>
      </w:tblGrid>
      <w:tr w:rsidR="00DE0029" w:rsidRPr="00DE0029" w14:paraId="4E56626D" w14:textId="77777777" w:rsidTr="00DE0029">
        <w:trPr>
          <w:trHeight w:val="850"/>
        </w:trPr>
        <w:tc>
          <w:tcPr>
            <w:tcW w:w="1500" w:type="dxa"/>
            <w:tcBorders>
              <w:top w:val="single" w:sz="8" w:space="0" w:color="auto"/>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14:paraId="28363F97" w14:textId="77777777" w:rsidR="00DE0029" w:rsidRPr="00DE0029" w:rsidRDefault="00DE0029" w:rsidP="00DE0029">
            <w:pPr>
              <w:rPr>
                <w:b/>
                <w:bCs/>
              </w:rPr>
            </w:pPr>
            <w:r w:rsidRPr="00DE0029">
              <w:rPr>
                <w:b/>
                <w:bCs/>
              </w:rPr>
              <w:t>Prednostna os</w:t>
            </w:r>
          </w:p>
        </w:tc>
        <w:tc>
          <w:tcPr>
            <w:tcW w:w="1640" w:type="dxa"/>
            <w:tcBorders>
              <w:top w:val="single" w:sz="8" w:space="0" w:color="auto"/>
              <w:left w:val="nil"/>
              <w:bottom w:val="single" w:sz="8" w:space="0" w:color="auto"/>
              <w:right w:val="nil"/>
            </w:tcBorders>
            <w:shd w:val="clear" w:color="auto" w:fill="DDEBF7"/>
            <w:tcMar>
              <w:top w:w="0" w:type="dxa"/>
              <w:left w:w="70" w:type="dxa"/>
              <w:bottom w:w="0" w:type="dxa"/>
              <w:right w:w="70" w:type="dxa"/>
            </w:tcMar>
            <w:vAlign w:val="center"/>
            <w:hideMark/>
          </w:tcPr>
          <w:p w14:paraId="443242DF" w14:textId="77777777" w:rsidR="00DE0029" w:rsidRPr="00DE0029" w:rsidRDefault="00DE0029" w:rsidP="00DE0029">
            <w:pPr>
              <w:rPr>
                <w:b/>
                <w:bCs/>
              </w:rPr>
            </w:pPr>
            <w:r w:rsidRPr="00DE0029">
              <w:rPr>
                <w:b/>
                <w:bCs/>
              </w:rPr>
              <w:t xml:space="preserve">Pravice porabe </w:t>
            </w:r>
          </w:p>
        </w:tc>
        <w:tc>
          <w:tcPr>
            <w:tcW w:w="1560" w:type="dxa"/>
            <w:tcBorders>
              <w:top w:val="single" w:sz="8" w:space="0" w:color="auto"/>
              <w:left w:val="single" w:sz="8" w:space="0" w:color="auto"/>
              <w:bottom w:val="single" w:sz="8" w:space="0" w:color="auto"/>
              <w:right w:val="nil"/>
            </w:tcBorders>
            <w:shd w:val="clear" w:color="auto" w:fill="DDEBF7"/>
            <w:tcMar>
              <w:top w:w="0" w:type="dxa"/>
              <w:left w:w="70" w:type="dxa"/>
              <w:bottom w:w="0" w:type="dxa"/>
              <w:right w:w="70" w:type="dxa"/>
            </w:tcMar>
            <w:vAlign w:val="center"/>
            <w:hideMark/>
          </w:tcPr>
          <w:p w14:paraId="573C35A2" w14:textId="77777777" w:rsidR="00DE0029" w:rsidRPr="00DE0029" w:rsidRDefault="00DE0029" w:rsidP="00DE0029">
            <w:pPr>
              <w:rPr>
                <w:b/>
                <w:bCs/>
              </w:rPr>
            </w:pPr>
            <w:r w:rsidRPr="00DE0029">
              <w:rPr>
                <w:b/>
                <w:bCs/>
              </w:rPr>
              <w:t>Odločitve o podpori 31.12.2024</w:t>
            </w:r>
          </w:p>
        </w:tc>
        <w:tc>
          <w:tcPr>
            <w:tcW w:w="960" w:type="dxa"/>
            <w:tcBorders>
              <w:top w:val="single" w:sz="8" w:space="0" w:color="auto"/>
              <w:left w:val="single" w:sz="8" w:space="0" w:color="auto"/>
              <w:bottom w:val="single" w:sz="8" w:space="0" w:color="auto"/>
              <w:right w:val="nil"/>
            </w:tcBorders>
            <w:shd w:val="clear" w:color="auto" w:fill="DDEBF7"/>
            <w:tcMar>
              <w:top w:w="0" w:type="dxa"/>
              <w:left w:w="70" w:type="dxa"/>
              <w:bottom w:w="0" w:type="dxa"/>
              <w:right w:w="70" w:type="dxa"/>
            </w:tcMar>
            <w:vAlign w:val="center"/>
            <w:hideMark/>
          </w:tcPr>
          <w:p w14:paraId="3BE272C6" w14:textId="77777777" w:rsidR="00DE0029" w:rsidRPr="00DE0029" w:rsidRDefault="00DE0029" w:rsidP="00DE0029">
            <w:pPr>
              <w:rPr>
                <w:b/>
                <w:bCs/>
              </w:rPr>
            </w:pPr>
            <w:r w:rsidRPr="00DE0029">
              <w:rPr>
                <w:b/>
                <w:bCs/>
              </w:rPr>
              <w:t>% glede na pravice porabe</w:t>
            </w:r>
          </w:p>
        </w:tc>
        <w:tc>
          <w:tcPr>
            <w:tcW w:w="1780" w:type="dxa"/>
            <w:tcBorders>
              <w:top w:val="single" w:sz="8" w:space="0" w:color="auto"/>
              <w:left w:val="single" w:sz="8" w:space="0" w:color="auto"/>
              <w:bottom w:val="single" w:sz="8" w:space="0" w:color="auto"/>
              <w:right w:val="nil"/>
            </w:tcBorders>
            <w:shd w:val="clear" w:color="auto" w:fill="DDEBF7"/>
            <w:tcMar>
              <w:top w:w="0" w:type="dxa"/>
              <w:left w:w="70" w:type="dxa"/>
              <w:bottom w:w="0" w:type="dxa"/>
              <w:right w:w="70" w:type="dxa"/>
            </w:tcMar>
            <w:vAlign w:val="center"/>
            <w:hideMark/>
          </w:tcPr>
          <w:p w14:paraId="7959F77C" w14:textId="77777777" w:rsidR="00DE0029" w:rsidRPr="00DE0029" w:rsidRDefault="00DE0029" w:rsidP="00DE0029">
            <w:pPr>
              <w:rPr>
                <w:b/>
                <w:bCs/>
              </w:rPr>
            </w:pPr>
            <w:r w:rsidRPr="00DE0029">
              <w:rPr>
                <w:b/>
                <w:bCs/>
              </w:rPr>
              <w:t>Potrjene operacije 31.12.2024</w:t>
            </w:r>
          </w:p>
        </w:tc>
        <w:tc>
          <w:tcPr>
            <w:tcW w:w="1020" w:type="dxa"/>
            <w:tcBorders>
              <w:top w:val="single" w:sz="8" w:space="0" w:color="auto"/>
              <w:left w:val="single" w:sz="8" w:space="0" w:color="auto"/>
              <w:bottom w:val="single" w:sz="8" w:space="0" w:color="auto"/>
              <w:right w:val="nil"/>
            </w:tcBorders>
            <w:shd w:val="clear" w:color="auto" w:fill="DDEBF7"/>
            <w:tcMar>
              <w:top w:w="0" w:type="dxa"/>
              <w:left w:w="70" w:type="dxa"/>
              <w:bottom w:w="0" w:type="dxa"/>
              <w:right w:w="70" w:type="dxa"/>
            </w:tcMar>
            <w:vAlign w:val="center"/>
            <w:hideMark/>
          </w:tcPr>
          <w:p w14:paraId="0B783CEC" w14:textId="77777777" w:rsidR="00DE0029" w:rsidRPr="00DE0029" w:rsidRDefault="00DE0029" w:rsidP="00DE0029">
            <w:pPr>
              <w:rPr>
                <w:b/>
                <w:bCs/>
              </w:rPr>
            </w:pPr>
            <w:r w:rsidRPr="00DE0029">
              <w:rPr>
                <w:b/>
                <w:bCs/>
              </w:rPr>
              <w:t>% glede na pravice porabe</w:t>
            </w:r>
          </w:p>
        </w:tc>
        <w:tc>
          <w:tcPr>
            <w:tcW w:w="1740" w:type="dxa"/>
            <w:tcBorders>
              <w:top w:val="single" w:sz="8" w:space="0" w:color="auto"/>
              <w:left w:val="single" w:sz="8" w:space="0" w:color="auto"/>
              <w:bottom w:val="single" w:sz="8" w:space="0" w:color="auto"/>
              <w:right w:val="nil"/>
            </w:tcBorders>
            <w:shd w:val="clear" w:color="auto" w:fill="DDEBF7"/>
            <w:tcMar>
              <w:top w:w="0" w:type="dxa"/>
              <w:left w:w="70" w:type="dxa"/>
              <w:bottom w:w="0" w:type="dxa"/>
              <w:right w:w="70" w:type="dxa"/>
            </w:tcMar>
            <w:vAlign w:val="center"/>
            <w:hideMark/>
          </w:tcPr>
          <w:p w14:paraId="1EC5DA5D" w14:textId="77777777" w:rsidR="00DE0029" w:rsidRPr="00DE0029" w:rsidRDefault="00DE0029" w:rsidP="00DE0029">
            <w:pPr>
              <w:rPr>
                <w:b/>
                <w:bCs/>
              </w:rPr>
            </w:pPr>
            <w:r w:rsidRPr="00DE0029">
              <w:rPr>
                <w:b/>
                <w:bCs/>
              </w:rPr>
              <w:t>Izplačila iz DP 31.12.2024</w:t>
            </w:r>
          </w:p>
        </w:tc>
        <w:tc>
          <w:tcPr>
            <w:tcW w:w="1000" w:type="dxa"/>
            <w:tcBorders>
              <w:top w:val="single" w:sz="8" w:space="0" w:color="auto"/>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14:paraId="2756F735" w14:textId="77777777" w:rsidR="00DE0029" w:rsidRPr="00DE0029" w:rsidRDefault="00DE0029" w:rsidP="00DE0029">
            <w:pPr>
              <w:rPr>
                <w:b/>
                <w:bCs/>
              </w:rPr>
            </w:pPr>
            <w:r w:rsidRPr="00DE0029">
              <w:rPr>
                <w:b/>
                <w:bCs/>
              </w:rPr>
              <w:t>% glede na pravice porabe</w:t>
            </w:r>
          </w:p>
        </w:tc>
      </w:tr>
      <w:tr w:rsidR="00DE0029" w:rsidRPr="00DE0029" w14:paraId="54F4B378" w14:textId="77777777" w:rsidTr="00DE0029">
        <w:trPr>
          <w:trHeight w:val="29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30AD5F3" w14:textId="77777777" w:rsidR="00DE0029" w:rsidRPr="00DE0029" w:rsidRDefault="00DE0029" w:rsidP="00DE0029">
            <w:r w:rsidRPr="00DE0029">
              <w:t>1</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BEA9C3" w14:textId="77777777" w:rsidR="00DE0029" w:rsidRPr="00DE0029" w:rsidRDefault="00DE0029" w:rsidP="00DE0029">
            <w:r w:rsidRPr="00DE0029">
              <w:t>498.286.850</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83798C" w14:textId="77777777" w:rsidR="00DE0029" w:rsidRPr="00DE0029" w:rsidRDefault="00DE0029" w:rsidP="00DE0029">
            <w:r w:rsidRPr="00DE0029">
              <w:t>505.045.868</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DAFCA7" w14:textId="77777777" w:rsidR="00DE0029" w:rsidRPr="00DE0029" w:rsidRDefault="00DE0029" w:rsidP="00DE0029">
            <w:r w:rsidRPr="00DE0029">
              <w:t>101%</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1B51D6" w14:textId="77777777" w:rsidR="00DE0029" w:rsidRPr="00DE0029" w:rsidRDefault="00DE0029" w:rsidP="00DE0029">
            <w:r w:rsidRPr="00DE0029">
              <w:t>495.549.682</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F36F1" w14:textId="77777777" w:rsidR="00DE0029" w:rsidRPr="00DE0029" w:rsidRDefault="00DE0029" w:rsidP="00DE0029">
            <w:r w:rsidRPr="00DE0029">
              <w:t>99%</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8B77DE" w14:textId="77777777" w:rsidR="00DE0029" w:rsidRPr="00DE0029" w:rsidRDefault="00DE0029" w:rsidP="00DE0029">
            <w:r w:rsidRPr="00DE0029">
              <w:t>460.508.774</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8261F4" w14:textId="77777777" w:rsidR="00DE0029" w:rsidRPr="00DE0029" w:rsidRDefault="00DE0029" w:rsidP="00DE0029">
            <w:r w:rsidRPr="00DE0029">
              <w:t>92%</w:t>
            </w:r>
          </w:p>
        </w:tc>
      </w:tr>
      <w:tr w:rsidR="00DE0029" w:rsidRPr="00DE0029" w14:paraId="6F51EFDF" w14:textId="77777777" w:rsidTr="00DE0029">
        <w:trPr>
          <w:trHeight w:val="29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A95D6BD" w14:textId="77777777" w:rsidR="00DE0029" w:rsidRPr="00DE0029" w:rsidRDefault="00DE0029" w:rsidP="00DE0029">
            <w:r w:rsidRPr="00DE0029">
              <w:t>2</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5BE9D2" w14:textId="77777777" w:rsidR="00DE0029" w:rsidRPr="00DE0029" w:rsidRDefault="00DE0029" w:rsidP="00DE0029">
            <w:r w:rsidRPr="00DE0029">
              <w:t>34.391.185</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262355" w14:textId="77777777" w:rsidR="00DE0029" w:rsidRPr="00DE0029" w:rsidRDefault="00DE0029" w:rsidP="00DE0029">
            <w:r w:rsidRPr="00DE0029">
              <w:t>42.403.352</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26726F" w14:textId="77777777" w:rsidR="00DE0029" w:rsidRPr="00DE0029" w:rsidRDefault="00DE0029" w:rsidP="00DE0029">
            <w:r w:rsidRPr="00DE0029">
              <w:t>123%</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00DE3A" w14:textId="77777777" w:rsidR="00DE0029" w:rsidRPr="00DE0029" w:rsidRDefault="00DE0029" w:rsidP="00DE0029">
            <w:r w:rsidRPr="00DE0029">
              <w:t>34.148.439</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59F8A3" w14:textId="77777777" w:rsidR="00DE0029" w:rsidRPr="00DE0029" w:rsidRDefault="00DE0029" w:rsidP="00DE0029">
            <w:r w:rsidRPr="00DE0029">
              <w:t>99%</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A46D71" w14:textId="77777777" w:rsidR="00DE0029" w:rsidRPr="00DE0029" w:rsidRDefault="00DE0029" w:rsidP="00DE0029">
            <w:r w:rsidRPr="00DE0029">
              <w:t>32.344.047</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0754ED" w14:textId="77777777" w:rsidR="00DE0029" w:rsidRPr="00DE0029" w:rsidRDefault="00DE0029" w:rsidP="00DE0029">
            <w:r w:rsidRPr="00DE0029">
              <w:t>94%</w:t>
            </w:r>
          </w:p>
        </w:tc>
      </w:tr>
      <w:tr w:rsidR="00DE0029" w:rsidRPr="00DE0029" w14:paraId="384DAA3C" w14:textId="77777777" w:rsidTr="00DE0029">
        <w:trPr>
          <w:trHeight w:val="29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56C2DE1" w14:textId="77777777" w:rsidR="00DE0029" w:rsidRPr="00DE0029" w:rsidRDefault="00DE0029" w:rsidP="00DE0029">
            <w:r w:rsidRPr="00DE0029">
              <w:t>3</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28F1EC" w14:textId="77777777" w:rsidR="00DE0029" w:rsidRPr="00DE0029" w:rsidRDefault="00DE0029" w:rsidP="00DE0029">
            <w:r w:rsidRPr="00DE0029">
              <w:t>435.983.654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D5B4C3" w14:textId="77777777" w:rsidR="00DE0029" w:rsidRPr="00DE0029" w:rsidRDefault="00DE0029" w:rsidP="00DE0029">
            <w:r w:rsidRPr="00DE0029">
              <w:t>595.981.997</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84885C" w14:textId="77777777" w:rsidR="00DE0029" w:rsidRPr="00DE0029" w:rsidRDefault="00DE0029" w:rsidP="00DE0029">
            <w:r w:rsidRPr="00DE0029">
              <w:t>137%</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70245D" w14:textId="77777777" w:rsidR="00DE0029" w:rsidRPr="00DE0029" w:rsidRDefault="00DE0029" w:rsidP="00DE0029">
            <w:r w:rsidRPr="00DE0029">
              <w:t>559.795.037</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2FCFD6" w14:textId="77777777" w:rsidR="00DE0029" w:rsidRPr="00DE0029" w:rsidRDefault="00DE0029" w:rsidP="00DE0029">
            <w:r w:rsidRPr="00DE0029">
              <w:t>128%</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452C97" w14:textId="77777777" w:rsidR="00DE0029" w:rsidRPr="00DE0029" w:rsidRDefault="00DE0029" w:rsidP="00DE0029">
            <w:r w:rsidRPr="00DE0029">
              <w:t>536.536.853</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CC93C3" w14:textId="77777777" w:rsidR="00DE0029" w:rsidRPr="00DE0029" w:rsidRDefault="00DE0029" w:rsidP="00DE0029">
            <w:r w:rsidRPr="00DE0029">
              <w:t>123%</w:t>
            </w:r>
          </w:p>
        </w:tc>
      </w:tr>
      <w:tr w:rsidR="00DE0029" w:rsidRPr="00DE0029" w14:paraId="43E68880" w14:textId="77777777" w:rsidTr="00DE0029">
        <w:trPr>
          <w:trHeight w:val="29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6888628" w14:textId="77777777" w:rsidR="00DE0029" w:rsidRPr="00DE0029" w:rsidRDefault="00DE0029" w:rsidP="00DE0029">
            <w:r w:rsidRPr="00DE0029">
              <w:t>4</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8F7584" w14:textId="77777777" w:rsidR="00DE0029" w:rsidRPr="00DE0029" w:rsidRDefault="00DE0029" w:rsidP="00DE0029">
            <w:r w:rsidRPr="00DE0029">
              <w:t>298.534.669</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9BF948" w14:textId="77777777" w:rsidR="00DE0029" w:rsidRPr="00DE0029" w:rsidRDefault="00DE0029" w:rsidP="00DE0029">
            <w:r w:rsidRPr="00DE0029">
              <w:t>378.234.386</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B71F10" w14:textId="77777777" w:rsidR="00DE0029" w:rsidRPr="00DE0029" w:rsidRDefault="00DE0029" w:rsidP="00DE0029">
            <w:r w:rsidRPr="00DE0029">
              <w:t>127%</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2F95D6" w14:textId="77777777" w:rsidR="00DE0029" w:rsidRPr="00DE0029" w:rsidRDefault="00DE0029" w:rsidP="00DE0029">
            <w:r w:rsidRPr="00DE0029">
              <w:t>337.786.303</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93F13B" w14:textId="77777777" w:rsidR="00DE0029" w:rsidRPr="00DE0029" w:rsidRDefault="00DE0029" w:rsidP="00DE0029">
            <w:r w:rsidRPr="00DE0029">
              <w:t>113%</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9A5102" w14:textId="77777777" w:rsidR="00DE0029" w:rsidRPr="00DE0029" w:rsidRDefault="00DE0029" w:rsidP="00DE0029">
            <w:r w:rsidRPr="00DE0029">
              <w:t>328.540.863</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2274C6" w14:textId="77777777" w:rsidR="00DE0029" w:rsidRPr="00DE0029" w:rsidRDefault="00DE0029" w:rsidP="00DE0029">
            <w:r w:rsidRPr="00DE0029">
              <w:t>110%</w:t>
            </w:r>
          </w:p>
        </w:tc>
      </w:tr>
      <w:tr w:rsidR="00DE0029" w:rsidRPr="00DE0029" w14:paraId="13F35EE3" w14:textId="77777777" w:rsidTr="00DE0029">
        <w:trPr>
          <w:trHeight w:val="29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E0F75A8" w14:textId="77777777" w:rsidR="00DE0029" w:rsidRPr="00DE0029" w:rsidRDefault="00DE0029" w:rsidP="00DE0029">
            <w:r w:rsidRPr="00DE0029">
              <w:t>5</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21A219" w14:textId="77777777" w:rsidR="00DE0029" w:rsidRPr="00DE0029" w:rsidRDefault="00DE0029" w:rsidP="00DE0029">
            <w:r w:rsidRPr="00DE0029">
              <w:t>79.826.944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545A7E" w14:textId="77777777" w:rsidR="00DE0029" w:rsidRPr="00DE0029" w:rsidRDefault="00DE0029" w:rsidP="00DE0029">
            <w:r w:rsidRPr="00DE0029">
              <w:t>121.433.527</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208390" w14:textId="77777777" w:rsidR="00DE0029" w:rsidRPr="00DE0029" w:rsidRDefault="00DE0029" w:rsidP="00DE0029">
            <w:r w:rsidRPr="00DE0029">
              <w:t>152%</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642BD0" w14:textId="77777777" w:rsidR="00DE0029" w:rsidRPr="00DE0029" w:rsidRDefault="00DE0029" w:rsidP="00DE0029">
            <w:r w:rsidRPr="00DE0029">
              <w:t>121.433.526</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F1B82E" w14:textId="77777777" w:rsidR="00DE0029" w:rsidRPr="00DE0029" w:rsidRDefault="00DE0029" w:rsidP="00DE0029">
            <w:r w:rsidRPr="00DE0029">
              <w:t>152%</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33B2F2" w14:textId="77777777" w:rsidR="00DE0029" w:rsidRPr="00DE0029" w:rsidRDefault="00DE0029" w:rsidP="00DE0029">
            <w:r w:rsidRPr="00DE0029">
              <w:t>98.220.656</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64E008" w14:textId="77777777" w:rsidR="00DE0029" w:rsidRPr="00DE0029" w:rsidRDefault="00DE0029" w:rsidP="00DE0029">
            <w:r w:rsidRPr="00DE0029">
              <w:t>123%</w:t>
            </w:r>
          </w:p>
        </w:tc>
      </w:tr>
      <w:tr w:rsidR="00DE0029" w:rsidRPr="00DE0029" w14:paraId="50766230" w14:textId="77777777" w:rsidTr="00DE0029">
        <w:trPr>
          <w:trHeight w:val="29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A8BE4FB" w14:textId="77777777" w:rsidR="00DE0029" w:rsidRPr="00DE0029" w:rsidRDefault="00DE0029" w:rsidP="00DE0029">
            <w:r w:rsidRPr="00DE0029">
              <w:t>6</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DC6C10" w14:textId="77777777" w:rsidR="00DE0029" w:rsidRPr="00DE0029" w:rsidRDefault="00DE0029" w:rsidP="00DE0029">
            <w:r w:rsidRPr="00DE0029">
              <w:t>433.421.915</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2A9DD2" w14:textId="77777777" w:rsidR="00DE0029" w:rsidRPr="00DE0029" w:rsidRDefault="00DE0029" w:rsidP="00DE0029">
            <w:r w:rsidRPr="00DE0029">
              <w:t>494.078.321</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F54C5D" w14:textId="77777777" w:rsidR="00DE0029" w:rsidRPr="00DE0029" w:rsidRDefault="00DE0029" w:rsidP="00DE0029">
            <w:r w:rsidRPr="00DE0029">
              <w:t>114%</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7F8C23" w14:textId="77777777" w:rsidR="00DE0029" w:rsidRPr="00DE0029" w:rsidRDefault="00DE0029" w:rsidP="00DE0029">
            <w:r w:rsidRPr="00DE0029">
              <w:t>488.478.187</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2FFA66" w14:textId="77777777" w:rsidR="00DE0029" w:rsidRPr="00DE0029" w:rsidRDefault="00DE0029" w:rsidP="00DE0029">
            <w:r w:rsidRPr="00DE0029">
              <w:t>113%</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A5F32B" w14:textId="77777777" w:rsidR="00DE0029" w:rsidRPr="00DE0029" w:rsidRDefault="00DE0029" w:rsidP="00DE0029">
            <w:r w:rsidRPr="00DE0029">
              <w:t>475.953.725</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EA9D7" w14:textId="77777777" w:rsidR="00DE0029" w:rsidRPr="00DE0029" w:rsidRDefault="00DE0029" w:rsidP="00DE0029">
            <w:r w:rsidRPr="00DE0029">
              <w:t>110%</w:t>
            </w:r>
          </w:p>
        </w:tc>
      </w:tr>
      <w:tr w:rsidR="00DE0029" w:rsidRPr="00DE0029" w14:paraId="35A7D927" w14:textId="77777777" w:rsidTr="00DE0029">
        <w:trPr>
          <w:trHeight w:val="29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8A1B768" w14:textId="150C8418" w:rsidR="00DE0029" w:rsidRPr="00DE0029" w:rsidRDefault="00DE0029" w:rsidP="00DE0029">
            <w:r w:rsidRPr="00DE0029">
              <w:t>7</w:t>
            </w:r>
            <w:r>
              <w:t>*</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06072C" w14:textId="77777777" w:rsidR="00DE0029" w:rsidRPr="00DE0029" w:rsidRDefault="00DE0029" w:rsidP="00DE0029">
            <w:r w:rsidRPr="00DE0029">
              <w:t>350.611.644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4DD629" w14:textId="77777777" w:rsidR="00DE0029" w:rsidRPr="00DE0029" w:rsidRDefault="00DE0029" w:rsidP="00DE0029">
            <w:r w:rsidRPr="00DE0029">
              <w:t>395.813.992</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1DBF0E" w14:textId="77777777" w:rsidR="00DE0029" w:rsidRPr="00DE0029" w:rsidRDefault="00DE0029" w:rsidP="00DE0029">
            <w:r w:rsidRPr="00DE0029">
              <w:t>113%</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3765F6" w14:textId="77777777" w:rsidR="00DE0029" w:rsidRPr="00DE0029" w:rsidRDefault="00DE0029" w:rsidP="00DE0029">
            <w:r w:rsidRPr="00DE0029">
              <w:t>395.813.992</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4F5B18" w14:textId="77777777" w:rsidR="00DE0029" w:rsidRPr="00DE0029" w:rsidRDefault="00DE0029" w:rsidP="00DE0029">
            <w:r w:rsidRPr="00DE0029">
              <w:t>113%</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668190" w14:textId="77777777" w:rsidR="00DE0029" w:rsidRPr="00DE0029" w:rsidRDefault="00DE0029" w:rsidP="00DE0029">
            <w:r w:rsidRPr="00DE0029">
              <w:t>392.788.292</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851C9F" w14:textId="77777777" w:rsidR="00DE0029" w:rsidRPr="00DE0029" w:rsidRDefault="00DE0029" w:rsidP="00DE0029">
            <w:r w:rsidRPr="00DE0029">
              <w:t>112%</w:t>
            </w:r>
          </w:p>
        </w:tc>
      </w:tr>
      <w:tr w:rsidR="00DE0029" w:rsidRPr="00DE0029" w14:paraId="5164A48B" w14:textId="77777777" w:rsidTr="00DE0029">
        <w:trPr>
          <w:trHeight w:val="29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3427B66" w14:textId="77777777" w:rsidR="00DE0029" w:rsidRPr="00DE0029" w:rsidRDefault="00DE0029" w:rsidP="00DE0029">
            <w:r w:rsidRPr="00DE0029">
              <w:t>8</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849D72" w14:textId="77777777" w:rsidR="00DE0029" w:rsidRPr="00DE0029" w:rsidRDefault="00DE0029" w:rsidP="00DE0029">
            <w:r w:rsidRPr="00DE0029">
              <w:t>290.970.269</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98EA66" w14:textId="77777777" w:rsidR="00DE0029" w:rsidRPr="00DE0029" w:rsidRDefault="00DE0029" w:rsidP="00DE0029">
            <w:r w:rsidRPr="00DE0029">
              <w:t>327.981.160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64F637" w14:textId="77777777" w:rsidR="00DE0029" w:rsidRPr="00DE0029" w:rsidRDefault="00DE0029" w:rsidP="00DE0029">
            <w:r w:rsidRPr="00DE0029">
              <w:t>113%</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466770" w14:textId="77777777" w:rsidR="00DE0029" w:rsidRPr="00DE0029" w:rsidRDefault="00DE0029" w:rsidP="00DE0029">
            <w:r w:rsidRPr="00DE0029">
              <w:t>320.607.520</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FAFACB" w14:textId="77777777" w:rsidR="00DE0029" w:rsidRPr="00DE0029" w:rsidRDefault="00DE0029" w:rsidP="00DE0029">
            <w:r w:rsidRPr="00DE0029">
              <w:t>110%</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74260C" w14:textId="77777777" w:rsidR="00DE0029" w:rsidRPr="00DE0029" w:rsidRDefault="00DE0029" w:rsidP="00DE0029">
            <w:r w:rsidRPr="00DE0029">
              <w:t>320.458.440</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E46E34" w14:textId="77777777" w:rsidR="00DE0029" w:rsidRPr="00DE0029" w:rsidRDefault="00DE0029" w:rsidP="00DE0029">
            <w:r w:rsidRPr="00DE0029">
              <w:t>110%</w:t>
            </w:r>
          </w:p>
        </w:tc>
      </w:tr>
      <w:tr w:rsidR="00DE0029" w:rsidRPr="00DE0029" w14:paraId="4B63BA83" w14:textId="77777777" w:rsidTr="00DE0029">
        <w:trPr>
          <w:trHeight w:val="29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D0958AB" w14:textId="77777777" w:rsidR="00DE0029" w:rsidRPr="00DE0029" w:rsidRDefault="00DE0029" w:rsidP="00DE0029">
            <w:r w:rsidRPr="00DE0029">
              <w:t>9</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9B4861" w14:textId="77777777" w:rsidR="00DE0029" w:rsidRPr="00DE0029" w:rsidRDefault="00DE0029" w:rsidP="00DE0029">
            <w:r w:rsidRPr="00DE0029">
              <w:t>230.575.691</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3463D2" w14:textId="77777777" w:rsidR="00DE0029" w:rsidRPr="00DE0029" w:rsidRDefault="00DE0029" w:rsidP="00DE0029">
            <w:r w:rsidRPr="00DE0029">
              <w:t>246.965.609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E613B5" w14:textId="77777777" w:rsidR="00DE0029" w:rsidRPr="00DE0029" w:rsidRDefault="00DE0029" w:rsidP="00DE0029">
            <w:r w:rsidRPr="00DE0029">
              <w:t>107%</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8EC4DF" w14:textId="77777777" w:rsidR="00DE0029" w:rsidRPr="00DE0029" w:rsidRDefault="00DE0029" w:rsidP="00DE0029">
            <w:r w:rsidRPr="00DE0029">
              <w:t>236.677.774</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237FBF" w14:textId="77777777" w:rsidR="00DE0029" w:rsidRPr="00DE0029" w:rsidRDefault="00DE0029" w:rsidP="00DE0029">
            <w:r w:rsidRPr="00DE0029">
              <w:t>103%</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E888F8" w14:textId="77777777" w:rsidR="00DE0029" w:rsidRPr="00DE0029" w:rsidRDefault="00DE0029" w:rsidP="00DE0029">
            <w:r w:rsidRPr="00DE0029">
              <w:t>234.891.962</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DB6FFB" w14:textId="77777777" w:rsidR="00DE0029" w:rsidRPr="00DE0029" w:rsidRDefault="00DE0029" w:rsidP="00DE0029">
            <w:r w:rsidRPr="00DE0029">
              <w:t>102%</w:t>
            </w:r>
          </w:p>
        </w:tc>
      </w:tr>
      <w:tr w:rsidR="00DE0029" w:rsidRPr="00DE0029" w14:paraId="47D33332" w14:textId="77777777" w:rsidTr="00DE0029">
        <w:trPr>
          <w:trHeight w:val="29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F7149F" w14:textId="77777777" w:rsidR="00DE0029" w:rsidRPr="00DE0029" w:rsidRDefault="00DE0029" w:rsidP="00DE0029">
            <w:r w:rsidRPr="00DE0029">
              <w:t>10</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DEFA37" w14:textId="77777777" w:rsidR="00DE0029" w:rsidRPr="00DE0029" w:rsidRDefault="00DE0029" w:rsidP="00DE0029">
            <w:r w:rsidRPr="00DE0029">
              <w:t>232.880.534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3203BE" w14:textId="77777777" w:rsidR="00DE0029" w:rsidRPr="00DE0029" w:rsidRDefault="00DE0029" w:rsidP="00DE0029">
            <w:r w:rsidRPr="00DE0029">
              <w:t>234.529.974</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C68237" w14:textId="77777777" w:rsidR="00DE0029" w:rsidRPr="00DE0029" w:rsidRDefault="00DE0029" w:rsidP="00DE0029">
            <w:r w:rsidRPr="00DE0029">
              <w:t>101%</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7E4AED" w14:textId="77777777" w:rsidR="00DE0029" w:rsidRPr="00DE0029" w:rsidRDefault="00DE0029" w:rsidP="00DE0029">
            <w:r w:rsidRPr="00DE0029">
              <w:t>226.853.642</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40D42DC" w14:textId="77777777" w:rsidR="00DE0029" w:rsidRPr="00DE0029" w:rsidRDefault="00DE0029" w:rsidP="00DE0029">
            <w:r w:rsidRPr="00DE0029">
              <w:t>97%</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CAC6D1" w14:textId="77777777" w:rsidR="00DE0029" w:rsidRPr="00DE0029" w:rsidRDefault="00DE0029" w:rsidP="00DE0029">
            <w:r w:rsidRPr="00DE0029">
              <w:t>216.498.605</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3A120C" w14:textId="77777777" w:rsidR="00DE0029" w:rsidRPr="00DE0029" w:rsidRDefault="00DE0029" w:rsidP="00DE0029">
            <w:r w:rsidRPr="00DE0029">
              <w:t>93%</w:t>
            </w:r>
          </w:p>
        </w:tc>
      </w:tr>
      <w:tr w:rsidR="00DE0029" w:rsidRPr="00DE0029" w14:paraId="40EA827C" w14:textId="77777777" w:rsidTr="00DE0029">
        <w:trPr>
          <w:trHeight w:val="29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C5FE108" w14:textId="77777777" w:rsidR="00DE0029" w:rsidRPr="00DE0029" w:rsidRDefault="00DE0029" w:rsidP="00DE0029">
            <w:r w:rsidRPr="00DE0029">
              <w:t>11</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48978B" w14:textId="77777777" w:rsidR="00DE0029" w:rsidRPr="00DE0029" w:rsidRDefault="00DE0029" w:rsidP="00DE0029">
            <w:r w:rsidRPr="00DE0029">
              <w:t>62.873.980</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EA8CB5" w14:textId="77777777" w:rsidR="00DE0029" w:rsidRPr="00DE0029" w:rsidRDefault="00DE0029" w:rsidP="00DE0029">
            <w:r w:rsidRPr="00DE0029">
              <w:t>64.051.400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24D419" w14:textId="77777777" w:rsidR="00DE0029" w:rsidRPr="00DE0029" w:rsidRDefault="00DE0029" w:rsidP="00DE0029">
            <w:r w:rsidRPr="00DE0029">
              <w:t>102%</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E97C79" w14:textId="77777777" w:rsidR="00DE0029" w:rsidRPr="00DE0029" w:rsidRDefault="00DE0029" w:rsidP="00DE0029">
            <w:r w:rsidRPr="00DE0029">
              <w:t>63.064.230</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593368" w14:textId="77777777" w:rsidR="00DE0029" w:rsidRPr="00DE0029" w:rsidRDefault="00DE0029" w:rsidP="00DE0029">
            <w:r w:rsidRPr="00DE0029">
              <w:t>100%</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15E396" w14:textId="77777777" w:rsidR="00DE0029" w:rsidRPr="00DE0029" w:rsidRDefault="00DE0029" w:rsidP="00DE0029">
            <w:r w:rsidRPr="00DE0029">
              <w:t>58.294.240</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C8E449" w14:textId="77777777" w:rsidR="00DE0029" w:rsidRPr="00DE0029" w:rsidRDefault="00DE0029" w:rsidP="00DE0029">
            <w:r w:rsidRPr="00DE0029">
              <w:t>93%</w:t>
            </w:r>
          </w:p>
        </w:tc>
      </w:tr>
      <w:tr w:rsidR="00DE0029" w:rsidRPr="00DE0029" w14:paraId="0EEAA125" w14:textId="77777777" w:rsidTr="00DE0029">
        <w:trPr>
          <w:trHeight w:val="29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F9CB133" w14:textId="77777777" w:rsidR="00DE0029" w:rsidRPr="00DE0029" w:rsidRDefault="00DE0029" w:rsidP="00DE0029">
            <w:r w:rsidRPr="00DE0029">
              <w:t>12</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46EFC8" w14:textId="77777777" w:rsidR="00DE0029" w:rsidRPr="00DE0029" w:rsidRDefault="00DE0029" w:rsidP="00DE0029">
            <w:r w:rsidRPr="00DE0029">
              <w:t>89.537.036</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69A80A" w14:textId="77777777" w:rsidR="00DE0029" w:rsidRPr="00DE0029" w:rsidRDefault="00DE0029" w:rsidP="00DE0029">
            <w:r w:rsidRPr="00DE0029">
              <w:t>95.881.670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608668" w14:textId="77777777" w:rsidR="00DE0029" w:rsidRPr="00DE0029" w:rsidRDefault="00DE0029" w:rsidP="00DE0029">
            <w:r w:rsidRPr="00DE0029">
              <w:t>107%</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1150DE" w14:textId="77777777" w:rsidR="00DE0029" w:rsidRPr="00DE0029" w:rsidRDefault="00DE0029" w:rsidP="00DE0029">
            <w:r w:rsidRPr="00DE0029">
              <w:t>95.881.670</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58560C" w14:textId="77777777" w:rsidR="00DE0029" w:rsidRPr="00DE0029" w:rsidRDefault="00DE0029" w:rsidP="00DE0029">
            <w:r w:rsidRPr="00DE0029">
              <w:t>107%</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E9FEDF" w14:textId="77777777" w:rsidR="00DE0029" w:rsidRPr="00DE0029" w:rsidRDefault="00DE0029" w:rsidP="00DE0029">
            <w:r w:rsidRPr="00DE0029">
              <w:t>88.461.176</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E39C29" w14:textId="77777777" w:rsidR="00DE0029" w:rsidRPr="00DE0029" w:rsidRDefault="00DE0029" w:rsidP="00DE0029">
            <w:r w:rsidRPr="00DE0029">
              <w:t>99%</w:t>
            </w:r>
          </w:p>
        </w:tc>
      </w:tr>
      <w:tr w:rsidR="00DE0029" w:rsidRPr="00DE0029" w14:paraId="1D4115B3" w14:textId="77777777" w:rsidTr="00DE0029">
        <w:trPr>
          <w:trHeight w:val="29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A34D085" w14:textId="77777777" w:rsidR="00DE0029" w:rsidRPr="00DE0029" w:rsidRDefault="00DE0029" w:rsidP="00DE0029">
            <w:r w:rsidRPr="00DE0029">
              <w:t>13</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30747B" w14:textId="77777777" w:rsidR="00DE0029" w:rsidRPr="00DE0029" w:rsidRDefault="00DE0029" w:rsidP="00DE0029">
            <w:r w:rsidRPr="00DE0029">
              <w:t>17.162.510</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F15751" w14:textId="77777777" w:rsidR="00DE0029" w:rsidRPr="00DE0029" w:rsidRDefault="00DE0029" w:rsidP="00DE0029">
            <w:r w:rsidRPr="00DE0029">
              <w:t>18.266.720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AFA6F4" w14:textId="77777777" w:rsidR="00DE0029" w:rsidRPr="00DE0029" w:rsidRDefault="00DE0029" w:rsidP="00DE0029">
            <w:r w:rsidRPr="00DE0029">
              <w:t>106%</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A4A108" w14:textId="77777777" w:rsidR="00DE0029" w:rsidRPr="00DE0029" w:rsidRDefault="00DE0029" w:rsidP="00DE0029">
            <w:r w:rsidRPr="00DE0029">
              <w:t>18.266.720</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C260D6" w14:textId="77777777" w:rsidR="00DE0029" w:rsidRPr="00DE0029" w:rsidRDefault="00DE0029" w:rsidP="00DE0029">
            <w:r w:rsidRPr="00DE0029">
              <w:t>106%</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09BCAB" w14:textId="77777777" w:rsidR="00DE0029" w:rsidRPr="00DE0029" w:rsidRDefault="00DE0029" w:rsidP="00DE0029">
            <w:r w:rsidRPr="00DE0029">
              <w:t>17.195.287</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97DE89" w14:textId="77777777" w:rsidR="00DE0029" w:rsidRPr="00DE0029" w:rsidRDefault="00DE0029" w:rsidP="00DE0029">
            <w:r w:rsidRPr="00DE0029">
              <w:t>100%</w:t>
            </w:r>
          </w:p>
        </w:tc>
      </w:tr>
      <w:tr w:rsidR="00DE0029" w:rsidRPr="00DE0029" w14:paraId="341A75A2" w14:textId="77777777" w:rsidTr="00DE0029">
        <w:trPr>
          <w:trHeight w:val="30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4EA2507" w14:textId="77777777" w:rsidR="00DE0029" w:rsidRPr="00DE0029" w:rsidRDefault="00DE0029" w:rsidP="00DE0029">
            <w:r w:rsidRPr="00DE0029">
              <w:t>14</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9B75CF" w14:textId="77777777" w:rsidR="00DE0029" w:rsidRPr="00DE0029" w:rsidRDefault="00DE0029" w:rsidP="00DE0029">
            <w:r w:rsidRPr="00DE0029">
              <w:t>12.868.044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0327C5" w14:textId="77777777" w:rsidR="00DE0029" w:rsidRPr="00DE0029" w:rsidRDefault="00DE0029" w:rsidP="00DE0029">
            <w:r w:rsidRPr="00DE0029">
              <w:t>13.233.724</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19726D" w14:textId="77777777" w:rsidR="00DE0029" w:rsidRPr="00DE0029" w:rsidRDefault="00DE0029" w:rsidP="00DE0029">
            <w:r w:rsidRPr="00DE0029">
              <w:t>103%</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47B2D7" w14:textId="77777777" w:rsidR="00DE0029" w:rsidRPr="00DE0029" w:rsidRDefault="00DE0029" w:rsidP="00DE0029">
            <w:r w:rsidRPr="00DE0029">
              <w:t>13.233.724</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A4A3AC" w14:textId="77777777" w:rsidR="00DE0029" w:rsidRPr="00DE0029" w:rsidRDefault="00DE0029" w:rsidP="00DE0029">
            <w:r w:rsidRPr="00DE0029">
              <w:t>103%</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27AE7D" w14:textId="77777777" w:rsidR="00DE0029" w:rsidRPr="00DE0029" w:rsidRDefault="00DE0029" w:rsidP="00DE0029">
            <w:r w:rsidRPr="00DE0029">
              <w:t>12.415.100</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C5DC34E" w14:textId="77777777" w:rsidR="00DE0029" w:rsidRPr="00DE0029" w:rsidRDefault="00DE0029" w:rsidP="00DE0029">
            <w:r w:rsidRPr="00DE0029">
              <w:t>96%</w:t>
            </w:r>
          </w:p>
        </w:tc>
      </w:tr>
      <w:tr w:rsidR="00DE0029" w:rsidRPr="00DE0029" w14:paraId="0FF00DBF" w14:textId="77777777" w:rsidTr="00DE0029">
        <w:trPr>
          <w:trHeight w:val="30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61F89B6" w14:textId="77777777" w:rsidR="00DE0029" w:rsidRPr="00DE0029" w:rsidRDefault="00DE0029" w:rsidP="00DE0029">
            <w:r w:rsidRPr="00DE0029">
              <w:t>15</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F2FE5C" w14:textId="77777777" w:rsidR="00DE0029" w:rsidRPr="00DE0029" w:rsidRDefault="00DE0029" w:rsidP="00DE0029">
            <w:r w:rsidRPr="00DE0029">
              <w:t>255.741.210</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14D0FC" w14:textId="77777777" w:rsidR="00DE0029" w:rsidRPr="00DE0029" w:rsidRDefault="00DE0029" w:rsidP="00DE0029">
            <w:r w:rsidRPr="00DE0029">
              <w:t>276.172.328</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A22AEA" w14:textId="77777777" w:rsidR="00DE0029" w:rsidRPr="00DE0029" w:rsidRDefault="00DE0029" w:rsidP="00DE0029">
            <w:r w:rsidRPr="00DE0029">
              <w:t>108%</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5524E9" w14:textId="77777777" w:rsidR="00DE0029" w:rsidRPr="00DE0029" w:rsidRDefault="00DE0029" w:rsidP="00DE0029">
            <w:r w:rsidRPr="00DE0029">
              <w:t>272.884.972</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75A036" w14:textId="77777777" w:rsidR="00DE0029" w:rsidRPr="00DE0029" w:rsidRDefault="00DE0029" w:rsidP="00DE0029">
            <w:r w:rsidRPr="00DE0029">
              <w:t>107%</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901FD8" w14:textId="77777777" w:rsidR="00DE0029" w:rsidRPr="00DE0029" w:rsidRDefault="00DE0029" w:rsidP="00DE0029">
            <w:r w:rsidRPr="00DE0029">
              <w:t>265.335.993</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226E59" w14:textId="77777777" w:rsidR="00DE0029" w:rsidRPr="00DE0029" w:rsidRDefault="00DE0029" w:rsidP="00DE0029">
            <w:r w:rsidRPr="00DE0029">
              <w:t>104%</w:t>
            </w:r>
          </w:p>
        </w:tc>
      </w:tr>
      <w:tr w:rsidR="00DE0029" w:rsidRPr="00DE0029" w14:paraId="7408CC2D" w14:textId="77777777" w:rsidTr="00DE0029">
        <w:trPr>
          <w:trHeight w:val="300"/>
        </w:trPr>
        <w:tc>
          <w:tcPr>
            <w:tcW w:w="1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74C21D2" w14:textId="77777777" w:rsidR="00DE0029" w:rsidRPr="00DE0029" w:rsidRDefault="00DE0029" w:rsidP="00DE0029">
            <w:r w:rsidRPr="00DE0029">
              <w:t>16</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BA2911" w14:textId="77777777" w:rsidR="00DE0029" w:rsidRPr="00DE0029" w:rsidRDefault="00DE0029" w:rsidP="00DE0029">
            <w:r w:rsidRPr="00DE0029">
              <w:t>13.205.000</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C6385C" w14:textId="77777777" w:rsidR="00DE0029" w:rsidRPr="00DE0029" w:rsidRDefault="00DE0029" w:rsidP="00DE0029">
            <w:r w:rsidRPr="00DE0029">
              <w:t>15.060.526</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6CEA54" w14:textId="77777777" w:rsidR="00DE0029" w:rsidRPr="00DE0029" w:rsidRDefault="00DE0029" w:rsidP="00DE0029">
            <w:r w:rsidRPr="00DE0029">
              <w:t>114%</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66683D" w14:textId="77777777" w:rsidR="00DE0029" w:rsidRPr="00DE0029" w:rsidRDefault="00DE0029" w:rsidP="00DE0029">
            <w:r w:rsidRPr="00DE0029">
              <w:t>14.045.342</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B9D032" w14:textId="77777777" w:rsidR="00DE0029" w:rsidRPr="00DE0029" w:rsidRDefault="00DE0029" w:rsidP="00DE0029">
            <w:r w:rsidRPr="00DE0029">
              <w:t>106%</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74AE15" w14:textId="77777777" w:rsidR="00DE0029" w:rsidRPr="00DE0029" w:rsidRDefault="00DE0029" w:rsidP="00DE0029">
            <w:r w:rsidRPr="00DE0029">
              <w:t>13.845.052</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474402" w14:textId="77777777" w:rsidR="00DE0029" w:rsidRPr="00DE0029" w:rsidRDefault="00DE0029" w:rsidP="00DE0029">
            <w:r w:rsidRPr="00DE0029">
              <w:t>105%</w:t>
            </w:r>
          </w:p>
        </w:tc>
      </w:tr>
      <w:tr w:rsidR="00DE0029" w:rsidRPr="00DE0029" w14:paraId="2889F7D9" w14:textId="77777777" w:rsidTr="00DE0029">
        <w:trPr>
          <w:trHeight w:val="300"/>
        </w:trPr>
        <w:tc>
          <w:tcPr>
            <w:tcW w:w="1500" w:type="dxa"/>
            <w:tcBorders>
              <w:top w:val="nil"/>
              <w:left w:val="single" w:sz="8" w:space="0" w:color="auto"/>
              <w:bottom w:val="single" w:sz="8" w:space="0" w:color="auto"/>
              <w:right w:val="single" w:sz="8" w:space="0" w:color="auto"/>
            </w:tcBorders>
            <w:shd w:val="clear" w:color="auto" w:fill="DDEBF7"/>
            <w:noWrap/>
            <w:tcMar>
              <w:top w:w="0" w:type="dxa"/>
              <w:left w:w="70" w:type="dxa"/>
              <w:bottom w:w="0" w:type="dxa"/>
              <w:right w:w="70" w:type="dxa"/>
            </w:tcMar>
            <w:vAlign w:val="bottom"/>
            <w:hideMark/>
          </w:tcPr>
          <w:p w14:paraId="108DD72E" w14:textId="77777777" w:rsidR="00DE0029" w:rsidRPr="00DE0029" w:rsidRDefault="00DE0029" w:rsidP="00DE0029">
            <w:pPr>
              <w:rPr>
                <w:b/>
                <w:bCs/>
              </w:rPr>
            </w:pPr>
            <w:r w:rsidRPr="00DE0029">
              <w:rPr>
                <w:b/>
                <w:bCs/>
              </w:rPr>
              <w:t>SKUPAJ</w:t>
            </w:r>
          </w:p>
        </w:tc>
        <w:tc>
          <w:tcPr>
            <w:tcW w:w="1640"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bottom"/>
            <w:hideMark/>
          </w:tcPr>
          <w:p w14:paraId="2C84CADE" w14:textId="77777777" w:rsidR="00DE0029" w:rsidRPr="00DE0029" w:rsidRDefault="00DE0029" w:rsidP="00DE0029">
            <w:pPr>
              <w:rPr>
                <w:b/>
                <w:bCs/>
              </w:rPr>
            </w:pPr>
            <w:r w:rsidRPr="00DE0029">
              <w:rPr>
                <w:b/>
                <w:bCs/>
              </w:rPr>
              <w:t>3.336.871.135</w:t>
            </w:r>
          </w:p>
        </w:tc>
        <w:tc>
          <w:tcPr>
            <w:tcW w:w="1560"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bottom"/>
            <w:hideMark/>
          </w:tcPr>
          <w:p w14:paraId="7D67613D" w14:textId="77777777" w:rsidR="00DE0029" w:rsidRPr="00DE0029" w:rsidRDefault="00DE0029" w:rsidP="00DE0029">
            <w:pPr>
              <w:rPr>
                <w:b/>
                <w:bCs/>
              </w:rPr>
            </w:pPr>
            <w:r w:rsidRPr="00DE0029">
              <w:rPr>
                <w:b/>
                <w:bCs/>
              </w:rPr>
              <w:t>3.825.134.553</w:t>
            </w:r>
          </w:p>
        </w:tc>
        <w:tc>
          <w:tcPr>
            <w:tcW w:w="960"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bottom"/>
            <w:hideMark/>
          </w:tcPr>
          <w:p w14:paraId="020A6304" w14:textId="77777777" w:rsidR="00DE0029" w:rsidRPr="00DE0029" w:rsidRDefault="00DE0029" w:rsidP="00DE0029">
            <w:pPr>
              <w:rPr>
                <w:b/>
                <w:bCs/>
              </w:rPr>
            </w:pPr>
            <w:r w:rsidRPr="00DE0029">
              <w:rPr>
                <w:b/>
                <w:bCs/>
              </w:rPr>
              <w:t>115%</w:t>
            </w:r>
          </w:p>
        </w:tc>
        <w:tc>
          <w:tcPr>
            <w:tcW w:w="1780"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bottom"/>
            <w:hideMark/>
          </w:tcPr>
          <w:p w14:paraId="63853BAF" w14:textId="77777777" w:rsidR="00DE0029" w:rsidRPr="00DE0029" w:rsidRDefault="00DE0029" w:rsidP="00DE0029">
            <w:pPr>
              <w:rPr>
                <w:b/>
                <w:bCs/>
              </w:rPr>
            </w:pPr>
            <w:r w:rsidRPr="00DE0029">
              <w:rPr>
                <w:b/>
                <w:bCs/>
              </w:rPr>
              <w:t>3.694.520.761</w:t>
            </w:r>
          </w:p>
        </w:tc>
        <w:tc>
          <w:tcPr>
            <w:tcW w:w="1020"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bottom"/>
            <w:hideMark/>
          </w:tcPr>
          <w:p w14:paraId="094FA15D" w14:textId="77777777" w:rsidR="00DE0029" w:rsidRPr="00DE0029" w:rsidRDefault="00DE0029" w:rsidP="00DE0029">
            <w:pPr>
              <w:rPr>
                <w:b/>
                <w:bCs/>
              </w:rPr>
            </w:pPr>
            <w:r w:rsidRPr="00DE0029">
              <w:rPr>
                <w:b/>
                <w:bCs/>
              </w:rPr>
              <w:t>111%</w:t>
            </w:r>
          </w:p>
        </w:tc>
        <w:tc>
          <w:tcPr>
            <w:tcW w:w="1740"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bottom"/>
            <w:hideMark/>
          </w:tcPr>
          <w:p w14:paraId="4EEE2FC5" w14:textId="77777777" w:rsidR="00DE0029" w:rsidRPr="00DE0029" w:rsidRDefault="00DE0029" w:rsidP="00DE0029">
            <w:pPr>
              <w:rPr>
                <w:b/>
                <w:bCs/>
              </w:rPr>
            </w:pPr>
            <w:r w:rsidRPr="00DE0029">
              <w:rPr>
                <w:b/>
                <w:bCs/>
              </w:rPr>
              <w:t>3.552.289.066</w:t>
            </w:r>
          </w:p>
        </w:tc>
        <w:tc>
          <w:tcPr>
            <w:tcW w:w="1000"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bottom"/>
            <w:hideMark/>
          </w:tcPr>
          <w:p w14:paraId="22AB813E" w14:textId="77777777" w:rsidR="00DE0029" w:rsidRPr="00DE0029" w:rsidRDefault="00DE0029" w:rsidP="00DE0029">
            <w:pPr>
              <w:rPr>
                <w:b/>
                <w:bCs/>
              </w:rPr>
            </w:pPr>
            <w:r w:rsidRPr="00DE0029">
              <w:rPr>
                <w:b/>
                <w:bCs/>
              </w:rPr>
              <w:t>106%</w:t>
            </w:r>
          </w:p>
        </w:tc>
      </w:tr>
    </w:tbl>
    <w:p w14:paraId="551DF987" w14:textId="2D72B584" w:rsidR="00DE0029" w:rsidRPr="001468A6" w:rsidRDefault="00DE0029" w:rsidP="001468A6">
      <w:pPr>
        <w:rPr>
          <w:sz w:val="14"/>
          <w:szCs w:val="14"/>
        </w:rPr>
      </w:pPr>
      <w:r>
        <w:rPr>
          <w:sz w:val="14"/>
          <w:szCs w:val="14"/>
        </w:rPr>
        <w:t>*</w:t>
      </w:r>
      <w:r w:rsidRPr="001468A6">
        <w:rPr>
          <w:sz w:val="14"/>
          <w:szCs w:val="14"/>
        </w:rPr>
        <w:t xml:space="preserve">Upoštevan je podatek MZI </w:t>
      </w:r>
    </w:p>
    <w:p w14:paraId="07221CF4" w14:textId="77777777" w:rsidR="009173C9" w:rsidRPr="009173C9" w:rsidRDefault="009173C9" w:rsidP="009173C9">
      <w:pPr>
        <w:spacing w:after="0"/>
      </w:pPr>
    </w:p>
    <w:p w14:paraId="3520BCA4" w14:textId="77777777" w:rsidR="0007777C" w:rsidRPr="00010CAC" w:rsidRDefault="0007777C" w:rsidP="00ED5676">
      <w:pPr>
        <w:spacing w:after="0" w:line="288" w:lineRule="auto"/>
        <w:contextualSpacing/>
        <w:jc w:val="both"/>
        <w:rPr>
          <w:rFonts w:eastAsia="SimSun" w:cs="Arial"/>
          <w:iCs/>
          <w:sz w:val="16"/>
          <w:szCs w:val="16"/>
          <w:lang w:eastAsia="zh-CN"/>
        </w:rPr>
      </w:pPr>
      <w:r w:rsidRPr="00010CAC">
        <w:rPr>
          <w:rFonts w:eastAsia="SimSun" w:cs="Arial"/>
          <w:iCs/>
          <w:sz w:val="16"/>
          <w:szCs w:val="16"/>
          <w:lang w:eastAsia="zh-CN"/>
        </w:rPr>
        <w:t xml:space="preserve">Vir: e-MA, MKRR, e-CA, </w:t>
      </w:r>
      <w:proofErr w:type="spellStart"/>
      <w:r w:rsidRPr="00010CAC">
        <w:rPr>
          <w:rFonts w:eastAsia="SimSun" w:cs="Arial"/>
          <w:iCs/>
          <w:sz w:val="16"/>
          <w:szCs w:val="16"/>
          <w:lang w:eastAsia="zh-CN"/>
        </w:rPr>
        <w:t>MFeRAC</w:t>
      </w:r>
      <w:proofErr w:type="spellEnd"/>
      <w:r w:rsidRPr="00010CAC">
        <w:rPr>
          <w:rFonts w:eastAsia="SimSun" w:cs="Arial"/>
          <w:iCs/>
          <w:sz w:val="16"/>
          <w:szCs w:val="16"/>
          <w:lang w:eastAsia="zh-CN"/>
        </w:rPr>
        <w:t xml:space="preserve"> in MF</w:t>
      </w:r>
    </w:p>
    <w:p w14:paraId="220BB5D4" w14:textId="77777777" w:rsidR="0007777C" w:rsidRPr="00010CAC" w:rsidRDefault="0007777C" w:rsidP="00ED5676">
      <w:pPr>
        <w:spacing w:after="0" w:line="288" w:lineRule="auto"/>
        <w:contextualSpacing/>
        <w:jc w:val="both"/>
        <w:rPr>
          <w:rFonts w:eastAsia="SimSun" w:cs="Arial"/>
          <w:sz w:val="16"/>
          <w:szCs w:val="16"/>
          <w:lang w:eastAsia="zh-CN"/>
        </w:rPr>
        <w:sectPr w:rsidR="0007777C" w:rsidRPr="00010CAC" w:rsidSect="0007777C">
          <w:pgSz w:w="16840" w:h="11900" w:orient="landscape" w:code="9"/>
          <w:pgMar w:top="1264" w:right="1701" w:bottom="1134" w:left="1418" w:header="851" w:footer="329" w:gutter="0"/>
          <w:cols w:space="708"/>
          <w:docGrid w:linePitch="272"/>
        </w:sectPr>
      </w:pPr>
    </w:p>
    <w:p w14:paraId="364B385E" w14:textId="13C6AC5B" w:rsidR="0007777C" w:rsidRPr="00010CAC" w:rsidRDefault="0007777C" w:rsidP="00ED5676">
      <w:pPr>
        <w:spacing w:after="0" w:line="288" w:lineRule="auto"/>
        <w:contextualSpacing/>
        <w:jc w:val="both"/>
        <w:rPr>
          <w:rFonts w:eastAsia="SimSun" w:cs="Arial"/>
          <w:sz w:val="16"/>
          <w:szCs w:val="16"/>
          <w:lang w:eastAsia="zh-CN"/>
        </w:rPr>
      </w:pPr>
      <w:r w:rsidRPr="00010CAC">
        <w:rPr>
          <w:rFonts w:eastAsia="SimSun" w:cs="Arial"/>
          <w:sz w:val="16"/>
          <w:szCs w:val="16"/>
          <w:lang w:eastAsia="zh-CN"/>
        </w:rPr>
        <w:lastRenderedPageBreak/>
        <w:t>* Razpoložljiva sredstva/pravice porabe EKP za obdobje 2014−2020 (EU del) – OP EKP.</w:t>
      </w:r>
    </w:p>
    <w:p w14:paraId="7EBE4A62" w14:textId="77777777" w:rsidR="0007777C" w:rsidRPr="00010CAC" w:rsidRDefault="0007777C" w:rsidP="00ED5676">
      <w:pPr>
        <w:spacing w:after="0" w:line="288" w:lineRule="auto"/>
        <w:contextualSpacing/>
        <w:jc w:val="both"/>
        <w:rPr>
          <w:rFonts w:eastAsia="SimSun" w:cs="Arial"/>
          <w:sz w:val="16"/>
          <w:szCs w:val="16"/>
          <w:lang w:eastAsia="zh-CN"/>
        </w:rPr>
      </w:pPr>
      <w:r w:rsidRPr="00010CAC">
        <w:rPr>
          <w:rFonts w:eastAsia="SimSun" w:cs="Arial"/>
          <w:sz w:val="16"/>
          <w:szCs w:val="16"/>
          <w:lang w:eastAsia="zh-CN"/>
        </w:rPr>
        <w:t>** Odločitve o podpori zajemajo vrednost vlog za posamezen projekt, program ali javni razpis/poziv, brez neupravičenih stroškov.</w:t>
      </w:r>
    </w:p>
    <w:p w14:paraId="65388271" w14:textId="77777777" w:rsidR="0007777C" w:rsidRPr="00010CAC" w:rsidRDefault="0007777C" w:rsidP="00ED5676">
      <w:pPr>
        <w:spacing w:after="0" w:line="288" w:lineRule="auto"/>
        <w:contextualSpacing/>
        <w:jc w:val="both"/>
        <w:rPr>
          <w:rFonts w:eastAsia="SimSun" w:cs="Arial"/>
          <w:sz w:val="16"/>
          <w:szCs w:val="16"/>
          <w:lang w:eastAsia="zh-CN"/>
        </w:rPr>
      </w:pPr>
      <w:r w:rsidRPr="00010CAC">
        <w:rPr>
          <w:rFonts w:eastAsia="SimSun" w:cs="Arial"/>
          <w:sz w:val="16"/>
          <w:szCs w:val="16"/>
          <w:lang w:eastAsia="zh-CN"/>
        </w:rPr>
        <w:t>*** Potrjene operacije pomenijo pogodbe o sofinanciranju oziroma odločitve o podpori, kadar je upravičenec neposredni proračunski uporabnik.</w:t>
      </w:r>
    </w:p>
    <w:p w14:paraId="43F1182B" w14:textId="079E4F57" w:rsidR="0007777C" w:rsidRPr="00010CAC" w:rsidRDefault="0007777C" w:rsidP="00ED5676">
      <w:pPr>
        <w:spacing w:after="0" w:line="288" w:lineRule="auto"/>
        <w:contextualSpacing/>
        <w:jc w:val="both"/>
        <w:rPr>
          <w:rFonts w:eastAsia="SimSun" w:cs="Arial"/>
          <w:sz w:val="16"/>
          <w:szCs w:val="16"/>
          <w:lang w:eastAsia="zh-CN"/>
        </w:rPr>
      </w:pPr>
      <w:r w:rsidRPr="00010CAC">
        <w:rPr>
          <w:rFonts w:eastAsia="SimSun" w:cs="Arial"/>
          <w:sz w:val="16"/>
          <w:szCs w:val="16"/>
          <w:lang w:eastAsia="zh-CN"/>
        </w:rPr>
        <w:t xml:space="preserve">**** Izplačila iz državnega proračuna, vključno s prenesenimi sredstvi na Sklad skladov za izvajanje FI, ki pa se ne izkazujejo v bilanci prihodkov in odhodkov državnega proračuna </w:t>
      </w:r>
      <w:bookmarkStart w:id="369" w:name="_Hlk171600126"/>
      <w:r w:rsidRPr="00010CAC">
        <w:rPr>
          <w:rFonts w:eastAsia="SimSun" w:cs="Arial"/>
          <w:sz w:val="16"/>
          <w:szCs w:val="16"/>
          <w:lang w:eastAsia="zh-CN"/>
        </w:rPr>
        <w:t xml:space="preserve">(vir: </w:t>
      </w:r>
      <w:proofErr w:type="spellStart"/>
      <w:r w:rsidRPr="00010CAC">
        <w:rPr>
          <w:rFonts w:eastAsia="SimSun" w:cs="Arial"/>
          <w:sz w:val="16"/>
          <w:szCs w:val="16"/>
          <w:lang w:eastAsia="zh-CN"/>
        </w:rPr>
        <w:t>MFeRAC</w:t>
      </w:r>
      <w:proofErr w:type="spellEnd"/>
      <w:r w:rsidRPr="00010CAC">
        <w:rPr>
          <w:rFonts w:eastAsia="SimSun" w:cs="Arial"/>
          <w:sz w:val="16"/>
          <w:szCs w:val="16"/>
          <w:lang w:eastAsia="zh-CN"/>
        </w:rPr>
        <w:t xml:space="preserve">, izpis na dan </w:t>
      </w:r>
      <w:r w:rsidR="00E9386C" w:rsidRPr="00010CAC">
        <w:rPr>
          <w:rFonts w:eastAsia="SimSun" w:cs="Arial"/>
          <w:sz w:val="16"/>
          <w:szCs w:val="16"/>
          <w:lang w:eastAsia="zh-CN"/>
        </w:rPr>
        <w:t>6</w:t>
      </w:r>
      <w:r w:rsidRPr="00010CAC">
        <w:rPr>
          <w:rFonts w:eastAsia="SimSun" w:cs="Arial"/>
          <w:sz w:val="16"/>
          <w:szCs w:val="16"/>
          <w:lang w:eastAsia="zh-CN"/>
        </w:rPr>
        <w:t xml:space="preserve">. </w:t>
      </w:r>
      <w:r w:rsidR="00E9386C" w:rsidRPr="00010CAC">
        <w:rPr>
          <w:rFonts w:eastAsia="SimSun" w:cs="Arial"/>
          <w:sz w:val="16"/>
          <w:szCs w:val="16"/>
          <w:lang w:eastAsia="zh-CN"/>
        </w:rPr>
        <w:t>1</w:t>
      </w:r>
      <w:r w:rsidRPr="00010CAC">
        <w:rPr>
          <w:rFonts w:eastAsia="SimSun" w:cs="Arial"/>
          <w:sz w:val="16"/>
          <w:szCs w:val="16"/>
          <w:lang w:eastAsia="zh-CN"/>
        </w:rPr>
        <w:t>. 202</w:t>
      </w:r>
      <w:r w:rsidR="00E9386C" w:rsidRPr="00010CAC">
        <w:rPr>
          <w:rFonts w:eastAsia="SimSun" w:cs="Arial"/>
          <w:sz w:val="16"/>
          <w:szCs w:val="16"/>
          <w:lang w:eastAsia="zh-CN"/>
        </w:rPr>
        <w:t>5</w:t>
      </w:r>
      <w:r w:rsidRPr="00010CAC">
        <w:rPr>
          <w:rFonts w:eastAsia="SimSun" w:cs="Arial"/>
          <w:sz w:val="16"/>
          <w:szCs w:val="16"/>
          <w:lang w:eastAsia="zh-CN"/>
        </w:rPr>
        <w:t xml:space="preserve"> za obdobje do 31. 12. 2024).</w:t>
      </w:r>
      <w:bookmarkEnd w:id="369"/>
    </w:p>
    <w:p w14:paraId="24FECDC1" w14:textId="77777777" w:rsidR="00010CAC" w:rsidRDefault="00010CAC" w:rsidP="00ED5676">
      <w:pPr>
        <w:spacing w:after="0" w:line="288" w:lineRule="auto"/>
        <w:contextualSpacing/>
        <w:jc w:val="both"/>
        <w:rPr>
          <w:rFonts w:eastAsia="SimSun" w:cs="Arial"/>
          <w:szCs w:val="20"/>
          <w:lang w:eastAsia="zh-CN"/>
        </w:rPr>
      </w:pPr>
    </w:p>
    <w:p w14:paraId="450E1246" w14:textId="12F319FC" w:rsidR="0007777C" w:rsidRPr="00010CAC" w:rsidRDefault="0007777C" w:rsidP="00ED5676">
      <w:pPr>
        <w:suppressAutoHyphens w:val="0"/>
        <w:autoSpaceDN/>
        <w:spacing w:after="0" w:line="288" w:lineRule="auto"/>
        <w:jc w:val="both"/>
        <w:rPr>
          <w:rFonts w:cs="Arial"/>
          <w:color w:val="000000"/>
          <w:szCs w:val="20"/>
        </w:rPr>
      </w:pPr>
      <w:r w:rsidRPr="00010CAC">
        <w:rPr>
          <w:rFonts w:cs="Arial"/>
          <w:color w:val="000000"/>
          <w:szCs w:val="20"/>
        </w:rPr>
        <w:t xml:space="preserve">V okviru izvajanja Evropske kohezijske politike za obdobje 2014–2020 so bile izdane vse odločitve o podpri. Izvedena so bila tudi vsa izplačila, trenutno pa še poteka zaključevanje operaciji vezanih za </w:t>
      </w:r>
      <w:r w:rsidR="0072108C" w:rsidRPr="00010CAC">
        <w:rPr>
          <w:rFonts w:cs="Arial"/>
          <w:color w:val="000000"/>
          <w:szCs w:val="20"/>
        </w:rPr>
        <w:t>obdobje</w:t>
      </w:r>
      <w:r w:rsidRPr="00010CAC">
        <w:rPr>
          <w:rFonts w:cs="Arial"/>
          <w:color w:val="000000"/>
          <w:szCs w:val="20"/>
        </w:rPr>
        <w:t xml:space="preserve"> 2014</w:t>
      </w:r>
      <w:r w:rsidR="0072108C" w:rsidRPr="00010CAC">
        <w:rPr>
          <w:rFonts w:cs="Arial"/>
          <w:color w:val="000000"/>
          <w:szCs w:val="20"/>
        </w:rPr>
        <w:t>–</w:t>
      </w:r>
      <w:r w:rsidRPr="00010CAC">
        <w:rPr>
          <w:rFonts w:cs="Arial"/>
          <w:color w:val="000000"/>
          <w:szCs w:val="20"/>
        </w:rPr>
        <w:t>2020.</w:t>
      </w:r>
    </w:p>
    <w:p w14:paraId="56BE745B" w14:textId="77777777" w:rsidR="00010CAC" w:rsidRPr="00010CAC" w:rsidRDefault="00010CAC" w:rsidP="00ED5676">
      <w:pPr>
        <w:spacing w:after="0"/>
        <w:jc w:val="both"/>
        <w:rPr>
          <w:rFonts w:cs="Arial"/>
          <w:color w:val="000000"/>
          <w:szCs w:val="20"/>
        </w:rPr>
        <w:sectPr w:rsidR="00010CAC" w:rsidRPr="00010CAC" w:rsidSect="00010CAC">
          <w:pgSz w:w="11906" w:h="16838" w:code="9"/>
          <w:pgMar w:top="1418" w:right="1418" w:bottom="1418" w:left="1418" w:header="709" w:footer="709" w:gutter="0"/>
          <w:cols w:space="708"/>
          <w:docGrid w:linePitch="272"/>
        </w:sectPr>
      </w:pPr>
    </w:p>
    <w:p w14:paraId="4DFFBC72" w14:textId="77777777" w:rsidR="0007777C" w:rsidRPr="0025033E" w:rsidRDefault="0007777C" w:rsidP="00ED5676">
      <w:pPr>
        <w:spacing w:after="0"/>
        <w:jc w:val="both"/>
        <w:rPr>
          <w:rFonts w:cs="Arial"/>
        </w:rPr>
      </w:pPr>
    </w:p>
    <w:p w14:paraId="7DEB0DD1" w14:textId="5FB942BA" w:rsidR="000E7A5A" w:rsidRPr="0025033E" w:rsidRDefault="00306071" w:rsidP="00ED5676">
      <w:pPr>
        <w:pStyle w:val="Naslov3"/>
        <w:rPr>
          <w:rFonts w:cs="Arial"/>
        </w:rPr>
      </w:pPr>
      <w:bookmarkStart w:id="370" w:name="_Toc191460214"/>
      <w:r w:rsidRPr="0025033E">
        <w:rPr>
          <w:rFonts w:cs="Arial"/>
        </w:rPr>
        <w:t>2.1.1</w:t>
      </w:r>
      <w:r w:rsidRPr="0025033E">
        <w:rPr>
          <w:rFonts w:cs="Arial"/>
        </w:rPr>
        <w:tab/>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005B77B2" w:rsidRPr="0025033E">
        <w:rPr>
          <w:rFonts w:cs="Arial"/>
        </w:rPr>
        <w:t>Zaključevanje operacij za obdobje 2014</w:t>
      </w:r>
      <w:r w:rsidR="0072108C" w:rsidRPr="0025033E">
        <w:rPr>
          <w:rFonts w:cs="Arial"/>
        </w:rPr>
        <w:t>–</w:t>
      </w:r>
      <w:r w:rsidR="005B77B2" w:rsidRPr="0025033E">
        <w:rPr>
          <w:rFonts w:cs="Arial"/>
        </w:rPr>
        <w:t>2020</w:t>
      </w:r>
      <w:bookmarkEnd w:id="370"/>
    </w:p>
    <w:p w14:paraId="6692EA7C" w14:textId="77777777" w:rsidR="005B77B2" w:rsidRPr="0025033E" w:rsidRDefault="005B77B2" w:rsidP="00ED5676">
      <w:pPr>
        <w:spacing w:after="0"/>
        <w:jc w:val="both"/>
        <w:rPr>
          <w:rFonts w:cs="Arial"/>
        </w:rPr>
      </w:pPr>
    </w:p>
    <w:p w14:paraId="22699C82" w14:textId="5D51FE5D" w:rsidR="005B77B2" w:rsidRPr="0025033E" w:rsidRDefault="005B77B2" w:rsidP="00ED5676">
      <w:pPr>
        <w:suppressAutoHyphens w:val="0"/>
        <w:autoSpaceDE w:val="0"/>
        <w:adjustRightInd w:val="0"/>
        <w:spacing w:after="0" w:line="288" w:lineRule="auto"/>
        <w:jc w:val="both"/>
        <w:rPr>
          <w:rFonts w:cs="Arial"/>
          <w:color w:val="000000"/>
          <w:szCs w:val="20"/>
        </w:rPr>
      </w:pPr>
      <w:r w:rsidRPr="0025033E">
        <w:rPr>
          <w:rFonts w:cs="Arial"/>
          <w:color w:val="000000"/>
          <w:szCs w:val="20"/>
        </w:rPr>
        <w:t>V drugem polletju se je nadaljevalo zaključevanje operacij, vezanih na obdobje 2014–2020. Na dan 31. 12. 2024 je bilo stanje zaključenih operacij v IS e</w:t>
      </w:r>
      <w:r w:rsidR="00CD364F">
        <w:rPr>
          <w:rFonts w:cs="Arial"/>
          <w:color w:val="000000"/>
          <w:szCs w:val="20"/>
        </w:rPr>
        <w:t>-</w:t>
      </w:r>
      <w:r w:rsidRPr="0025033E">
        <w:rPr>
          <w:rFonts w:cs="Arial"/>
          <w:color w:val="000000"/>
          <w:szCs w:val="20"/>
        </w:rPr>
        <w:t>MA sledeče: število vseh operacij v IS e</w:t>
      </w:r>
      <w:r w:rsidR="00CD364F">
        <w:rPr>
          <w:rFonts w:cs="Arial"/>
          <w:color w:val="000000"/>
          <w:szCs w:val="20"/>
        </w:rPr>
        <w:t>-</w:t>
      </w:r>
      <w:r w:rsidRPr="0025033E">
        <w:rPr>
          <w:rFonts w:cs="Arial"/>
          <w:color w:val="000000"/>
          <w:szCs w:val="20"/>
        </w:rPr>
        <w:t xml:space="preserve">MA je 9.177, po posredniških </w:t>
      </w:r>
      <w:r w:rsidR="00BA4E86">
        <w:rPr>
          <w:rFonts w:cs="Arial"/>
          <w:color w:val="000000"/>
          <w:szCs w:val="20"/>
        </w:rPr>
        <w:t>teles</w:t>
      </w:r>
      <w:r w:rsidRPr="0025033E">
        <w:rPr>
          <w:rFonts w:cs="Arial"/>
          <w:color w:val="000000"/>
          <w:szCs w:val="20"/>
        </w:rPr>
        <w:t>ih</w:t>
      </w:r>
      <w:r w:rsidR="0078132E">
        <w:rPr>
          <w:rFonts w:cs="Arial"/>
          <w:color w:val="000000"/>
          <w:szCs w:val="20"/>
        </w:rPr>
        <w:t>/organih</w:t>
      </w:r>
      <w:r w:rsidRPr="0025033E">
        <w:rPr>
          <w:rFonts w:cs="Arial"/>
          <w:color w:val="000000"/>
          <w:szCs w:val="20"/>
        </w:rPr>
        <w:t xml:space="preserve"> je bilo skupaj zaključenih 8.788 operacij.</w:t>
      </w:r>
    </w:p>
    <w:p w14:paraId="457E90D4" w14:textId="77777777" w:rsidR="005B77B2" w:rsidRPr="0025033E" w:rsidRDefault="005B77B2" w:rsidP="00ED5676">
      <w:pPr>
        <w:spacing w:after="0"/>
        <w:jc w:val="both"/>
        <w:rPr>
          <w:rFonts w:cs="Arial"/>
        </w:rPr>
      </w:pPr>
    </w:p>
    <w:p w14:paraId="5E23F92A" w14:textId="444BC6E3" w:rsidR="005B77B2" w:rsidRDefault="005B77B2" w:rsidP="00ED5676">
      <w:pPr>
        <w:pStyle w:val="Napis"/>
        <w:keepNext/>
        <w:spacing w:after="0"/>
        <w:jc w:val="both"/>
        <w:rPr>
          <w:rFonts w:cs="Arial"/>
          <w:b w:val="0"/>
          <w:bCs w:val="0"/>
          <w:color w:val="auto"/>
        </w:rPr>
      </w:pPr>
      <w:bookmarkStart w:id="371" w:name="_Toc191386694"/>
      <w:r w:rsidRPr="0025033E">
        <w:rPr>
          <w:rFonts w:cs="Arial"/>
          <w:b w:val="0"/>
          <w:bCs w:val="0"/>
          <w:color w:val="auto"/>
        </w:rPr>
        <w:t xml:space="preserve">Tabela </w:t>
      </w:r>
      <w:r w:rsidRPr="0025033E">
        <w:rPr>
          <w:rFonts w:cs="Arial"/>
          <w:b w:val="0"/>
          <w:bCs w:val="0"/>
          <w:color w:val="auto"/>
        </w:rPr>
        <w:fldChar w:fldCharType="begin"/>
      </w:r>
      <w:r w:rsidRPr="0025033E">
        <w:rPr>
          <w:rFonts w:cs="Arial"/>
          <w:b w:val="0"/>
          <w:bCs w:val="0"/>
          <w:color w:val="auto"/>
        </w:rPr>
        <w:instrText xml:space="preserve"> SEQ Tabela \* ARABIC </w:instrText>
      </w:r>
      <w:r w:rsidRPr="0025033E">
        <w:rPr>
          <w:rFonts w:cs="Arial"/>
          <w:b w:val="0"/>
          <w:bCs w:val="0"/>
          <w:color w:val="auto"/>
        </w:rPr>
        <w:fldChar w:fldCharType="separate"/>
      </w:r>
      <w:r w:rsidR="00476D26" w:rsidRPr="0025033E">
        <w:rPr>
          <w:rFonts w:cs="Arial"/>
          <w:b w:val="0"/>
          <w:bCs w:val="0"/>
          <w:noProof/>
          <w:color w:val="auto"/>
        </w:rPr>
        <w:t>3</w:t>
      </w:r>
      <w:r w:rsidRPr="0025033E">
        <w:rPr>
          <w:rFonts w:cs="Arial"/>
          <w:b w:val="0"/>
          <w:bCs w:val="0"/>
          <w:color w:val="auto"/>
        </w:rPr>
        <w:fldChar w:fldCharType="end"/>
      </w:r>
      <w:r w:rsidRPr="0025033E">
        <w:rPr>
          <w:rFonts w:cs="Arial"/>
          <w:b w:val="0"/>
          <w:bCs w:val="0"/>
          <w:color w:val="auto"/>
        </w:rPr>
        <w:t xml:space="preserve">: Stanje zaključenih operacij na dan 31. 12. 2024 po posredniških </w:t>
      </w:r>
      <w:r w:rsidR="00BA4E86">
        <w:rPr>
          <w:rFonts w:cs="Arial"/>
          <w:b w:val="0"/>
          <w:bCs w:val="0"/>
          <w:color w:val="auto"/>
        </w:rPr>
        <w:t>telesih</w:t>
      </w:r>
      <w:r w:rsidR="0078132E">
        <w:rPr>
          <w:rFonts w:cs="Arial"/>
          <w:b w:val="0"/>
          <w:bCs w:val="0"/>
          <w:color w:val="auto"/>
        </w:rPr>
        <w:t>/organih</w:t>
      </w:r>
      <w:bookmarkEnd w:id="371"/>
    </w:p>
    <w:p w14:paraId="1B728A3E" w14:textId="77777777" w:rsidR="009173C9" w:rsidRPr="009173C9" w:rsidRDefault="009173C9" w:rsidP="009173C9">
      <w:pPr>
        <w:spacing w:after="0"/>
      </w:pPr>
    </w:p>
    <w:tbl>
      <w:tblPr>
        <w:tblW w:w="0" w:type="auto"/>
        <w:tblCellMar>
          <w:left w:w="70" w:type="dxa"/>
          <w:right w:w="70" w:type="dxa"/>
        </w:tblCellMar>
        <w:tblLook w:val="04A0" w:firstRow="1" w:lastRow="0" w:firstColumn="1" w:lastColumn="0" w:noHBand="0" w:noVBand="1"/>
      </w:tblPr>
      <w:tblGrid>
        <w:gridCol w:w="983"/>
        <w:gridCol w:w="983"/>
        <w:gridCol w:w="1054"/>
        <w:gridCol w:w="939"/>
        <w:gridCol w:w="1134"/>
        <w:gridCol w:w="993"/>
        <w:gridCol w:w="1417"/>
        <w:gridCol w:w="1547"/>
      </w:tblGrid>
      <w:tr w:rsidR="009C7925" w:rsidRPr="0025033E" w14:paraId="752EB6A7" w14:textId="77777777" w:rsidTr="00813DA2">
        <w:trPr>
          <w:trHeight w:val="1380"/>
        </w:trPr>
        <w:tc>
          <w:tcPr>
            <w:tcW w:w="983"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115CFFA4"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 xml:space="preserve">PO                      </w:t>
            </w:r>
          </w:p>
        </w:tc>
        <w:tc>
          <w:tcPr>
            <w:tcW w:w="983" w:type="dxa"/>
            <w:tcBorders>
              <w:top w:val="single" w:sz="8" w:space="0" w:color="000000"/>
              <w:left w:val="nil"/>
              <w:bottom w:val="single" w:sz="8" w:space="0" w:color="000000"/>
              <w:right w:val="single" w:sz="8" w:space="0" w:color="000000"/>
            </w:tcBorders>
            <w:shd w:val="clear" w:color="auto" w:fill="DEEAF6" w:themeFill="accent5" w:themeFillTint="33"/>
            <w:vAlign w:val="center"/>
          </w:tcPr>
          <w:p w14:paraId="37C7F033"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Število vseh operacij (brez statusa V pripravi in Ukinjen)</w:t>
            </w:r>
          </w:p>
        </w:tc>
        <w:tc>
          <w:tcPr>
            <w:tcW w:w="0" w:type="auto"/>
            <w:tcBorders>
              <w:top w:val="single" w:sz="8" w:space="0" w:color="000000"/>
              <w:left w:val="nil"/>
              <w:bottom w:val="single" w:sz="8" w:space="0" w:color="000000"/>
              <w:right w:val="single" w:sz="8" w:space="0" w:color="000000"/>
            </w:tcBorders>
            <w:shd w:val="clear" w:color="auto" w:fill="DEEAF6" w:themeFill="accent5" w:themeFillTint="33"/>
            <w:vAlign w:val="center"/>
            <w:hideMark/>
          </w:tcPr>
          <w:p w14:paraId="0C56A228"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Število  finančno zaključenih</w:t>
            </w:r>
          </w:p>
        </w:tc>
        <w:tc>
          <w:tcPr>
            <w:tcW w:w="939" w:type="dxa"/>
            <w:tcBorders>
              <w:top w:val="single" w:sz="8" w:space="0" w:color="000000"/>
              <w:left w:val="nil"/>
              <w:bottom w:val="single" w:sz="8" w:space="0" w:color="000000"/>
              <w:right w:val="single" w:sz="8" w:space="0" w:color="000000"/>
            </w:tcBorders>
            <w:shd w:val="clear" w:color="auto" w:fill="DEEAF6" w:themeFill="accent5" w:themeFillTint="33"/>
            <w:vAlign w:val="center"/>
            <w:hideMark/>
          </w:tcPr>
          <w:p w14:paraId="729792E6"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 xml:space="preserve"> Število PZO preverjanje   </w:t>
            </w:r>
          </w:p>
        </w:tc>
        <w:tc>
          <w:tcPr>
            <w:tcW w:w="1134" w:type="dxa"/>
            <w:tcBorders>
              <w:top w:val="single" w:sz="8" w:space="0" w:color="000000"/>
              <w:left w:val="nil"/>
              <w:bottom w:val="single" w:sz="8" w:space="0" w:color="000000"/>
              <w:right w:val="single" w:sz="8" w:space="0" w:color="000000"/>
            </w:tcBorders>
            <w:shd w:val="clear" w:color="auto" w:fill="DEEAF6" w:themeFill="accent5" w:themeFillTint="33"/>
            <w:vAlign w:val="center"/>
            <w:hideMark/>
          </w:tcPr>
          <w:p w14:paraId="3BEB6E80"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 xml:space="preserve">Število Zaključene in Konec spremljanja </w:t>
            </w:r>
          </w:p>
        </w:tc>
        <w:tc>
          <w:tcPr>
            <w:tcW w:w="993" w:type="dxa"/>
            <w:tcBorders>
              <w:top w:val="single" w:sz="8" w:space="0" w:color="000000"/>
              <w:left w:val="nil"/>
              <w:bottom w:val="single" w:sz="8" w:space="0" w:color="000000"/>
              <w:right w:val="single" w:sz="8" w:space="0" w:color="000000"/>
            </w:tcBorders>
            <w:shd w:val="clear" w:color="auto" w:fill="DEEAF6" w:themeFill="accent5" w:themeFillTint="33"/>
            <w:vAlign w:val="center"/>
            <w:hideMark/>
          </w:tcPr>
          <w:p w14:paraId="51FB0289"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 zaključenih</w:t>
            </w:r>
          </w:p>
        </w:tc>
        <w:tc>
          <w:tcPr>
            <w:tcW w:w="1417" w:type="dxa"/>
            <w:tcBorders>
              <w:top w:val="single" w:sz="8" w:space="0" w:color="000000"/>
              <w:left w:val="nil"/>
              <w:bottom w:val="single" w:sz="8" w:space="0" w:color="000000"/>
              <w:right w:val="single" w:sz="8" w:space="0" w:color="000000"/>
            </w:tcBorders>
            <w:shd w:val="clear" w:color="auto" w:fill="DEEAF6" w:themeFill="accent5" w:themeFillTint="33"/>
            <w:vAlign w:val="center"/>
            <w:hideMark/>
          </w:tcPr>
          <w:p w14:paraId="259D1A09"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 xml:space="preserve">% finančno zaključenih in zaključenih                   </w:t>
            </w:r>
          </w:p>
        </w:tc>
        <w:tc>
          <w:tcPr>
            <w:tcW w:w="1547" w:type="dxa"/>
            <w:tcBorders>
              <w:top w:val="single" w:sz="8" w:space="0" w:color="000000"/>
              <w:left w:val="nil"/>
              <w:bottom w:val="single" w:sz="8" w:space="0" w:color="000000"/>
              <w:right w:val="single" w:sz="8" w:space="0" w:color="000000"/>
            </w:tcBorders>
            <w:shd w:val="clear" w:color="auto" w:fill="DEEAF6" w:themeFill="accent5" w:themeFillTint="33"/>
            <w:vAlign w:val="center"/>
            <w:hideMark/>
          </w:tcPr>
          <w:p w14:paraId="16FCA410"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 xml:space="preserve">% finančno zaključenih, PZO preverjanih in zaključenih </w:t>
            </w:r>
          </w:p>
        </w:tc>
      </w:tr>
      <w:tr w:rsidR="009C7925" w:rsidRPr="00006EC3" w14:paraId="57CA8DBB" w14:textId="77777777" w:rsidTr="00813DA2">
        <w:trPr>
          <w:trHeight w:val="60"/>
        </w:trPr>
        <w:tc>
          <w:tcPr>
            <w:tcW w:w="983" w:type="dxa"/>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1C221164" w14:textId="77777777" w:rsidR="005B77B2" w:rsidRPr="00006EC3" w:rsidRDefault="005B77B2" w:rsidP="00ED5676">
            <w:pPr>
              <w:suppressAutoHyphens w:val="0"/>
              <w:autoSpaceDN/>
              <w:spacing w:after="0" w:line="240" w:lineRule="auto"/>
              <w:jc w:val="both"/>
              <w:rPr>
                <w:rFonts w:cs="Arial"/>
                <w:b/>
                <w:bCs/>
                <w:sz w:val="16"/>
                <w:szCs w:val="16"/>
              </w:rPr>
            </w:pPr>
            <w:r w:rsidRPr="00006EC3">
              <w:rPr>
                <w:rFonts w:cs="Arial"/>
                <w:b/>
                <w:bCs/>
                <w:sz w:val="16"/>
                <w:szCs w:val="16"/>
              </w:rPr>
              <w:t>A</w:t>
            </w:r>
          </w:p>
        </w:tc>
        <w:tc>
          <w:tcPr>
            <w:tcW w:w="983" w:type="dxa"/>
            <w:tcBorders>
              <w:top w:val="nil"/>
              <w:left w:val="nil"/>
              <w:bottom w:val="single" w:sz="8" w:space="0" w:color="000000"/>
              <w:right w:val="single" w:sz="8" w:space="0" w:color="000000"/>
            </w:tcBorders>
            <w:shd w:val="clear" w:color="auto" w:fill="DEEAF6" w:themeFill="accent5" w:themeFillTint="33"/>
            <w:vAlign w:val="center"/>
          </w:tcPr>
          <w:p w14:paraId="6201F262" w14:textId="77777777" w:rsidR="005B77B2" w:rsidRPr="00006EC3" w:rsidRDefault="005B77B2" w:rsidP="00ED5676">
            <w:pPr>
              <w:suppressAutoHyphens w:val="0"/>
              <w:autoSpaceDN/>
              <w:spacing w:after="0" w:line="240" w:lineRule="auto"/>
              <w:jc w:val="both"/>
              <w:rPr>
                <w:rFonts w:cs="Arial"/>
                <w:b/>
                <w:bCs/>
                <w:sz w:val="16"/>
                <w:szCs w:val="16"/>
              </w:rPr>
            </w:pPr>
            <w:r w:rsidRPr="00006EC3">
              <w:rPr>
                <w:rFonts w:cs="Arial"/>
                <w:b/>
                <w:bCs/>
                <w:sz w:val="16"/>
                <w:szCs w:val="16"/>
              </w:rPr>
              <w:t>B</w:t>
            </w:r>
          </w:p>
        </w:tc>
        <w:tc>
          <w:tcPr>
            <w:tcW w:w="0" w:type="auto"/>
            <w:tcBorders>
              <w:top w:val="nil"/>
              <w:left w:val="nil"/>
              <w:bottom w:val="single" w:sz="8" w:space="0" w:color="000000"/>
              <w:right w:val="single" w:sz="8" w:space="0" w:color="000000"/>
            </w:tcBorders>
            <w:shd w:val="clear" w:color="auto" w:fill="DEEAF6" w:themeFill="accent5" w:themeFillTint="33"/>
            <w:vAlign w:val="center"/>
            <w:hideMark/>
          </w:tcPr>
          <w:p w14:paraId="7FBC7742" w14:textId="77777777" w:rsidR="005B77B2" w:rsidRPr="00006EC3" w:rsidRDefault="005B77B2" w:rsidP="00ED5676">
            <w:pPr>
              <w:suppressAutoHyphens w:val="0"/>
              <w:autoSpaceDN/>
              <w:spacing w:after="0" w:line="240" w:lineRule="auto"/>
              <w:jc w:val="both"/>
              <w:rPr>
                <w:rFonts w:cs="Arial"/>
                <w:b/>
                <w:bCs/>
                <w:sz w:val="16"/>
                <w:szCs w:val="16"/>
              </w:rPr>
            </w:pPr>
            <w:r w:rsidRPr="00006EC3">
              <w:rPr>
                <w:rFonts w:cs="Arial"/>
                <w:b/>
                <w:bCs/>
                <w:sz w:val="16"/>
                <w:szCs w:val="16"/>
              </w:rPr>
              <w:t>C</w:t>
            </w:r>
          </w:p>
        </w:tc>
        <w:tc>
          <w:tcPr>
            <w:tcW w:w="939" w:type="dxa"/>
            <w:tcBorders>
              <w:top w:val="nil"/>
              <w:left w:val="nil"/>
              <w:bottom w:val="single" w:sz="8" w:space="0" w:color="000000"/>
              <w:right w:val="single" w:sz="8" w:space="0" w:color="000000"/>
            </w:tcBorders>
            <w:shd w:val="clear" w:color="auto" w:fill="DEEAF6" w:themeFill="accent5" w:themeFillTint="33"/>
            <w:vAlign w:val="center"/>
            <w:hideMark/>
          </w:tcPr>
          <w:p w14:paraId="7C382120" w14:textId="77777777" w:rsidR="005B77B2" w:rsidRPr="00006EC3" w:rsidRDefault="005B77B2" w:rsidP="00ED5676">
            <w:pPr>
              <w:suppressAutoHyphens w:val="0"/>
              <w:autoSpaceDN/>
              <w:spacing w:after="0" w:line="240" w:lineRule="auto"/>
              <w:jc w:val="both"/>
              <w:rPr>
                <w:rFonts w:cs="Arial"/>
                <w:b/>
                <w:bCs/>
                <w:sz w:val="16"/>
                <w:szCs w:val="16"/>
              </w:rPr>
            </w:pPr>
            <w:r w:rsidRPr="00006EC3">
              <w:rPr>
                <w:rFonts w:cs="Arial"/>
                <w:b/>
                <w:bCs/>
                <w:sz w:val="16"/>
                <w:szCs w:val="16"/>
              </w:rPr>
              <w:t>D</w:t>
            </w:r>
          </w:p>
        </w:tc>
        <w:tc>
          <w:tcPr>
            <w:tcW w:w="1134" w:type="dxa"/>
            <w:tcBorders>
              <w:top w:val="nil"/>
              <w:left w:val="nil"/>
              <w:bottom w:val="single" w:sz="8" w:space="0" w:color="000000"/>
              <w:right w:val="single" w:sz="8" w:space="0" w:color="000000"/>
            </w:tcBorders>
            <w:shd w:val="clear" w:color="auto" w:fill="DEEAF6" w:themeFill="accent5" w:themeFillTint="33"/>
            <w:vAlign w:val="center"/>
            <w:hideMark/>
          </w:tcPr>
          <w:p w14:paraId="105BB619" w14:textId="77777777" w:rsidR="005B77B2" w:rsidRPr="00006EC3" w:rsidRDefault="005B77B2" w:rsidP="00ED5676">
            <w:pPr>
              <w:suppressAutoHyphens w:val="0"/>
              <w:autoSpaceDN/>
              <w:spacing w:after="0" w:line="240" w:lineRule="auto"/>
              <w:jc w:val="both"/>
              <w:rPr>
                <w:rFonts w:cs="Arial"/>
                <w:b/>
                <w:bCs/>
                <w:sz w:val="16"/>
                <w:szCs w:val="16"/>
              </w:rPr>
            </w:pPr>
            <w:r w:rsidRPr="00006EC3">
              <w:rPr>
                <w:rFonts w:cs="Arial"/>
                <w:b/>
                <w:bCs/>
                <w:sz w:val="16"/>
                <w:szCs w:val="16"/>
              </w:rPr>
              <w:t>E</w:t>
            </w:r>
          </w:p>
        </w:tc>
        <w:tc>
          <w:tcPr>
            <w:tcW w:w="993" w:type="dxa"/>
            <w:tcBorders>
              <w:top w:val="nil"/>
              <w:left w:val="nil"/>
              <w:bottom w:val="single" w:sz="8" w:space="0" w:color="000000"/>
              <w:right w:val="single" w:sz="8" w:space="0" w:color="000000"/>
            </w:tcBorders>
            <w:shd w:val="clear" w:color="auto" w:fill="DEEAF6" w:themeFill="accent5" w:themeFillTint="33"/>
            <w:vAlign w:val="center"/>
            <w:hideMark/>
          </w:tcPr>
          <w:p w14:paraId="29659F18" w14:textId="77777777" w:rsidR="005B77B2" w:rsidRPr="00006EC3" w:rsidRDefault="005B77B2" w:rsidP="00ED5676">
            <w:pPr>
              <w:suppressAutoHyphens w:val="0"/>
              <w:autoSpaceDN/>
              <w:spacing w:after="0" w:line="240" w:lineRule="auto"/>
              <w:jc w:val="both"/>
              <w:rPr>
                <w:rFonts w:cs="Arial"/>
                <w:b/>
                <w:bCs/>
                <w:sz w:val="16"/>
                <w:szCs w:val="16"/>
              </w:rPr>
            </w:pPr>
            <w:r w:rsidRPr="00006EC3">
              <w:rPr>
                <w:rFonts w:cs="Arial"/>
                <w:b/>
                <w:bCs/>
                <w:sz w:val="16"/>
                <w:szCs w:val="16"/>
              </w:rPr>
              <w:t>F=E/B</w:t>
            </w:r>
          </w:p>
        </w:tc>
        <w:tc>
          <w:tcPr>
            <w:tcW w:w="1417" w:type="dxa"/>
            <w:tcBorders>
              <w:top w:val="nil"/>
              <w:left w:val="nil"/>
              <w:bottom w:val="single" w:sz="8" w:space="0" w:color="000000"/>
              <w:right w:val="single" w:sz="8" w:space="0" w:color="000000"/>
            </w:tcBorders>
            <w:shd w:val="clear" w:color="auto" w:fill="DEEAF6" w:themeFill="accent5" w:themeFillTint="33"/>
            <w:vAlign w:val="center"/>
            <w:hideMark/>
          </w:tcPr>
          <w:p w14:paraId="3A953688" w14:textId="77777777" w:rsidR="005B77B2" w:rsidRPr="00006EC3" w:rsidRDefault="005B77B2" w:rsidP="00ED5676">
            <w:pPr>
              <w:suppressAutoHyphens w:val="0"/>
              <w:autoSpaceDN/>
              <w:spacing w:after="0" w:line="240" w:lineRule="auto"/>
              <w:jc w:val="both"/>
              <w:rPr>
                <w:rFonts w:cs="Arial"/>
                <w:b/>
                <w:bCs/>
                <w:sz w:val="16"/>
                <w:szCs w:val="16"/>
              </w:rPr>
            </w:pPr>
            <w:r w:rsidRPr="00006EC3">
              <w:rPr>
                <w:rFonts w:cs="Arial"/>
                <w:b/>
                <w:bCs/>
                <w:sz w:val="16"/>
                <w:szCs w:val="16"/>
              </w:rPr>
              <w:t>G=(C+E)/B</w:t>
            </w:r>
          </w:p>
        </w:tc>
        <w:tc>
          <w:tcPr>
            <w:tcW w:w="1547" w:type="dxa"/>
            <w:tcBorders>
              <w:top w:val="nil"/>
              <w:left w:val="nil"/>
              <w:bottom w:val="single" w:sz="8" w:space="0" w:color="000000"/>
              <w:right w:val="single" w:sz="8" w:space="0" w:color="000000"/>
            </w:tcBorders>
            <w:shd w:val="clear" w:color="auto" w:fill="DEEAF6" w:themeFill="accent5" w:themeFillTint="33"/>
            <w:vAlign w:val="center"/>
            <w:hideMark/>
          </w:tcPr>
          <w:p w14:paraId="0959DEF2" w14:textId="77777777" w:rsidR="005B77B2" w:rsidRPr="00006EC3" w:rsidRDefault="005B77B2" w:rsidP="00ED5676">
            <w:pPr>
              <w:suppressAutoHyphens w:val="0"/>
              <w:autoSpaceDN/>
              <w:spacing w:after="0" w:line="240" w:lineRule="auto"/>
              <w:jc w:val="both"/>
              <w:rPr>
                <w:rFonts w:cs="Arial"/>
                <w:b/>
                <w:bCs/>
                <w:sz w:val="16"/>
                <w:szCs w:val="16"/>
              </w:rPr>
            </w:pPr>
            <w:r w:rsidRPr="00006EC3">
              <w:rPr>
                <w:rFonts w:cs="Arial"/>
                <w:b/>
                <w:bCs/>
                <w:sz w:val="16"/>
                <w:szCs w:val="16"/>
              </w:rPr>
              <w:t>H=(C+D+E)/B</w:t>
            </w:r>
          </w:p>
        </w:tc>
      </w:tr>
      <w:tr w:rsidR="005B77B2" w:rsidRPr="0025033E" w14:paraId="255A9F26" w14:textId="77777777" w:rsidTr="009C7925">
        <w:trPr>
          <w:trHeight w:val="315"/>
        </w:trPr>
        <w:tc>
          <w:tcPr>
            <w:tcW w:w="983" w:type="dxa"/>
            <w:tcBorders>
              <w:top w:val="nil"/>
              <w:left w:val="single" w:sz="8" w:space="0" w:color="000000"/>
              <w:bottom w:val="single" w:sz="8" w:space="0" w:color="000000"/>
              <w:right w:val="single" w:sz="8" w:space="0" w:color="000000"/>
            </w:tcBorders>
            <w:shd w:val="clear" w:color="000000" w:fill="FFFFFF"/>
            <w:hideMark/>
          </w:tcPr>
          <w:p w14:paraId="10AC1208"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MDDSZ</w:t>
            </w:r>
          </w:p>
        </w:tc>
        <w:tc>
          <w:tcPr>
            <w:tcW w:w="983" w:type="dxa"/>
            <w:tcBorders>
              <w:top w:val="nil"/>
              <w:left w:val="nil"/>
              <w:bottom w:val="single" w:sz="8" w:space="0" w:color="000000"/>
              <w:right w:val="single" w:sz="4" w:space="0" w:color="000000"/>
            </w:tcBorders>
            <w:shd w:val="clear" w:color="000000" w:fill="FFFFFF"/>
          </w:tcPr>
          <w:p w14:paraId="343C813E"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283</w:t>
            </w:r>
          </w:p>
        </w:tc>
        <w:tc>
          <w:tcPr>
            <w:tcW w:w="0" w:type="auto"/>
            <w:tcBorders>
              <w:top w:val="single" w:sz="4" w:space="0" w:color="000000"/>
              <w:left w:val="nil"/>
              <w:bottom w:val="single" w:sz="4" w:space="0" w:color="000000"/>
              <w:right w:val="single" w:sz="4" w:space="0" w:color="000000"/>
            </w:tcBorders>
            <w:shd w:val="clear" w:color="FFFFFF" w:fill="FFFFFF"/>
            <w:hideMark/>
          </w:tcPr>
          <w:p w14:paraId="1036F42E"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17</w:t>
            </w:r>
          </w:p>
        </w:tc>
        <w:tc>
          <w:tcPr>
            <w:tcW w:w="939" w:type="dxa"/>
            <w:tcBorders>
              <w:top w:val="single" w:sz="4" w:space="0" w:color="000000"/>
              <w:left w:val="single" w:sz="4" w:space="0" w:color="000000"/>
              <w:bottom w:val="single" w:sz="4" w:space="0" w:color="000000"/>
              <w:right w:val="single" w:sz="4" w:space="0" w:color="000000"/>
            </w:tcBorders>
            <w:shd w:val="clear" w:color="FFFFFF" w:fill="FFFFFF"/>
            <w:hideMark/>
          </w:tcPr>
          <w:p w14:paraId="27423538"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3</w:t>
            </w:r>
          </w:p>
        </w:tc>
        <w:tc>
          <w:tcPr>
            <w:tcW w:w="1134" w:type="dxa"/>
            <w:tcBorders>
              <w:top w:val="single" w:sz="4" w:space="0" w:color="000000"/>
              <w:left w:val="nil"/>
              <w:bottom w:val="single" w:sz="4" w:space="0" w:color="000000"/>
              <w:right w:val="single" w:sz="4" w:space="0" w:color="000000"/>
            </w:tcBorders>
            <w:shd w:val="clear" w:color="FFFFFF" w:fill="FFFFFF"/>
            <w:hideMark/>
          </w:tcPr>
          <w:p w14:paraId="32007B23"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258</w:t>
            </w:r>
          </w:p>
        </w:tc>
        <w:tc>
          <w:tcPr>
            <w:tcW w:w="993" w:type="dxa"/>
            <w:tcBorders>
              <w:top w:val="single" w:sz="4" w:space="0" w:color="000000"/>
              <w:left w:val="single" w:sz="4" w:space="0" w:color="000000"/>
              <w:bottom w:val="single" w:sz="4" w:space="0" w:color="000000"/>
              <w:right w:val="single" w:sz="4" w:space="0" w:color="000000"/>
            </w:tcBorders>
            <w:shd w:val="clear" w:color="FFFFFF" w:fill="FFFFFF"/>
            <w:hideMark/>
          </w:tcPr>
          <w:p w14:paraId="5780C6BB"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91,17%</w:t>
            </w:r>
          </w:p>
        </w:tc>
        <w:tc>
          <w:tcPr>
            <w:tcW w:w="1417" w:type="dxa"/>
            <w:tcBorders>
              <w:top w:val="single" w:sz="4" w:space="0" w:color="000000"/>
              <w:left w:val="nil"/>
              <w:bottom w:val="single" w:sz="4" w:space="0" w:color="000000"/>
              <w:right w:val="single" w:sz="4" w:space="0" w:color="000000"/>
            </w:tcBorders>
            <w:shd w:val="clear" w:color="FFFFFF" w:fill="FFFFFF"/>
            <w:hideMark/>
          </w:tcPr>
          <w:p w14:paraId="0254C5AF"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97,17%</w:t>
            </w:r>
          </w:p>
        </w:tc>
        <w:tc>
          <w:tcPr>
            <w:tcW w:w="1547" w:type="dxa"/>
            <w:tcBorders>
              <w:top w:val="single" w:sz="4" w:space="0" w:color="000000"/>
              <w:left w:val="nil"/>
              <w:bottom w:val="single" w:sz="4" w:space="0" w:color="000000"/>
              <w:right w:val="single" w:sz="4" w:space="0" w:color="000000"/>
            </w:tcBorders>
            <w:shd w:val="clear" w:color="FFFFFF" w:fill="FFFFFF"/>
            <w:hideMark/>
          </w:tcPr>
          <w:p w14:paraId="09308493"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98,23%</w:t>
            </w:r>
          </w:p>
        </w:tc>
      </w:tr>
      <w:tr w:rsidR="005B77B2" w:rsidRPr="0025033E" w14:paraId="6A70596C" w14:textId="77777777" w:rsidTr="009C7925">
        <w:trPr>
          <w:trHeight w:val="315"/>
        </w:trPr>
        <w:tc>
          <w:tcPr>
            <w:tcW w:w="983" w:type="dxa"/>
            <w:tcBorders>
              <w:top w:val="nil"/>
              <w:left w:val="single" w:sz="8" w:space="0" w:color="000000"/>
              <w:bottom w:val="single" w:sz="8" w:space="0" w:color="000000"/>
              <w:right w:val="single" w:sz="8" w:space="0" w:color="000000"/>
            </w:tcBorders>
            <w:shd w:val="clear" w:color="000000" w:fill="FFFFFF"/>
            <w:hideMark/>
          </w:tcPr>
          <w:p w14:paraId="20983190"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MGTŠ</w:t>
            </w:r>
          </w:p>
        </w:tc>
        <w:tc>
          <w:tcPr>
            <w:tcW w:w="983" w:type="dxa"/>
            <w:tcBorders>
              <w:top w:val="nil"/>
              <w:left w:val="nil"/>
              <w:bottom w:val="single" w:sz="8" w:space="0" w:color="000000"/>
              <w:right w:val="single" w:sz="4" w:space="0" w:color="000000"/>
            </w:tcBorders>
            <w:shd w:val="clear" w:color="000000" w:fill="FFFFFF"/>
          </w:tcPr>
          <w:p w14:paraId="09B237D2"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4025</w:t>
            </w:r>
          </w:p>
        </w:tc>
        <w:tc>
          <w:tcPr>
            <w:tcW w:w="0" w:type="auto"/>
            <w:tcBorders>
              <w:top w:val="nil"/>
              <w:left w:val="nil"/>
              <w:bottom w:val="single" w:sz="4" w:space="0" w:color="000000"/>
              <w:right w:val="single" w:sz="4" w:space="0" w:color="000000"/>
            </w:tcBorders>
            <w:shd w:val="clear" w:color="FFFFFF" w:fill="FFFFFF"/>
            <w:hideMark/>
          </w:tcPr>
          <w:p w14:paraId="15142E99"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77</w:t>
            </w:r>
          </w:p>
        </w:tc>
        <w:tc>
          <w:tcPr>
            <w:tcW w:w="939" w:type="dxa"/>
            <w:tcBorders>
              <w:top w:val="nil"/>
              <w:left w:val="single" w:sz="4" w:space="0" w:color="000000"/>
              <w:bottom w:val="single" w:sz="4" w:space="0" w:color="000000"/>
              <w:right w:val="single" w:sz="4" w:space="0" w:color="000000"/>
            </w:tcBorders>
            <w:shd w:val="clear" w:color="FFFFFF" w:fill="FFFFFF"/>
            <w:hideMark/>
          </w:tcPr>
          <w:p w14:paraId="424C615C"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106</w:t>
            </w:r>
          </w:p>
        </w:tc>
        <w:tc>
          <w:tcPr>
            <w:tcW w:w="1134" w:type="dxa"/>
            <w:tcBorders>
              <w:top w:val="nil"/>
              <w:left w:val="nil"/>
              <w:bottom w:val="single" w:sz="4" w:space="0" w:color="000000"/>
              <w:right w:val="single" w:sz="4" w:space="0" w:color="000000"/>
            </w:tcBorders>
            <w:shd w:val="clear" w:color="FFFFFF" w:fill="FFFFFF"/>
            <w:hideMark/>
          </w:tcPr>
          <w:p w14:paraId="073FEA58"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3827</w:t>
            </w:r>
          </w:p>
        </w:tc>
        <w:tc>
          <w:tcPr>
            <w:tcW w:w="993" w:type="dxa"/>
            <w:tcBorders>
              <w:top w:val="nil"/>
              <w:left w:val="single" w:sz="4" w:space="0" w:color="000000"/>
              <w:bottom w:val="single" w:sz="4" w:space="0" w:color="000000"/>
              <w:right w:val="single" w:sz="4" w:space="0" w:color="000000"/>
            </w:tcBorders>
            <w:shd w:val="clear" w:color="FFFFFF" w:fill="FFFFFF"/>
            <w:hideMark/>
          </w:tcPr>
          <w:p w14:paraId="3A0DDA95"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95,08%</w:t>
            </w:r>
          </w:p>
        </w:tc>
        <w:tc>
          <w:tcPr>
            <w:tcW w:w="1417" w:type="dxa"/>
            <w:tcBorders>
              <w:top w:val="nil"/>
              <w:left w:val="nil"/>
              <w:bottom w:val="single" w:sz="4" w:space="0" w:color="000000"/>
              <w:right w:val="single" w:sz="4" w:space="0" w:color="000000"/>
            </w:tcBorders>
            <w:shd w:val="clear" w:color="FFFFFF" w:fill="FFFFFF"/>
            <w:hideMark/>
          </w:tcPr>
          <w:p w14:paraId="40874AD7"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96,99%</w:t>
            </w:r>
          </w:p>
        </w:tc>
        <w:tc>
          <w:tcPr>
            <w:tcW w:w="1547" w:type="dxa"/>
            <w:tcBorders>
              <w:top w:val="nil"/>
              <w:left w:val="nil"/>
              <w:bottom w:val="single" w:sz="4" w:space="0" w:color="000000"/>
              <w:right w:val="single" w:sz="4" w:space="0" w:color="000000"/>
            </w:tcBorders>
            <w:shd w:val="clear" w:color="FFFFFF" w:fill="FFFFFF"/>
            <w:hideMark/>
          </w:tcPr>
          <w:p w14:paraId="214EE33D"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99,63%</w:t>
            </w:r>
          </w:p>
        </w:tc>
      </w:tr>
      <w:tr w:rsidR="005B77B2" w:rsidRPr="0025033E" w14:paraId="229E46E2" w14:textId="77777777" w:rsidTr="009C7925">
        <w:trPr>
          <w:trHeight w:val="315"/>
        </w:trPr>
        <w:tc>
          <w:tcPr>
            <w:tcW w:w="983" w:type="dxa"/>
            <w:tcBorders>
              <w:top w:val="nil"/>
              <w:left w:val="single" w:sz="8" w:space="0" w:color="000000"/>
              <w:bottom w:val="single" w:sz="8" w:space="0" w:color="000000"/>
              <w:right w:val="single" w:sz="8" w:space="0" w:color="000000"/>
            </w:tcBorders>
            <w:shd w:val="clear" w:color="000000" w:fill="FFFFFF"/>
            <w:hideMark/>
          </w:tcPr>
          <w:p w14:paraId="73238243"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MDP</w:t>
            </w:r>
          </w:p>
        </w:tc>
        <w:tc>
          <w:tcPr>
            <w:tcW w:w="983" w:type="dxa"/>
            <w:tcBorders>
              <w:top w:val="nil"/>
              <w:left w:val="nil"/>
              <w:bottom w:val="single" w:sz="8" w:space="0" w:color="000000"/>
              <w:right w:val="single" w:sz="4" w:space="0" w:color="000000"/>
            </w:tcBorders>
            <w:shd w:val="clear" w:color="000000" w:fill="FFFFFF"/>
          </w:tcPr>
          <w:p w14:paraId="3449321C"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41</w:t>
            </w:r>
          </w:p>
        </w:tc>
        <w:tc>
          <w:tcPr>
            <w:tcW w:w="0" w:type="auto"/>
            <w:tcBorders>
              <w:top w:val="nil"/>
              <w:left w:val="nil"/>
              <w:bottom w:val="single" w:sz="4" w:space="0" w:color="000000"/>
              <w:right w:val="single" w:sz="4" w:space="0" w:color="000000"/>
            </w:tcBorders>
            <w:shd w:val="clear" w:color="FFFFFF" w:fill="FFFFFF"/>
            <w:hideMark/>
          </w:tcPr>
          <w:p w14:paraId="77143A0E"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11</w:t>
            </w:r>
          </w:p>
        </w:tc>
        <w:tc>
          <w:tcPr>
            <w:tcW w:w="939" w:type="dxa"/>
            <w:tcBorders>
              <w:top w:val="nil"/>
              <w:left w:val="single" w:sz="4" w:space="0" w:color="000000"/>
              <w:bottom w:val="single" w:sz="4" w:space="0" w:color="000000"/>
              <w:right w:val="single" w:sz="4" w:space="0" w:color="000000"/>
            </w:tcBorders>
            <w:shd w:val="clear" w:color="FFFFFF" w:fill="FFFFFF"/>
            <w:hideMark/>
          </w:tcPr>
          <w:p w14:paraId="5E041BC7"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0</w:t>
            </w:r>
          </w:p>
        </w:tc>
        <w:tc>
          <w:tcPr>
            <w:tcW w:w="1134" w:type="dxa"/>
            <w:tcBorders>
              <w:top w:val="nil"/>
              <w:left w:val="nil"/>
              <w:bottom w:val="single" w:sz="4" w:space="0" w:color="000000"/>
              <w:right w:val="single" w:sz="4" w:space="0" w:color="000000"/>
            </w:tcBorders>
            <w:shd w:val="clear" w:color="FFFFFF" w:fill="FFFFFF"/>
            <w:hideMark/>
          </w:tcPr>
          <w:p w14:paraId="5EAA8253"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27</w:t>
            </w:r>
          </w:p>
        </w:tc>
        <w:tc>
          <w:tcPr>
            <w:tcW w:w="993" w:type="dxa"/>
            <w:tcBorders>
              <w:top w:val="nil"/>
              <w:left w:val="single" w:sz="4" w:space="0" w:color="000000"/>
              <w:bottom w:val="single" w:sz="4" w:space="0" w:color="000000"/>
              <w:right w:val="single" w:sz="4" w:space="0" w:color="000000"/>
            </w:tcBorders>
            <w:shd w:val="clear" w:color="FFFFFF" w:fill="FFFFFF"/>
            <w:hideMark/>
          </w:tcPr>
          <w:p w14:paraId="4E568C9C"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65,85%</w:t>
            </w:r>
          </w:p>
        </w:tc>
        <w:tc>
          <w:tcPr>
            <w:tcW w:w="1417" w:type="dxa"/>
            <w:tcBorders>
              <w:top w:val="nil"/>
              <w:left w:val="nil"/>
              <w:bottom w:val="single" w:sz="4" w:space="0" w:color="000000"/>
              <w:right w:val="single" w:sz="4" w:space="0" w:color="000000"/>
            </w:tcBorders>
            <w:shd w:val="clear" w:color="FFFFFF" w:fill="FFFFFF"/>
            <w:hideMark/>
          </w:tcPr>
          <w:p w14:paraId="695D0A12"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92,68%</w:t>
            </w:r>
          </w:p>
        </w:tc>
        <w:tc>
          <w:tcPr>
            <w:tcW w:w="1547" w:type="dxa"/>
            <w:tcBorders>
              <w:top w:val="nil"/>
              <w:left w:val="nil"/>
              <w:bottom w:val="single" w:sz="4" w:space="0" w:color="000000"/>
              <w:right w:val="single" w:sz="4" w:space="0" w:color="000000"/>
            </w:tcBorders>
            <w:shd w:val="clear" w:color="FFFFFF" w:fill="FFFFFF"/>
            <w:hideMark/>
          </w:tcPr>
          <w:p w14:paraId="315846BB"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92,68%</w:t>
            </w:r>
          </w:p>
        </w:tc>
      </w:tr>
      <w:tr w:rsidR="005B77B2" w:rsidRPr="0025033E" w14:paraId="729C629D" w14:textId="77777777" w:rsidTr="009C7925">
        <w:trPr>
          <w:trHeight w:val="315"/>
        </w:trPr>
        <w:tc>
          <w:tcPr>
            <w:tcW w:w="983" w:type="dxa"/>
            <w:tcBorders>
              <w:top w:val="nil"/>
              <w:left w:val="single" w:sz="8" w:space="0" w:color="000000"/>
              <w:bottom w:val="single" w:sz="8" w:space="0" w:color="000000"/>
              <w:right w:val="single" w:sz="8" w:space="0" w:color="000000"/>
            </w:tcBorders>
            <w:shd w:val="clear" w:color="000000" w:fill="FFFFFF"/>
            <w:hideMark/>
          </w:tcPr>
          <w:p w14:paraId="2D120280"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MZ</w:t>
            </w:r>
          </w:p>
        </w:tc>
        <w:tc>
          <w:tcPr>
            <w:tcW w:w="983" w:type="dxa"/>
            <w:tcBorders>
              <w:top w:val="nil"/>
              <w:left w:val="nil"/>
              <w:bottom w:val="single" w:sz="8" w:space="0" w:color="000000"/>
              <w:right w:val="single" w:sz="4" w:space="0" w:color="000000"/>
            </w:tcBorders>
            <w:shd w:val="clear" w:color="000000" w:fill="FFFFFF"/>
          </w:tcPr>
          <w:p w14:paraId="26F6BD65"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131</w:t>
            </w:r>
          </w:p>
        </w:tc>
        <w:tc>
          <w:tcPr>
            <w:tcW w:w="0" w:type="auto"/>
            <w:tcBorders>
              <w:top w:val="nil"/>
              <w:left w:val="nil"/>
              <w:bottom w:val="single" w:sz="4" w:space="0" w:color="000000"/>
              <w:right w:val="single" w:sz="4" w:space="0" w:color="000000"/>
            </w:tcBorders>
            <w:shd w:val="clear" w:color="FFFFFF" w:fill="FFFFFF"/>
            <w:hideMark/>
          </w:tcPr>
          <w:p w14:paraId="62CC9DD0"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5</w:t>
            </w:r>
          </w:p>
        </w:tc>
        <w:tc>
          <w:tcPr>
            <w:tcW w:w="939" w:type="dxa"/>
            <w:tcBorders>
              <w:top w:val="nil"/>
              <w:left w:val="single" w:sz="4" w:space="0" w:color="000000"/>
              <w:bottom w:val="single" w:sz="4" w:space="0" w:color="000000"/>
              <w:right w:val="single" w:sz="4" w:space="0" w:color="000000"/>
            </w:tcBorders>
            <w:shd w:val="clear" w:color="FFFFFF" w:fill="FFFFFF"/>
            <w:hideMark/>
          </w:tcPr>
          <w:p w14:paraId="5ECF1166"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0</w:t>
            </w:r>
          </w:p>
        </w:tc>
        <w:tc>
          <w:tcPr>
            <w:tcW w:w="1134" w:type="dxa"/>
            <w:tcBorders>
              <w:top w:val="nil"/>
              <w:left w:val="nil"/>
              <w:bottom w:val="single" w:sz="4" w:space="0" w:color="000000"/>
              <w:right w:val="single" w:sz="4" w:space="0" w:color="000000"/>
            </w:tcBorders>
            <w:shd w:val="clear" w:color="FFFFFF" w:fill="FFFFFF"/>
            <w:hideMark/>
          </w:tcPr>
          <w:p w14:paraId="48DB51EB"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126</w:t>
            </w:r>
          </w:p>
        </w:tc>
        <w:tc>
          <w:tcPr>
            <w:tcW w:w="993" w:type="dxa"/>
            <w:tcBorders>
              <w:top w:val="nil"/>
              <w:left w:val="single" w:sz="4" w:space="0" w:color="000000"/>
              <w:bottom w:val="single" w:sz="4" w:space="0" w:color="000000"/>
              <w:right w:val="single" w:sz="4" w:space="0" w:color="000000"/>
            </w:tcBorders>
            <w:shd w:val="clear" w:color="FFFFFF" w:fill="FFFFFF"/>
            <w:hideMark/>
          </w:tcPr>
          <w:p w14:paraId="20E27260"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96,18%</w:t>
            </w:r>
          </w:p>
        </w:tc>
        <w:tc>
          <w:tcPr>
            <w:tcW w:w="1417" w:type="dxa"/>
            <w:tcBorders>
              <w:top w:val="nil"/>
              <w:left w:val="nil"/>
              <w:bottom w:val="single" w:sz="4" w:space="0" w:color="000000"/>
              <w:right w:val="single" w:sz="4" w:space="0" w:color="000000"/>
            </w:tcBorders>
            <w:shd w:val="clear" w:color="FFFFFF" w:fill="FFFFFF"/>
            <w:hideMark/>
          </w:tcPr>
          <w:p w14:paraId="2A4A83B9"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100,00%</w:t>
            </w:r>
          </w:p>
        </w:tc>
        <w:tc>
          <w:tcPr>
            <w:tcW w:w="1547" w:type="dxa"/>
            <w:tcBorders>
              <w:top w:val="nil"/>
              <w:left w:val="nil"/>
              <w:bottom w:val="single" w:sz="4" w:space="0" w:color="000000"/>
              <w:right w:val="single" w:sz="4" w:space="0" w:color="000000"/>
            </w:tcBorders>
            <w:shd w:val="clear" w:color="FFFFFF" w:fill="FFFFFF"/>
            <w:hideMark/>
          </w:tcPr>
          <w:p w14:paraId="07AC288D"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100,00%</w:t>
            </w:r>
          </w:p>
        </w:tc>
      </w:tr>
      <w:tr w:rsidR="005B77B2" w:rsidRPr="0025033E" w14:paraId="77D1A99E" w14:textId="77777777" w:rsidTr="009C7925">
        <w:trPr>
          <w:trHeight w:val="315"/>
        </w:trPr>
        <w:tc>
          <w:tcPr>
            <w:tcW w:w="983" w:type="dxa"/>
            <w:tcBorders>
              <w:top w:val="nil"/>
              <w:left w:val="single" w:sz="8" w:space="0" w:color="000000"/>
              <w:bottom w:val="single" w:sz="8" w:space="0" w:color="000000"/>
              <w:right w:val="single" w:sz="8" w:space="0" w:color="000000"/>
            </w:tcBorders>
            <w:shd w:val="clear" w:color="000000" w:fill="FFFFFF"/>
            <w:hideMark/>
          </w:tcPr>
          <w:p w14:paraId="7480267B"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MJU</w:t>
            </w:r>
          </w:p>
        </w:tc>
        <w:tc>
          <w:tcPr>
            <w:tcW w:w="983" w:type="dxa"/>
            <w:tcBorders>
              <w:top w:val="nil"/>
              <w:left w:val="nil"/>
              <w:bottom w:val="single" w:sz="8" w:space="0" w:color="000000"/>
              <w:right w:val="single" w:sz="4" w:space="0" w:color="000000"/>
            </w:tcBorders>
            <w:shd w:val="clear" w:color="000000" w:fill="FFFFFF"/>
          </w:tcPr>
          <w:p w14:paraId="735129DA"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29</w:t>
            </w:r>
          </w:p>
        </w:tc>
        <w:tc>
          <w:tcPr>
            <w:tcW w:w="0" w:type="auto"/>
            <w:tcBorders>
              <w:top w:val="nil"/>
              <w:left w:val="nil"/>
              <w:bottom w:val="single" w:sz="4" w:space="0" w:color="000000"/>
              <w:right w:val="single" w:sz="4" w:space="0" w:color="000000"/>
            </w:tcBorders>
            <w:shd w:val="clear" w:color="FFFFFF" w:fill="FFFFFF"/>
            <w:hideMark/>
          </w:tcPr>
          <w:p w14:paraId="0BBF8310"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0</w:t>
            </w:r>
          </w:p>
        </w:tc>
        <w:tc>
          <w:tcPr>
            <w:tcW w:w="939" w:type="dxa"/>
            <w:tcBorders>
              <w:top w:val="nil"/>
              <w:left w:val="single" w:sz="4" w:space="0" w:color="000000"/>
              <w:bottom w:val="single" w:sz="4" w:space="0" w:color="000000"/>
              <w:right w:val="single" w:sz="4" w:space="0" w:color="000000"/>
            </w:tcBorders>
            <w:shd w:val="clear" w:color="FFFFFF" w:fill="FFFFFF"/>
            <w:hideMark/>
          </w:tcPr>
          <w:p w14:paraId="4D13C1D2"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w:t>
            </w:r>
          </w:p>
        </w:tc>
        <w:tc>
          <w:tcPr>
            <w:tcW w:w="1134" w:type="dxa"/>
            <w:tcBorders>
              <w:top w:val="nil"/>
              <w:left w:val="nil"/>
              <w:bottom w:val="single" w:sz="4" w:space="0" w:color="000000"/>
              <w:right w:val="single" w:sz="4" w:space="0" w:color="000000"/>
            </w:tcBorders>
            <w:shd w:val="clear" w:color="FFFFFF" w:fill="FFFFFF"/>
            <w:hideMark/>
          </w:tcPr>
          <w:p w14:paraId="09FF7A4C"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28</w:t>
            </w:r>
          </w:p>
        </w:tc>
        <w:tc>
          <w:tcPr>
            <w:tcW w:w="993" w:type="dxa"/>
            <w:tcBorders>
              <w:top w:val="nil"/>
              <w:left w:val="single" w:sz="4" w:space="0" w:color="000000"/>
              <w:bottom w:val="single" w:sz="4" w:space="0" w:color="000000"/>
              <w:right w:val="single" w:sz="4" w:space="0" w:color="000000"/>
            </w:tcBorders>
            <w:shd w:val="clear" w:color="FFFFFF" w:fill="FFFFFF"/>
            <w:hideMark/>
          </w:tcPr>
          <w:p w14:paraId="29036364"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96,55%</w:t>
            </w:r>
          </w:p>
        </w:tc>
        <w:tc>
          <w:tcPr>
            <w:tcW w:w="1417" w:type="dxa"/>
            <w:tcBorders>
              <w:top w:val="nil"/>
              <w:left w:val="nil"/>
              <w:bottom w:val="single" w:sz="4" w:space="0" w:color="000000"/>
              <w:right w:val="single" w:sz="4" w:space="0" w:color="000000"/>
            </w:tcBorders>
            <w:shd w:val="clear" w:color="FFFFFF" w:fill="FFFFFF"/>
            <w:hideMark/>
          </w:tcPr>
          <w:p w14:paraId="0208CC7F"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96,55%</w:t>
            </w:r>
          </w:p>
        </w:tc>
        <w:tc>
          <w:tcPr>
            <w:tcW w:w="1547" w:type="dxa"/>
            <w:tcBorders>
              <w:top w:val="nil"/>
              <w:left w:val="nil"/>
              <w:bottom w:val="single" w:sz="4" w:space="0" w:color="000000"/>
              <w:right w:val="single" w:sz="4" w:space="0" w:color="000000"/>
            </w:tcBorders>
            <w:shd w:val="clear" w:color="FFFFFF" w:fill="FFFFFF"/>
            <w:hideMark/>
          </w:tcPr>
          <w:p w14:paraId="2699DD75"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100,00%</w:t>
            </w:r>
          </w:p>
        </w:tc>
      </w:tr>
      <w:tr w:rsidR="005B77B2" w:rsidRPr="0025033E" w14:paraId="38CACD7E" w14:textId="77777777" w:rsidTr="009C7925">
        <w:trPr>
          <w:trHeight w:val="315"/>
        </w:trPr>
        <w:tc>
          <w:tcPr>
            <w:tcW w:w="983" w:type="dxa"/>
            <w:tcBorders>
              <w:top w:val="nil"/>
              <w:left w:val="single" w:sz="8" w:space="0" w:color="000000"/>
              <w:bottom w:val="single" w:sz="8" w:space="0" w:color="000000"/>
              <w:right w:val="single" w:sz="8" w:space="0" w:color="000000"/>
            </w:tcBorders>
            <w:shd w:val="clear" w:color="000000" w:fill="FFFFFF"/>
            <w:hideMark/>
          </w:tcPr>
          <w:p w14:paraId="41651A9E"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MK</w:t>
            </w:r>
          </w:p>
        </w:tc>
        <w:tc>
          <w:tcPr>
            <w:tcW w:w="983" w:type="dxa"/>
            <w:tcBorders>
              <w:top w:val="nil"/>
              <w:left w:val="nil"/>
              <w:bottom w:val="single" w:sz="8" w:space="0" w:color="000000"/>
              <w:right w:val="single" w:sz="4" w:space="0" w:color="000000"/>
            </w:tcBorders>
            <w:shd w:val="clear" w:color="000000" w:fill="FFFFFF"/>
          </w:tcPr>
          <w:p w14:paraId="5EBB01ED"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374</w:t>
            </w:r>
          </w:p>
        </w:tc>
        <w:tc>
          <w:tcPr>
            <w:tcW w:w="0" w:type="auto"/>
            <w:tcBorders>
              <w:top w:val="nil"/>
              <w:left w:val="nil"/>
              <w:bottom w:val="single" w:sz="4" w:space="0" w:color="000000"/>
              <w:right w:val="single" w:sz="4" w:space="0" w:color="000000"/>
            </w:tcBorders>
            <w:shd w:val="clear" w:color="FFFFFF" w:fill="FFFFFF"/>
            <w:hideMark/>
          </w:tcPr>
          <w:p w14:paraId="4745DBD4"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w:t>
            </w:r>
          </w:p>
        </w:tc>
        <w:tc>
          <w:tcPr>
            <w:tcW w:w="939" w:type="dxa"/>
            <w:tcBorders>
              <w:top w:val="nil"/>
              <w:left w:val="single" w:sz="4" w:space="0" w:color="000000"/>
              <w:bottom w:val="single" w:sz="4" w:space="0" w:color="000000"/>
              <w:right w:val="single" w:sz="4" w:space="0" w:color="000000"/>
            </w:tcBorders>
            <w:shd w:val="clear" w:color="FFFFFF" w:fill="FFFFFF"/>
            <w:hideMark/>
          </w:tcPr>
          <w:p w14:paraId="5E0F4215"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8</w:t>
            </w:r>
          </w:p>
        </w:tc>
        <w:tc>
          <w:tcPr>
            <w:tcW w:w="1134" w:type="dxa"/>
            <w:tcBorders>
              <w:top w:val="nil"/>
              <w:left w:val="nil"/>
              <w:bottom w:val="single" w:sz="4" w:space="0" w:color="000000"/>
              <w:right w:val="single" w:sz="4" w:space="0" w:color="000000"/>
            </w:tcBorders>
            <w:shd w:val="clear" w:color="FFFFFF" w:fill="FFFFFF"/>
            <w:hideMark/>
          </w:tcPr>
          <w:p w14:paraId="0A671951"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364</w:t>
            </w:r>
          </w:p>
        </w:tc>
        <w:tc>
          <w:tcPr>
            <w:tcW w:w="993" w:type="dxa"/>
            <w:tcBorders>
              <w:top w:val="nil"/>
              <w:left w:val="single" w:sz="4" w:space="0" w:color="000000"/>
              <w:bottom w:val="single" w:sz="4" w:space="0" w:color="000000"/>
              <w:right w:val="single" w:sz="4" w:space="0" w:color="000000"/>
            </w:tcBorders>
            <w:shd w:val="clear" w:color="FFFFFF" w:fill="FFFFFF"/>
            <w:hideMark/>
          </w:tcPr>
          <w:p w14:paraId="3042EB4E"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97,33%</w:t>
            </w:r>
          </w:p>
        </w:tc>
        <w:tc>
          <w:tcPr>
            <w:tcW w:w="1417" w:type="dxa"/>
            <w:tcBorders>
              <w:top w:val="nil"/>
              <w:left w:val="nil"/>
              <w:bottom w:val="single" w:sz="4" w:space="0" w:color="000000"/>
              <w:right w:val="single" w:sz="4" w:space="0" w:color="000000"/>
            </w:tcBorders>
            <w:shd w:val="clear" w:color="FFFFFF" w:fill="FFFFFF"/>
            <w:hideMark/>
          </w:tcPr>
          <w:p w14:paraId="1249CFA1"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97,59%</w:t>
            </w:r>
          </w:p>
        </w:tc>
        <w:tc>
          <w:tcPr>
            <w:tcW w:w="1547" w:type="dxa"/>
            <w:tcBorders>
              <w:top w:val="nil"/>
              <w:left w:val="nil"/>
              <w:bottom w:val="single" w:sz="4" w:space="0" w:color="000000"/>
              <w:right w:val="single" w:sz="4" w:space="0" w:color="000000"/>
            </w:tcBorders>
            <w:shd w:val="clear" w:color="FFFFFF" w:fill="FFFFFF"/>
            <w:hideMark/>
          </w:tcPr>
          <w:p w14:paraId="34AF011F"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99,73%</w:t>
            </w:r>
          </w:p>
        </w:tc>
      </w:tr>
      <w:tr w:rsidR="005B77B2" w:rsidRPr="0025033E" w14:paraId="14B92977" w14:textId="77777777" w:rsidTr="009C7925">
        <w:trPr>
          <w:trHeight w:val="315"/>
        </w:trPr>
        <w:tc>
          <w:tcPr>
            <w:tcW w:w="983" w:type="dxa"/>
            <w:tcBorders>
              <w:top w:val="nil"/>
              <w:left w:val="single" w:sz="8" w:space="0" w:color="000000"/>
              <w:bottom w:val="single" w:sz="8" w:space="0" w:color="000000"/>
              <w:right w:val="single" w:sz="8" w:space="0" w:color="000000"/>
            </w:tcBorders>
            <w:shd w:val="clear" w:color="000000" w:fill="FFFFFF"/>
            <w:hideMark/>
          </w:tcPr>
          <w:p w14:paraId="573A1C56"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MKRR</w:t>
            </w:r>
          </w:p>
        </w:tc>
        <w:tc>
          <w:tcPr>
            <w:tcW w:w="983" w:type="dxa"/>
            <w:tcBorders>
              <w:top w:val="nil"/>
              <w:left w:val="nil"/>
              <w:bottom w:val="single" w:sz="8" w:space="0" w:color="000000"/>
              <w:right w:val="single" w:sz="4" w:space="0" w:color="000000"/>
            </w:tcBorders>
            <w:shd w:val="clear" w:color="000000" w:fill="FFFFFF"/>
          </w:tcPr>
          <w:p w14:paraId="6B5DE69B"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1264</w:t>
            </w:r>
          </w:p>
        </w:tc>
        <w:tc>
          <w:tcPr>
            <w:tcW w:w="0" w:type="auto"/>
            <w:tcBorders>
              <w:top w:val="nil"/>
              <w:left w:val="nil"/>
              <w:bottom w:val="single" w:sz="4" w:space="0" w:color="000000"/>
              <w:right w:val="single" w:sz="4" w:space="0" w:color="000000"/>
            </w:tcBorders>
            <w:shd w:val="clear" w:color="FFFFFF" w:fill="FFFFFF"/>
            <w:hideMark/>
          </w:tcPr>
          <w:p w14:paraId="0C64C092"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5</w:t>
            </w:r>
          </w:p>
        </w:tc>
        <w:tc>
          <w:tcPr>
            <w:tcW w:w="939" w:type="dxa"/>
            <w:tcBorders>
              <w:top w:val="nil"/>
              <w:left w:val="single" w:sz="4" w:space="0" w:color="000000"/>
              <w:bottom w:val="single" w:sz="4" w:space="0" w:color="000000"/>
              <w:right w:val="single" w:sz="4" w:space="0" w:color="000000"/>
            </w:tcBorders>
            <w:shd w:val="clear" w:color="FFFFFF" w:fill="FFFFFF"/>
            <w:hideMark/>
          </w:tcPr>
          <w:p w14:paraId="103C690C"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0</w:t>
            </w:r>
          </w:p>
        </w:tc>
        <w:tc>
          <w:tcPr>
            <w:tcW w:w="1134" w:type="dxa"/>
            <w:tcBorders>
              <w:top w:val="nil"/>
              <w:left w:val="nil"/>
              <w:bottom w:val="single" w:sz="4" w:space="0" w:color="000000"/>
              <w:right w:val="single" w:sz="4" w:space="0" w:color="000000"/>
            </w:tcBorders>
            <w:shd w:val="clear" w:color="FFFFFF" w:fill="FFFFFF"/>
            <w:hideMark/>
          </w:tcPr>
          <w:p w14:paraId="7896BA30"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1252</w:t>
            </w:r>
          </w:p>
        </w:tc>
        <w:tc>
          <w:tcPr>
            <w:tcW w:w="993" w:type="dxa"/>
            <w:tcBorders>
              <w:top w:val="nil"/>
              <w:left w:val="single" w:sz="4" w:space="0" w:color="000000"/>
              <w:bottom w:val="single" w:sz="4" w:space="0" w:color="000000"/>
              <w:right w:val="single" w:sz="4" w:space="0" w:color="000000"/>
            </w:tcBorders>
            <w:shd w:val="clear" w:color="FFFFFF" w:fill="FFFFFF"/>
            <w:hideMark/>
          </w:tcPr>
          <w:p w14:paraId="4971B28E"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99,05%</w:t>
            </w:r>
          </w:p>
        </w:tc>
        <w:tc>
          <w:tcPr>
            <w:tcW w:w="1417" w:type="dxa"/>
            <w:tcBorders>
              <w:top w:val="nil"/>
              <w:left w:val="nil"/>
              <w:bottom w:val="single" w:sz="4" w:space="0" w:color="000000"/>
              <w:right w:val="single" w:sz="4" w:space="0" w:color="000000"/>
            </w:tcBorders>
            <w:shd w:val="clear" w:color="FFFFFF" w:fill="FFFFFF"/>
            <w:hideMark/>
          </w:tcPr>
          <w:p w14:paraId="29DBD9D0"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99,45%</w:t>
            </w:r>
          </w:p>
        </w:tc>
        <w:tc>
          <w:tcPr>
            <w:tcW w:w="1547" w:type="dxa"/>
            <w:tcBorders>
              <w:top w:val="nil"/>
              <w:left w:val="nil"/>
              <w:bottom w:val="single" w:sz="4" w:space="0" w:color="000000"/>
              <w:right w:val="single" w:sz="4" w:space="0" w:color="000000"/>
            </w:tcBorders>
            <w:shd w:val="clear" w:color="FFFFFF" w:fill="FFFFFF"/>
            <w:hideMark/>
          </w:tcPr>
          <w:p w14:paraId="723FCD70"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99,45%</w:t>
            </w:r>
          </w:p>
        </w:tc>
      </w:tr>
      <w:tr w:rsidR="005B77B2" w:rsidRPr="0025033E" w14:paraId="3DF563D2" w14:textId="77777777" w:rsidTr="009C7925">
        <w:trPr>
          <w:trHeight w:val="315"/>
        </w:trPr>
        <w:tc>
          <w:tcPr>
            <w:tcW w:w="983" w:type="dxa"/>
            <w:tcBorders>
              <w:top w:val="nil"/>
              <w:left w:val="single" w:sz="8" w:space="0" w:color="000000"/>
              <w:bottom w:val="single" w:sz="8" w:space="0" w:color="000000"/>
              <w:right w:val="single" w:sz="8" w:space="0" w:color="000000"/>
            </w:tcBorders>
            <w:shd w:val="clear" w:color="000000" w:fill="FFFFFF"/>
            <w:hideMark/>
          </w:tcPr>
          <w:p w14:paraId="1E7883BD"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MNVP</w:t>
            </w:r>
          </w:p>
        </w:tc>
        <w:tc>
          <w:tcPr>
            <w:tcW w:w="983" w:type="dxa"/>
            <w:tcBorders>
              <w:top w:val="nil"/>
              <w:left w:val="nil"/>
              <w:bottom w:val="single" w:sz="8" w:space="0" w:color="000000"/>
              <w:right w:val="single" w:sz="4" w:space="0" w:color="000000"/>
            </w:tcBorders>
            <w:shd w:val="clear" w:color="000000" w:fill="FFFFFF"/>
          </w:tcPr>
          <w:p w14:paraId="1062A468"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130</w:t>
            </w:r>
          </w:p>
        </w:tc>
        <w:tc>
          <w:tcPr>
            <w:tcW w:w="0" w:type="auto"/>
            <w:tcBorders>
              <w:top w:val="nil"/>
              <w:left w:val="nil"/>
              <w:bottom w:val="single" w:sz="4" w:space="0" w:color="000000"/>
              <w:right w:val="single" w:sz="4" w:space="0" w:color="000000"/>
            </w:tcBorders>
            <w:shd w:val="clear" w:color="FFFFFF" w:fill="FFFFFF"/>
            <w:hideMark/>
          </w:tcPr>
          <w:p w14:paraId="3349ECD8"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12</w:t>
            </w:r>
          </w:p>
        </w:tc>
        <w:tc>
          <w:tcPr>
            <w:tcW w:w="939" w:type="dxa"/>
            <w:tcBorders>
              <w:top w:val="nil"/>
              <w:left w:val="single" w:sz="4" w:space="0" w:color="000000"/>
              <w:bottom w:val="single" w:sz="4" w:space="0" w:color="000000"/>
              <w:right w:val="single" w:sz="4" w:space="0" w:color="000000"/>
            </w:tcBorders>
            <w:shd w:val="clear" w:color="FFFFFF" w:fill="FFFFFF"/>
            <w:hideMark/>
          </w:tcPr>
          <w:p w14:paraId="360FE3C0"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30</w:t>
            </w:r>
          </w:p>
        </w:tc>
        <w:tc>
          <w:tcPr>
            <w:tcW w:w="1134" w:type="dxa"/>
            <w:tcBorders>
              <w:top w:val="nil"/>
              <w:left w:val="nil"/>
              <w:bottom w:val="single" w:sz="4" w:space="0" w:color="000000"/>
              <w:right w:val="single" w:sz="4" w:space="0" w:color="000000"/>
            </w:tcBorders>
            <w:shd w:val="clear" w:color="FFFFFF" w:fill="FFFFFF"/>
            <w:hideMark/>
          </w:tcPr>
          <w:p w14:paraId="1AA108F4"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85</w:t>
            </w:r>
          </w:p>
        </w:tc>
        <w:tc>
          <w:tcPr>
            <w:tcW w:w="993" w:type="dxa"/>
            <w:tcBorders>
              <w:top w:val="nil"/>
              <w:left w:val="single" w:sz="4" w:space="0" w:color="000000"/>
              <w:bottom w:val="single" w:sz="4" w:space="0" w:color="000000"/>
              <w:right w:val="single" w:sz="4" w:space="0" w:color="000000"/>
            </w:tcBorders>
            <w:shd w:val="clear" w:color="FFFFFF" w:fill="FFFFFF"/>
            <w:hideMark/>
          </w:tcPr>
          <w:p w14:paraId="2EE14811"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65,38%</w:t>
            </w:r>
          </w:p>
        </w:tc>
        <w:tc>
          <w:tcPr>
            <w:tcW w:w="1417" w:type="dxa"/>
            <w:tcBorders>
              <w:top w:val="nil"/>
              <w:left w:val="nil"/>
              <w:bottom w:val="single" w:sz="4" w:space="0" w:color="000000"/>
              <w:right w:val="single" w:sz="4" w:space="0" w:color="000000"/>
            </w:tcBorders>
            <w:shd w:val="clear" w:color="FFFFFF" w:fill="FFFFFF"/>
            <w:hideMark/>
          </w:tcPr>
          <w:p w14:paraId="13967C56"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74,62%</w:t>
            </w:r>
          </w:p>
        </w:tc>
        <w:tc>
          <w:tcPr>
            <w:tcW w:w="1547" w:type="dxa"/>
            <w:tcBorders>
              <w:top w:val="nil"/>
              <w:left w:val="nil"/>
              <w:bottom w:val="single" w:sz="4" w:space="0" w:color="000000"/>
              <w:right w:val="single" w:sz="4" w:space="0" w:color="000000"/>
            </w:tcBorders>
            <w:shd w:val="clear" w:color="FFFFFF" w:fill="FFFFFF"/>
            <w:hideMark/>
          </w:tcPr>
          <w:p w14:paraId="0F2C9FA6"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97,69%</w:t>
            </w:r>
          </w:p>
        </w:tc>
      </w:tr>
      <w:tr w:rsidR="005B77B2" w:rsidRPr="0025033E" w14:paraId="526D6F0D" w14:textId="77777777" w:rsidTr="009C7925">
        <w:trPr>
          <w:trHeight w:val="315"/>
        </w:trPr>
        <w:tc>
          <w:tcPr>
            <w:tcW w:w="983" w:type="dxa"/>
            <w:tcBorders>
              <w:top w:val="nil"/>
              <w:left w:val="single" w:sz="8" w:space="0" w:color="000000"/>
              <w:bottom w:val="single" w:sz="8" w:space="0" w:color="000000"/>
              <w:right w:val="single" w:sz="8" w:space="0" w:color="000000"/>
            </w:tcBorders>
            <w:shd w:val="clear" w:color="000000" w:fill="FFFFFF"/>
            <w:hideMark/>
          </w:tcPr>
          <w:p w14:paraId="0A0331D4"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MOPE</w:t>
            </w:r>
          </w:p>
        </w:tc>
        <w:tc>
          <w:tcPr>
            <w:tcW w:w="983" w:type="dxa"/>
            <w:tcBorders>
              <w:top w:val="nil"/>
              <w:left w:val="nil"/>
              <w:bottom w:val="single" w:sz="8" w:space="0" w:color="000000"/>
              <w:right w:val="single" w:sz="4" w:space="0" w:color="000000"/>
            </w:tcBorders>
            <w:shd w:val="clear" w:color="000000" w:fill="FFFFFF"/>
          </w:tcPr>
          <w:p w14:paraId="379B50E2"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1110</w:t>
            </w:r>
          </w:p>
        </w:tc>
        <w:tc>
          <w:tcPr>
            <w:tcW w:w="0" w:type="auto"/>
            <w:tcBorders>
              <w:top w:val="nil"/>
              <w:left w:val="nil"/>
              <w:bottom w:val="single" w:sz="4" w:space="0" w:color="000000"/>
              <w:right w:val="single" w:sz="4" w:space="0" w:color="000000"/>
            </w:tcBorders>
            <w:shd w:val="clear" w:color="FFFFFF" w:fill="FFFFFF"/>
            <w:hideMark/>
          </w:tcPr>
          <w:p w14:paraId="5C7AB0C9"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4</w:t>
            </w:r>
          </w:p>
        </w:tc>
        <w:tc>
          <w:tcPr>
            <w:tcW w:w="939" w:type="dxa"/>
            <w:tcBorders>
              <w:top w:val="nil"/>
              <w:left w:val="single" w:sz="4" w:space="0" w:color="000000"/>
              <w:bottom w:val="single" w:sz="4" w:space="0" w:color="000000"/>
              <w:right w:val="single" w:sz="4" w:space="0" w:color="000000"/>
            </w:tcBorders>
            <w:shd w:val="clear" w:color="FFFFFF" w:fill="FFFFFF"/>
            <w:hideMark/>
          </w:tcPr>
          <w:p w14:paraId="69DD022F"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8</w:t>
            </w:r>
          </w:p>
        </w:tc>
        <w:tc>
          <w:tcPr>
            <w:tcW w:w="1134" w:type="dxa"/>
            <w:tcBorders>
              <w:top w:val="nil"/>
              <w:left w:val="nil"/>
              <w:bottom w:val="single" w:sz="4" w:space="0" w:color="000000"/>
              <w:right w:val="single" w:sz="4" w:space="0" w:color="000000"/>
            </w:tcBorders>
            <w:shd w:val="clear" w:color="FFFFFF" w:fill="FFFFFF"/>
            <w:hideMark/>
          </w:tcPr>
          <w:p w14:paraId="5EA9A5E1"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1095</w:t>
            </w:r>
          </w:p>
        </w:tc>
        <w:tc>
          <w:tcPr>
            <w:tcW w:w="993" w:type="dxa"/>
            <w:tcBorders>
              <w:top w:val="nil"/>
              <w:left w:val="single" w:sz="4" w:space="0" w:color="000000"/>
              <w:bottom w:val="single" w:sz="4" w:space="0" w:color="000000"/>
              <w:right w:val="single" w:sz="4" w:space="0" w:color="000000"/>
            </w:tcBorders>
            <w:shd w:val="clear" w:color="FFFFFF" w:fill="FFFFFF"/>
            <w:hideMark/>
          </w:tcPr>
          <w:p w14:paraId="2D4D9CA7"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98,65%</w:t>
            </w:r>
          </w:p>
        </w:tc>
        <w:tc>
          <w:tcPr>
            <w:tcW w:w="1417" w:type="dxa"/>
            <w:tcBorders>
              <w:top w:val="nil"/>
              <w:left w:val="nil"/>
              <w:bottom w:val="single" w:sz="4" w:space="0" w:color="000000"/>
              <w:right w:val="single" w:sz="4" w:space="0" w:color="000000"/>
            </w:tcBorders>
            <w:shd w:val="clear" w:color="FFFFFF" w:fill="FFFFFF"/>
            <w:hideMark/>
          </w:tcPr>
          <w:p w14:paraId="157F8C6F"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99,01%</w:t>
            </w:r>
          </w:p>
        </w:tc>
        <w:tc>
          <w:tcPr>
            <w:tcW w:w="1547" w:type="dxa"/>
            <w:tcBorders>
              <w:top w:val="nil"/>
              <w:left w:val="nil"/>
              <w:bottom w:val="single" w:sz="4" w:space="0" w:color="000000"/>
              <w:right w:val="single" w:sz="4" w:space="0" w:color="000000"/>
            </w:tcBorders>
            <w:shd w:val="clear" w:color="FFFFFF" w:fill="FFFFFF"/>
            <w:hideMark/>
          </w:tcPr>
          <w:p w14:paraId="593B4907"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99,73%</w:t>
            </w:r>
          </w:p>
        </w:tc>
      </w:tr>
      <w:tr w:rsidR="005B77B2" w:rsidRPr="0025033E" w14:paraId="03821979" w14:textId="77777777" w:rsidTr="009C7925">
        <w:trPr>
          <w:trHeight w:val="315"/>
        </w:trPr>
        <w:tc>
          <w:tcPr>
            <w:tcW w:w="983" w:type="dxa"/>
            <w:tcBorders>
              <w:top w:val="nil"/>
              <w:left w:val="single" w:sz="8" w:space="0" w:color="000000"/>
              <w:bottom w:val="single" w:sz="8" w:space="0" w:color="000000"/>
              <w:right w:val="single" w:sz="8" w:space="0" w:color="000000"/>
            </w:tcBorders>
            <w:shd w:val="clear" w:color="000000" w:fill="FFFFFF"/>
            <w:hideMark/>
          </w:tcPr>
          <w:p w14:paraId="4B4A39F0"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MP</w:t>
            </w:r>
          </w:p>
        </w:tc>
        <w:tc>
          <w:tcPr>
            <w:tcW w:w="983" w:type="dxa"/>
            <w:tcBorders>
              <w:top w:val="nil"/>
              <w:left w:val="nil"/>
              <w:bottom w:val="single" w:sz="8" w:space="0" w:color="000000"/>
              <w:right w:val="single" w:sz="4" w:space="0" w:color="000000"/>
            </w:tcBorders>
            <w:shd w:val="clear" w:color="000000" w:fill="FFFFFF"/>
          </w:tcPr>
          <w:p w14:paraId="799D7B75"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4</w:t>
            </w:r>
          </w:p>
        </w:tc>
        <w:tc>
          <w:tcPr>
            <w:tcW w:w="0" w:type="auto"/>
            <w:tcBorders>
              <w:top w:val="nil"/>
              <w:left w:val="nil"/>
              <w:bottom w:val="single" w:sz="4" w:space="0" w:color="000000"/>
              <w:right w:val="single" w:sz="4" w:space="0" w:color="000000"/>
            </w:tcBorders>
            <w:shd w:val="clear" w:color="FFFFFF" w:fill="FFFFFF"/>
            <w:hideMark/>
          </w:tcPr>
          <w:p w14:paraId="29963E74"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0</w:t>
            </w:r>
          </w:p>
        </w:tc>
        <w:tc>
          <w:tcPr>
            <w:tcW w:w="939" w:type="dxa"/>
            <w:tcBorders>
              <w:top w:val="nil"/>
              <w:left w:val="single" w:sz="4" w:space="0" w:color="000000"/>
              <w:bottom w:val="single" w:sz="4" w:space="0" w:color="000000"/>
              <w:right w:val="single" w:sz="4" w:space="0" w:color="000000"/>
            </w:tcBorders>
            <w:shd w:val="clear" w:color="FFFFFF" w:fill="FFFFFF"/>
            <w:hideMark/>
          </w:tcPr>
          <w:p w14:paraId="03E6A0DE"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0</w:t>
            </w:r>
          </w:p>
        </w:tc>
        <w:tc>
          <w:tcPr>
            <w:tcW w:w="1134" w:type="dxa"/>
            <w:tcBorders>
              <w:top w:val="nil"/>
              <w:left w:val="nil"/>
              <w:bottom w:val="single" w:sz="4" w:space="0" w:color="000000"/>
              <w:right w:val="single" w:sz="4" w:space="0" w:color="000000"/>
            </w:tcBorders>
            <w:shd w:val="clear" w:color="FFFFFF" w:fill="FFFFFF"/>
            <w:hideMark/>
          </w:tcPr>
          <w:p w14:paraId="41B60505"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4</w:t>
            </w:r>
          </w:p>
        </w:tc>
        <w:tc>
          <w:tcPr>
            <w:tcW w:w="993" w:type="dxa"/>
            <w:tcBorders>
              <w:top w:val="nil"/>
              <w:left w:val="single" w:sz="4" w:space="0" w:color="000000"/>
              <w:bottom w:val="single" w:sz="4" w:space="0" w:color="000000"/>
              <w:right w:val="single" w:sz="4" w:space="0" w:color="000000"/>
            </w:tcBorders>
            <w:shd w:val="clear" w:color="FFFFFF" w:fill="FFFFFF"/>
            <w:hideMark/>
          </w:tcPr>
          <w:p w14:paraId="7EEB5645"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100,00%</w:t>
            </w:r>
          </w:p>
        </w:tc>
        <w:tc>
          <w:tcPr>
            <w:tcW w:w="1417" w:type="dxa"/>
            <w:tcBorders>
              <w:top w:val="nil"/>
              <w:left w:val="nil"/>
              <w:bottom w:val="single" w:sz="4" w:space="0" w:color="000000"/>
              <w:right w:val="single" w:sz="4" w:space="0" w:color="000000"/>
            </w:tcBorders>
            <w:shd w:val="clear" w:color="FFFFFF" w:fill="FFFFFF"/>
            <w:hideMark/>
          </w:tcPr>
          <w:p w14:paraId="2559A3E2"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100,00%</w:t>
            </w:r>
          </w:p>
        </w:tc>
        <w:tc>
          <w:tcPr>
            <w:tcW w:w="1547" w:type="dxa"/>
            <w:tcBorders>
              <w:top w:val="nil"/>
              <w:left w:val="nil"/>
              <w:bottom w:val="single" w:sz="4" w:space="0" w:color="000000"/>
              <w:right w:val="single" w:sz="4" w:space="0" w:color="000000"/>
            </w:tcBorders>
            <w:shd w:val="clear" w:color="FFFFFF" w:fill="FFFFFF"/>
            <w:hideMark/>
          </w:tcPr>
          <w:p w14:paraId="7AF0D0AB"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100,00%</w:t>
            </w:r>
          </w:p>
        </w:tc>
      </w:tr>
      <w:tr w:rsidR="005B77B2" w:rsidRPr="0025033E" w14:paraId="2CBA1099" w14:textId="77777777" w:rsidTr="009C7925">
        <w:trPr>
          <w:trHeight w:val="315"/>
        </w:trPr>
        <w:tc>
          <w:tcPr>
            <w:tcW w:w="983" w:type="dxa"/>
            <w:tcBorders>
              <w:top w:val="nil"/>
              <w:left w:val="single" w:sz="8" w:space="0" w:color="000000"/>
              <w:bottom w:val="single" w:sz="8" w:space="0" w:color="000000"/>
              <w:right w:val="single" w:sz="8" w:space="0" w:color="000000"/>
            </w:tcBorders>
            <w:shd w:val="clear" w:color="000000" w:fill="FFFFFF"/>
            <w:hideMark/>
          </w:tcPr>
          <w:p w14:paraId="3117F96B"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MVI</w:t>
            </w:r>
          </w:p>
        </w:tc>
        <w:tc>
          <w:tcPr>
            <w:tcW w:w="983" w:type="dxa"/>
            <w:tcBorders>
              <w:top w:val="nil"/>
              <w:left w:val="nil"/>
              <w:bottom w:val="single" w:sz="8" w:space="0" w:color="000000"/>
              <w:right w:val="single" w:sz="4" w:space="0" w:color="000000"/>
            </w:tcBorders>
            <w:shd w:val="clear" w:color="000000" w:fill="FFFFFF"/>
          </w:tcPr>
          <w:p w14:paraId="7FC85C21"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1430</w:t>
            </w:r>
          </w:p>
        </w:tc>
        <w:tc>
          <w:tcPr>
            <w:tcW w:w="0" w:type="auto"/>
            <w:tcBorders>
              <w:top w:val="nil"/>
              <w:left w:val="nil"/>
              <w:bottom w:val="single" w:sz="4" w:space="0" w:color="000000"/>
              <w:right w:val="single" w:sz="4" w:space="0" w:color="000000"/>
            </w:tcBorders>
            <w:shd w:val="clear" w:color="FFFFFF" w:fill="FFFFFF"/>
            <w:hideMark/>
          </w:tcPr>
          <w:p w14:paraId="44834B29"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w:t>
            </w:r>
          </w:p>
        </w:tc>
        <w:tc>
          <w:tcPr>
            <w:tcW w:w="939" w:type="dxa"/>
            <w:tcBorders>
              <w:top w:val="nil"/>
              <w:left w:val="single" w:sz="4" w:space="0" w:color="000000"/>
              <w:bottom w:val="single" w:sz="4" w:space="0" w:color="000000"/>
              <w:right w:val="single" w:sz="4" w:space="0" w:color="000000"/>
            </w:tcBorders>
            <w:shd w:val="clear" w:color="FFFFFF" w:fill="FFFFFF"/>
            <w:hideMark/>
          </w:tcPr>
          <w:p w14:paraId="7BE73065"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w:t>
            </w:r>
          </w:p>
        </w:tc>
        <w:tc>
          <w:tcPr>
            <w:tcW w:w="1134" w:type="dxa"/>
            <w:tcBorders>
              <w:top w:val="nil"/>
              <w:left w:val="nil"/>
              <w:bottom w:val="single" w:sz="4" w:space="0" w:color="000000"/>
              <w:right w:val="single" w:sz="4" w:space="0" w:color="000000"/>
            </w:tcBorders>
            <w:shd w:val="clear" w:color="FFFFFF" w:fill="FFFFFF"/>
            <w:hideMark/>
          </w:tcPr>
          <w:p w14:paraId="6F387DFC"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1428</w:t>
            </w:r>
          </w:p>
        </w:tc>
        <w:tc>
          <w:tcPr>
            <w:tcW w:w="993" w:type="dxa"/>
            <w:tcBorders>
              <w:top w:val="nil"/>
              <w:left w:val="single" w:sz="4" w:space="0" w:color="000000"/>
              <w:bottom w:val="single" w:sz="4" w:space="0" w:color="000000"/>
              <w:right w:val="single" w:sz="4" w:space="0" w:color="000000"/>
            </w:tcBorders>
            <w:shd w:val="clear" w:color="FFFFFF" w:fill="FFFFFF"/>
            <w:hideMark/>
          </w:tcPr>
          <w:p w14:paraId="654630F1"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99,86%</w:t>
            </w:r>
          </w:p>
        </w:tc>
        <w:tc>
          <w:tcPr>
            <w:tcW w:w="1417" w:type="dxa"/>
            <w:tcBorders>
              <w:top w:val="nil"/>
              <w:left w:val="nil"/>
              <w:bottom w:val="single" w:sz="4" w:space="0" w:color="000000"/>
              <w:right w:val="single" w:sz="4" w:space="0" w:color="000000"/>
            </w:tcBorders>
            <w:shd w:val="clear" w:color="FFFFFF" w:fill="FFFFFF"/>
            <w:hideMark/>
          </w:tcPr>
          <w:p w14:paraId="50D08C41"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99,93%</w:t>
            </w:r>
          </w:p>
        </w:tc>
        <w:tc>
          <w:tcPr>
            <w:tcW w:w="1547" w:type="dxa"/>
            <w:tcBorders>
              <w:top w:val="nil"/>
              <w:left w:val="nil"/>
              <w:bottom w:val="single" w:sz="4" w:space="0" w:color="000000"/>
              <w:right w:val="single" w:sz="4" w:space="0" w:color="000000"/>
            </w:tcBorders>
            <w:shd w:val="clear" w:color="FFFFFF" w:fill="FFFFFF"/>
            <w:hideMark/>
          </w:tcPr>
          <w:p w14:paraId="6BA1795F"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100,00%</w:t>
            </w:r>
          </w:p>
        </w:tc>
      </w:tr>
      <w:tr w:rsidR="005B77B2" w:rsidRPr="0025033E" w14:paraId="79C9CD6F" w14:textId="77777777" w:rsidTr="009C7925">
        <w:trPr>
          <w:trHeight w:val="315"/>
        </w:trPr>
        <w:tc>
          <w:tcPr>
            <w:tcW w:w="983" w:type="dxa"/>
            <w:tcBorders>
              <w:top w:val="nil"/>
              <w:left w:val="single" w:sz="8" w:space="0" w:color="000000"/>
              <w:bottom w:val="single" w:sz="8" w:space="0" w:color="000000"/>
              <w:right w:val="single" w:sz="8" w:space="0" w:color="000000"/>
            </w:tcBorders>
            <w:shd w:val="clear" w:color="000000" w:fill="FFFFFF"/>
            <w:hideMark/>
          </w:tcPr>
          <w:p w14:paraId="791B8463"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MVZI</w:t>
            </w:r>
          </w:p>
        </w:tc>
        <w:tc>
          <w:tcPr>
            <w:tcW w:w="983" w:type="dxa"/>
            <w:tcBorders>
              <w:top w:val="nil"/>
              <w:left w:val="nil"/>
              <w:bottom w:val="single" w:sz="8" w:space="0" w:color="000000"/>
              <w:right w:val="single" w:sz="4" w:space="0" w:color="000000"/>
            </w:tcBorders>
            <w:shd w:val="clear" w:color="000000" w:fill="FFFFFF"/>
          </w:tcPr>
          <w:p w14:paraId="2FB2BCC2"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274</w:t>
            </w:r>
          </w:p>
        </w:tc>
        <w:tc>
          <w:tcPr>
            <w:tcW w:w="0" w:type="auto"/>
            <w:tcBorders>
              <w:top w:val="nil"/>
              <w:left w:val="nil"/>
              <w:bottom w:val="single" w:sz="4" w:space="0" w:color="000000"/>
              <w:right w:val="single" w:sz="4" w:space="0" w:color="000000"/>
            </w:tcBorders>
            <w:shd w:val="clear" w:color="FFFFFF" w:fill="FFFFFF"/>
            <w:hideMark/>
          </w:tcPr>
          <w:p w14:paraId="77001C70"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5</w:t>
            </w:r>
          </w:p>
        </w:tc>
        <w:tc>
          <w:tcPr>
            <w:tcW w:w="939" w:type="dxa"/>
            <w:tcBorders>
              <w:top w:val="nil"/>
              <w:left w:val="single" w:sz="4" w:space="0" w:color="000000"/>
              <w:bottom w:val="single" w:sz="4" w:space="0" w:color="000000"/>
              <w:right w:val="single" w:sz="4" w:space="0" w:color="000000"/>
            </w:tcBorders>
            <w:shd w:val="clear" w:color="FFFFFF" w:fill="FFFFFF"/>
            <w:hideMark/>
          </w:tcPr>
          <w:p w14:paraId="5A4FFD35"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31</w:t>
            </w:r>
          </w:p>
        </w:tc>
        <w:tc>
          <w:tcPr>
            <w:tcW w:w="1134" w:type="dxa"/>
            <w:tcBorders>
              <w:top w:val="nil"/>
              <w:left w:val="nil"/>
              <w:bottom w:val="single" w:sz="4" w:space="0" w:color="000000"/>
              <w:right w:val="single" w:sz="4" w:space="0" w:color="000000"/>
            </w:tcBorders>
            <w:shd w:val="clear" w:color="FFFFFF" w:fill="FFFFFF"/>
            <w:hideMark/>
          </w:tcPr>
          <w:p w14:paraId="49B1B24B"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238</w:t>
            </w:r>
          </w:p>
        </w:tc>
        <w:tc>
          <w:tcPr>
            <w:tcW w:w="993" w:type="dxa"/>
            <w:tcBorders>
              <w:top w:val="nil"/>
              <w:left w:val="single" w:sz="4" w:space="0" w:color="000000"/>
              <w:bottom w:val="single" w:sz="4" w:space="0" w:color="000000"/>
              <w:right w:val="single" w:sz="4" w:space="0" w:color="000000"/>
            </w:tcBorders>
            <w:shd w:val="clear" w:color="FFFFFF" w:fill="FFFFFF"/>
            <w:hideMark/>
          </w:tcPr>
          <w:p w14:paraId="4111D17F"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86,86%</w:t>
            </w:r>
          </w:p>
        </w:tc>
        <w:tc>
          <w:tcPr>
            <w:tcW w:w="1417" w:type="dxa"/>
            <w:tcBorders>
              <w:top w:val="nil"/>
              <w:left w:val="nil"/>
              <w:bottom w:val="single" w:sz="4" w:space="0" w:color="000000"/>
              <w:right w:val="single" w:sz="4" w:space="0" w:color="000000"/>
            </w:tcBorders>
            <w:shd w:val="clear" w:color="FFFFFF" w:fill="FFFFFF"/>
            <w:hideMark/>
          </w:tcPr>
          <w:p w14:paraId="639EBE57"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88,69%</w:t>
            </w:r>
          </w:p>
        </w:tc>
        <w:tc>
          <w:tcPr>
            <w:tcW w:w="1547" w:type="dxa"/>
            <w:tcBorders>
              <w:top w:val="nil"/>
              <w:left w:val="nil"/>
              <w:bottom w:val="single" w:sz="4" w:space="0" w:color="000000"/>
              <w:right w:val="single" w:sz="4" w:space="0" w:color="000000"/>
            </w:tcBorders>
            <w:shd w:val="clear" w:color="FFFFFF" w:fill="FFFFFF"/>
            <w:hideMark/>
          </w:tcPr>
          <w:p w14:paraId="5BF8FB33"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100,00%</w:t>
            </w:r>
          </w:p>
        </w:tc>
      </w:tr>
      <w:tr w:rsidR="005B77B2" w:rsidRPr="0025033E" w14:paraId="43F16AC9" w14:textId="77777777" w:rsidTr="009C7925">
        <w:trPr>
          <w:trHeight w:val="315"/>
        </w:trPr>
        <w:tc>
          <w:tcPr>
            <w:tcW w:w="983" w:type="dxa"/>
            <w:tcBorders>
              <w:top w:val="nil"/>
              <w:left w:val="single" w:sz="8" w:space="0" w:color="000000"/>
              <w:bottom w:val="single" w:sz="8" w:space="0" w:color="000000"/>
              <w:right w:val="single" w:sz="8" w:space="0" w:color="000000"/>
            </w:tcBorders>
            <w:shd w:val="clear" w:color="000000" w:fill="FFFFFF"/>
            <w:hideMark/>
          </w:tcPr>
          <w:p w14:paraId="4DDB0978"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MZI</w:t>
            </w:r>
          </w:p>
        </w:tc>
        <w:tc>
          <w:tcPr>
            <w:tcW w:w="983" w:type="dxa"/>
            <w:tcBorders>
              <w:top w:val="nil"/>
              <w:left w:val="nil"/>
              <w:bottom w:val="single" w:sz="8" w:space="0" w:color="000000"/>
              <w:right w:val="single" w:sz="4" w:space="0" w:color="000000"/>
            </w:tcBorders>
            <w:shd w:val="clear" w:color="000000" w:fill="FFFFFF"/>
          </w:tcPr>
          <w:p w14:paraId="67071B08"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82</w:t>
            </w:r>
          </w:p>
        </w:tc>
        <w:tc>
          <w:tcPr>
            <w:tcW w:w="0" w:type="auto"/>
            <w:tcBorders>
              <w:top w:val="nil"/>
              <w:left w:val="nil"/>
              <w:bottom w:val="single" w:sz="4" w:space="0" w:color="000000"/>
              <w:right w:val="single" w:sz="4" w:space="0" w:color="000000"/>
            </w:tcBorders>
            <w:shd w:val="clear" w:color="FFFFFF" w:fill="FFFFFF"/>
            <w:hideMark/>
          </w:tcPr>
          <w:p w14:paraId="16A4E4F7"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4</w:t>
            </w:r>
          </w:p>
        </w:tc>
        <w:tc>
          <w:tcPr>
            <w:tcW w:w="939" w:type="dxa"/>
            <w:tcBorders>
              <w:top w:val="nil"/>
              <w:left w:val="single" w:sz="4" w:space="0" w:color="000000"/>
              <w:bottom w:val="single" w:sz="4" w:space="0" w:color="000000"/>
              <w:right w:val="single" w:sz="4" w:space="0" w:color="000000"/>
            </w:tcBorders>
            <w:shd w:val="clear" w:color="FFFFFF" w:fill="FFFFFF"/>
            <w:hideMark/>
          </w:tcPr>
          <w:p w14:paraId="4EF09027"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21</w:t>
            </w:r>
          </w:p>
        </w:tc>
        <w:tc>
          <w:tcPr>
            <w:tcW w:w="1134" w:type="dxa"/>
            <w:tcBorders>
              <w:top w:val="nil"/>
              <w:left w:val="nil"/>
              <w:bottom w:val="single" w:sz="4" w:space="0" w:color="000000"/>
              <w:right w:val="single" w:sz="4" w:space="0" w:color="000000"/>
            </w:tcBorders>
            <w:shd w:val="clear" w:color="FFFFFF" w:fill="FFFFFF"/>
            <w:hideMark/>
          </w:tcPr>
          <w:p w14:paraId="7DD6F963"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56</w:t>
            </w:r>
          </w:p>
        </w:tc>
        <w:tc>
          <w:tcPr>
            <w:tcW w:w="993" w:type="dxa"/>
            <w:tcBorders>
              <w:top w:val="nil"/>
              <w:left w:val="single" w:sz="4" w:space="0" w:color="000000"/>
              <w:bottom w:val="single" w:sz="4" w:space="0" w:color="000000"/>
              <w:right w:val="single" w:sz="4" w:space="0" w:color="000000"/>
            </w:tcBorders>
            <w:shd w:val="clear" w:color="FFFFFF" w:fill="FFFFFF"/>
            <w:hideMark/>
          </w:tcPr>
          <w:p w14:paraId="3B2A4746"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68,29%</w:t>
            </w:r>
          </w:p>
        </w:tc>
        <w:tc>
          <w:tcPr>
            <w:tcW w:w="1417" w:type="dxa"/>
            <w:tcBorders>
              <w:top w:val="nil"/>
              <w:left w:val="nil"/>
              <w:bottom w:val="single" w:sz="4" w:space="0" w:color="000000"/>
              <w:right w:val="single" w:sz="4" w:space="0" w:color="000000"/>
            </w:tcBorders>
            <w:shd w:val="clear" w:color="FFFFFF" w:fill="FFFFFF"/>
            <w:hideMark/>
          </w:tcPr>
          <w:p w14:paraId="5FFD0917"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73,17%</w:t>
            </w:r>
          </w:p>
        </w:tc>
        <w:tc>
          <w:tcPr>
            <w:tcW w:w="1547" w:type="dxa"/>
            <w:tcBorders>
              <w:top w:val="nil"/>
              <w:left w:val="nil"/>
              <w:bottom w:val="single" w:sz="4" w:space="0" w:color="000000"/>
              <w:right w:val="single" w:sz="4" w:space="0" w:color="000000"/>
            </w:tcBorders>
            <w:shd w:val="clear" w:color="FFFFFF" w:fill="FFFFFF"/>
            <w:hideMark/>
          </w:tcPr>
          <w:p w14:paraId="0952AE32" w14:textId="77777777" w:rsidR="005B77B2" w:rsidRPr="0025033E" w:rsidRDefault="005B77B2" w:rsidP="00ED5676">
            <w:pPr>
              <w:suppressAutoHyphens w:val="0"/>
              <w:autoSpaceDN/>
              <w:spacing w:after="0" w:line="240" w:lineRule="auto"/>
              <w:jc w:val="both"/>
              <w:rPr>
                <w:rFonts w:cs="Arial"/>
                <w:szCs w:val="20"/>
              </w:rPr>
            </w:pPr>
            <w:r w:rsidRPr="0025033E">
              <w:rPr>
                <w:rFonts w:cs="Arial"/>
                <w:color w:val="333333"/>
                <w:szCs w:val="20"/>
              </w:rPr>
              <w:t>98,78%</w:t>
            </w:r>
          </w:p>
        </w:tc>
      </w:tr>
      <w:tr w:rsidR="009C7925" w:rsidRPr="0025033E" w14:paraId="49155405" w14:textId="77777777" w:rsidTr="00813DA2">
        <w:trPr>
          <w:trHeight w:val="315"/>
        </w:trPr>
        <w:tc>
          <w:tcPr>
            <w:tcW w:w="983" w:type="dxa"/>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1F9A8AD2" w14:textId="7CDCDED2" w:rsidR="005B77B2" w:rsidRPr="0025033E" w:rsidRDefault="00E94F09" w:rsidP="00ED5676">
            <w:pPr>
              <w:suppressAutoHyphens w:val="0"/>
              <w:autoSpaceDN/>
              <w:spacing w:after="0" w:line="240" w:lineRule="auto"/>
              <w:jc w:val="both"/>
              <w:rPr>
                <w:rFonts w:cs="Arial"/>
                <w:b/>
                <w:bCs/>
                <w:szCs w:val="20"/>
              </w:rPr>
            </w:pPr>
            <w:r w:rsidRPr="0025033E">
              <w:rPr>
                <w:rFonts w:cs="Arial"/>
                <w:b/>
                <w:bCs/>
                <w:szCs w:val="20"/>
              </w:rPr>
              <w:t>S</w:t>
            </w:r>
            <w:r>
              <w:rPr>
                <w:rFonts w:cs="Arial"/>
                <w:b/>
                <w:bCs/>
                <w:szCs w:val="20"/>
              </w:rPr>
              <w:t>K</w:t>
            </w:r>
            <w:r>
              <w:rPr>
                <w:b/>
                <w:bCs/>
                <w:szCs w:val="20"/>
              </w:rPr>
              <w:t>UPAJ</w:t>
            </w:r>
          </w:p>
        </w:tc>
        <w:tc>
          <w:tcPr>
            <w:tcW w:w="983" w:type="dxa"/>
            <w:tcBorders>
              <w:top w:val="nil"/>
              <w:left w:val="nil"/>
              <w:bottom w:val="single" w:sz="8" w:space="0" w:color="000000"/>
              <w:right w:val="single" w:sz="8" w:space="0" w:color="000000"/>
            </w:tcBorders>
            <w:shd w:val="clear" w:color="auto" w:fill="DEEAF6" w:themeFill="accent5" w:themeFillTint="33"/>
            <w:vAlign w:val="center"/>
          </w:tcPr>
          <w:p w14:paraId="06CC600D"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9177</w:t>
            </w:r>
          </w:p>
        </w:tc>
        <w:tc>
          <w:tcPr>
            <w:tcW w:w="0" w:type="auto"/>
            <w:tcBorders>
              <w:top w:val="nil"/>
              <w:left w:val="nil"/>
              <w:bottom w:val="single" w:sz="8" w:space="0" w:color="000000"/>
              <w:right w:val="single" w:sz="8" w:space="0" w:color="000000"/>
            </w:tcBorders>
            <w:shd w:val="clear" w:color="auto" w:fill="DEEAF6" w:themeFill="accent5" w:themeFillTint="33"/>
            <w:vAlign w:val="center"/>
            <w:hideMark/>
          </w:tcPr>
          <w:p w14:paraId="698D8A51"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142</w:t>
            </w:r>
          </w:p>
        </w:tc>
        <w:tc>
          <w:tcPr>
            <w:tcW w:w="939" w:type="dxa"/>
            <w:tcBorders>
              <w:top w:val="nil"/>
              <w:left w:val="nil"/>
              <w:bottom w:val="single" w:sz="8" w:space="0" w:color="000000"/>
              <w:right w:val="single" w:sz="8" w:space="0" w:color="000000"/>
            </w:tcBorders>
            <w:shd w:val="clear" w:color="auto" w:fill="DEEAF6" w:themeFill="accent5" w:themeFillTint="33"/>
            <w:vAlign w:val="center"/>
            <w:hideMark/>
          </w:tcPr>
          <w:p w14:paraId="76003D15"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209</w:t>
            </w:r>
          </w:p>
        </w:tc>
        <w:tc>
          <w:tcPr>
            <w:tcW w:w="1134" w:type="dxa"/>
            <w:tcBorders>
              <w:top w:val="nil"/>
              <w:left w:val="nil"/>
              <w:bottom w:val="single" w:sz="8" w:space="0" w:color="000000"/>
              <w:right w:val="single" w:sz="8" w:space="0" w:color="000000"/>
            </w:tcBorders>
            <w:shd w:val="clear" w:color="auto" w:fill="DEEAF6" w:themeFill="accent5" w:themeFillTint="33"/>
            <w:vAlign w:val="center"/>
            <w:hideMark/>
          </w:tcPr>
          <w:p w14:paraId="023451E8"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8788</w:t>
            </w:r>
          </w:p>
        </w:tc>
        <w:tc>
          <w:tcPr>
            <w:tcW w:w="993" w:type="dxa"/>
            <w:tcBorders>
              <w:top w:val="nil"/>
              <w:left w:val="nil"/>
              <w:bottom w:val="single" w:sz="8" w:space="0" w:color="000000"/>
              <w:right w:val="single" w:sz="8" w:space="0" w:color="000000"/>
            </w:tcBorders>
            <w:shd w:val="clear" w:color="auto" w:fill="DEEAF6" w:themeFill="accent5" w:themeFillTint="33"/>
            <w:vAlign w:val="center"/>
            <w:hideMark/>
          </w:tcPr>
          <w:p w14:paraId="2C36EDC0"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89,25%</w:t>
            </w:r>
          </w:p>
        </w:tc>
        <w:tc>
          <w:tcPr>
            <w:tcW w:w="1417" w:type="dxa"/>
            <w:tcBorders>
              <w:top w:val="nil"/>
              <w:left w:val="nil"/>
              <w:bottom w:val="single" w:sz="8" w:space="0" w:color="000000"/>
              <w:right w:val="single" w:sz="8" w:space="0" w:color="000000"/>
            </w:tcBorders>
            <w:shd w:val="clear" w:color="auto" w:fill="DEEAF6" w:themeFill="accent5" w:themeFillTint="33"/>
            <w:vAlign w:val="center"/>
          </w:tcPr>
          <w:p w14:paraId="524BA8A1"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93,53%</w:t>
            </w:r>
          </w:p>
        </w:tc>
        <w:tc>
          <w:tcPr>
            <w:tcW w:w="1547" w:type="dxa"/>
            <w:tcBorders>
              <w:top w:val="nil"/>
              <w:left w:val="nil"/>
              <w:bottom w:val="single" w:sz="8" w:space="0" w:color="000000"/>
              <w:right w:val="single" w:sz="8" w:space="0" w:color="000000"/>
            </w:tcBorders>
            <w:shd w:val="clear" w:color="auto" w:fill="DEEAF6" w:themeFill="accent5" w:themeFillTint="33"/>
            <w:vAlign w:val="center"/>
          </w:tcPr>
          <w:p w14:paraId="3B911D14" w14:textId="77777777" w:rsidR="005B77B2" w:rsidRPr="0025033E" w:rsidRDefault="005B77B2" w:rsidP="00ED5676">
            <w:pPr>
              <w:suppressAutoHyphens w:val="0"/>
              <w:autoSpaceDN/>
              <w:spacing w:after="0" w:line="240" w:lineRule="auto"/>
              <w:jc w:val="both"/>
              <w:rPr>
                <w:rFonts w:cs="Arial"/>
                <w:b/>
                <w:bCs/>
                <w:szCs w:val="20"/>
              </w:rPr>
            </w:pPr>
            <w:r w:rsidRPr="0025033E">
              <w:rPr>
                <w:rFonts w:cs="Arial"/>
                <w:b/>
                <w:bCs/>
                <w:szCs w:val="20"/>
              </w:rPr>
              <w:t>98,92%</w:t>
            </w:r>
          </w:p>
        </w:tc>
      </w:tr>
    </w:tbl>
    <w:p w14:paraId="27CB8B52" w14:textId="62739C36" w:rsidR="005B77B2" w:rsidRPr="00006EC3" w:rsidRDefault="005B77B2" w:rsidP="00ED5676">
      <w:pPr>
        <w:spacing w:after="0"/>
        <w:jc w:val="both"/>
        <w:rPr>
          <w:rFonts w:cs="Arial"/>
          <w:sz w:val="16"/>
          <w:szCs w:val="18"/>
        </w:rPr>
      </w:pPr>
      <w:r w:rsidRPr="00006EC3">
        <w:rPr>
          <w:rFonts w:cs="Arial"/>
          <w:sz w:val="16"/>
          <w:szCs w:val="18"/>
        </w:rPr>
        <w:t>Vir: IS e-MA2</w:t>
      </w:r>
    </w:p>
    <w:p w14:paraId="66FEF6A2" w14:textId="77777777" w:rsidR="005B77B2" w:rsidRPr="0025033E" w:rsidRDefault="005B77B2" w:rsidP="00ED5676">
      <w:pPr>
        <w:spacing w:after="0"/>
        <w:jc w:val="both"/>
        <w:rPr>
          <w:rFonts w:cs="Arial"/>
        </w:rPr>
      </w:pPr>
    </w:p>
    <w:p w14:paraId="74B26E87" w14:textId="030D0A90" w:rsidR="005410F2" w:rsidRPr="0025033E" w:rsidRDefault="005410F2" w:rsidP="00ED5676">
      <w:pPr>
        <w:suppressAutoHyphens w:val="0"/>
        <w:autoSpaceDE w:val="0"/>
        <w:spacing w:after="0" w:line="276" w:lineRule="auto"/>
        <w:jc w:val="both"/>
        <w:rPr>
          <w:rFonts w:cs="Arial"/>
          <w:szCs w:val="20"/>
        </w:rPr>
      </w:pPr>
      <w:r w:rsidRPr="0025033E">
        <w:rPr>
          <w:rFonts w:cs="Arial"/>
          <w:szCs w:val="20"/>
        </w:rPr>
        <w:t>Tabela prikazuje stanje zaključenih operacij v IS e</w:t>
      </w:r>
      <w:r w:rsidR="00CD364F">
        <w:rPr>
          <w:rFonts w:cs="Arial"/>
          <w:szCs w:val="20"/>
        </w:rPr>
        <w:t>-</w:t>
      </w:r>
      <w:r w:rsidRPr="0025033E">
        <w:rPr>
          <w:rFonts w:cs="Arial"/>
          <w:szCs w:val="20"/>
        </w:rPr>
        <w:t xml:space="preserve">MA na dan 31. 12. 2024. V tabeli so podatki o operacijah po posredniških </w:t>
      </w:r>
      <w:r w:rsidR="006B2D82">
        <w:rPr>
          <w:rFonts w:cs="Arial"/>
          <w:szCs w:val="20"/>
        </w:rPr>
        <w:t>organih/</w:t>
      </w:r>
      <w:r w:rsidRPr="0025033E">
        <w:rPr>
          <w:rFonts w:cs="Arial"/>
          <w:szCs w:val="20"/>
        </w:rPr>
        <w:t>telesih (zajete so vse operacije, razen tistih, ki so bile ukinjene ali so v statusu »v pripravi«), ki so bile v obdobju poročanja bodisi finančno zaključene (to pomeni, da še čakamo zadnji zahtevek za izplačilo, da preide v status Predan na e</w:t>
      </w:r>
      <w:r w:rsidR="00CD364F">
        <w:rPr>
          <w:rFonts w:cs="Arial"/>
          <w:szCs w:val="20"/>
        </w:rPr>
        <w:t>-</w:t>
      </w:r>
      <w:r w:rsidRPr="0025033E">
        <w:rPr>
          <w:rFonts w:cs="Arial"/>
          <w:szCs w:val="20"/>
        </w:rPr>
        <w:t>CA), operacije, ki so v statusu »PZO preverjanje« (to pomeni, da se jih čaka na potrditev) ali pa so v celoti zaključene operacije.</w:t>
      </w:r>
    </w:p>
    <w:p w14:paraId="4BA79ABA" w14:textId="77777777" w:rsidR="00375290" w:rsidRPr="0025033E" w:rsidRDefault="00375290" w:rsidP="00ED5676">
      <w:pPr>
        <w:suppressAutoHyphens w:val="0"/>
        <w:autoSpaceDE w:val="0"/>
        <w:spacing w:after="0" w:line="276" w:lineRule="auto"/>
        <w:jc w:val="both"/>
        <w:rPr>
          <w:rFonts w:cs="Arial"/>
          <w:szCs w:val="20"/>
        </w:rPr>
      </w:pPr>
    </w:p>
    <w:p w14:paraId="7C471718" w14:textId="5A00D117" w:rsidR="005410F2" w:rsidRDefault="005410F2" w:rsidP="00ED5676">
      <w:pPr>
        <w:suppressAutoHyphens w:val="0"/>
        <w:autoSpaceDE w:val="0"/>
        <w:spacing w:after="0" w:line="276" w:lineRule="auto"/>
        <w:jc w:val="both"/>
        <w:rPr>
          <w:rFonts w:cs="Arial"/>
          <w:szCs w:val="20"/>
        </w:rPr>
      </w:pPr>
      <w:r w:rsidRPr="006F1384">
        <w:rPr>
          <w:rFonts w:cs="Arial"/>
          <w:szCs w:val="20"/>
        </w:rPr>
        <w:lastRenderedPageBreak/>
        <w:t xml:space="preserve">Kot izhaja iz tabele se je velika večina </w:t>
      </w:r>
      <w:r w:rsidR="0072108C" w:rsidRPr="006F1384">
        <w:rPr>
          <w:rFonts w:cs="Arial"/>
          <w:szCs w:val="20"/>
        </w:rPr>
        <w:t>operacij</w:t>
      </w:r>
      <w:r w:rsidRPr="006F1384">
        <w:rPr>
          <w:rFonts w:cs="Arial"/>
          <w:szCs w:val="20"/>
        </w:rPr>
        <w:t xml:space="preserve"> zaključila v letu 2024. Ostale operacije naj se bi zaključile v začetku leta 2025, ko se bodo zaključili še </w:t>
      </w:r>
      <w:r w:rsidR="0072108C" w:rsidRPr="006F1384">
        <w:rPr>
          <w:rFonts w:cs="Arial"/>
          <w:szCs w:val="20"/>
        </w:rPr>
        <w:t>postopki</w:t>
      </w:r>
      <w:r w:rsidRPr="006F1384">
        <w:rPr>
          <w:rFonts w:cs="Arial"/>
          <w:szCs w:val="20"/>
        </w:rPr>
        <w:t xml:space="preserve"> vezani na izvedbo negativnih zahtevkov za izplačilo, kjer je to relevantno.</w:t>
      </w:r>
    </w:p>
    <w:p w14:paraId="30D8797D" w14:textId="77777777" w:rsidR="007A0101" w:rsidRPr="0025033E" w:rsidRDefault="007A0101" w:rsidP="00ED5676">
      <w:pPr>
        <w:suppressAutoHyphens w:val="0"/>
        <w:autoSpaceDE w:val="0"/>
        <w:spacing w:after="0" w:line="276" w:lineRule="auto"/>
        <w:jc w:val="both"/>
        <w:rPr>
          <w:rFonts w:cs="Arial"/>
          <w:szCs w:val="20"/>
        </w:rPr>
      </w:pPr>
    </w:p>
    <w:p w14:paraId="4A7DC6B8" w14:textId="4CE6D918" w:rsidR="005410F2" w:rsidRDefault="005410F2" w:rsidP="00ED5676">
      <w:pPr>
        <w:suppressAutoHyphens w:val="0"/>
        <w:autoSpaceDE w:val="0"/>
        <w:spacing w:after="0" w:line="276" w:lineRule="auto"/>
        <w:jc w:val="both"/>
        <w:rPr>
          <w:rFonts w:cs="Arial"/>
          <w:szCs w:val="20"/>
        </w:rPr>
      </w:pPr>
      <w:r w:rsidRPr="0025033E">
        <w:rPr>
          <w:rFonts w:cs="Arial"/>
          <w:szCs w:val="20"/>
        </w:rPr>
        <w:t>Poleg izpolnjevanja v preteklosti podanih priporočil, je trenutno v teku revizija EK v zvezi z zaključevanjem OP EKP 2014</w:t>
      </w:r>
      <w:r w:rsidR="0072108C" w:rsidRPr="0025033E">
        <w:rPr>
          <w:rFonts w:cs="Arial"/>
          <w:szCs w:val="20"/>
        </w:rPr>
        <w:t>–</w:t>
      </w:r>
      <w:r w:rsidRPr="0025033E">
        <w:rPr>
          <w:rFonts w:cs="Arial"/>
          <w:szCs w:val="20"/>
        </w:rPr>
        <w:t xml:space="preserve">2020, s katero so revizorji EK želeli pridobiti zagotovilo o učinkovitosti vzpostavljenega sistema upravljanja in nadzora kot tudi, ali sta organ upravljanja (skupaj s posredniškimi </w:t>
      </w:r>
      <w:r w:rsidR="006B2D82">
        <w:rPr>
          <w:rFonts w:cs="Arial"/>
          <w:szCs w:val="20"/>
        </w:rPr>
        <w:t>organi/</w:t>
      </w:r>
      <w:r w:rsidR="00BA4E86">
        <w:rPr>
          <w:rFonts w:cs="Arial"/>
          <w:szCs w:val="20"/>
        </w:rPr>
        <w:t>telesi</w:t>
      </w:r>
      <w:r w:rsidRPr="0025033E">
        <w:rPr>
          <w:rFonts w:cs="Arial"/>
          <w:szCs w:val="20"/>
        </w:rPr>
        <w:t xml:space="preserve">) in revizijski organ pripravljena na zaključevanje. Osnutek revizijskega poročila naj bi na OU prejeli v začetku leta 2025. </w:t>
      </w:r>
    </w:p>
    <w:p w14:paraId="14369640" w14:textId="77777777" w:rsidR="007A0101" w:rsidRPr="0025033E" w:rsidRDefault="007A0101" w:rsidP="00ED5676">
      <w:pPr>
        <w:suppressAutoHyphens w:val="0"/>
        <w:autoSpaceDE w:val="0"/>
        <w:spacing w:after="0" w:line="276" w:lineRule="auto"/>
        <w:jc w:val="both"/>
        <w:rPr>
          <w:rFonts w:cs="Arial"/>
          <w:szCs w:val="20"/>
        </w:rPr>
      </w:pPr>
    </w:p>
    <w:p w14:paraId="5D9CF1A9" w14:textId="7DA07DBE" w:rsidR="005410F2" w:rsidRPr="0025033E" w:rsidRDefault="005410F2" w:rsidP="00ED5676">
      <w:pPr>
        <w:spacing w:after="0"/>
        <w:jc w:val="both"/>
        <w:rPr>
          <w:rFonts w:cs="Arial"/>
          <w:szCs w:val="20"/>
        </w:rPr>
      </w:pPr>
      <w:r w:rsidRPr="0025033E">
        <w:rPr>
          <w:rFonts w:cs="Arial"/>
          <w:szCs w:val="20"/>
        </w:rPr>
        <w:t xml:space="preserve">Na OU je v pripravi končno poročilo o izvajanju OP EKP 14–20, ki je podlaga za končno izplačilo s strani EK, ki se izvede en mesec po datumu sprejetja končnega poročila oz. najpozneje </w:t>
      </w:r>
      <w:r w:rsidR="00D76108">
        <w:rPr>
          <w:rFonts w:cs="Arial"/>
          <w:szCs w:val="20"/>
        </w:rPr>
        <w:t>tri</w:t>
      </w:r>
      <w:r w:rsidRPr="0025033E">
        <w:rPr>
          <w:rFonts w:cs="Arial"/>
          <w:szCs w:val="20"/>
        </w:rPr>
        <w:t xml:space="preserve"> mesece po datumu sprejetja obračunov za končno obračunsko leto. Skladno z trenutno dogovorjeno </w:t>
      </w:r>
      <w:proofErr w:type="spellStart"/>
      <w:r w:rsidRPr="0025033E">
        <w:rPr>
          <w:rFonts w:cs="Arial"/>
          <w:szCs w:val="20"/>
        </w:rPr>
        <w:t>časovnico</w:t>
      </w:r>
      <w:proofErr w:type="spellEnd"/>
      <w:r w:rsidRPr="0025033E">
        <w:rPr>
          <w:rFonts w:cs="Arial"/>
          <w:szCs w:val="20"/>
        </w:rPr>
        <w:t xml:space="preserve"> bo končno poročilo posredovano na EK do 15. 4. 2025. Predhodno bo le-to potrjeno na seji Odbora za spremljanje OP EKP 14–20 (predvidoma v februarju 2025).</w:t>
      </w:r>
    </w:p>
    <w:p w14:paraId="277DC2BD" w14:textId="77777777" w:rsidR="000E7A5A" w:rsidRPr="0025033E" w:rsidRDefault="000E7A5A" w:rsidP="00ED5676">
      <w:pPr>
        <w:spacing w:after="0" w:line="276" w:lineRule="auto"/>
        <w:contextualSpacing/>
        <w:jc w:val="both"/>
        <w:rPr>
          <w:rFonts w:eastAsia="SimSun" w:cs="Arial"/>
          <w:szCs w:val="20"/>
          <w:lang w:eastAsia="zh-CN"/>
        </w:rPr>
      </w:pPr>
    </w:p>
    <w:p w14:paraId="1EA486A8" w14:textId="4ADFE777" w:rsidR="000E7A5A" w:rsidRPr="0025033E" w:rsidRDefault="00306071" w:rsidP="00ED5676">
      <w:pPr>
        <w:pStyle w:val="Naslov4"/>
        <w:spacing w:before="0"/>
        <w:rPr>
          <w:rFonts w:cs="Arial"/>
          <w:lang w:eastAsia="zh-CN"/>
        </w:rPr>
      </w:pPr>
      <w:bookmarkStart w:id="372" w:name="_Toc187739296"/>
      <w:bookmarkStart w:id="373" w:name="_Toc187740029"/>
      <w:r w:rsidRPr="0025033E">
        <w:rPr>
          <w:rFonts w:cs="Arial"/>
          <w:lang w:eastAsia="zh-CN"/>
        </w:rPr>
        <w:t xml:space="preserve">2.1.1.1 </w:t>
      </w:r>
      <w:r w:rsidR="005410F2" w:rsidRPr="0025033E">
        <w:rPr>
          <w:rFonts w:cs="Arial"/>
          <w:lang w:eastAsia="zh-CN"/>
        </w:rPr>
        <w:t>Promocija in obveščanje javnosti</w:t>
      </w:r>
      <w:bookmarkEnd w:id="372"/>
      <w:bookmarkEnd w:id="373"/>
    </w:p>
    <w:p w14:paraId="3FEBE8D9" w14:textId="77777777" w:rsidR="005410F2" w:rsidRPr="0025033E" w:rsidRDefault="005410F2" w:rsidP="00ED5676">
      <w:pPr>
        <w:spacing w:after="0" w:line="276" w:lineRule="auto"/>
        <w:contextualSpacing/>
        <w:jc w:val="both"/>
        <w:rPr>
          <w:rFonts w:cs="Arial"/>
          <w:szCs w:val="20"/>
        </w:rPr>
      </w:pPr>
    </w:p>
    <w:p w14:paraId="6E3C1231" w14:textId="188B0B6F" w:rsidR="005410F2" w:rsidRPr="0025033E" w:rsidRDefault="005410F2" w:rsidP="00ED5676">
      <w:pPr>
        <w:suppressAutoHyphens w:val="0"/>
        <w:autoSpaceDN/>
        <w:spacing w:after="0" w:line="288" w:lineRule="auto"/>
        <w:jc w:val="both"/>
        <w:rPr>
          <w:rFonts w:cs="Arial"/>
          <w:szCs w:val="20"/>
        </w:rPr>
      </w:pPr>
      <w:r w:rsidRPr="0025033E">
        <w:rPr>
          <w:rFonts w:cs="Arial"/>
          <w:szCs w:val="20"/>
        </w:rPr>
        <w:t>Osrednji namen komunikacijske strategije EKP je</w:t>
      </w:r>
      <w:r w:rsidRPr="0025033E">
        <w:rPr>
          <w:rFonts w:cs="Arial"/>
          <w:bCs/>
          <w:szCs w:val="20"/>
        </w:rPr>
        <w:t xml:space="preserve"> </w:t>
      </w:r>
      <w:r w:rsidRPr="0025033E">
        <w:rPr>
          <w:rFonts w:cs="Arial"/>
          <w:szCs w:val="20"/>
        </w:rPr>
        <w:t xml:space="preserve">zagotavljati obveščenost javnosti o izvajanju EKP v Sloveniji. Glavna komunikacijska orodja so: spletni portal </w:t>
      </w:r>
      <w:hyperlink r:id="rId22" w:history="1">
        <w:r w:rsidRPr="0025033E">
          <w:rPr>
            <w:rFonts w:cs="Arial"/>
            <w:color w:val="0000FF"/>
            <w:szCs w:val="20"/>
            <w:u w:val="single"/>
          </w:rPr>
          <w:t>www.evropskasredstva.si</w:t>
        </w:r>
      </w:hyperlink>
      <w:r w:rsidRPr="0025033E">
        <w:rPr>
          <w:rFonts w:cs="Arial"/>
          <w:szCs w:val="20"/>
        </w:rPr>
        <w:t xml:space="preserve"> ter družbena omrežja (Facebook, </w:t>
      </w:r>
      <w:proofErr w:type="spellStart"/>
      <w:r w:rsidRPr="0025033E">
        <w:rPr>
          <w:rFonts w:cs="Arial"/>
          <w:szCs w:val="20"/>
        </w:rPr>
        <w:t>Instagram</w:t>
      </w:r>
      <w:proofErr w:type="spellEnd"/>
      <w:r w:rsidRPr="0025033E">
        <w:rPr>
          <w:rFonts w:cs="Arial"/>
          <w:szCs w:val="20"/>
        </w:rPr>
        <w:t xml:space="preserve">, </w:t>
      </w:r>
      <w:proofErr w:type="spellStart"/>
      <w:r w:rsidRPr="0025033E">
        <w:rPr>
          <w:rFonts w:cs="Arial"/>
          <w:szCs w:val="20"/>
        </w:rPr>
        <w:t>LinkedIn</w:t>
      </w:r>
      <w:proofErr w:type="spellEnd"/>
      <w:r w:rsidRPr="0025033E">
        <w:rPr>
          <w:rFonts w:cs="Arial"/>
          <w:szCs w:val="20"/>
        </w:rPr>
        <w:t xml:space="preserve"> in YouTube). </w:t>
      </w:r>
    </w:p>
    <w:p w14:paraId="1192E215" w14:textId="77777777" w:rsidR="005410F2" w:rsidRPr="0025033E" w:rsidRDefault="005410F2" w:rsidP="00ED5676">
      <w:pPr>
        <w:suppressAutoHyphens w:val="0"/>
        <w:autoSpaceDN/>
        <w:spacing w:after="0" w:line="288" w:lineRule="auto"/>
        <w:jc w:val="both"/>
        <w:rPr>
          <w:rFonts w:cs="Arial"/>
          <w:szCs w:val="20"/>
        </w:rPr>
      </w:pPr>
    </w:p>
    <w:p w14:paraId="4AF7F1E8" w14:textId="77777777" w:rsidR="005410F2" w:rsidRPr="0025033E" w:rsidRDefault="005410F2" w:rsidP="00ED5676">
      <w:pPr>
        <w:suppressAutoHyphens w:val="0"/>
        <w:autoSpaceDN/>
        <w:spacing w:after="0" w:line="288" w:lineRule="auto"/>
        <w:jc w:val="both"/>
        <w:rPr>
          <w:rFonts w:cs="Arial"/>
          <w:szCs w:val="20"/>
        </w:rPr>
      </w:pPr>
      <w:r w:rsidRPr="0025033E">
        <w:rPr>
          <w:rFonts w:cs="Arial"/>
          <w:szCs w:val="20"/>
        </w:rPr>
        <w:t xml:space="preserve">V šestmesečnem obdobju od julija do decembra 2024 smo izvedli raznolike komunikacijske aktivnosti: </w:t>
      </w:r>
    </w:p>
    <w:p w14:paraId="2508268D" w14:textId="77777777" w:rsidR="005410F2" w:rsidRPr="0025033E" w:rsidRDefault="005410F2" w:rsidP="00ED5676">
      <w:pPr>
        <w:suppressAutoHyphens w:val="0"/>
        <w:autoSpaceDN/>
        <w:spacing w:after="0" w:line="288" w:lineRule="auto"/>
        <w:jc w:val="both"/>
        <w:rPr>
          <w:rFonts w:cs="Arial"/>
          <w:szCs w:val="20"/>
        </w:rPr>
      </w:pPr>
    </w:p>
    <w:p w14:paraId="44BBBDD3" w14:textId="77777777" w:rsidR="005410F2" w:rsidRPr="0025033E" w:rsidRDefault="005410F2" w:rsidP="009864BC">
      <w:pPr>
        <w:numPr>
          <w:ilvl w:val="0"/>
          <w:numId w:val="13"/>
        </w:numPr>
        <w:suppressAutoHyphens w:val="0"/>
        <w:autoSpaceDN/>
        <w:spacing w:after="0" w:line="288" w:lineRule="auto"/>
        <w:jc w:val="both"/>
        <w:rPr>
          <w:rFonts w:cs="Arial"/>
          <w:szCs w:val="20"/>
        </w:rPr>
      </w:pPr>
      <w:r w:rsidRPr="0025033E">
        <w:rPr>
          <w:rFonts w:cs="Arial"/>
          <w:szCs w:val="20"/>
        </w:rPr>
        <w:t xml:space="preserve">Dobre zgodbe: Nadaljevali smo s snemanjem video vsebin v lastni produkciji, s katerimi smo predstavili dobre zgodbe, spisane z evropskimi sredstvi v Sloveniji. Vsebine smo objavljali na družbenih omrežjih Facebook, </w:t>
      </w:r>
      <w:proofErr w:type="spellStart"/>
      <w:r w:rsidRPr="0025033E">
        <w:rPr>
          <w:rFonts w:cs="Arial"/>
          <w:szCs w:val="20"/>
        </w:rPr>
        <w:t>Instagram</w:t>
      </w:r>
      <w:proofErr w:type="spellEnd"/>
      <w:r w:rsidRPr="0025033E">
        <w:rPr>
          <w:rFonts w:cs="Arial"/>
          <w:szCs w:val="20"/>
        </w:rPr>
        <w:t xml:space="preserve"> in </w:t>
      </w:r>
      <w:proofErr w:type="spellStart"/>
      <w:r w:rsidRPr="0025033E">
        <w:rPr>
          <w:rFonts w:cs="Arial"/>
          <w:szCs w:val="20"/>
        </w:rPr>
        <w:t>Youtube</w:t>
      </w:r>
      <w:proofErr w:type="spellEnd"/>
      <w:r w:rsidRPr="0025033E">
        <w:rPr>
          <w:rFonts w:cs="Arial"/>
          <w:szCs w:val="20"/>
        </w:rPr>
        <w:t xml:space="preserve">. S strani DG </w:t>
      </w:r>
      <w:proofErr w:type="spellStart"/>
      <w:r w:rsidRPr="0025033E">
        <w:rPr>
          <w:rFonts w:cs="Arial"/>
          <w:szCs w:val="20"/>
        </w:rPr>
        <w:t>Regio</w:t>
      </w:r>
      <w:proofErr w:type="spellEnd"/>
      <w:r w:rsidRPr="0025033E">
        <w:rPr>
          <w:rFonts w:cs="Arial"/>
          <w:szCs w:val="20"/>
        </w:rPr>
        <w:t xml:space="preserve"> smo pridobili tudi finančna sredstva za promocijo objav video vsebin na družbenih omrežjih Evropska sredstva. Med drugim smo izvedli skupno poletno promocijsko kampanjo z Ministrstvom za gospodarstvo, turizem in šport, v kateri smo predstavili učinke vlaganj v preoblikovanje zimskih centrov v celoletna gorska središča.</w:t>
      </w:r>
    </w:p>
    <w:p w14:paraId="716E0FE1" w14:textId="77777777" w:rsidR="005410F2" w:rsidRPr="0025033E" w:rsidRDefault="005410F2" w:rsidP="009864BC">
      <w:pPr>
        <w:numPr>
          <w:ilvl w:val="0"/>
          <w:numId w:val="13"/>
        </w:numPr>
        <w:suppressAutoHyphens w:val="0"/>
        <w:autoSpaceDN/>
        <w:spacing w:after="0" w:line="288" w:lineRule="auto"/>
        <w:jc w:val="both"/>
        <w:rPr>
          <w:rFonts w:cs="Arial"/>
          <w:szCs w:val="20"/>
        </w:rPr>
      </w:pPr>
      <w:r w:rsidRPr="0025033E">
        <w:rPr>
          <w:rFonts w:cs="Arial"/>
          <w:szCs w:val="20"/>
        </w:rPr>
        <w:t>Sejemska dejavnost: Udeleževali smo se sejmov in drugih večjih tematskih prireditev. Konec septembra smo sodelovali na Festivalu za tretje življenjsko obdobje, kjer smo EKP predstavljali starejšim. Novembra pa smo nagovorili mlajšo ciljno publiko na Kariernem sejmu v Mariboru.</w:t>
      </w:r>
    </w:p>
    <w:p w14:paraId="26642ED7" w14:textId="77777777" w:rsidR="005410F2" w:rsidRPr="0025033E" w:rsidRDefault="005410F2" w:rsidP="009864BC">
      <w:pPr>
        <w:numPr>
          <w:ilvl w:val="0"/>
          <w:numId w:val="13"/>
        </w:numPr>
        <w:suppressAutoHyphens w:val="0"/>
        <w:autoSpaceDN/>
        <w:spacing w:after="0" w:line="288" w:lineRule="auto"/>
        <w:jc w:val="both"/>
        <w:rPr>
          <w:rFonts w:cs="Arial"/>
          <w:szCs w:val="20"/>
        </w:rPr>
      </w:pPr>
      <w:r w:rsidRPr="0025033E">
        <w:rPr>
          <w:rFonts w:cs="Arial"/>
          <w:szCs w:val="20"/>
        </w:rPr>
        <w:t xml:space="preserve">Organizacija dogodkov: V različnih slovenskih regijah smo organizirali Potujoče pisarne evropskih sredstev, natančneje v Postojni, Ljubljani, Mariboru in Postojni, kjer je zainteresirana javnost prisluhnila priložnostim evropskega sofinanciranja. </w:t>
      </w:r>
    </w:p>
    <w:p w14:paraId="6C65AA92" w14:textId="77777777" w:rsidR="005410F2" w:rsidRPr="0025033E" w:rsidRDefault="005410F2" w:rsidP="009864BC">
      <w:pPr>
        <w:numPr>
          <w:ilvl w:val="0"/>
          <w:numId w:val="13"/>
        </w:numPr>
        <w:suppressAutoHyphens w:val="0"/>
        <w:autoSpaceDN/>
        <w:spacing w:after="0" w:line="288" w:lineRule="auto"/>
        <w:jc w:val="both"/>
        <w:rPr>
          <w:rFonts w:cs="Arial"/>
          <w:szCs w:val="20"/>
        </w:rPr>
      </w:pPr>
      <w:r w:rsidRPr="0025033E">
        <w:rPr>
          <w:rFonts w:cs="Arial"/>
          <w:szCs w:val="20"/>
        </w:rPr>
        <w:t xml:space="preserve">EU projekt, moj projekt: Izvajali smo aktivnosti v okviru promocijske kampanje EU projekt, moj projekt 2024. V luči praznovanja 20. obletnice vstopa Slovenije v EU smo k sodelovanju povabili tudi druge programe, ki se financirajo z evropskimi sredstvi in skupaj izbrali 20 finalistov za 20 let Slovenije v EU. Projekte smo predstavili na spletni podstrani </w:t>
      </w:r>
      <w:hyperlink r:id="rId23" w:history="1">
        <w:r w:rsidRPr="0025033E">
          <w:rPr>
            <w:rFonts w:cs="Arial"/>
            <w:color w:val="0000FF"/>
            <w:szCs w:val="20"/>
            <w:u w:val="single"/>
          </w:rPr>
          <w:t>https://evropskasredstva.si/eu-projekt-moj-projekt-2024/</w:t>
        </w:r>
      </w:hyperlink>
      <w:r w:rsidRPr="0025033E">
        <w:rPr>
          <w:rFonts w:cs="Arial"/>
          <w:color w:val="0000FF"/>
          <w:szCs w:val="20"/>
          <w:u w:val="single"/>
        </w:rPr>
        <w:t>.</w:t>
      </w:r>
      <w:r w:rsidRPr="0025033E">
        <w:rPr>
          <w:rFonts w:cs="Arial"/>
          <w:szCs w:val="20"/>
        </w:rPr>
        <w:t xml:space="preserve"> V juniju, septembru, oktobru in novembru so nato potekale predstavitve projektov, ki so bile oglaševane v lokalnih, regionalnih in nacionalnih medijih. Izbrani projekti so izvedli enodnevni dogodek v svojem domačem kraju oz. svoji regiji v obliki okrogle mize, delavnice, dneva odprtih vrat, obiska podjetja, športnih ali kulturnih aktivnosti ipd.</w:t>
      </w:r>
    </w:p>
    <w:p w14:paraId="134D9349" w14:textId="77777777" w:rsidR="005410F2" w:rsidRPr="0025033E" w:rsidRDefault="005410F2" w:rsidP="009864BC">
      <w:pPr>
        <w:numPr>
          <w:ilvl w:val="0"/>
          <w:numId w:val="13"/>
        </w:numPr>
        <w:suppressAutoHyphens w:val="0"/>
        <w:autoSpaceDN/>
        <w:spacing w:after="0" w:line="288" w:lineRule="auto"/>
        <w:jc w:val="both"/>
        <w:rPr>
          <w:rFonts w:cs="Arial"/>
          <w:szCs w:val="20"/>
        </w:rPr>
      </w:pPr>
      <w:r w:rsidRPr="0025033E">
        <w:rPr>
          <w:rFonts w:cs="Arial"/>
          <w:szCs w:val="20"/>
        </w:rPr>
        <w:t xml:space="preserve">ASOC – Šola odprte kohezije: Projekt se je pilotno izvajal v šolskem letu 2023/24, ko je sodelovalo osem srednjih šol. Projekt je dosegel izjemen uspeh in navdušil številne dijake, učitelje in širšo javnost. Zaradi odličnih odzivov z izvajanjem nadaljujemo tudi v šolskem letu 2024/2025. V letošnjem šolskem letu v projektu sodeluje 14 srednjih šol iz vse Slovenije. Spletna podstran projekta je na voljo tukaj: </w:t>
      </w:r>
      <w:hyperlink r:id="rId24" w:history="1">
        <w:r w:rsidRPr="0025033E">
          <w:rPr>
            <w:rFonts w:cs="Arial"/>
            <w:color w:val="0000FF"/>
            <w:szCs w:val="20"/>
            <w:u w:val="single"/>
          </w:rPr>
          <w:t>https://evropskasredstva.si/asoc/</w:t>
        </w:r>
      </w:hyperlink>
      <w:r w:rsidRPr="0025033E">
        <w:rPr>
          <w:rFonts w:cs="Arial"/>
          <w:szCs w:val="20"/>
        </w:rPr>
        <w:t>.</w:t>
      </w:r>
    </w:p>
    <w:p w14:paraId="22180EE5" w14:textId="77777777" w:rsidR="005410F2" w:rsidRPr="0025033E" w:rsidRDefault="005410F2" w:rsidP="009864BC">
      <w:pPr>
        <w:numPr>
          <w:ilvl w:val="0"/>
          <w:numId w:val="13"/>
        </w:numPr>
        <w:suppressAutoHyphens w:val="0"/>
        <w:autoSpaceDN/>
        <w:spacing w:after="0" w:line="288" w:lineRule="auto"/>
        <w:jc w:val="both"/>
        <w:rPr>
          <w:rFonts w:cs="Arial"/>
          <w:szCs w:val="20"/>
        </w:rPr>
      </w:pPr>
      <w:r w:rsidRPr="0025033E">
        <w:rPr>
          <w:rFonts w:cs="Arial"/>
          <w:szCs w:val="20"/>
        </w:rPr>
        <w:t xml:space="preserve">Spletni mediji: Na družbenih omrežjih Evropska sredstva in evropskasredstva.si se vsebine pripravljajo in objavljajo redno, ažurno in po vnaprej pripravljenem medijskem planu (razen aktualnih objav) </w:t>
      </w:r>
      <w:r w:rsidRPr="0025033E">
        <w:rPr>
          <w:rFonts w:cs="Arial"/>
          <w:szCs w:val="20"/>
        </w:rPr>
        <w:lastRenderedPageBreak/>
        <w:t xml:space="preserve">po temah, npr. grafike, dobre zgodbe, video idr. Poseben poudarek namenjamo ažurnosti objave načrtovanih razpisov in razpisov v izvajanju. </w:t>
      </w:r>
    </w:p>
    <w:p w14:paraId="10002396" w14:textId="77777777" w:rsidR="005410F2" w:rsidRPr="0025033E" w:rsidRDefault="005410F2" w:rsidP="009864BC">
      <w:pPr>
        <w:numPr>
          <w:ilvl w:val="0"/>
          <w:numId w:val="13"/>
        </w:numPr>
        <w:suppressAutoHyphens w:val="0"/>
        <w:autoSpaceDN/>
        <w:spacing w:after="0" w:line="288" w:lineRule="auto"/>
        <w:jc w:val="both"/>
        <w:rPr>
          <w:rFonts w:cs="Arial"/>
          <w:szCs w:val="20"/>
        </w:rPr>
      </w:pPr>
      <w:r w:rsidRPr="0025033E">
        <w:rPr>
          <w:rFonts w:cs="Arial"/>
          <w:szCs w:val="20"/>
        </w:rPr>
        <w:t xml:space="preserve">Vizija kohezija: Vizija kohezija še naprej izhaja mesečno. V njej so objavljeni aktualni razpisi, primeri dobrih praks, napovedi dogodkov in druge zanimivosti. Vsi izvodi so dosegljivi na </w:t>
      </w:r>
      <w:hyperlink r:id="rId25" w:history="1">
        <w:r w:rsidRPr="0025033E">
          <w:rPr>
            <w:rFonts w:cs="Arial"/>
            <w:color w:val="0000FF"/>
            <w:szCs w:val="20"/>
            <w:u w:val="single"/>
          </w:rPr>
          <w:t>https://evropskasredstva.si/e-novice-vizija-kohezija/</w:t>
        </w:r>
      </w:hyperlink>
      <w:r w:rsidRPr="0025033E">
        <w:rPr>
          <w:rFonts w:cs="Arial"/>
          <w:szCs w:val="20"/>
        </w:rPr>
        <w:t>.</w:t>
      </w:r>
    </w:p>
    <w:p w14:paraId="7061F467" w14:textId="2E3B2A5D" w:rsidR="005410F2" w:rsidRPr="0025033E" w:rsidRDefault="005410F2" w:rsidP="009864BC">
      <w:pPr>
        <w:numPr>
          <w:ilvl w:val="0"/>
          <w:numId w:val="13"/>
        </w:numPr>
        <w:suppressAutoHyphens w:val="0"/>
        <w:autoSpaceDN/>
        <w:spacing w:after="0" w:line="288" w:lineRule="auto"/>
        <w:jc w:val="both"/>
        <w:rPr>
          <w:rFonts w:cs="Arial"/>
          <w:szCs w:val="20"/>
        </w:rPr>
      </w:pPr>
      <w:r w:rsidRPr="0025033E">
        <w:rPr>
          <w:rFonts w:cs="Arial"/>
          <w:szCs w:val="20"/>
        </w:rPr>
        <w:t xml:space="preserve">Oglaševanje: Poleg oglaševalske akcije EU projekt, moj projekt smo izvedli nekaj usmerjenih oglaševanj dosežkov </w:t>
      </w:r>
      <w:r w:rsidRPr="009C7925">
        <w:rPr>
          <w:rFonts w:cs="Arial"/>
          <w:szCs w:val="20"/>
        </w:rPr>
        <w:t xml:space="preserve">evropske kohezijske politike v različnih slovenskih medijih. 1) Tiskani mediji: V Dnevniku in Nedeljskem dnevniku smo nadaljevali z oglaševanjem, ki se je kot odlično izkazalo že v preteklem letu, in sicer z grajenjem lastne znamke skozi članke »Z evropskimi sredstvi pišemo dobre zgodbe« oz. »Dobre zgodbe Evrope«. V drugi polovici leta smo z dvema člankoma sodelovali v posebni izdaji Dela in </w:t>
      </w:r>
      <w:r w:rsidR="00CD364F" w:rsidRPr="009C7925">
        <w:rPr>
          <w:rFonts w:cs="Arial"/>
          <w:szCs w:val="20"/>
        </w:rPr>
        <w:t>Jutranjega</w:t>
      </w:r>
      <w:r w:rsidRPr="009C7925">
        <w:rPr>
          <w:rFonts w:cs="Arial"/>
          <w:szCs w:val="20"/>
        </w:rPr>
        <w:t xml:space="preserve"> lista, namenjeni poslovni javnosti – </w:t>
      </w:r>
      <w:proofErr w:type="spellStart"/>
      <w:r w:rsidRPr="009C7925">
        <w:rPr>
          <w:rFonts w:cs="Arial"/>
          <w:szCs w:val="20"/>
        </w:rPr>
        <w:t>Next</w:t>
      </w:r>
      <w:proofErr w:type="spellEnd"/>
      <w:r w:rsidRPr="009C7925">
        <w:rPr>
          <w:rFonts w:cs="Arial"/>
          <w:szCs w:val="20"/>
        </w:rPr>
        <w:t xml:space="preserve"> Business Slovenija-Hrvaška. Članka sta predstavljala z evropskimi sredstvi podprt projekt za </w:t>
      </w:r>
      <w:proofErr w:type="spellStart"/>
      <w:r w:rsidRPr="009C7925">
        <w:rPr>
          <w:rFonts w:cs="Arial"/>
          <w:szCs w:val="20"/>
        </w:rPr>
        <w:t>opolnomočenje</w:t>
      </w:r>
      <w:proofErr w:type="spellEnd"/>
      <w:r w:rsidRPr="009C7925">
        <w:rPr>
          <w:rFonts w:cs="Arial"/>
          <w:szCs w:val="20"/>
        </w:rPr>
        <w:t xml:space="preserve"> podjetnikov PONI ter 3 inkubatorje, ustanovljene s pomočjo EU sredstev, ki so v Sloveniji prepoznani kot primeri dobrih praks.</w:t>
      </w:r>
      <w:r w:rsidR="00C00A41" w:rsidRPr="009C7925">
        <w:rPr>
          <w:rFonts w:cs="Arial"/>
          <w:szCs w:val="20"/>
        </w:rPr>
        <w:t xml:space="preserve"> </w:t>
      </w:r>
      <w:r w:rsidRPr="009C7925">
        <w:rPr>
          <w:rFonts w:cs="Arial"/>
          <w:szCs w:val="20"/>
        </w:rPr>
        <w:t xml:space="preserve">Evropsko kohezijsko politiko, predvsem z uporabnimi informacijami za podjetnike, smo predstavljali tudi v revijah Podjetna Slovenija, Glas gospodarstva in Gospodarstvo, </w:t>
      </w:r>
      <w:r w:rsidR="00C00A41" w:rsidRPr="009C7925">
        <w:rPr>
          <w:rFonts w:cs="Arial"/>
          <w:szCs w:val="20"/>
        </w:rPr>
        <w:t>industrija</w:t>
      </w:r>
      <w:r w:rsidRPr="009C7925">
        <w:rPr>
          <w:rFonts w:cs="Arial"/>
          <w:szCs w:val="20"/>
        </w:rPr>
        <w:t xml:space="preserve"> in napovedi 2024/2025. Več objav o evropskih projektih v Kohezijski regiji Vzhodna Slovenija je bilo v tiskanem časopisu Vestnik. 2) Televizija: Evropska kohezijska sredstva smo približevali ljudem tudi preko lokalnih oz. regionalnih televizij, in sicer TV Vaš kanal s sedežem v Novem mestu (tema: reportaže iz razvojne regije Jugovzhodna Slovenija) in TV </w:t>
      </w:r>
      <w:proofErr w:type="spellStart"/>
      <w:r w:rsidRPr="009C7925">
        <w:rPr>
          <w:rFonts w:cs="Arial"/>
          <w:szCs w:val="20"/>
        </w:rPr>
        <w:t>Aktual</w:t>
      </w:r>
      <w:proofErr w:type="spellEnd"/>
      <w:r w:rsidRPr="009C7925">
        <w:rPr>
          <w:rFonts w:cs="Arial"/>
          <w:szCs w:val="20"/>
        </w:rPr>
        <w:t xml:space="preserve"> in TV Veseljak (objava </w:t>
      </w:r>
      <w:proofErr w:type="spellStart"/>
      <w:r w:rsidRPr="009C7925">
        <w:rPr>
          <w:rFonts w:cs="Arial"/>
          <w:szCs w:val="20"/>
        </w:rPr>
        <w:t>podkasta</w:t>
      </w:r>
      <w:proofErr w:type="spellEnd"/>
      <w:r w:rsidRPr="009C7925">
        <w:rPr>
          <w:rFonts w:cs="Arial"/>
          <w:szCs w:val="20"/>
        </w:rPr>
        <w:t xml:space="preserve"> z ministrom dr. Jevškom). 3) Radio</w:t>
      </w:r>
      <w:r w:rsidRPr="0025033E">
        <w:rPr>
          <w:rFonts w:cs="Arial"/>
          <w:szCs w:val="20"/>
        </w:rPr>
        <w:t xml:space="preserve">: Poslušalce smo ozaveščali o možnosti informiranja glede javnih razpisov preko vprašanj svetovalki Emi in jih spodbujali k obisku naših družbenih omrežij preko oglaševanja na Valu 202 in Radiu Si. 4) Splet: Večina člankov, ki so bili objavljeni v tiskanih medijih, so bili nato </w:t>
      </w:r>
      <w:proofErr w:type="spellStart"/>
      <w:r w:rsidRPr="0025033E">
        <w:rPr>
          <w:rFonts w:cs="Arial"/>
          <w:szCs w:val="20"/>
        </w:rPr>
        <w:t>poobjavljeni</w:t>
      </w:r>
      <w:proofErr w:type="spellEnd"/>
      <w:r w:rsidRPr="0025033E">
        <w:rPr>
          <w:rFonts w:cs="Arial"/>
          <w:szCs w:val="20"/>
        </w:rPr>
        <w:t xml:space="preserve"> še na spletnih straneh medijev, npr. dnevnik.si, vestnik.si, delo.si/gospodarstvo, jutarnji.hr/novac.hr itd.</w:t>
      </w:r>
    </w:p>
    <w:p w14:paraId="78E9F51F" w14:textId="77777777" w:rsidR="005410F2" w:rsidRPr="0025033E" w:rsidRDefault="005410F2" w:rsidP="009864BC">
      <w:pPr>
        <w:numPr>
          <w:ilvl w:val="0"/>
          <w:numId w:val="13"/>
        </w:numPr>
        <w:suppressAutoHyphens w:val="0"/>
        <w:autoSpaceDN/>
        <w:spacing w:after="0" w:line="288" w:lineRule="auto"/>
        <w:jc w:val="both"/>
        <w:rPr>
          <w:rFonts w:cs="Arial"/>
          <w:szCs w:val="20"/>
        </w:rPr>
      </w:pPr>
      <w:r w:rsidRPr="0025033E">
        <w:rPr>
          <w:rFonts w:cs="Arial"/>
          <w:szCs w:val="20"/>
        </w:rPr>
        <w:t>Video o EKP: V sodelovanju z zunanjim izvajalcem je bil izdelan animiran video, s katerim širši javnosti predstavljamo cilje politik EKP.</w:t>
      </w:r>
    </w:p>
    <w:p w14:paraId="426DA112" w14:textId="77777777" w:rsidR="005410F2" w:rsidRPr="0025033E" w:rsidRDefault="005410F2" w:rsidP="009864BC">
      <w:pPr>
        <w:numPr>
          <w:ilvl w:val="0"/>
          <w:numId w:val="13"/>
        </w:numPr>
        <w:suppressAutoHyphens w:val="0"/>
        <w:autoSpaceDN/>
        <w:spacing w:after="0" w:line="288" w:lineRule="auto"/>
        <w:jc w:val="both"/>
        <w:rPr>
          <w:rFonts w:cs="Arial"/>
          <w:szCs w:val="20"/>
        </w:rPr>
      </w:pPr>
      <w:r w:rsidRPr="0025033E">
        <w:rPr>
          <w:rFonts w:cs="Arial"/>
          <w:szCs w:val="20"/>
        </w:rPr>
        <w:t>Interaktivna svetovalka EMA: v sodelovanju s pristojnimi resorji je interaktivna svetovalka Ema učinkovita enotna vstopna točka za vsa vprašanja glede evropskih skladov. Potencialnim upravičencem nudimo informacijsko središče z brezplačno telefonsko številko, ki je dnevno na voljo od 9. do 12. ure, preko elektronskega naslova eutocka.mkrr@gov.si</w:t>
      </w:r>
      <w:r w:rsidRPr="0025033E">
        <w:rPr>
          <w:rFonts w:cs="Arial"/>
          <w:szCs w:val="20"/>
        </w:rPr>
        <w:fldChar w:fldCharType="begin"/>
      </w:r>
      <w:r w:rsidRPr="0025033E">
        <w:rPr>
          <w:rFonts w:cs="Arial"/>
          <w:szCs w:val="20"/>
        </w:rPr>
        <w:instrText>eutocka.mkrr@gov.si</w:instrText>
      </w:r>
      <w:r w:rsidRPr="0025033E">
        <w:rPr>
          <w:rFonts w:cs="Arial"/>
          <w:szCs w:val="20"/>
        </w:rPr>
        <w:fldChar w:fldCharType="separate"/>
      </w:r>
      <w:r w:rsidRPr="0025033E">
        <w:rPr>
          <w:rFonts w:cs="Arial"/>
          <w:color w:val="0000FF"/>
          <w:szCs w:val="20"/>
          <w:u w:val="single"/>
        </w:rPr>
        <w:t>eutocka.mkrr@gov.si</w:t>
      </w:r>
      <w:r w:rsidRPr="0025033E">
        <w:rPr>
          <w:rFonts w:cs="Arial"/>
          <w:szCs w:val="20"/>
        </w:rPr>
        <w:fldChar w:fldCharType="end"/>
      </w:r>
      <w:r w:rsidRPr="0025033E">
        <w:rPr>
          <w:rFonts w:cs="Arial"/>
          <w:szCs w:val="20"/>
        </w:rPr>
        <w:t xml:space="preserve"> ali preko interaktivnega obrazca na evropskasredstva.si. </w:t>
      </w:r>
    </w:p>
    <w:p w14:paraId="2CDFD5B6" w14:textId="77777777" w:rsidR="002250BC" w:rsidRDefault="005410F2" w:rsidP="009864BC">
      <w:pPr>
        <w:numPr>
          <w:ilvl w:val="0"/>
          <w:numId w:val="13"/>
        </w:numPr>
        <w:suppressAutoHyphens w:val="0"/>
        <w:autoSpaceDN/>
        <w:spacing w:after="0" w:line="288" w:lineRule="auto"/>
        <w:jc w:val="both"/>
        <w:rPr>
          <w:rFonts w:cs="Arial"/>
          <w:szCs w:val="20"/>
        </w:rPr>
        <w:sectPr w:rsidR="002250BC" w:rsidSect="00010CAC">
          <w:type w:val="continuous"/>
          <w:pgSz w:w="11906" w:h="16838" w:code="9"/>
          <w:pgMar w:top="1418" w:right="1418" w:bottom="1418" w:left="1418" w:header="709" w:footer="709" w:gutter="0"/>
          <w:cols w:space="708"/>
          <w:docGrid w:linePitch="272"/>
        </w:sectPr>
      </w:pPr>
      <w:r w:rsidRPr="0025033E">
        <w:rPr>
          <w:rFonts w:cs="Arial"/>
          <w:szCs w:val="20"/>
        </w:rPr>
        <w:t>INFORM-SI: Delovna skupina INFORM-SI, v katero so imenovani programski komunikatorji, komunikatorji posredniških teles EKP in pridruženi komunikatorji kohezijskih regij se je novembra sestala na drugem letošnjem plenarnem zasedanju. Udeleženci so ocenili izvedbo skupnega letnega dogodka 2024 in začrtali njegovo izvedbo za leto 2025. Ogledali so si tudi primer dobre prakse sofinanciranja z evropskimi sredstvi.</w:t>
      </w:r>
    </w:p>
    <w:p w14:paraId="29D77D7E" w14:textId="0AC67536" w:rsidR="005410F2" w:rsidRPr="0025033E" w:rsidRDefault="005410F2" w:rsidP="009864BC">
      <w:pPr>
        <w:pStyle w:val="Naslov10"/>
        <w:numPr>
          <w:ilvl w:val="0"/>
          <w:numId w:val="32"/>
        </w:numPr>
        <w:spacing w:before="0" w:after="0"/>
        <w:rPr>
          <w:rFonts w:cs="Arial"/>
        </w:rPr>
      </w:pPr>
      <w:bookmarkStart w:id="374" w:name="_Toc191460215"/>
      <w:r w:rsidRPr="0025033E">
        <w:rPr>
          <w:rFonts w:cs="Arial"/>
        </w:rPr>
        <w:lastRenderedPageBreak/>
        <w:t xml:space="preserve">PROGRAMSKO OBDOBJE </w:t>
      </w:r>
      <w:r w:rsidR="00427FC8" w:rsidRPr="0025033E">
        <w:rPr>
          <w:rFonts w:cs="Arial"/>
        </w:rPr>
        <w:t>2021–2027</w:t>
      </w:r>
      <w:r w:rsidRPr="0025033E">
        <w:rPr>
          <w:rFonts w:cs="Arial"/>
        </w:rPr>
        <w:t>: AKTUALNO STANJE IN GLAVNE AKTIVNOSTI V DRUGEM POLLETJU LETA 2024</w:t>
      </w:r>
      <w:bookmarkEnd w:id="374"/>
    </w:p>
    <w:p w14:paraId="5EB3DA8B" w14:textId="77777777" w:rsidR="005410F2" w:rsidRPr="0025033E" w:rsidRDefault="005410F2" w:rsidP="00ED5676">
      <w:pPr>
        <w:spacing w:after="0" w:line="276" w:lineRule="auto"/>
        <w:contextualSpacing/>
        <w:jc w:val="both"/>
        <w:rPr>
          <w:rFonts w:cs="Arial"/>
          <w:szCs w:val="20"/>
        </w:rPr>
      </w:pPr>
    </w:p>
    <w:p w14:paraId="0FC271CF" w14:textId="77777777" w:rsidR="005410F2" w:rsidRPr="0025033E" w:rsidRDefault="005410F2" w:rsidP="00ED5676">
      <w:pPr>
        <w:suppressAutoHyphens w:val="0"/>
        <w:autoSpaceDN/>
        <w:spacing w:after="0" w:line="288" w:lineRule="auto"/>
        <w:jc w:val="both"/>
        <w:rPr>
          <w:rFonts w:cs="Arial"/>
          <w:szCs w:val="20"/>
        </w:rPr>
      </w:pPr>
      <w:r w:rsidRPr="0025033E">
        <w:rPr>
          <w:rFonts w:cs="Arial"/>
          <w:szCs w:val="20"/>
        </w:rPr>
        <w:t>Evropski svet je na izrednem zasedanju 21. 7. 2020 sprejel sklep oz. dogovor glede Večletnega finančnega okvira za obdobje 2021–2027 in instrumenta za okrevanje „</w:t>
      </w:r>
      <w:proofErr w:type="spellStart"/>
      <w:r w:rsidRPr="0025033E">
        <w:rPr>
          <w:rFonts w:cs="Arial"/>
          <w:szCs w:val="20"/>
        </w:rPr>
        <w:t>NextGenerationEU</w:t>
      </w:r>
      <w:proofErr w:type="spellEnd"/>
      <w:r w:rsidRPr="0025033E">
        <w:rPr>
          <w:rFonts w:cs="Arial"/>
          <w:szCs w:val="20"/>
        </w:rPr>
        <w:t xml:space="preserve">“ (višino sredstev) ter ključne elemente (stopnje sofinanciranja, tematske osredotočenosti, ipd.). Sveženj kohezijskih uredb je bil sprejet 24. 6. 2021, s čimer so bile podane pravne podlage za pripravo in oddajo nacionalnih programov EKP za obdobje 2021–2027 ter s čimer so bili dokončno opredeljeni ključni elementi. </w:t>
      </w:r>
    </w:p>
    <w:p w14:paraId="06992940" w14:textId="77777777" w:rsidR="000E7A5A" w:rsidRPr="0025033E" w:rsidRDefault="000E7A5A" w:rsidP="00ED5676">
      <w:pPr>
        <w:spacing w:after="0" w:line="276" w:lineRule="auto"/>
        <w:contextualSpacing/>
        <w:jc w:val="both"/>
        <w:rPr>
          <w:rFonts w:eastAsia="SimSun" w:cs="Arial"/>
          <w:color w:val="0070C0"/>
          <w:szCs w:val="20"/>
          <w:lang w:eastAsia="zh-CN"/>
        </w:rPr>
      </w:pPr>
    </w:p>
    <w:p w14:paraId="3CD026A9" w14:textId="5D401F76" w:rsidR="000E7A5A" w:rsidRPr="0025033E" w:rsidRDefault="005410F2" w:rsidP="00ED5676">
      <w:pPr>
        <w:pStyle w:val="Naslov2"/>
        <w:spacing w:before="0"/>
        <w:rPr>
          <w:rFonts w:cs="Arial"/>
          <w:lang w:eastAsia="zh-CN"/>
        </w:rPr>
      </w:pPr>
      <w:bookmarkStart w:id="375" w:name="_Toc187739297"/>
      <w:bookmarkStart w:id="376" w:name="_Toc187740030"/>
      <w:bookmarkStart w:id="377" w:name="_Toc191460216"/>
      <w:r w:rsidRPr="0025033E">
        <w:rPr>
          <w:rFonts w:cs="Arial"/>
          <w:lang w:eastAsia="zh-CN"/>
        </w:rPr>
        <w:t xml:space="preserve">3.1 </w:t>
      </w:r>
      <w:r w:rsidR="004655CD" w:rsidRPr="0025033E">
        <w:rPr>
          <w:rFonts w:cs="Arial"/>
          <w:lang w:eastAsia="zh-CN"/>
        </w:rPr>
        <w:t>DEJAVNOSTI, POVEZANE S PROGRAMOM EKP 2021–2027</w:t>
      </w:r>
      <w:bookmarkEnd w:id="377"/>
      <w:r w:rsidR="004655CD" w:rsidRPr="0025033E">
        <w:rPr>
          <w:rFonts w:cs="Arial"/>
          <w:lang w:eastAsia="zh-CN"/>
        </w:rPr>
        <w:t xml:space="preserve"> </w:t>
      </w:r>
      <w:bookmarkEnd w:id="375"/>
      <w:bookmarkEnd w:id="376"/>
    </w:p>
    <w:p w14:paraId="1867F3E5" w14:textId="77777777" w:rsidR="000E7A5A" w:rsidRPr="0025033E" w:rsidRDefault="000E7A5A" w:rsidP="00ED5676">
      <w:pPr>
        <w:spacing w:after="0" w:line="276" w:lineRule="auto"/>
        <w:contextualSpacing/>
        <w:jc w:val="both"/>
        <w:rPr>
          <w:rFonts w:eastAsia="SimSun" w:cs="Arial"/>
          <w:color w:val="0070C0"/>
          <w:sz w:val="22"/>
          <w:szCs w:val="22"/>
          <w:lang w:eastAsia="zh-CN"/>
        </w:rPr>
      </w:pPr>
    </w:p>
    <w:p w14:paraId="47738F2C" w14:textId="77777777" w:rsidR="005410F2" w:rsidRPr="0025033E" w:rsidRDefault="005410F2" w:rsidP="00ED5676">
      <w:pPr>
        <w:suppressAutoHyphens w:val="0"/>
        <w:autoSpaceDE w:val="0"/>
        <w:adjustRightInd w:val="0"/>
        <w:spacing w:after="0" w:line="288" w:lineRule="auto"/>
        <w:jc w:val="both"/>
        <w:rPr>
          <w:rFonts w:cs="Arial"/>
          <w:szCs w:val="20"/>
        </w:rPr>
      </w:pPr>
      <w:r w:rsidRPr="0025033E">
        <w:rPr>
          <w:rFonts w:cs="Arial"/>
          <w:szCs w:val="20"/>
        </w:rPr>
        <w:t>Vlada RS je s sklepom številka 54402-7/2019/6 z dne 18. 7. 2019</w:t>
      </w:r>
      <w:r w:rsidRPr="0025033E">
        <w:rPr>
          <w:rFonts w:cs="Arial"/>
          <w:b/>
          <w:szCs w:val="20"/>
        </w:rPr>
        <w:t xml:space="preserve"> </w:t>
      </w:r>
      <w:r w:rsidRPr="0025033E">
        <w:rPr>
          <w:rFonts w:cs="Arial"/>
          <w:szCs w:val="20"/>
        </w:rPr>
        <w:t>naložila takratni SVRK, da v sodelovanju z ministrstvi, vladnimi službami in partnerji pripravi programske dokumente za izvajanje EKP za obdobje 2021–2027 za KS, ESRR in ESS+.</w:t>
      </w:r>
    </w:p>
    <w:p w14:paraId="236E31B8" w14:textId="77777777" w:rsidR="00573ABE" w:rsidRPr="0025033E" w:rsidRDefault="00573ABE" w:rsidP="00ED5676">
      <w:pPr>
        <w:suppressAutoHyphens w:val="0"/>
        <w:autoSpaceDE w:val="0"/>
        <w:adjustRightInd w:val="0"/>
        <w:spacing w:after="0" w:line="288" w:lineRule="auto"/>
        <w:jc w:val="both"/>
        <w:rPr>
          <w:rFonts w:cs="Arial"/>
          <w:szCs w:val="20"/>
        </w:rPr>
      </w:pPr>
    </w:p>
    <w:p w14:paraId="37485B29" w14:textId="77777777" w:rsidR="005410F2" w:rsidRPr="0025033E" w:rsidRDefault="005410F2" w:rsidP="00ED5676">
      <w:pPr>
        <w:suppressAutoHyphens w:val="0"/>
        <w:autoSpaceDE w:val="0"/>
        <w:adjustRightInd w:val="0"/>
        <w:spacing w:after="0" w:line="288" w:lineRule="auto"/>
        <w:jc w:val="both"/>
        <w:rPr>
          <w:rFonts w:cs="Arial"/>
          <w:color w:val="000000"/>
          <w:szCs w:val="20"/>
        </w:rPr>
      </w:pPr>
      <w:r w:rsidRPr="0025033E">
        <w:rPr>
          <w:rFonts w:cs="Arial"/>
          <w:color w:val="000000"/>
          <w:szCs w:val="20"/>
        </w:rPr>
        <w:t>Paket dokumentov, ki jih je morala Slovenija v okviru programiranja pripraviti, obsega:</w:t>
      </w:r>
    </w:p>
    <w:p w14:paraId="6DDDF501" w14:textId="77777777" w:rsidR="005410F2" w:rsidRPr="0025033E" w:rsidRDefault="005410F2" w:rsidP="009864BC">
      <w:pPr>
        <w:numPr>
          <w:ilvl w:val="0"/>
          <w:numId w:val="14"/>
        </w:numPr>
        <w:suppressAutoHyphens w:val="0"/>
        <w:autoSpaceDN/>
        <w:spacing w:after="0" w:line="288" w:lineRule="auto"/>
        <w:jc w:val="both"/>
        <w:rPr>
          <w:rFonts w:eastAsia="Calibri" w:cs="Arial"/>
          <w:szCs w:val="20"/>
        </w:rPr>
      </w:pPr>
      <w:r w:rsidRPr="0025033E">
        <w:rPr>
          <w:rFonts w:eastAsia="Calibri" w:cs="Arial"/>
          <w:szCs w:val="20"/>
        </w:rPr>
        <w:t>programske dokumente, tj. dokumente, na podlagi katerih se sredstva Sloveniji dodelijo v deljeno upravljanje, in sicer program (trenutno operativni program) in sporazum o partnerstvu (kot samostojni dokument ali del programa);</w:t>
      </w:r>
    </w:p>
    <w:p w14:paraId="770D21A5" w14:textId="77777777" w:rsidR="005410F2" w:rsidRPr="0025033E" w:rsidRDefault="005410F2" w:rsidP="009864BC">
      <w:pPr>
        <w:numPr>
          <w:ilvl w:val="0"/>
          <w:numId w:val="14"/>
        </w:numPr>
        <w:suppressAutoHyphens w:val="0"/>
        <w:autoSpaceDN/>
        <w:spacing w:after="0" w:line="288" w:lineRule="auto"/>
        <w:jc w:val="both"/>
        <w:rPr>
          <w:rFonts w:eastAsia="Calibri" w:cs="Arial"/>
          <w:szCs w:val="20"/>
        </w:rPr>
      </w:pPr>
      <w:r w:rsidRPr="0025033E">
        <w:rPr>
          <w:rFonts w:eastAsia="Calibri" w:cs="Arial"/>
          <w:szCs w:val="20"/>
        </w:rPr>
        <w:t xml:space="preserve">dokumente (strategije, akcijski načrti, resolucije ipd.) in predpise, ki zagotavljajo izpolnjevanje tematskih </w:t>
      </w:r>
      <w:proofErr w:type="spellStart"/>
      <w:r w:rsidRPr="0025033E">
        <w:rPr>
          <w:rFonts w:eastAsia="Calibri" w:cs="Arial"/>
          <w:szCs w:val="20"/>
        </w:rPr>
        <w:t>omogočitvenih</w:t>
      </w:r>
      <w:proofErr w:type="spellEnd"/>
      <w:r w:rsidRPr="0025033E">
        <w:rPr>
          <w:rFonts w:eastAsia="Calibri" w:cs="Arial"/>
          <w:szCs w:val="20"/>
        </w:rPr>
        <w:t xml:space="preserve"> pogojev; </w:t>
      </w:r>
    </w:p>
    <w:p w14:paraId="4DD0A190" w14:textId="77777777" w:rsidR="005410F2" w:rsidRPr="0025033E" w:rsidRDefault="005410F2" w:rsidP="009864BC">
      <w:pPr>
        <w:numPr>
          <w:ilvl w:val="0"/>
          <w:numId w:val="14"/>
        </w:numPr>
        <w:suppressAutoHyphens w:val="0"/>
        <w:autoSpaceDN/>
        <w:spacing w:after="0" w:line="288" w:lineRule="auto"/>
        <w:jc w:val="both"/>
        <w:rPr>
          <w:rFonts w:eastAsia="Calibri" w:cs="Arial"/>
          <w:szCs w:val="20"/>
        </w:rPr>
      </w:pPr>
      <w:r w:rsidRPr="0025033E">
        <w:rPr>
          <w:rFonts w:eastAsia="Calibri" w:cs="Arial"/>
          <w:szCs w:val="20"/>
        </w:rPr>
        <w:t xml:space="preserve">opise izpolnjevanja horizontalnih </w:t>
      </w:r>
      <w:proofErr w:type="spellStart"/>
      <w:r w:rsidRPr="0025033E">
        <w:rPr>
          <w:rFonts w:eastAsia="Calibri" w:cs="Arial"/>
          <w:szCs w:val="20"/>
        </w:rPr>
        <w:t>omogočitvenih</w:t>
      </w:r>
      <w:proofErr w:type="spellEnd"/>
      <w:r w:rsidRPr="0025033E">
        <w:rPr>
          <w:rFonts w:eastAsia="Calibri" w:cs="Arial"/>
          <w:szCs w:val="20"/>
        </w:rPr>
        <w:t xml:space="preserve"> pogojev (predhodne pogojenosti iz obdobja 2014–2020 so nadomestili </w:t>
      </w:r>
      <w:proofErr w:type="spellStart"/>
      <w:r w:rsidRPr="0025033E">
        <w:rPr>
          <w:rFonts w:eastAsia="Calibri" w:cs="Arial"/>
          <w:szCs w:val="20"/>
        </w:rPr>
        <w:t>t.i</w:t>
      </w:r>
      <w:proofErr w:type="spellEnd"/>
      <w:r w:rsidRPr="0025033E">
        <w:rPr>
          <w:rFonts w:eastAsia="Calibri" w:cs="Arial"/>
          <w:szCs w:val="20"/>
        </w:rPr>
        <w:t xml:space="preserve">. </w:t>
      </w:r>
      <w:proofErr w:type="spellStart"/>
      <w:r w:rsidRPr="0025033E">
        <w:rPr>
          <w:rFonts w:eastAsia="Calibri" w:cs="Arial"/>
          <w:szCs w:val="20"/>
        </w:rPr>
        <w:t>omogočitveni</w:t>
      </w:r>
      <w:proofErr w:type="spellEnd"/>
      <w:r w:rsidRPr="0025033E">
        <w:rPr>
          <w:rFonts w:eastAsia="Calibri" w:cs="Arial"/>
          <w:szCs w:val="20"/>
        </w:rPr>
        <w:t xml:space="preserve"> pogoji). Teh je manj, bolj so osredotočeni na cilje zadevnega sklada in, za razliko od obdobja 2014–2020, se spremljajo in izvajajo v celotnem obdobju. Načelo se bo okrepilo na naslednje načine: države članice ne bodo mogle prijaviti odhodkov v zvezi s specifičnimi cilji, dokler </w:t>
      </w:r>
      <w:proofErr w:type="spellStart"/>
      <w:r w:rsidRPr="0025033E">
        <w:rPr>
          <w:rFonts w:eastAsia="Calibri" w:cs="Arial"/>
          <w:szCs w:val="20"/>
        </w:rPr>
        <w:t>omogočitveni</w:t>
      </w:r>
      <w:proofErr w:type="spellEnd"/>
      <w:r w:rsidRPr="0025033E">
        <w:rPr>
          <w:rFonts w:eastAsia="Calibri" w:cs="Arial"/>
          <w:szCs w:val="20"/>
        </w:rPr>
        <w:t xml:space="preserve"> pogoj ne bo izpolnjen. S tem bo zagotovljeno, da bodo vse sofinancirane operacije v skladu z okvirom politike EU; </w:t>
      </w:r>
    </w:p>
    <w:p w14:paraId="57D2FD6F" w14:textId="77777777" w:rsidR="005410F2" w:rsidRPr="0025033E" w:rsidRDefault="005410F2" w:rsidP="009864BC">
      <w:pPr>
        <w:numPr>
          <w:ilvl w:val="0"/>
          <w:numId w:val="14"/>
        </w:numPr>
        <w:suppressAutoHyphens w:val="0"/>
        <w:autoSpaceDN/>
        <w:spacing w:after="0" w:line="288" w:lineRule="auto"/>
        <w:jc w:val="both"/>
        <w:rPr>
          <w:rFonts w:eastAsia="Calibri" w:cs="Arial"/>
          <w:szCs w:val="20"/>
        </w:rPr>
      </w:pPr>
      <w:r w:rsidRPr="0025033E">
        <w:rPr>
          <w:rFonts w:eastAsia="Calibri" w:cs="Arial"/>
          <w:szCs w:val="20"/>
        </w:rPr>
        <w:t>predloge za poenostavljene oblike stroškov.</w:t>
      </w:r>
    </w:p>
    <w:p w14:paraId="4614FF62" w14:textId="77777777" w:rsidR="005410F2" w:rsidRPr="0025033E" w:rsidRDefault="005410F2" w:rsidP="00ED5676">
      <w:pPr>
        <w:suppressAutoHyphens w:val="0"/>
        <w:autoSpaceDN/>
        <w:spacing w:after="0" w:line="288" w:lineRule="auto"/>
        <w:jc w:val="both"/>
        <w:rPr>
          <w:rFonts w:eastAsia="Calibri" w:cs="Arial"/>
          <w:sz w:val="22"/>
          <w:szCs w:val="22"/>
        </w:rPr>
      </w:pPr>
    </w:p>
    <w:p w14:paraId="52E8D493" w14:textId="5215738F" w:rsidR="005410F2" w:rsidRPr="0025033E" w:rsidRDefault="005C39FF" w:rsidP="009173C9">
      <w:pPr>
        <w:pStyle w:val="Naslov3"/>
        <w:numPr>
          <w:ilvl w:val="2"/>
          <w:numId w:val="35"/>
        </w:numPr>
        <w:rPr>
          <w:rFonts w:cs="Arial"/>
        </w:rPr>
      </w:pPr>
      <w:bookmarkStart w:id="378" w:name="_Toc191460217"/>
      <w:r w:rsidRPr="0025033E">
        <w:rPr>
          <w:rFonts w:cs="Arial"/>
        </w:rPr>
        <w:t>Sporazum o partnerstvu</w:t>
      </w:r>
      <w:bookmarkEnd w:id="378"/>
    </w:p>
    <w:p w14:paraId="4B7A4D08" w14:textId="77777777" w:rsidR="005C39FF" w:rsidRPr="0025033E" w:rsidRDefault="005C39FF" w:rsidP="00ED5676">
      <w:pPr>
        <w:spacing w:after="0"/>
        <w:jc w:val="both"/>
        <w:rPr>
          <w:rFonts w:eastAsia="Calibri" w:cs="Arial"/>
        </w:rPr>
      </w:pPr>
    </w:p>
    <w:p w14:paraId="3DD7A972"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 xml:space="preserve">Sporazum o partnerstvu določa strateške usmeritve za načrtovanje programov ter ureditve za učinkovito in uspešno uporabo ESRR, ESS+, KS, SPP in ESPRA v obdobju od začetka 2021 do konca 2027. </w:t>
      </w:r>
    </w:p>
    <w:p w14:paraId="158C4319" w14:textId="77777777" w:rsidR="005C39FF" w:rsidRPr="0025033E" w:rsidRDefault="005C39FF" w:rsidP="00ED5676">
      <w:pPr>
        <w:suppressAutoHyphens w:val="0"/>
        <w:autoSpaceDN/>
        <w:spacing w:after="0" w:line="276" w:lineRule="auto"/>
        <w:jc w:val="both"/>
        <w:rPr>
          <w:rFonts w:eastAsia="Calibri" w:cs="Arial"/>
          <w:szCs w:val="20"/>
        </w:rPr>
      </w:pPr>
    </w:p>
    <w:p w14:paraId="40F6D0E7"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V začetku drugega polletja 2022 je potekalo še zadnje intenzivno usklajevanje Sporazuma o partnerstvu 2021</w:t>
      </w:r>
      <w:r w:rsidRPr="0025033E">
        <w:rPr>
          <w:rFonts w:cs="Arial"/>
          <w:szCs w:val="20"/>
        </w:rPr>
        <w:t>–</w:t>
      </w:r>
      <w:r w:rsidRPr="0025033E">
        <w:rPr>
          <w:rFonts w:eastAsia="Calibri" w:cs="Arial"/>
          <w:szCs w:val="20"/>
        </w:rPr>
        <w:t>2027 z EK. Slovenija je tako po izredno trdem delu in usklajevanju 15. 7. 2022 sporazum posredovala EK, ki ga je uradno potrdila 12. 9. 2022.</w:t>
      </w:r>
    </w:p>
    <w:p w14:paraId="57B8F7F2" w14:textId="77777777" w:rsidR="005C39FF" w:rsidRPr="0025033E" w:rsidRDefault="005C39FF" w:rsidP="00ED5676">
      <w:pPr>
        <w:suppressAutoHyphens w:val="0"/>
        <w:autoSpaceDN/>
        <w:spacing w:after="0" w:line="276" w:lineRule="auto"/>
        <w:jc w:val="both"/>
        <w:rPr>
          <w:rFonts w:eastAsia="Calibri" w:cs="Arial"/>
          <w:szCs w:val="20"/>
        </w:rPr>
      </w:pPr>
    </w:p>
    <w:p w14:paraId="6E0CEA6F"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Republika Slovenija načrtuje podporo petim ciljem politik, ki jim dodaja še specifični cilj SPP. Preko njih je dana prednost področjem, kjer ima Slovenija zaznane vrzeli: ukrepi za dvig produktivnosti, digitalizacija, infrastrukturne vrzeli - železniška povezljivost, trajnostna mobilnost, manjkajoči večji sistemi za odvajanje in čiščenje odpadnih voda, tretja razvojna os, (večji) sistemi za zagotavljanje ustrezne kakovosti pitne vode, energetska prenova stavb, vlaganja v obnovljive vire energije, področje izobraževanja ipd.</w:t>
      </w:r>
    </w:p>
    <w:p w14:paraId="008A9745" w14:textId="77777777" w:rsidR="005C39FF" w:rsidRPr="0025033E" w:rsidRDefault="005C39FF" w:rsidP="00ED5676">
      <w:pPr>
        <w:suppressAutoHyphens w:val="0"/>
        <w:autoSpaceDN/>
        <w:spacing w:after="0" w:line="276" w:lineRule="auto"/>
        <w:jc w:val="both"/>
        <w:rPr>
          <w:rFonts w:eastAsia="Calibri" w:cs="Arial"/>
          <w:szCs w:val="20"/>
        </w:rPr>
      </w:pPr>
    </w:p>
    <w:p w14:paraId="5FD9D7C1"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 xml:space="preserve">V Sloveniji se bodo izvajali naslednji pristopi za naslavljanje posebnih potreb regij in območij: </w:t>
      </w:r>
    </w:p>
    <w:p w14:paraId="4336EEF7" w14:textId="77777777" w:rsidR="005C39FF" w:rsidRPr="0025033E" w:rsidRDefault="005C39FF" w:rsidP="009864BC">
      <w:pPr>
        <w:numPr>
          <w:ilvl w:val="0"/>
          <w:numId w:val="15"/>
        </w:numPr>
        <w:suppressAutoHyphens w:val="0"/>
        <w:autoSpaceDN/>
        <w:spacing w:after="0" w:line="276" w:lineRule="auto"/>
        <w:contextualSpacing/>
        <w:jc w:val="both"/>
        <w:rPr>
          <w:rFonts w:eastAsia="Calibri" w:cs="Arial"/>
          <w:szCs w:val="20"/>
        </w:rPr>
      </w:pPr>
      <w:r w:rsidRPr="0025033E">
        <w:rPr>
          <w:rFonts w:eastAsia="Calibri" w:cs="Arial"/>
          <w:szCs w:val="20"/>
        </w:rPr>
        <w:t>za trajnostni razvoj mest celostne teritorialne naložbe (CTN),</w:t>
      </w:r>
    </w:p>
    <w:p w14:paraId="2D7A5598" w14:textId="77777777" w:rsidR="005C39FF" w:rsidRPr="0025033E" w:rsidRDefault="005C39FF" w:rsidP="009864BC">
      <w:pPr>
        <w:numPr>
          <w:ilvl w:val="0"/>
          <w:numId w:val="15"/>
        </w:numPr>
        <w:suppressAutoHyphens w:val="0"/>
        <w:autoSpaceDN/>
        <w:spacing w:after="0" w:line="276" w:lineRule="auto"/>
        <w:contextualSpacing/>
        <w:jc w:val="both"/>
        <w:rPr>
          <w:rFonts w:eastAsia="Calibri" w:cs="Arial"/>
          <w:szCs w:val="20"/>
        </w:rPr>
      </w:pPr>
      <w:r w:rsidRPr="0025033E">
        <w:rPr>
          <w:rFonts w:eastAsia="Calibri" w:cs="Arial"/>
          <w:szCs w:val="20"/>
        </w:rPr>
        <w:t>za lokalni razvoj lokalni razvoj, ki ga vodi skupnost (CLLD) in</w:t>
      </w:r>
    </w:p>
    <w:p w14:paraId="49327638" w14:textId="77777777" w:rsidR="005C39FF" w:rsidRPr="0025033E" w:rsidRDefault="005C39FF" w:rsidP="009864BC">
      <w:pPr>
        <w:numPr>
          <w:ilvl w:val="0"/>
          <w:numId w:val="15"/>
        </w:numPr>
        <w:suppressAutoHyphens w:val="0"/>
        <w:autoSpaceDN/>
        <w:spacing w:after="0" w:line="276" w:lineRule="auto"/>
        <w:contextualSpacing/>
        <w:jc w:val="both"/>
        <w:rPr>
          <w:rFonts w:eastAsia="Calibri" w:cs="Arial"/>
          <w:szCs w:val="20"/>
        </w:rPr>
      </w:pPr>
      <w:r w:rsidRPr="0025033E">
        <w:rPr>
          <w:rFonts w:eastAsia="Calibri" w:cs="Arial"/>
          <w:szCs w:val="20"/>
        </w:rPr>
        <w:t>za regionalni razvoj pa drugo teritorialno orodje, ki podpira pobude, ki jih je zasnovala država članica (DRR).</w:t>
      </w:r>
    </w:p>
    <w:p w14:paraId="2FEE1F8E" w14:textId="77777777" w:rsidR="005C39FF" w:rsidRPr="0025033E" w:rsidRDefault="005C39FF" w:rsidP="00ED5676">
      <w:pPr>
        <w:suppressAutoHyphens w:val="0"/>
        <w:autoSpaceDN/>
        <w:spacing w:after="0" w:line="276" w:lineRule="auto"/>
        <w:jc w:val="both"/>
        <w:rPr>
          <w:rFonts w:eastAsia="Calibri" w:cs="Arial"/>
          <w:szCs w:val="20"/>
        </w:rPr>
      </w:pPr>
    </w:p>
    <w:p w14:paraId="5D3D62ED"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lastRenderedPageBreak/>
        <w:t>Ukrepi EKP 2021</w:t>
      </w:r>
      <w:r w:rsidRPr="0025033E">
        <w:rPr>
          <w:rFonts w:cs="Arial"/>
          <w:szCs w:val="20"/>
        </w:rPr>
        <w:t>–</w:t>
      </w:r>
      <w:r w:rsidRPr="0025033E">
        <w:rPr>
          <w:rFonts w:eastAsia="Calibri" w:cs="Arial"/>
          <w:szCs w:val="20"/>
        </w:rPr>
        <w:t>2027 bodo skladno z načelom komplementarnosti kombinirani s sredstvi Mehanizma za okrevanje in odpornost.</w:t>
      </w:r>
    </w:p>
    <w:p w14:paraId="00817908" w14:textId="77777777" w:rsidR="005C39FF" w:rsidRPr="0025033E" w:rsidRDefault="005C39FF" w:rsidP="00ED5676">
      <w:pPr>
        <w:spacing w:after="0"/>
        <w:jc w:val="both"/>
        <w:rPr>
          <w:rFonts w:eastAsia="Calibri" w:cs="Arial"/>
        </w:rPr>
      </w:pPr>
    </w:p>
    <w:p w14:paraId="69CFF799" w14:textId="56949BE7" w:rsidR="005C39FF" w:rsidRPr="0025033E" w:rsidRDefault="009173C9" w:rsidP="009173C9">
      <w:pPr>
        <w:pStyle w:val="Naslov3"/>
        <w:numPr>
          <w:ilvl w:val="2"/>
          <w:numId w:val="35"/>
        </w:numPr>
        <w:rPr>
          <w:rFonts w:cs="Arial"/>
        </w:rPr>
      </w:pPr>
      <w:r>
        <w:rPr>
          <w:rFonts w:cs="Arial"/>
        </w:rPr>
        <w:t xml:space="preserve"> </w:t>
      </w:r>
      <w:bookmarkStart w:id="379" w:name="_Toc191460218"/>
      <w:r w:rsidR="005C39FF" w:rsidRPr="0025033E">
        <w:rPr>
          <w:rFonts w:cs="Arial"/>
        </w:rPr>
        <w:t xml:space="preserve">Program Evropske kohezijske politike v obdobju </w:t>
      </w:r>
      <w:r w:rsidR="00427FC8" w:rsidRPr="0025033E">
        <w:rPr>
          <w:rFonts w:cs="Arial"/>
        </w:rPr>
        <w:t>2021–2027</w:t>
      </w:r>
      <w:bookmarkEnd w:id="379"/>
    </w:p>
    <w:p w14:paraId="09629EA9" w14:textId="77777777" w:rsidR="005C39FF" w:rsidRPr="0025033E" w:rsidRDefault="005C39FF" w:rsidP="00ED5676">
      <w:pPr>
        <w:spacing w:after="0"/>
        <w:jc w:val="both"/>
        <w:rPr>
          <w:rFonts w:eastAsia="Calibri" w:cs="Arial"/>
        </w:rPr>
      </w:pPr>
    </w:p>
    <w:p w14:paraId="391BA0AD" w14:textId="77777777" w:rsidR="005C39FF" w:rsidRPr="0025033E" w:rsidRDefault="005C39FF" w:rsidP="00ED5676">
      <w:pPr>
        <w:shd w:val="clear" w:color="auto" w:fill="FFFFFF"/>
        <w:suppressAutoHyphens w:val="0"/>
        <w:autoSpaceDN/>
        <w:spacing w:after="0" w:line="276" w:lineRule="auto"/>
        <w:jc w:val="both"/>
        <w:rPr>
          <w:rFonts w:cs="Arial"/>
          <w:szCs w:val="20"/>
        </w:rPr>
      </w:pPr>
      <w:r w:rsidRPr="0025033E">
        <w:rPr>
          <w:rFonts w:cs="Arial"/>
          <w:szCs w:val="20"/>
        </w:rPr>
        <w:t>Za obdobje 2021–2027 EKP je na nacionalni ravni pripravljen en (operativni) PEKP, ki zajema financiranje iz štirih skladov:</w:t>
      </w:r>
    </w:p>
    <w:p w14:paraId="73EFD0A8" w14:textId="77777777" w:rsidR="005C39FF" w:rsidRPr="0025033E" w:rsidRDefault="005C39FF" w:rsidP="009864BC">
      <w:pPr>
        <w:numPr>
          <w:ilvl w:val="0"/>
          <w:numId w:val="16"/>
        </w:numPr>
        <w:shd w:val="clear" w:color="auto" w:fill="FFFFFF"/>
        <w:suppressAutoHyphens w:val="0"/>
        <w:autoSpaceDN/>
        <w:spacing w:after="0" w:line="276" w:lineRule="auto"/>
        <w:jc w:val="both"/>
        <w:rPr>
          <w:rFonts w:cs="Arial"/>
          <w:szCs w:val="20"/>
        </w:rPr>
      </w:pPr>
      <w:r w:rsidRPr="0025033E">
        <w:rPr>
          <w:rFonts w:cs="Arial"/>
          <w:szCs w:val="20"/>
        </w:rPr>
        <w:t>Kohezijski sklad (celotna Slovenija),</w:t>
      </w:r>
    </w:p>
    <w:p w14:paraId="5224A5A1" w14:textId="77777777" w:rsidR="005C39FF" w:rsidRPr="0025033E" w:rsidRDefault="005C39FF" w:rsidP="009864BC">
      <w:pPr>
        <w:numPr>
          <w:ilvl w:val="0"/>
          <w:numId w:val="16"/>
        </w:numPr>
        <w:shd w:val="clear" w:color="auto" w:fill="FFFFFF"/>
        <w:suppressAutoHyphens w:val="0"/>
        <w:autoSpaceDN/>
        <w:spacing w:after="0" w:line="276" w:lineRule="auto"/>
        <w:jc w:val="both"/>
        <w:rPr>
          <w:rFonts w:cs="Arial"/>
          <w:szCs w:val="20"/>
        </w:rPr>
      </w:pPr>
      <w:r w:rsidRPr="0025033E">
        <w:rPr>
          <w:rFonts w:cs="Arial"/>
          <w:szCs w:val="20"/>
        </w:rPr>
        <w:t>Evropski sklad za regionalni razvoj (ločen na Vzhodno in Zahodno kohezijsko regijo glede na določen finančni razrez s strani EK),</w:t>
      </w:r>
    </w:p>
    <w:p w14:paraId="62F30134" w14:textId="77777777" w:rsidR="005C39FF" w:rsidRPr="0025033E" w:rsidRDefault="005C39FF" w:rsidP="009864BC">
      <w:pPr>
        <w:numPr>
          <w:ilvl w:val="0"/>
          <w:numId w:val="16"/>
        </w:numPr>
        <w:shd w:val="clear" w:color="auto" w:fill="FFFFFF"/>
        <w:suppressAutoHyphens w:val="0"/>
        <w:autoSpaceDN/>
        <w:spacing w:after="0" w:line="276" w:lineRule="auto"/>
        <w:jc w:val="both"/>
        <w:rPr>
          <w:rFonts w:cs="Arial"/>
          <w:szCs w:val="20"/>
        </w:rPr>
      </w:pPr>
      <w:r w:rsidRPr="0025033E">
        <w:rPr>
          <w:rFonts w:cs="Arial"/>
          <w:szCs w:val="20"/>
        </w:rPr>
        <w:t>Evropski socialni sklad plus (ločen na Vzhodno in Zahodno kohezijsko regijo glede na določen finančni razrez s strani EK),</w:t>
      </w:r>
    </w:p>
    <w:p w14:paraId="1F82216D" w14:textId="77777777" w:rsidR="005C39FF" w:rsidRPr="0025033E" w:rsidRDefault="005C39FF" w:rsidP="009864BC">
      <w:pPr>
        <w:numPr>
          <w:ilvl w:val="0"/>
          <w:numId w:val="16"/>
        </w:numPr>
        <w:shd w:val="clear" w:color="auto" w:fill="FFFFFF"/>
        <w:suppressAutoHyphens w:val="0"/>
        <w:autoSpaceDN/>
        <w:spacing w:after="0" w:line="276" w:lineRule="auto"/>
        <w:jc w:val="both"/>
        <w:rPr>
          <w:rFonts w:cs="Arial"/>
          <w:szCs w:val="20"/>
        </w:rPr>
      </w:pPr>
      <w:r w:rsidRPr="0025033E">
        <w:rPr>
          <w:rFonts w:cs="Arial"/>
          <w:szCs w:val="20"/>
        </w:rPr>
        <w:t>Sklad za pravični prehod (za dve premogovniški regiji - Zasavje in Šaleška dolina).</w:t>
      </w:r>
    </w:p>
    <w:p w14:paraId="5E491DE6" w14:textId="77777777" w:rsidR="005C39FF" w:rsidRPr="0025033E" w:rsidRDefault="005C39FF" w:rsidP="00ED5676">
      <w:pPr>
        <w:suppressAutoHyphens w:val="0"/>
        <w:autoSpaceDN/>
        <w:spacing w:after="0" w:line="288" w:lineRule="auto"/>
        <w:jc w:val="both"/>
        <w:rPr>
          <w:rFonts w:cs="Arial"/>
          <w:szCs w:val="20"/>
        </w:rPr>
      </w:pPr>
    </w:p>
    <w:p w14:paraId="360CEF73" w14:textId="77777777" w:rsidR="005C39FF" w:rsidRPr="0025033E" w:rsidRDefault="005C39FF" w:rsidP="00ED5676">
      <w:pPr>
        <w:suppressAutoHyphens w:val="0"/>
        <w:autoSpaceDN/>
        <w:spacing w:after="0" w:line="288" w:lineRule="auto"/>
        <w:jc w:val="both"/>
        <w:rPr>
          <w:rFonts w:cs="Arial"/>
          <w:szCs w:val="20"/>
        </w:rPr>
      </w:pPr>
      <w:r w:rsidRPr="0025033E">
        <w:rPr>
          <w:rFonts w:cs="Arial"/>
          <w:color w:val="222222"/>
          <w:szCs w:val="20"/>
          <w:shd w:val="clear" w:color="auto" w:fill="FFFFFF"/>
        </w:rPr>
        <w:t>Dodatno je v okvir PEKP vključen Sklad za pravični prehod, ki ga v obdobju 2014</w:t>
      </w:r>
      <w:r w:rsidRPr="0025033E">
        <w:rPr>
          <w:rFonts w:cs="Arial"/>
          <w:szCs w:val="20"/>
        </w:rPr>
        <w:t>–</w:t>
      </w:r>
      <w:r w:rsidRPr="0025033E">
        <w:rPr>
          <w:rFonts w:cs="Arial"/>
          <w:color w:val="222222"/>
          <w:szCs w:val="20"/>
          <w:shd w:val="clear" w:color="auto" w:fill="FFFFFF"/>
        </w:rPr>
        <w:t>2020 ni bilo. S sredstvi tega sklada se dodatno zagotavlja podpora ljudem, gospodarstvu in okolju na območjih, ki se soočajo z resnimi socialno-ekonomskimi izzivi, izhajajočimi iz procesa prehoda na energetske in podnebne cilje Unije za leto 2030 ter na podnebno nevtralno gospodarstvo Unije do leta 2050.</w:t>
      </w:r>
    </w:p>
    <w:p w14:paraId="294AE206" w14:textId="77777777" w:rsidR="005C39FF" w:rsidRPr="0025033E" w:rsidRDefault="005C39FF" w:rsidP="00ED5676">
      <w:pPr>
        <w:suppressAutoHyphens w:val="0"/>
        <w:autoSpaceDN/>
        <w:spacing w:after="0" w:line="288" w:lineRule="auto"/>
        <w:jc w:val="both"/>
        <w:rPr>
          <w:rFonts w:cs="Arial"/>
          <w:szCs w:val="20"/>
        </w:rPr>
      </w:pPr>
    </w:p>
    <w:p w14:paraId="38CDD274" w14:textId="77777777" w:rsidR="005C39FF" w:rsidRPr="0025033E" w:rsidRDefault="005C39FF" w:rsidP="00ED5676">
      <w:pPr>
        <w:suppressAutoHyphens w:val="0"/>
        <w:autoSpaceDN/>
        <w:spacing w:after="0" w:line="276" w:lineRule="auto"/>
        <w:jc w:val="both"/>
        <w:rPr>
          <w:rFonts w:cs="Arial"/>
          <w:szCs w:val="20"/>
        </w:rPr>
      </w:pPr>
      <w:r w:rsidRPr="0025033E">
        <w:rPr>
          <w:rFonts w:cs="Arial"/>
          <w:szCs w:val="20"/>
        </w:rPr>
        <w:t>Slovenija je v obdobju 2021–2027 razdeljena na dve kohezijski regiji - zahodno Slovenijo in vzhodno Slovenijo. Stopnja sofinanciranja projektov je do največ 40 % za kohezijsko regijo zahodna Slovenija in 85 % za kohezijsko regijo vzhodna Slovenija. Skupno je v okviru EKP 2021–2027 Sloveniji na voljo 3,2 milijarde EUR, ki jih lahko izkoristimo do konca leta 2029.</w:t>
      </w:r>
    </w:p>
    <w:p w14:paraId="5CB4C533" w14:textId="77777777" w:rsidR="00573ABE" w:rsidRPr="0025033E" w:rsidRDefault="00573ABE" w:rsidP="00ED5676">
      <w:pPr>
        <w:suppressAutoHyphens w:val="0"/>
        <w:autoSpaceDN/>
        <w:spacing w:after="0" w:line="276" w:lineRule="auto"/>
        <w:jc w:val="both"/>
        <w:rPr>
          <w:rFonts w:cs="Arial"/>
          <w:szCs w:val="20"/>
        </w:rPr>
      </w:pPr>
    </w:p>
    <w:p w14:paraId="4B0F708D" w14:textId="77777777" w:rsidR="005C39FF" w:rsidRPr="0025033E" w:rsidRDefault="005C39FF" w:rsidP="00ED5676">
      <w:pPr>
        <w:suppressAutoHyphens w:val="0"/>
        <w:autoSpaceDN/>
        <w:spacing w:after="0" w:line="276" w:lineRule="auto"/>
        <w:jc w:val="both"/>
        <w:rPr>
          <w:rFonts w:cs="Arial"/>
          <w:szCs w:val="20"/>
        </w:rPr>
      </w:pPr>
      <w:r w:rsidRPr="0025033E">
        <w:rPr>
          <w:rFonts w:cs="Arial"/>
          <w:szCs w:val="20"/>
        </w:rPr>
        <w:t>Vsebine PEKP so razdeljene v 5 ciljev politik (CP), kot jih je določila EK s kohezijsko uredbo, dodatno smo kot 6. cilj politike opredelili Sklad za pravični prehod. V skladu s Strategijo razvoja Slovenije do 2030 smo opredelili 10 prednostnih nalog, znotraj katerih so opredeljeni posamezni specifični cilji, ki so opredeljeni v kohezijskih uredbah. Prednostna naloga lahko uporabi podporo iz enega ali več skladov, razen če prejme podporo iz SPP. Prednostna naloga je sestavljena iz enega ali več specifičnih ciljev. V okviru priprave PEKP smo pri oblikovanju prednostnih področij vlaganj izhajali iz Strategije razvoja Slovenije 2030, Poročila o razvoju 2021 ter strateških prioritet Evropske komisije, predvsem na področjih zelenega in digitalnega prehoda ter vzpostavitve gospodarstva za ljudi.</w:t>
      </w:r>
    </w:p>
    <w:p w14:paraId="581A68F6" w14:textId="77777777" w:rsidR="00573ABE" w:rsidRPr="0025033E" w:rsidRDefault="00573ABE" w:rsidP="00ED5676">
      <w:pPr>
        <w:suppressAutoHyphens w:val="0"/>
        <w:autoSpaceDN/>
        <w:spacing w:after="0" w:line="276" w:lineRule="auto"/>
        <w:jc w:val="both"/>
        <w:rPr>
          <w:rFonts w:cs="Arial"/>
          <w:szCs w:val="20"/>
        </w:rPr>
      </w:pPr>
    </w:p>
    <w:p w14:paraId="2A5DA4D8"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Sredstva TP se bodo izvajala po pavšalni stopnji na podlagi napredka pri izvajanju PEKP. Sredstva TP bodo tako del vsake prednostne naloge programa in ne bodo vključena v obliki ločene prednostne naloge. Povrnjena bodo po pavšalni stopnji glede na sklad, regijo in upravičene izdatke, ki jih bo Slovenija vključila v zahtevke za izplačilo in posredovala EK.</w:t>
      </w:r>
    </w:p>
    <w:p w14:paraId="071088C0" w14:textId="77777777" w:rsidR="00427FC8" w:rsidRPr="0025033E" w:rsidRDefault="00427FC8" w:rsidP="00ED5676">
      <w:pPr>
        <w:suppressAutoHyphens w:val="0"/>
        <w:autoSpaceDN/>
        <w:spacing w:after="0" w:line="276" w:lineRule="auto"/>
        <w:jc w:val="both"/>
        <w:rPr>
          <w:rFonts w:cs="Arial"/>
          <w:szCs w:val="20"/>
        </w:rPr>
      </w:pPr>
    </w:p>
    <w:p w14:paraId="6589C137" w14:textId="77777777" w:rsidR="005C39FF" w:rsidRPr="0025033E" w:rsidRDefault="005C39FF" w:rsidP="00ED5676">
      <w:pPr>
        <w:suppressAutoHyphens w:val="0"/>
        <w:autoSpaceDN/>
        <w:spacing w:after="0" w:line="288" w:lineRule="auto"/>
        <w:jc w:val="both"/>
        <w:rPr>
          <w:rFonts w:cs="Arial"/>
          <w:szCs w:val="20"/>
        </w:rPr>
      </w:pPr>
      <w:r w:rsidRPr="0025033E">
        <w:rPr>
          <w:rFonts w:cs="Arial"/>
          <w:szCs w:val="20"/>
        </w:rPr>
        <w:t>Program je bil s strani EK potrjen 12. 12. 2022.</w:t>
      </w:r>
    </w:p>
    <w:p w14:paraId="70C65782" w14:textId="77777777" w:rsidR="005C39FF" w:rsidRPr="0025033E" w:rsidRDefault="005C39FF" w:rsidP="00ED5676">
      <w:pPr>
        <w:suppressAutoHyphens w:val="0"/>
        <w:autoSpaceDN/>
        <w:spacing w:after="0" w:line="288" w:lineRule="auto"/>
        <w:jc w:val="both"/>
        <w:rPr>
          <w:rFonts w:cs="Arial"/>
          <w:szCs w:val="20"/>
        </w:rPr>
      </w:pPr>
    </w:p>
    <w:p w14:paraId="04181216" w14:textId="43DE4C41" w:rsidR="005C39FF" w:rsidRPr="0025033E" w:rsidRDefault="005C39FF" w:rsidP="00ED5676">
      <w:pPr>
        <w:suppressAutoHyphens w:val="0"/>
        <w:autoSpaceDN/>
        <w:spacing w:after="0" w:line="288" w:lineRule="auto"/>
        <w:jc w:val="both"/>
        <w:rPr>
          <w:rFonts w:cs="Arial"/>
          <w:szCs w:val="20"/>
        </w:rPr>
      </w:pPr>
      <w:r w:rsidRPr="0025033E">
        <w:rPr>
          <w:rFonts w:cs="Arial"/>
          <w:szCs w:val="20"/>
        </w:rPr>
        <w:t xml:space="preserve">V drugi polovici leta 2024 sta bila na pobudo in v sodelovanju s premogovnima regijama pripravljeni sprememba Območnega načrta za pravični prehod Savinjsko-šaleške premogovne regije in sprememba Območnega načrta za pravični prehod </w:t>
      </w:r>
      <w:r w:rsidR="009C7925" w:rsidRPr="009C7925">
        <w:rPr>
          <w:rFonts w:cs="Arial"/>
          <w:szCs w:val="20"/>
        </w:rPr>
        <w:t>Zasavske</w:t>
      </w:r>
      <w:r w:rsidRPr="009C7925">
        <w:rPr>
          <w:rFonts w:cs="Arial"/>
          <w:szCs w:val="20"/>
        </w:rPr>
        <w:t xml:space="preserve"> premogovne</w:t>
      </w:r>
      <w:r w:rsidRPr="0025033E">
        <w:rPr>
          <w:rFonts w:cs="Arial"/>
          <w:szCs w:val="20"/>
        </w:rPr>
        <w:t xml:space="preserve"> regije. Spremembi obeh dokumentov sta se nanašali na zagotavljanje sinergij s projekti financirani v okviru instrumenta posojil za javni sektor (3. steber Mehanizma za pravični prehod). Ker sta območna načrta za pravični prehod premogovnih regij sestavna dela PEKP, je njuna sprememba pomenila tudi formalno spremembo PEKP. </w:t>
      </w:r>
    </w:p>
    <w:p w14:paraId="2A7A9336" w14:textId="77777777" w:rsidR="005C39FF" w:rsidRPr="0025033E" w:rsidRDefault="005C39FF" w:rsidP="00ED5676">
      <w:pPr>
        <w:suppressAutoHyphens w:val="0"/>
        <w:autoSpaceDN/>
        <w:spacing w:after="0" w:line="288" w:lineRule="auto"/>
        <w:jc w:val="both"/>
        <w:rPr>
          <w:rFonts w:cs="Arial"/>
          <w:szCs w:val="20"/>
        </w:rPr>
      </w:pPr>
    </w:p>
    <w:p w14:paraId="56281E2A" w14:textId="438797FB" w:rsidR="005C39FF" w:rsidRPr="0025033E" w:rsidRDefault="005C39FF" w:rsidP="00ED5676">
      <w:pPr>
        <w:spacing w:after="0"/>
        <w:jc w:val="both"/>
        <w:rPr>
          <w:rFonts w:eastAsia="Calibri" w:cs="Arial"/>
          <w:sz w:val="18"/>
          <w:szCs w:val="20"/>
        </w:rPr>
      </w:pPr>
      <w:r w:rsidRPr="0025033E">
        <w:rPr>
          <w:rFonts w:cs="Arial"/>
          <w:szCs w:val="20"/>
        </w:rPr>
        <w:t>Spremembo PEKP ter spremembi ONPP SAŠA in ONPP Zasavje je dne 22.</w:t>
      </w:r>
      <w:r w:rsidR="00F501A1">
        <w:rPr>
          <w:rFonts w:cs="Arial"/>
          <w:szCs w:val="20"/>
        </w:rPr>
        <w:t xml:space="preserve"> </w:t>
      </w:r>
      <w:r w:rsidRPr="0025033E">
        <w:rPr>
          <w:rFonts w:cs="Arial"/>
          <w:szCs w:val="20"/>
        </w:rPr>
        <w:t>11.</w:t>
      </w:r>
      <w:r w:rsidR="00F501A1">
        <w:rPr>
          <w:rFonts w:cs="Arial"/>
          <w:szCs w:val="20"/>
        </w:rPr>
        <w:t xml:space="preserve"> </w:t>
      </w:r>
      <w:r w:rsidRPr="0025033E">
        <w:rPr>
          <w:rFonts w:cs="Arial"/>
          <w:szCs w:val="20"/>
        </w:rPr>
        <w:t>2024 potrdila EK.</w:t>
      </w:r>
    </w:p>
    <w:p w14:paraId="7113EE20" w14:textId="77777777" w:rsidR="005C39FF" w:rsidRDefault="005C39FF" w:rsidP="00ED5676">
      <w:pPr>
        <w:spacing w:after="0"/>
        <w:jc w:val="both"/>
        <w:rPr>
          <w:rFonts w:eastAsia="Calibri" w:cs="Arial"/>
        </w:rPr>
      </w:pPr>
    </w:p>
    <w:p w14:paraId="673D8800" w14:textId="77777777" w:rsidR="00F80745" w:rsidRDefault="00F80745" w:rsidP="00ED5676">
      <w:pPr>
        <w:spacing w:after="0"/>
        <w:jc w:val="both"/>
        <w:rPr>
          <w:rFonts w:eastAsia="Calibri" w:cs="Arial"/>
        </w:rPr>
      </w:pPr>
    </w:p>
    <w:p w14:paraId="1C870A21" w14:textId="77777777" w:rsidR="008A4E51" w:rsidRPr="0025033E" w:rsidRDefault="008A4E51" w:rsidP="00ED5676">
      <w:pPr>
        <w:spacing w:after="0"/>
        <w:jc w:val="both"/>
        <w:rPr>
          <w:rFonts w:eastAsia="Calibri" w:cs="Arial"/>
        </w:rPr>
      </w:pPr>
    </w:p>
    <w:p w14:paraId="30EAB123" w14:textId="1D918EF1" w:rsidR="005C39FF" w:rsidRPr="0025033E" w:rsidRDefault="005C39FF" w:rsidP="009173C9">
      <w:pPr>
        <w:pStyle w:val="Naslov3"/>
        <w:numPr>
          <w:ilvl w:val="2"/>
          <w:numId w:val="35"/>
        </w:numPr>
        <w:rPr>
          <w:rFonts w:cs="Arial"/>
        </w:rPr>
      </w:pPr>
      <w:bookmarkStart w:id="380" w:name="_Toc191460219"/>
      <w:r w:rsidRPr="0025033E">
        <w:rPr>
          <w:rFonts w:cs="Arial"/>
        </w:rPr>
        <w:lastRenderedPageBreak/>
        <w:t>Izvedbene določbe</w:t>
      </w:r>
      <w:bookmarkEnd w:id="380"/>
    </w:p>
    <w:p w14:paraId="616B496A" w14:textId="77777777" w:rsidR="005C39FF" w:rsidRPr="0025033E" w:rsidRDefault="005C39FF" w:rsidP="00ED5676">
      <w:pPr>
        <w:spacing w:after="0"/>
        <w:jc w:val="both"/>
        <w:rPr>
          <w:rFonts w:cs="Arial"/>
        </w:rPr>
      </w:pPr>
    </w:p>
    <w:p w14:paraId="52FC1A0D" w14:textId="77777777" w:rsidR="005C39FF" w:rsidRPr="0025033E" w:rsidRDefault="005C39FF" w:rsidP="00ED5676">
      <w:pPr>
        <w:suppressAutoHyphens w:val="0"/>
        <w:autoSpaceDN/>
        <w:spacing w:after="0" w:line="256" w:lineRule="auto"/>
        <w:jc w:val="both"/>
        <w:rPr>
          <w:rFonts w:eastAsia="Calibri" w:cs="Arial"/>
          <w:szCs w:val="20"/>
        </w:rPr>
      </w:pPr>
      <w:r w:rsidRPr="0025033E">
        <w:rPr>
          <w:rFonts w:eastAsia="Calibri" w:cs="Arial"/>
          <w:szCs w:val="20"/>
        </w:rPr>
        <w:t xml:space="preserve">V Sloveniji je za koordinacijo Sporazuma o partnerstvu ter izvajanje PEKP vzpostavljen sistem upravljanja in nadzora v okviru odgovornosti države članice v deljenem upravljanju, delovanje pa bo zagotovljeno v skladu z načelom dobrega finančnega </w:t>
      </w:r>
      <w:proofErr w:type="spellStart"/>
      <w:r w:rsidRPr="0025033E">
        <w:rPr>
          <w:rFonts w:eastAsia="Calibri" w:cs="Arial"/>
          <w:szCs w:val="20"/>
        </w:rPr>
        <w:t>poslovodenja</w:t>
      </w:r>
      <w:proofErr w:type="spellEnd"/>
      <w:r w:rsidRPr="0025033E">
        <w:rPr>
          <w:rFonts w:eastAsia="Calibri" w:cs="Arial"/>
          <w:szCs w:val="20"/>
        </w:rPr>
        <w:t xml:space="preserve"> in ključnimi zahtevami iz regulatornega okvira EKP v obdobju 2021</w:t>
      </w:r>
      <w:r w:rsidRPr="0025033E">
        <w:rPr>
          <w:rFonts w:cs="Arial"/>
          <w:szCs w:val="20"/>
        </w:rPr>
        <w:t>–</w:t>
      </w:r>
      <w:r w:rsidRPr="0025033E">
        <w:rPr>
          <w:rFonts w:eastAsia="Calibri" w:cs="Arial"/>
          <w:szCs w:val="20"/>
        </w:rPr>
        <w:t>2027.</w:t>
      </w:r>
    </w:p>
    <w:p w14:paraId="2C803DD0" w14:textId="77777777" w:rsidR="005C39FF" w:rsidRPr="0025033E" w:rsidRDefault="005C39FF" w:rsidP="00ED5676">
      <w:pPr>
        <w:suppressAutoHyphens w:val="0"/>
        <w:autoSpaceDN/>
        <w:spacing w:after="0" w:line="256" w:lineRule="auto"/>
        <w:jc w:val="both"/>
        <w:rPr>
          <w:rFonts w:eastAsia="Calibri" w:cs="Arial"/>
          <w:szCs w:val="20"/>
        </w:rPr>
      </w:pPr>
    </w:p>
    <w:p w14:paraId="2365D908" w14:textId="46AE8E3F"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OU je pripravil Uredbo o izvajanju uredb (EU) in (</w:t>
      </w:r>
      <w:proofErr w:type="spellStart"/>
      <w:r w:rsidRPr="0025033E">
        <w:rPr>
          <w:rFonts w:eastAsia="Calibri" w:cs="Arial"/>
          <w:szCs w:val="20"/>
        </w:rPr>
        <w:t>Euratom</w:t>
      </w:r>
      <w:proofErr w:type="spellEnd"/>
      <w:r w:rsidRPr="0025033E">
        <w:rPr>
          <w:rFonts w:eastAsia="Calibri" w:cs="Arial"/>
          <w:szCs w:val="20"/>
        </w:rPr>
        <w:t xml:space="preserve">) na področju izvajanja evropske kohezijske politike v obdobju 2021–2027 za cilj naložbe za rast in delovna mesta, ki je bila objavljena v Uradnem listu št. 21/2023 z dne 17. 2. 2023, ter Opis sistema upravljanja in nadzora za izvajanje </w:t>
      </w:r>
      <w:r w:rsidRPr="0025033E">
        <w:rPr>
          <w:rFonts w:cs="Arial"/>
          <w:szCs w:val="20"/>
        </w:rPr>
        <w:t xml:space="preserve">PEKP. Pripravljena so tudi </w:t>
      </w:r>
      <w:r w:rsidRPr="0025033E">
        <w:rPr>
          <w:rFonts w:eastAsia="Calibri" w:cs="Arial"/>
          <w:szCs w:val="20"/>
        </w:rPr>
        <w:t xml:space="preserve">pripadajoča področna navodila, ki jih je pregledal in posodobil OU. Celoten napredek je dostopen na spletnem naslovu: </w:t>
      </w:r>
      <w:hyperlink r:id="rId26" w:history="1">
        <w:r w:rsidRPr="0025033E">
          <w:rPr>
            <w:rFonts w:eastAsia="Calibri" w:cs="Arial"/>
            <w:color w:val="0000FF"/>
            <w:szCs w:val="20"/>
            <w:u w:val="single"/>
          </w:rPr>
          <w:t>https://evropskasredstva.si/evropska-kohezijska-politika/</w:t>
        </w:r>
      </w:hyperlink>
      <w:r w:rsidRPr="0025033E">
        <w:rPr>
          <w:rFonts w:eastAsia="Calibri" w:cs="Arial"/>
          <w:szCs w:val="20"/>
        </w:rPr>
        <w:t>.</w:t>
      </w:r>
    </w:p>
    <w:p w14:paraId="5084BCA9" w14:textId="77777777" w:rsidR="005C39FF" w:rsidRPr="0025033E" w:rsidRDefault="005C39FF" w:rsidP="00ED5676">
      <w:pPr>
        <w:spacing w:after="0"/>
        <w:jc w:val="both"/>
        <w:rPr>
          <w:rFonts w:eastAsia="Calibri" w:cs="Arial"/>
        </w:rPr>
      </w:pPr>
    </w:p>
    <w:p w14:paraId="58235934" w14:textId="6F0AE97A" w:rsidR="005C39FF" w:rsidRPr="0025033E" w:rsidRDefault="005C39FF" w:rsidP="009173C9">
      <w:pPr>
        <w:pStyle w:val="Naslov3"/>
        <w:numPr>
          <w:ilvl w:val="2"/>
          <w:numId w:val="35"/>
        </w:numPr>
        <w:rPr>
          <w:rFonts w:cs="Arial"/>
        </w:rPr>
      </w:pPr>
      <w:bookmarkStart w:id="381" w:name="_Toc191460220"/>
      <w:r w:rsidRPr="0025033E">
        <w:rPr>
          <w:rFonts w:cs="Arial"/>
        </w:rPr>
        <w:t>Slovenska strategija trajnostne pametne specializacije</w:t>
      </w:r>
      <w:bookmarkEnd w:id="381"/>
    </w:p>
    <w:p w14:paraId="1BD83108" w14:textId="77777777" w:rsidR="005C39FF" w:rsidRPr="0025033E" w:rsidRDefault="005C39FF" w:rsidP="00ED5676">
      <w:pPr>
        <w:spacing w:after="0"/>
        <w:jc w:val="both"/>
        <w:rPr>
          <w:rFonts w:eastAsia="Calibri" w:cs="Arial"/>
        </w:rPr>
      </w:pPr>
    </w:p>
    <w:p w14:paraId="7CF90D6A" w14:textId="3E97661B"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 xml:space="preserve">Slovenska strategija trajnostne pametne specializacije (S5) je eden od </w:t>
      </w:r>
      <w:proofErr w:type="spellStart"/>
      <w:r w:rsidRPr="0025033E">
        <w:rPr>
          <w:rFonts w:eastAsia="Calibri" w:cs="Arial"/>
          <w:szCs w:val="20"/>
        </w:rPr>
        <w:t>omogočitvenih</w:t>
      </w:r>
      <w:proofErr w:type="spellEnd"/>
      <w:r w:rsidRPr="0025033E">
        <w:rPr>
          <w:rFonts w:eastAsia="Calibri" w:cs="Arial"/>
          <w:szCs w:val="20"/>
        </w:rPr>
        <w:t xml:space="preserve"> pogojev, ki se neposredno nanaša na finančna sredstva Cilja politike 1 – Pametna Evropa, hkrati pa se povezuje tudi z novim skladom v tem programskem obdobju t. i. Skladom za pravični prehod, kjer regulativa določa, da se sredstva tega Sklada. in posledično projekti v Cilju politike 6 – Evropa za pravični prehod, navezujejo na vsebine S5. </w:t>
      </w:r>
      <w:r w:rsidRPr="0025033E">
        <w:rPr>
          <w:rFonts w:cs="Arial"/>
          <w:szCs w:val="20"/>
        </w:rPr>
        <w:t>Posreden vpliv S5 pa se skozi uporabo inovacij (</w:t>
      </w:r>
      <w:proofErr w:type="spellStart"/>
      <w:r w:rsidRPr="0025033E">
        <w:rPr>
          <w:rFonts w:cs="Arial"/>
          <w:szCs w:val="20"/>
        </w:rPr>
        <w:t>deployment</w:t>
      </w:r>
      <w:proofErr w:type="spellEnd"/>
      <w:r w:rsidRPr="0025033E">
        <w:rPr>
          <w:rFonts w:cs="Arial"/>
          <w:szCs w:val="20"/>
        </w:rPr>
        <w:t xml:space="preserve">) izkazuje tudi na določenih, relevantnih ukrepih znotraj prednostne naloge 3 PEKP– Zelena preobrazba za podnebno nevtralnost ter prednostne naloge 6 – Znanja in spretnosti ter odzivni trg dela, zato je sprejem Strategije pametne specializacije </w:t>
      </w:r>
      <w:r w:rsidRPr="0025033E">
        <w:rPr>
          <w:rFonts w:eastAsia="Calibri" w:cs="Arial"/>
          <w:szCs w:val="20"/>
        </w:rPr>
        <w:t>za posamezno regijo ali državo članico nujen. EK je zaradi pomanjkanja sodelovanja in vlaganj v skupne projekte gospodarstva na eni strani ter institucij na področju raziskav, razvoja in inovacij na drugi strani, že v okviru programskega obdobja 2014</w:t>
      </w:r>
      <w:r w:rsidRPr="0025033E">
        <w:rPr>
          <w:rFonts w:cs="Arial"/>
          <w:szCs w:val="20"/>
        </w:rPr>
        <w:t>–</w:t>
      </w:r>
      <w:r w:rsidRPr="0025033E">
        <w:rPr>
          <w:rFonts w:eastAsia="Calibri" w:cs="Arial"/>
          <w:szCs w:val="20"/>
        </w:rPr>
        <w:t>2020 predstavila koncept Strategije pametne specializacije (S3) z namenom spodbuditve in osredotočenja vlaganj držav in njihovih regij v raziskave in inovacije iz ESRR</w:t>
      </w:r>
      <w:r w:rsidRPr="0025033E">
        <w:rPr>
          <w:rFonts w:eastAsia="Calibri" w:cs="Arial"/>
          <w:szCs w:val="20"/>
          <w:lang w:eastAsia="en-US"/>
        </w:rPr>
        <w:t xml:space="preserve"> </w:t>
      </w:r>
      <w:r w:rsidRPr="0025033E">
        <w:rPr>
          <w:rFonts w:eastAsia="Calibri" w:cs="Arial"/>
          <w:szCs w:val="20"/>
        </w:rPr>
        <w:t xml:space="preserve">na področja, kjer imajo regije izkazane primerjalne prednosti. Namen te vzpodbude je bil podpreti regionalne/državne prioritete na področju raziskav, razvoja, inovacij in tehnološkega napredka preko </w:t>
      </w:r>
      <w:proofErr w:type="spellStart"/>
      <w:r w:rsidRPr="0025033E">
        <w:rPr>
          <w:rFonts w:eastAsia="Calibri" w:cs="Arial"/>
          <w:szCs w:val="20"/>
        </w:rPr>
        <w:t>t.i</w:t>
      </w:r>
      <w:proofErr w:type="spellEnd"/>
      <w:r w:rsidRPr="0025033E">
        <w:rPr>
          <w:rFonts w:eastAsia="Calibri" w:cs="Arial"/>
          <w:szCs w:val="20"/>
        </w:rPr>
        <w:t xml:space="preserve">. procesa podjetniškega odkrivanja. S3 si je tako pridobila mesto med strateškimi dokumenti, ki usmerjajo razvoj posameznih držav in regij, ter sodelovanje med ključnimi </w:t>
      </w:r>
      <w:r w:rsidR="00375290" w:rsidRPr="0025033E">
        <w:rPr>
          <w:rFonts w:eastAsia="Calibri" w:cs="Arial"/>
          <w:szCs w:val="20"/>
        </w:rPr>
        <w:t>kompetenčnimi</w:t>
      </w:r>
      <w:r w:rsidRPr="0025033E">
        <w:rPr>
          <w:rFonts w:eastAsia="Calibri" w:cs="Arial"/>
          <w:szCs w:val="20"/>
        </w:rPr>
        <w:t xml:space="preserve"> akterji v evropskih verigah vrednosti, na ravni EU pa pridobiva na veljavi kot pomemben mehanizem za programiranje in izvajanje centraliziranih inštrumentov (npr. Obzorje </w:t>
      </w:r>
      <w:proofErr w:type="spellStart"/>
      <w:r w:rsidRPr="0025033E">
        <w:rPr>
          <w:rFonts w:eastAsia="Calibri" w:cs="Arial"/>
          <w:szCs w:val="20"/>
        </w:rPr>
        <w:t>Europe</w:t>
      </w:r>
      <w:proofErr w:type="spellEnd"/>
      <w:r w:rsidRPr="0025033E">
        <w:rPr>
          <w:rFonts w:eastAsia="Calibri" w:cs="Arial"/>
          <w:szCs w:val="20"/>
        </w:rPr>
        <w:t xml:space="preserve">, </w:t>
      </w:r>
      <w:proofErr w:type="spellStart"/>
      <w:r w:rsidRPr="0025033E">
        <w:rPr>
          <w:rFonts w:eastAsia="Calibri" w:cs="Arial"/>
          <w:szCs w:val="20"/>
        </w:rPr>
        <w:t>Interregional</w:t>
      </w:r>
      <w:proofErr w:type="spellEnd"/>
      <w:r w:rsidRPr="0025033E">
        <w:rPr>
          <w:rFonts w:eastAsia="Calibri" w:cs="Arial"/>
          <w:szCs w:val="20"/>
        </w:rPr>
        <w:t xml:space="preserve"> </w:t>
      </w:r>
      <w:proofErr w:type="spellStart"/>
      <w:r w:rsidRPr="0025033E">
        <w:rPr>
          <w:rFonts w:eastAsia="Calibri" w:cs="Arial"/>
          <w:szCs w:val="20"/>
        </w:rPr>
        <w:t>innovation</w:t>
      </w:r>
      <w:proofErr w:type="spellEnd"/>
      <w:r w:rsidRPr="0025033E">
        <w:rPr>
          <w:rFonts w:eastAsia="Calibri" w:cs="Arial"/>
          <w:szCs w:val="20"/>
        </w:rPr>
        <w:t xml:space="preserve"> </w:t>
      </w:r>
      <w:proofErr w:type="spellStart"/>
      <w:r w:rsidRPr="0025033E">
        <w:rPr>
          <w:rFonts w:eastAsia="Calibri" w:cs="Arial"/>
          <w:szCs w:val="20"/>
        </w:rPr>
        <w:t>Investment</w:t>
      </w:r>
      <w:proofErr w:type="spellEnd"/>
      <w:r w:rsidRPr="0025033E">
        <w:rPr>
          <w:rFonts w:eastAsia="Calibri" w:cs="Arial"/>
          <w:szCs w:val="20"/>
        </w:rPr>
        <w:t xml:space="preserve"> instrument idr.). Za konkurenčnost slovenskega gospodarstva, ki je z izvozno naravnanostjo odločilno vpeto v evropske verige vrednosti, je zato učinkovito upravljanje z S5 pomemben dejavnik.</w:t>
      </w:r>
    </w:p>
    <w:p w14:paraId="79848707" w14:textId="77777777" w:rsidR="005C39FF" w:rsidRPr="0025033E" w:rsidRDefault="005C39FF" w:rsidP="00ED5676">
      <w:pPr>
        <w:suppressAutoHyphens w:val="0"/>
        <w:autoSpaceDN/>
        <w:spacing w:after="0" w:line="276" w:lineRule="auto"/>
        <w:jc w:val="both"/>
        <w:rPr>
          <w:rFonts w:eastAsia="Calibri" w:cs="Arial"/>
          <w:szCs w:val="20"/>
        </w:rPr>
      </w:pPr>
    </w:p>
    <w:p w14:paraId="6C3D18F1"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V programskem obdobju 2014</w:t>
      </w:r>
      <w:r w:rsidRPr="0025033E">
        <w:rPr>
          <w:rFonts w:cs="Arial"/>
          <w:szCs w:val="20"/>
        </w:rPr>
        <w:t>–</w:t>
      </w:r>
      <w:r w:rsidRPr="0025033E">
        <w:rPr>
          <w:rFonts w:eastAsia="Calibri" w:cs="Arial"/>
          <w:szCs w:val="20"/>
        </w:rPr>
        <w:t>2020 je Slovenska strategija pametne specializacije (znana pod kratico S4) zasledovala poglavitna cilja evropske usmerjenosti – to je prehod v zeleno in digitalno družbo - in je bila zasnovana kot orodje za preobrazbo gospodarstva za namen izboljšanja ekosistema in financiranja ukrepov na področju raziskav, razvoja in inovacij, človeških virov, podjetništva in internacionalizacije. Proces podjetniškega odkrivanja je tudi v Sloveniji temeljil na t. i. principu četverne vijačnice, ki pomeni sodelovanje podjetij, raziskovalne sfere, države in civilne družbe. Pri tem so se vzpostavila nova Strateška razvojno-inovacijska partnerstva (SRIP), ki ostajajo osrednji mehanizem za usmerjanje osredotočenja prodornih gospodarskih področij v Sloveniji in s tem osrednji akter stalnega procesa podjetniškega odkrivanja tudi v obdobju 2021</w:t>
      </w:r>
      <w:r w:rsidRPr="0025033E">
        <w:rPr>
          <w:rFonts w:cs="Arial"/>
          <w:szCs w:val="20"/>
        </w:rPr>
        <w:t>–</w:t>
      </w:r>
      <w:r w:rsidRPr="0025033E">
        <w:rPr>
          <w:rFonts w:eastAsia="Calibri" w:cs="Arial"/>
          <w:szCs w:val="20"/>
        </w:rPr>
        <w:t>2027.</w:t>
      </w:r>
    </w:p>
    <w:p w14:paraId="7EF2CA10" w14:textId="77777777" w:rsidR="005C39FF" w:rsidRPr="0025033E" w:rsidRDefault="005C39FF" w:rsidP="00ED5676">
      <w:pPr>
        <w:suppressAutoHyphens w:val="0"/>
        <w:autoSpaceDN/>
        <w:spacing w:after="0" w:line="276" w:lineRule="auto"/>
        <w:jc w:val="both"/>
        <w:rPr>
          <w:rFonts w:eastAsia="Calibri" w:cs="Arial"/>
          <w:szCs w:val="20"/>
        </w:rPr>
      </w:pPr>
    </w:p>
    <w:p w14:paraId="433EB309"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 xml:space="preserve">V </w:t>
      </w:r>
      <w:r w:rsidRPr="00F80745">
        <w:rPr>
          <w:rFonts w:eastAsia="Calibri" w:cs="Arial"/>
          <w:szCs w:val="20"/>
        </w:rPr>
        <w:t>programskem</w:t>
      </w:r>
      <w:r w:rsidRPr="0025033E">
        <w:rPr>
          <w:rFonts w:eastAsia="Calibri" w:cs="Arial"/>
          <w:szCs w:val="20"/>
        </w:rPr>
        <w:t xml:space="preserve"> obdobju 2021</w:t>
      </w:r>
      <w:r w:rsidRPr="0025033E">
        <w:rPr>
          <w:rFonts w:cs="Arial"/>
          <w:szCs w:val="20"/>
        </w:rPr>
        <w:t>–</w:t>
      </w:r>
      <w:r w:rsidRPr="0025033E">
        <w:rPr>
          <w:rFonts w:eastAsia="Calibri" w:cs="Arial"/>
          <w:szCs w:val="20"/>
        </w:rPr>
        <w:t>2027 si je nova Strategija pametne specializacije v Sloveniji kot cilj določila dvojni prehod (</w:t>
      </w:r>
      <w:proofErr w:type="spellStart"/>
      <w:r w:rsidRPr="0025033E">
        <w:rPr>
          <w:rFonts w:eastAsia="Calibri" w:cs="Arial"/>
          <w:szCs w:val="20"/>
        </w:rPr>
        <w:t>Twin</w:t>
      </w:r>
      <w:proofErr w:type="spellEnd"/>
      <w:r w:rsidRPr="0025033E">
        <w:rPr>
          <w:rFonts w:eastAsia="Calibri" w:cs="Arial"/>
          <w:szCs w:val="20"/>
        </w:rPr>
        <w:t xml:space="preserve"> </w:t>
      </w:r>
      <w:proofErr w:type="spellStart"/>
      <w:r w:rsidRPr="0025033E">
        <w:rPr>
          <w:rFonts w:eastAsia="Calibri" w:cs="Arial"/>
          <w:szCs w:val="20"/>
        </w:rPr>
        <w:t>Transition</w:t>
      </w:r>
      <w:proofErr w:type="spellEnd"/>
      <w:r w:rsidRPr="0025033E">
        <w:rPr>
          <w:rFonts w:eastAsia="Calibri" w:cs="Arial"/>
          <w:szCs w:val="20"/>
        </w:rPr>
        <w:t xml:space="preserve">) z uporabo </w:t>
      </w:r>
      <w:proofErr w:type="spellStart"/>
      <w:r w:rsidRPr="0025033E">
        <w:rPr>
          <w:rFonts w:eastAsia="Calibri" w:cs="Arial"/>
          <w:szCs w:val="20"/>
        </w:rPr>
        <w:t>t.i</w:t>
      </w:r>
      <w:proofErr w:type="spellEnd"/>
      <w:r w:rsidRPr="0025033E">
        <w:rPr>
          <w:rFonts w:eastAsia="Calibri" w:cs="Arial"/>
          <w:szCs w:val="20"/>
        </w:rPr>
        <w:t>. »</w:t>
      </w:r>
      <w:proofErr w:type="spellStart"/>
      <w:r w:rsidRPr="0025033E">
        <w:rPr>
          <w:rFonts w:eastAsia="Calibri" w:cs="Arial"/>
          <w:szCs w:val="20"/>
        </w:rPr>
        <w:t>deeptech</w:t>
      </w:r>
      <w:proofErr w:type="spellEnd"/>
      <w:r w:rsidRPr="0025033E">
        <w:rPr>
          <w:rFonts w:eastAsia="Calibri" w:cs="Arial"/>
          <w:szCs w:val="20"/>
        </w:rPr>
        <w:t xml:space="preserve">« (globoke in integralne rabe </w:t>
      </w:r>
      <w:proofErr w:type="spellStart"/>
      <w:r w:rsidRPr="0025033E">
        <w:rPr>
          <w:rFonts w:eastAsia="Calibri" w:cs="Arial"/>
          <w:szCs w:val="20"/>
        </w:rPr>
        <w:t>omogočitvenih</w:t>
      </w:r>
      <w:proofErr w:type="spellEnd"/>
      <w:r w:rsidRPr="0025033E">
        <w:rPr>
          <w:rFonts w:eastAsia="Calibri" w:cs="Arial"/>
          <w:szCs w:val="20"/>
        </w:rPr>
        <w:t xml:space="preserve"> tehnologij in novih poslovnih modelov za razliko od plitke/</w:t>
      </w:r>
      <w:proofErr w:type="spellStart"/>
      <w:r w:rsidRPr="0025033E">
        <w:rPr>
          <w:rFonts w:eastAsia="Calibri" w:cs="Arial"/>
          <w:szCs w:val="20"/>
        </w:rPr>
        <w:t>shallow</w:t>
      </w:r>
      <w:proofErr w:type="spellEnd"/>
      <w:r w:rsidRPr="0025033E">
        <w:rPr>
          <w:rFonts w:eastAsia="Calibri" w:cs="Arial"/>
          <w:szCs w:val="20"/>
        </w:rPr>
        <w:t xml:space="preserve"> uvedbe parcialnih »</w:t>
      </w:r>
      <w:proofErr w:type="spellStart"/>
      <w:r w:rsidRPr="0025033E">
        <w:rPr>
          <w:rFonts w:eastAsia="Calibri" w:cs="Arial"/>
          <w:szCs w:val="20"/>
        </w:rPr>
        <w:t>HiTech</w:t>
      </w:r>
      <w:proofErr w:type="spellEnd"/>
      <w:r w:rsidRPr="0025033E">
        <w:rPr>
          <w:rFonts w:eastAsia="Calibri" w:cs="Arial"/>
          <w:szCs w:val="20"/>
        </w:rPr>
        <w:t xml:space="preserve">«). Dvojni prehod razumemo kot inovativno, </w:t>
      </w:r>
      <w:proofErr w:type="spellStart"/>
      <w:r w:rsidRPr="0025033E">
        <w:rPr>
          <w:rFonts w:eastAsia="Calibri" w:cs="Arial"/>
          <w:szCs w:val="20"/>
        </w:rPr>
        <w:t>nizkoogljično</w:t>
      </w:r>
      <w:proofErr w:type="spellEnd"/>
      <w:r w:rsidRPr="0025033E">
        <w:rPr>
          <w:rFonts w:eastAsia="Calibri" w:cs="Arial"/>
          <w:szCs w:val="20"/>
        </w:rPr>
        <w:t>, digitalno in na znanju temelječo preobrazbo gospodarstva in družbe. S tem pametna specializacija dobiva trajnostni značaj in se uveljavlja pod kratico S5 (ang. »</w:t>
      </w:r>
      <w:proofErr w:type="spellStart"/>
      <w:r w:rsidRPr="0025033E">
        <w:rPr>
          <w:rFonts w:eastAsia="Calibri" w:cs="Arial"/>
          <w:szCs w:val="20"/>
        </w:rPr>
        <w:t>Slovenian</w:t>
      </w:r>
      <w:proofErr w:type="spellEnd"/>
      <w:r w:rsidRPr="0025033E">
        <w:rPr>
          <w:rFonts w:eastAsia="Calibri" w:cs="Arial"/>
          <w:szCs w:val="20"/>
        </w:rPr>
        <w:t xml:space="preserve"> </w:t>
      </w:r>
      <w:proofErr w:type="spellStart"/>
      <w:r w:rsidRPr="0025033E">
        <w:rPr>
          <w:rFonts w:eastAsia="Calibri" w:cs="Arial"/>
          <w:szCs w:val="20"/>
        </w:rPr>
        <w:t>Sustainable</w:t>
      </w:r>
      <w:proofErr w:type="spellEnd"/>
      <w:r w:rsidRPr="0025033E">
        <w:rPr>
          <w:rFonts w:eastAsia="Calibri" w:cs="Arial"/>
          <w:szCs w:val="20"/>
        </w:rPr>
        <w:t xml:space="preserve"> Smart </w:t>
      </w:r>
      <w:proofErr w:type="spellStart"/>
      <w:r w:rsidRPr="0025033E">
        <w:rPr>
          <w:rFonts w:eastAsia="Calibri" w:cs="Arial"/>
          <w:szCs w:val="20"/>
        </w:rPr>
        <w:t>Specialisation</w:t>
      </w:r>
      <w:proofErr w:type="spellEnd"/>
      <w:r w:rsidRPr="0025033E">
        <w:rPr>
          <w:rFonts w:eastAsia="Calibri" w:cs="Arial"/>
          <w:szCs w:val="20"/>
        </w:rPr>
        <w:t xml:space="preserve"> </w:t>
      </w:r>
      <w:proofErr w:type="spellStart"/>
      <w:r w:rsidRPr="0025033E">
        <w:rPr>
          <w:rFonts w:eastAsia="Calibri" w:cs="Arial"/>
          <w:szCs w:val="20"/>
        </w:rPr>
        <w:t>Strategy</w:t>
      </w:r>
      <w:proofErr w:type="spellEnd"/>
      <w:r w:rsidRPr="0025033E">
        <w:rPr>
          <w:rFonts w:eastAsia="Calibri" w:cs="Arial"/>
          <w:szCs w:val="20"/>
        </w:rPr>
        <w:t xml:space="preserve">«) ter predstavlja celovito in osrednjo podlago za del dodeljevanja sredstev v okviru ESRR znotraj cilja Pametna Evropa. </w:t>
      </w:r>
    </w:p>
    <w:p w14:paraId="2DC59A80"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lastRenderedPageBreak/>
        <w:t xml:space="preserve">Strategija S5 je procesno vključevala tri osnovne faze nadgradnje iz S4 v S5: </w:t>
      </w:r>
    </w:p>
    <w:p w14:paraId="10C4F4CC" w14:textId="77777777" w:rsidR="005C39FF" w:rsidRPr="0025033E" w:rsidRDefault="005C39FF" w:rsidP="009864BC">
      <w:pPr>
        <w:numPr>
          <w:ilvl w:val="0"/>
          <w:numId w:val="17"/>
        </w:numPr>
        <w:suppressAutoHyphens w:val="0"/>
        <w:autoSpaceDN/>
        <w:spacing w:after="0" w:line="276" w:lineRule="auto"/>
        <w:jc w:val="both"/>
        <w:rPr>
          <w:rFonts w:eastAsia="Calibri" w:cs="Arial"/>
          <w:szCs w:val="20"/>
        </w:rPr>
      </w:pPr>
      <w:r w:rsidRPr="0025033E">
        <w:rPr>
          <w:rFonts w:eastAsia="Calibri" w:cs="Arial"/>
          <w:szCs w:val="20"/>
        </w:rPr>
        <w:t xml:space="preserve">uvodno srečanje s SRIP-i, </w:t>
      </w:r>
    </w:p>
    <w:p w14:paraId="6EEFF6D8" w14:textId="77777777" w:rsidR="005C39FF" w:rsidRPr="0025033E" w:rsidRDefault="005C39FF" w:rsidP="009864BC">
      <w:pPr>
        <w:numPr>
          <w:ilvl w:val="0"/>
          <w:numId w:val="17"/>
        </w:numPr>
        <w:suppressAutoHyphens w:val="0"/>
        <w:autoSpaceDN/>
        <w:spacing w:after="0" w:line="276" w:lineRule="auto"/>
        <w:jc w:val="both"/>
        <w:rPr>
          <w:rFonts w:eastAsia="Calibri" w:cs="Arial"/>
          <w:szCs w:val="20"/>
        </w:rPr>
      </w:pPr>
      <w:r w:rsidRPr="0025033E">
        <w:rPr>
          <w:rFonts w:eastAsia="Calibri" w:cs="Arial"/>
          <w:szCs w:val="20"/>
        </w:rPr>
        <w:t xml:space="preserve">dopolnitev akcijskih načrtov SRIP in usklajevanje z resorji, </w:t>
      </w:r>
    </w:p>
    <w:p w14:paraId="06DDBA47" w14:textId="77777777" w:rsidR="005C39FF" w:rsidRPr="0025033E" w:rsidRDefault="005C39FF" w:rsidP="009864BC">
      <w:pPr>
        <w:numPr>
          <w:ilvl w:val="0"/>
          <w:numId w:val="17"/>
        </w:numPr>
        <w:suppressAutoHyphens w:val="0"/>
        <w:autoSpaceDN/>
        <w:spacing w:after="0" w:line="276" w:lineRule="auto"/>
        <w:jc w:val="both"/>
        <w:rPr>
          <w:rFonts w:eastAsia="Calibri" w:cs="Arial"/>
          <w:szCs w:val="20"/>
        </w:rPr>
      </w:pPr>
      <w:r w:rsidRPr="0025033E">
        <w:rPr>
          <w:rFonts w:eastAsia="Calibri" w:cs="Arial"/>
          <w:szCs w:val="20"/>
        </w:rPr>
        <w:t xml:space="preserve">posvetovanja z javnostjo. V posvetovanjih z javnostjo je na </w:t>
      </w:r>
      <w:proofErr w:type="spellStart"/>
      <w:r w:rsidRPr="0025033E">
        <w:rPr>
          <w:rFonts w:eastAsia="Calibri" w:cs="Arial"/>
          <w:szCs w:val="20"/>
        </w:rPr>
        <w:t>webinarjih</w:t>
      </w:r>
      <w:proofErr w:type="spellEnd"/>
      <w:r w:rsidRPr="0025033E">
        <w:rPr>
          <w:rFonts w:eastAsia="Calibri" w:cs="Arial"/>
          <w:szCs w:val="20"/>
        </w:rPr>
        <w:t xml:space="preserve"> sodelovalo skoraj 1000 zainteresiranih deležnikov. </w:t>
      </w:r>
    </w:p>
    <w:p w14:paraId="033FE860" w14:textId="77777777" w:rsidR="005C39FF" w:rsidRPr="0025033E" w:rsidRDefault="005C39FF" w:rsidP="00ED5676">
      <w:pPr>
        <w:suppressAutoHyphens w:val="0"/>
        <w:autoSpaceDN/>
        <w:spacing w:after="0" w:line="276" w:lineRule="auto"/>
        <w:ind w:left="720"/>
        <w:jc w:val="both"/>
        <w:rPr>
          <w:rFonts w:eastAsia="Calibri" w:cs="Arial"/>
          <w:szCs w:val="20"/>
        </w:rPr>
      </w:pPr>
    </w:p>
    <w:p w14:paraId="69DC4071" w14:textId="45C24F4A" w:rsidR="005C39FF" w:rsidRPr="0025033E" w:rsidRDefault="005C39FF" w:rsidP="00ED5676">
      <w:pPr>
        <w:spacing w:after="0"/>
        <w:jc w:val="both"/>
        <w:rPr>
          <w:rFonts w:eastAsia="Calibri" w:cs="Arial"/>
          <w:sz w:val="18"/>
          <w:szCs w:val="20"/>
        </w:rPr>
      </w:pPr>
      <w:r w:rsidRPr="0025033E">
        <w:rPr>
          <w:rFonts w:eastAsia="Calibri" w:cs="Arial"/>
          <w:szCs w:val="20"/>
        </w:rPr>
        <w:t xml:space="preserve">S potrditvijo PEKP v decembru 2022 je bilo torej zaključeno usklajevanje EK in RS glede izpolnitve tematskega </w:t>
      </w:r>
      <w:proofErr w:type="spellStart"/>
      <w:r w:rsidRPr="0025033E">
        <w:rPr>
          <w:rFonts w:eastAsia="Calibri" w:cs="Arial"/>
          <w:szCs w:val="20"/>
        </w:rPr>
        <w:t>omogočitvenega</w:t>
      </w:r>
      <w:proofErr w:type="spellEnd"/>
      <w:r w:rsidRPr="0025033E">
        <w:rPr>
          <w:rFonts w:eastAsia="Calibri" w:cs="Arial"/>
          <w:szCs w:val="20"/>
        </w:rPr>
        <w:t xml:space="preserve"> pogoja Dobro upravljanje nacionalne ali regionalne strategije pametne specializacije.</w:t>
      </w:r>
    </w:p>
    <w:p w14:paraId="5CD0029D" w14:textId="77777777" w:rsidR="005C39FF" w:rsidRPr="0025033E" w:rsidRDefault="005C39FF" w:rsidP="00ED5676">
      <w:pPr>
        <w:spacing w:after="0"/>
        <w:jc w:val="both"/>
        <w:rPr>
          <w:rFonts w:eastAsia="Calibri" w:cs="Arial"/>
        </w:rPr>
      </w:pPr>
    </w:p>
    <w:p w14:paraId="514A9D2D" w14:textId="24716718" w:rsidR="005C39FF" w:rsidRPr="0025033E" w:rsidRDefault="005C39FF" w:rsidP="009864BC">
      <w:pPr>
        <w:pStyle w:val="Naslov3"/>
        <w:numPr>
          <w:ilvl w:val="2"/>
          <w:numId w:val="17"/>
        </w:numPr>
        <w:rPr>
          <w:rFonts w:cs="Arial"/>
        </w:rPr>
      </w:pPr>
      <w:bookmarkStart w:id="382" w:name="_Toc191460221"/>
      <w:r w:rsidRPr="0025033E">
        <w:rPr>
          <w:rFonts w:cs="Arial"/>
        </w:rPr>
        <w:t>Delovna skupina vlade za podporo izvajanju S5</w:t>
      </w:r>
      <w:bookmarkEnd w:id="382"/>
    </w:p>
    <w:p w14:paraId="03385DC1" w14:textId="77777777" w:rsidR="005C39FF" w:rsidRPr="0025033E" w:rsidRDefault="005C39FF" w:rsidP="00ED5676">
      <w:pPr>
        <w:spacing w:after="0"/>
        <w:jc w:val="both"/>
        <w:rPr>
          <w:rFonts w:eastAsia="Calibri" w:cs="Arial"/>
        </w:rPr>
      </w:pPr>
    </w:p>
    <w:p w14:paraId="3DD17203"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 xml:space="preserve">V skladu s S5 je njeno upravljanje organizirano na treh nivojih. Prvi je </w:t>
      </w:r>
      <w:proofErr w:type="spellStart"/>
      <w:r w:rsidRPr="0025033E">
        <w:rPr>
          <w:rFonts w:eastAsia="Calibri" w:cs="Arial"/>
          <w:szCs w:val="20"/>
        </w:rPr>
        <w:t>odločevalski</w:t>
      </w:r>
      <w:proofErr w:type="spellEnd"/>
      <w:r w:rsidRPr="0025033E">
        <w:rPr>
          <w:rFonts w:eastAsia="Calibri" w:cs="Arial"/>
          <w:szCs w:val="20"/>
        </w:rPr>
        <w:t xml:space="preserve"> nivo, ki ga izvaja Vlada RS. Operativno upravljanje je delegirano delovni skupini državnih sekretarjev (delovna skupina vlade na nivoju državnih sekretarjev za podporo izvajanju S5 – DSV S5). Drugi nivo predstavlja izvajanje svežnja ukrepov, kar je v pristojnosti ministrstev in izvajalskih institucij. Tretji nivo pa je izvedbena deležniška raven, ki jo koordinirajo Strateška razvojno-inovacijska partnerstva (SRIP-i). </w:t>
      </w:r>
    </w:p>
    <w:p w14:paraId="270FC4B8" w14:textId="77777777" w:rsidR="005C39FF" w:rsidRPr="0025033E" w:rsidRDefault="005C39FF" w:rsidP="00ED5676">
      <w:pPr>
        <w:suppressAutoHyphens w:val="0"/>
        <w:autoSpaceDN/>
        <w:spacing w:after="0" w:line="276" w:lineRule="auto"/>
        <w:jc w:val="both"/>
        <w:rPr>
          <w:rFonts w:eastAsia="Calibri" w:cs="Arial"/>
          <w:szCs w:val="20"/>
        </w:rPr>
      </w:pPr>
    </w:p>
    <w:p w14:paraId="22FA8257"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 xml:space="preserve">Vlada je sklepom številka 02401-15/2023/5 z dne 13. 7. 2023 ustanovila Delovno skupino Vlade RS za podporo izvajanju Slovenske strategije trajnostne pametne specializacije. V delovno skupino so imenovani državni sekretarji naslednjih resorjev: MKRR, MVZI, MGTŠ, MDP, MDDSZ, MOPE, MSP, MKGP, MZEZ, MVI. </w:t>
      </w:r>
    </w:p>
    <w:p w14:paraId="7F66FF9F" w14:textId="77777777" w:rsidR="005C39FF" w:rsidRPr="0025033E" w:rsidRDefault="005C39FF" w:rsidP="00ED5676">
      <w:pPr>
        <w:suppressAutoHyphens w:val="0"/>
        <w:autoSpaceDN/>
        <w:spacing w:after="0" w:line="276" w:lineRule="auto"/>
        <w:jc w:val="both"/>
        <w:rPr>
          <w:rFonts w:eastAsia="Calibri" w:cs="Arial"/>
          <w:szCs w:val="20"/>
        </w:rPr>
      </w:pPr>
    </w:p>
    <w:p w14:paraId="2D69638F"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Zaradi nekaterih sprememb na pozicijah državnih sekretarjev je bila DSV S5 v juniju 2024 kadrovsko dopolnjena z novo imenovanimi državnimi sekretarji (MKGP, MVI, MZEZ), hkrati pa so interes za sodelovanje v DSV S5 izkazali še trije resorji: Ministrstvo za finance, Ministrstvo za kulturo in Ministrstvo za infrastrukturo. Na vladi sprejet sklep številka 02401-15/2023/12 z dne 19. 6. 2024 o spremembi sklepa o ustanovitvi DSV S5 tako določa, da ima DSV S5 trinajst članov.</w:t>
      </w:r>
    </w:p>
    <w:p w14:paraId="3F1D34E6" w14:textId="77777777" w:rsidR="005C39FF" w:rsidRPr="0025033E" w:rsidRDefault="005C39FF" w:rsidP="00ED5676">
      <w:pPr>
        <w:suppressAutoHyphens w:val="0"/>
        <w:autoSpaceDN/>
        <w:spacing w:after="0" w:line="276" w:lineRule="auto"/>
        <w:jc w:val="both"/>
        <w:rPr>
          <w:rFonts w:eastAsia="Calibri" w:cs="Arial"/>
          <w:szCs w:val="20"/>
        </w:rPr>
      </w:pPr>
    </w:p>
    <w:p w14:paraId="5E832E20"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 xml:space="preserve">DSV S5 se je v drugi polovici leta 2024 sestala na dveh sejah, kjer je obravnavala naslednje zadeve: </w:t>
      </w:r>
    </w:p>
    <w:p w14:paraId="698D61E8" w14:textId="77777777" w:rsidR="005C39FF" w:rsidRPr="0025033E" w:rsidRDefault="005C39FF" w:rsidP="009864BC">
      <w:pPr>
        <w:numPr>
          <w:ilvl w:val="0"/>
          <w:numId w:val="18"/>
        </w:numPr>
        <w:suppressAutoHyphens w:val="0"/>
        <w:autoSpaceDN/>
        <w:spacing w:after="0" w:line="276" w:lineRule="auto"/>
        <w:jc w:val="both"/>
        <w:rPr>
          <w:rFonts w:eastAsia="Calibri" w:cs="Arial"/>
          <w:szCs w:val="20"/>
        </w:rPr>
      </w:pPr>
      <w:r w:rsidRPr="0025033E">
        <w:rPr>
          <w:rFonts w:eastAsia="Calibri" w:cs="Arial"/>
          <w:szCs w:val="20"/>
        </w:rPr>
        <w:t xml:space="preserve">STEP –analiza absorpcije in RRI potencialov slovenskega gospodarstva; </w:t>
      </w:r>
    </w:p>
    <w:p w14:paraId="6FF1EAC7" w14:textId="77777777" w:rsidR="005C39FF" w:rsidRPr="0025033E" w:rsidRDefault="005C39FF" w:rsidP="009864BC">
      <w:pPr>
        <w:numPr>
          <w:ilvl w:val="0"/>
          <w:numId w:val="18"/>
        </w:numPr>
        <w:suppressAutoHyphens w:val="0"/>
        <w:autoSpaceDN/>
        <w:spacing w:after="0" w:line="276" w:lineRule="auto"/>
        <w:jc w:val="both"/>
        <w:rPr>
          <w:rFonts w:eastAsia="Calibri" w:cs="Arial"/>
          <w:szCs w:val="20"/>
        </w:rPr>
      </w:pPr>
      <w:r w:rsidRPr="0025033E">
        <w:rPr>
          <w:rFonts w:eastAsia="Calibri" w:cs="Arial"/>
          <w:szCs w:val="20"/>
        </w:rPr>
        <w:t>Končno poročilo CRP študije - Presoja učinkovitosti izbranih ukrepov strategije pametne specializacije;</w:t>
      </w:r>
    </w:p>
    <w:p w14:paraId="2EC8CAE8" w14:textId="77777777" w:rsidR="005C39FF" w:rsidRPr="0025033E" w:rsidRDefault="005C39FF" w:rsidP="009864BC">
      <w:pPr>
        <w:numPr>
          <w:ilvl w:val="0"/>
          <w:numId w:val="18"/>
        </w:numPr>
        <w:suppressAutoHyphens w:val="0"/>
        <w:autoSpaceDN/>
        <w:spacing w:after="0" w:line="276" w:lineRule="auto"/>
        <w:jc w:val="both"/>
        <w:rPr>
          <w:rFonts w:eastAsia="Calibri" w:cs="Arial"/>
          <w:szCs w:val="20"/>
        </w:rPr>
      </w:pPr>
      <w:r w:rsidRPr="0025033E">
        <w:rPr>
          <w:rFonts w:eastAsia="Calibri" w:cs="Arial"/>
          <w:szCs w:val="20"/>
        </w:rPr>
        <w:t>Obravnava akcijskih načrtov SRIP-ov.</w:t>
      </w:r>
    </w:p>
    <w:p w14:paraId="69991991" w14:textId="77777777" w:rsidR="005C39FF" w:rsidRPr="0025033E" w:rsidRDefault="005C39FF" w:rsidP="00ED5676">
      <w:pPr>
        <w:spacing w:after="0"/>
        <w:jc w:val="both"/>
        <w:rPr>
          <w:rFonts w:eastAsia="Calibri" w:cs="Arial"/>
        </w:rPr>
      </w:pPr>
    </w:p>
    <w:p w14:paraId="6DE7C2CA" w14:textId="1C7438D5" w:rsidR="005C39FF" w:rsidRPr="0025033E" w:rsidRDefault="005C39FF" w:rsidP="009864BC">
      <w:pPr>
        <w:pStyle w:val="Naslov3"/>
        <w:numPr>
          <w:ilvl w:val="2"/>
          <w:numId w:val="17"/>
        </w:numPr>
        <w:rPr>
          <w:rFonts w:cs="Arial"/>
        </w:rPr>
      </w:pPr>
      <w:bookmarkStart w:id="383" w:name="_Toc191460222"/>
      <w:r w:rsidRPr="0025033E">
        <w:rPr>
          <w:rFonts w:cs="Arial"/>
        </w:rPr>
        <w:t>Strateška razvojno-inovacijska partnerska</w:t>
      </w:r>
      <w:bookmarkEnd w:id="383"/>
      <w:r w:rsidRPr="0025033E">
        <w:rPr>
          <w:rFonts w:cs="Arial"/>
        </w:rPr>
        <w:t xml:space="preserve"> </w:t>
      </w:r>
    </w:p>
    <w:p w14:paraId="3DBCAA38" w14:textId="77777777" w:rsidR="00C011C0" w:rsidRPr="0025033E" w:rsidRDefault="00C011C0" w:rsidP="00ED5676">
      <w:pPr>
        <w:spacing w:after="0"/>
        <w:jc w:val="both"/>
        <w:rPr>
          <w:rFonts w:eastAsia="Calibri" w:cs="Arial"/>
        </w:rPr>
      </w:pPr>
    </w:p>
    <w:p w14:paraId="1E9199E9" w14:textId="77777777" w:rsidR="00C011C0" w:rsidRPr="0025033E" w:rsidRDefault="00C011C0" w:rsidP="00ED5676">
      <w:pPr>
        <w:suppressAutoHyphens w:val="0"/>
        <w:autoSpaceDN/>
        <w:spacing w:after="0" w:line="276" w:lineRule="auto"/>
        <w:jc w:val="both"/>
        <w:rPr>
          <w:rFonts w:eastAsia="Calibri" w:cs="Arial"/>
          <w:szCs w:val="20"/>
        </w:rPr>
      </w:pPr>
      <w:r w:rsidRPr="0025033E">
        <w:rPr>
          <w:rFonts w:eastAsia="Calibri" w:cs="Arial"/>
          <w:szCs w:val="20"/>
        </w:rPr>
        <w:t>Javni razpis za nadgradnjo strateško razvojno inovacijskih partnerstev (SRIP) je imel namen krepiti raziskovalno, razvojno in inovacijsko (RRI) sodelovanje neodvisnih deležnikov (gospodarstva, raziskovalnih organizacij, lokalnih skupnosti ter drugih deležnikov inoviranja v konceptu peterne vijačnice inoviranja), ki delujejo na posameznem prednostnem področju S5.</w:t>
      </w:r>
    </w:p>
    <w:p w14:paraId="52CA3465" w14:textId="77777777" w:rsidR="00C011C0" w:rsidRPr="0025033E" w:rsidRDefault="00C011C0" w:rsidP="00ED5676">
      <w:pPr>
        <w:suppressAutoHyphens w:val="0"/>
        <w:autoSpaceDN/>
        <w:spacing w:after="0" w:line="276" w:lineRule="auto"/>
        <w:jc w:val="both"/>
        <w:rPr>
          <w:rFonts w:eastAsia="Calibri" w:cs="Arial"/>
          <w:szCs w:val="20"/>
        </w:rPr>
      </w:pPr>
    </w:p>
    <w:p w14:paraId="3248DBBC" w14:textId="77777777" w:rsidR="00C011C0" w:rsidRPr="0025033E" w:rsidRDefault="00C011C0" w:rsidP="00ED5676">
      <w:pPr>
        <w:suppressAutoHyphens w:val="0"/>
        <w:autoSpaceDN/>
        <w:spacing w:after="0" w:line="276" w:lineRule="auto"/>
        <w:jc w:val="both"/>
        <w:rPr>
          <w:rFonts w:eastAsia="Calibri" w:cs="Arial"/>
          <w:szCs w:val="20"/>
        </w:rPr>
      </w:pPr>
      <w:r w:rsidRPr="0025033E">
        <w:rPr>
          <w:rFonts w:eastAsia="Calibri" w:cs="Arial"/>
          <w:szCs w:val="20"/>
        </w:rPr>
        <w:t xml:space="preserve">Cilj javnega razpisa je nadgradnja delovanja SRIP na vseh prednostnih področjih S5, osredotočanje na ključne </w:t>
      </w:r>
      <w:proofErr w:type="spellStart"/>
      <w:r w:rsidRPr="0025033E">
        <w:rPr>
          <w:rFonts w:eastAsia="Calibri" w:cs="Arial"/>
          <w:szCs w:val="20"/>
        </w:rPr>
        <w:t>omogočitvene</w:t>
      </w:r>
      <w:proofErr w:type="spellEnd"/>
      <w:r w:rsidRPr="0025033E">
        <w:rPr>
          <w:rFonts w:eastAsia="Calibri" w:cs="Arial"/>
          <w:szCs w:val="20"/>
        </w:rPr>
        <w:t xml:space="preserve"> tehnologije iz </w:t>
      </w:r>
      <w:proofErr w:type="spellStart"/>
      <w:r w:rsidRPr="0025033E">
        <w:rPr>
          <w:rFonts w:eastAsia="Calibri" w:cs="Arial"/>
          <w:szCs w:val="20"/>
        </w:rPr>
        <w:t>trinivojske</w:t>
      </w:r>
      <w:proofErr w:type="spellEnd"/>
      <w:r w:rsidRPr="0025033E">
        <w:rPr>
          <w:rFonts w:eastAsia="Calibri" w:cs="Arial"/>
          <w:szCs w:val="20"/>
        </w:rPr>
        <w:t xml:space="preserve"> </w:t>
      </w:r>
      <w:proofErr w:type="spellStart"/>
      <w:r w:rsidRPr="0025033E">
        <w:rPr>
          <w:rFonts w:eastAsia="Calibri" w:cs="Arial"/>
          <w:szCs w:val="20"/>
        </w:rPr>
        <w:t>prioritizacije</w:t>
      </w:r>
      <w:proofErr w:type="spellEnd"/>
      <w:r w:rsidRPr="0025033E">
        <w:rPr>
          <w:rFonts w:eastAsia="Calibri" w:cs="Arial"/>
          <w:szCs w:val="20"/>
        </w:rPr>
        <w:t xml:space="preserve"> S5, razvoj človeških virov ter vstop v mednarodna partnerstva, kar ima za posledico povečanje vlaganj v raziskave, razvoj in inovacije.</w:t>
      </w:r>
    </w:p>
    <w:p w14:paraId="30229B5B" w14:textId="77777777" w:rsidR="00C011C0" w:rsidRPr="0025033E" w:rsidRDefault="00C011C0" w:rsidP="00ED5676">
      <w:pPr>
        <w:suppressAutoHyphens w:val="0"/>
        <w:autoSpaceDN/>
        <w:spacing w:after="0" w:line="276" w:lineRule="auto"/>
        <w:jc w:val="both"/>
        <w:rPr>
          <w:rFonts w:eastAsia="Calibri" w:cs="Arial"/>
          <w:szCs w:val="20"/>
        </w:rPr>
      </w:pPr>
    </w:p>
    <w:p w14:paraId="3AAEC6A7" w14:textId="77777777" w:rsidR="00C011C0" w:rsidRPr="0025033E" w:rsidRDefault="00C011C0" w:rsidP="00ED5676">
      <w:pPr>
        <w:suppressAutoHyphens w:val="0"/>
        <w:autoSpaceDN/>
        <w:spacing w:after="0" w:line="276" w:lineRule="auto"/>
        <w:jc w:val="both"/>
        <w:rPr>
          <w:rFonts w:eastAsia="Calibri" w:cs="Arial"/>
          <w:szCs w:val="20"/>
        </w:rPr>
      </w:pPr>
      <w:r w:rsidRPr="0025033E">
        <w:rPr>
          <w:rFonts w:eastAsia="Calibri" w:cs="Arial"/>
          <w:szCs w:val="20"/>
        </w:rPr>
        <w:t>Za obdobje 2023–2026 so bila s sklepi dodeljena sredstva SRIP-om, ki delujejo na vseh prednostnih področjih S5 z izjemo področja Trajnostni turizem. Za domeno S5 Trajnostni turizem s pristojnimi resorji še iščemo rešitev za vključujoče izvajanje procesa podjetniškega odkrivanja in pripravo akcijskih načrtov.</w:t>
      </w:r>
    </w:p>
    <w:p w14:paraId="5E07D147" w14:textId="77777777" w:rsidR="00C011C0" w:rsidRPr="0025033E" w:rsidRDefault="00C011C0" w:rsidP="00ED5676">
      <w:pPr>
        <w:suppressAutoHyphens w:val="0"/>
        <w:autoSpaceDN/>
        <w:spacing w:after="0" w:line="276" w:lineRule="auto"/>
        <w:jc w:val="both"/>
        <w:rPr>
          <w:rFonts w:eastAsia="Calibri" w:cs="Arial"/>
          <w:szCs w:val="20"/>
        </w:rPr>
      </w:pPr>
    </w:p>
    <w:p w14:paraId="6CF47E1C" w14:textId="203C53A0" w:rsidR="00C011C0" w:rsidRPr="0025033E" w:rsidRDefault="00C011C0" w:rsidP="00ED5676">
      <w:pPr>
        <w:suppressAutoHyphens w:val="0"/>
        <w:autoSpaceDN/>
        <w:spacing w:after="0" w:line="276" w:lineRule="auto"/>
        <w:jc w:val="both"/>
        <w:rPr>
          <w:rFonts w:eastAsia="Calibri" w:cs="Arial"/>
          <w:szCs w:val="20"/>
        </w:rPr>
      </w:pPr>
      <w:r w:rsidRPr="0025033E">
        <w:rPr>
          <w:rFonts w:eastAsia="Calibri" w:cs="Arial"/>
          <w:szCs w:val="20"/>
        </w:rPr>
        <w:lastRenderedPageBreak/>
        <w:t xml:space="preserve">SRIP-i so v skladu s pogoji JR in sklenjenimi pogodbami o sofinanciranju do konca septembra 2024 pripravili in oddali akcijske načrte dela do leta 2030. MKRR je pripravil ocenjevalni list po katerem so pristojni resorji presojali o prispelih akcijskih načrtih (AN). Ocenjevalni list je vseboval tri sklope kriterijev: odličnost, vpliv in kvaliteta izvedbe. Ocenjevalni list in akcijski načrti so bili posredovani članom DSV S5 zaradi pregleda s strani strokovnih služb resorjev v primerih, kjer AN SRIP pokriva področje posameznega resorja. Dodatno je bil AN SRIP Zdravje-medicina na pobudo koordinatorice SRIP Zdravje – medicina posredovan tudi na Ministrstvo za zdravje (ni član DSV S5) v informacijo, pregled in morebitno presojo. Akcijski načrti so bili obravnavani na 4.redni seji DSV S5 27. </w:t>
      </w:r>
      <w:r w:rsidR="00375290" w:rsidRPr="0025033E">
        <w:rPr>
          <w:rFonts w:eastAsia="Calibri" w:cs="Arial"/>
          <w:szCs w:val="20"/>
        </w:rPr>
        <w:t>11</w:t>
      </w:r>
      <w:r w:rsidRPr="0025033E">
        <w:rPr>
          <w:rFonts w:eastAsia="Calibri" w:cs="Arial"/>
          <w:szCs w:val="20"/>
        </w:rPr>
        <w:t xml:space="preserve"> 2024.</w:t>
      </w:r>
    </w:p>
    <w:p w14:paraId="7A96F8E5" w14:textId="77777777" w:rsidR="00C011C0" w:rsidRPr="0025033E" w:rsidRDefault="00C011C0" w:rsidP="00ED5676">
      <w:pPr>
        <w:suppressAutoHyphens w:val="0"/>
        <w:autoSpaceDN/>
        <w:spacing w:after="0" w:line="276" w:lineRule="auto"/>
        <w:jc w:val="both"/>
        <w:rPr>
          <w:rFonts w:eastAsia="Calibri" w:cs="Arial"/>
          <w:szCs w:val="20"/>
        </w:rPr>
      </w:pPr>
    </w:p>
    <w:p w14:paraId="0CD76BCB" w14:textId="77777777" w:rsidR="00C011C0" w:rsidRPr="0025033E" w:rsidRDefault="00C011C0" w:rsidP="00ED5676">
      <w:pPr>
        <w:suppressAutoHyphens w:val="0"/>
        <w:autoSpaceDN/>
        <w:spacing w:after="0" w:line="276" w:lineRule="auto"/>
        <w:jc w:val="both"/>
        <w:rPr>
          <w:rFonts w:eastAsia="Calibri" w:cs="Arial"/>
          <w:szCs w:val="20"/>
        </w:rPr>
      </w:pPr>
      <w:r w:rsidRPr="0025033E">
        <w:rPr>
          <w:rFonts w:eastAsia="Calibri" w:cs="Arial"/>
          <w:szCs w:val="20"/>
        </w:rPr>
        <w:t xml:space="preserve">Za vse akcijske načrte je izdelana ocena, da so USTREZNI, vendar so potrebne določene dopolnitve, ki izhajajo iz ugotovljenih pomanjkljivosti in šibkosti akcijskih načrtov. Generalno so presoje pokazale, da je pomanjkljivo predstavljen tržni potencial in faze (mejniki, kazalniki) do predvidenih tržnih penetracij na konkretni ravni prioritet. Zato se je praviloma pogrešalo (vsaj okvirne) ocene o možnostih za tržne prodore in </w:t>
      </w:r>
      <w:proofErr w:type="spellStart"/>
      <w:r w:rsidRPr="0025033E">
        <w:rPr>
          <w:rFonts w:eastAsia="Calibri" w:cs="Arial"/>
          <w:szCs w:val="20"/>
        </w:rPr>
        <w:t>rangiranja</w:t>
      </w:r>
      <w:proofErr w:type="spellEnd"/>
      <w:r w:rsidRPr="0025033E">
        <w:rPr>
          <w:rFonts w:eastAsia="Calibri" w:cs="Arial"/>
          <w:szCs w:val="20"/>
        </w:rPr>
        <w:t xml:space="preserve"> po pomenu tržne manifestacije.</w:t>
      </w:r>
    </w:p>
    <w:p w14:paraId="3F4F154D" w14:textId="77777777" w:rsidR="00C011C0" w:rsidRPr="0025033E" w:rsidRDefault="00C011C0" w:rsidP="00ED5676">
      <w:pPr>
        <w:suppressAutoHyphens w:val="0"/>
        <w:autoSpaceDN/>
        <w:spacing w:after="0" w:line="276" w:lineRule="auto"/>
        <w:jc w:val="both"/>
        <w:rPr>
          <w:rFonts w:eastAsia="Calibri" w:cs="Arial"/>
          <w:szCs w:val="20"/>
        </w:rPr>
      </w:pPr>
    </w:p>
    <w:p w14:paraId="57F0FA8C" w14:textId="77777777" w:rsidR="00C011C0" w:rsidRPr="0025033E" w:rsidRDefault="00C011C0" w:rsidP="00ED5676">
      <w:pPr>
        <w:suppressAutoHyphens w:val="0"/>
        <w:autoSpaceDN/>
        <w:spacing w:after="200" w:line="276" w:lineRule="auto"/>
        <w:jc w:val="both"/>
        <w:rPr>
          <w:rFonts w:cs="Arial"/>
          <w:szCs w:val="20"/>
        </w:rPr>
      </w:pPr>
      <w:r w:rsidRPr="0025033E">
        <w:rPr>
          <w:rFonts w:cs="Arial"/>
          <w:szCs w:val="20"/>
        </w:rPr>
        <w:t xml:space="preserve">Razprava je pokazala, da so akcijski načrti metodološko različni. Glavna pomanjkljivost se kaže pri utemeljevanju tržnega potenciala predlaganih produktnih smeri in smeri razvoja tehnologij. Izziv ostaja tudi uveljavljanje ustreznih kazalnikov za spremljanje učinkov SRIP, kar doslej ni bilo primerno predpisano v razpisnih dokumentacijah. Zato je ustrezno, da se resorji, ki jim je metodologija spremljanja učinkov pomemben imperativ (MGTŠ, MVZI, MKRR), povežejo v skupni aktivnosti poiskati zunanjega izvajalca, ki bo do naslednjega razpisa pripravil ustrezno metodologijo za naslednjo fazo dela s partnerstvi (SRIP-i) – JR v letu 2026. </w:t>
      </w:r>
    </w:p>
    <w:p w14:paraId="52C8A2F3" w14:textId="75BC2CC3" w:rsidR="00C011C0" w:rsidRPr="0025033E" w:rsidRDefault="00C011C0" w:rsidP="00ED5676">
      <w:pPr>
        <w:suppressAutoHyphens w:val="0"/>
        <w:autoSpaceDN/>
        <w:spacing w:after="200" w:line="276" w:lineRule="auto"/>
        <w:jc w:val="both"/>
        <w:rPr>
          <w:rFonts w:cs="Arial"/>
          <w:szCs w:val="20"/>
        </w:rPr>
      </w:pPr>
      <w:r w:rsidRPr="0025033E">
        <w:rPr>
          <w:rFonts w:cs="Arial"/>
          <w:szCs w:val="20"/>
        </w:rPr>
        <w:t>Posebej je bila v razpravi izpostavljena platforma STEP in pomembnost, da SRIP-i dejansko naredijo svoj del posla in med svojimi člani prepoznajo projekte, ki padejo pod STEP uredbo – tako zaradi financiranja iz PEKP kot tudi iz centraliziranih programov, kjer država lahko pomaga, kjer bo to mogoče.</w:t>
      </w:r>
    </w:p>
    <w:p w14:paraId="7620392A" w14:textId="511DCA0A" w:rsidR="00C011C0" w:rsidRDefault="00C011C0" w:rsidP="0030659F">
      <w:pPr>
        <w:suppressAutoHyphens w:val="0"/>
        <w:autoSpaceDN/>
        <w:spacing w:after="0" w:line="276" w:lineRule="auto"/>
        <w:jc w:val="both"/>
        <w:rPr>
          <w:rFonts w:cs="Arial"/>
          <w:szCs w:val="20"/>
        </w:rPr>
      </w:pPr>
      <w:r w:rsidRPr="0025033E">
        <w:rPr>
          <w:rFonts w:cs="Arial"/>
          <w:szCs w:val="20"/>
        </w:rPr>
        <w:t xml:space="preserve">V nadaljevanju bodo koordinatorji SRIP povabljeni na </w:t>
      </w:r>
      <w:r w:rsidR="00375290" w:rsidRPr="0025033E">
        <w:rPr>
          <w:rFonts w:cs="Arial"/>
          <w:szCs w:val="20"/>
        </w:rPr>
        <w:t>sestanek,</w:t>
      </w:r>
      <w:r w:rsidRPr="0025033E">
        <w:rPr>
          <w:rFonts w:cs="Arial"/>
          <w:szCs w:val="20"/>
        </w:rPr>
        <w:t xml:space="preserve"> kjer jim bodo predstavljene ugotovitve iz presoje ter se jih bo usmerilo v nadgradnjo akcijskih načrtov v skladu s priporočili iz presoje. </w:t>
      </w:r>
    </w:p>
    <w:p w14:paraId="1A092A99" w14:textId="77777777" w:rsidR="0030659F" w:rsidRPr="0025033E" w:rsidRDefault="0030659F" w:rsidP="0030659F">
      <w:pPr>
        <w:suppressAutoHyphens w:val="0"/>
        <w:autoSpaceDN/>
        <w:spacing w:after="0" w:line="276" w:lineRule="auto"/>
        <w:jc w:val="both"/>
        <w:rPr>
          <w:rFonts w:cs="Arial"/>
          <w:szCs w:val="20"/>
        </w:rPr>
      </w:pPr>
    </w:p>
    <w:p w14:paraId="4D3DE7E2" w14:textId="77777777" w:rsidR="00C011C0" w:rsidRPr="0025033E" w:rsidRDefault="00C011C0" w:rsidP="009864BC">
      <w:pPr>
        <w:pStyle w:val="Naslov3"/>
        <w:numPr>
          <w:ilvl w:val="2"/>
          <w:numId w:val="17"/>
        </w:numPr>
      </w:pPr>
      <w:bookmarkStart w:id="384" w:name="_Toc191460223"/>
      <w:r w:rsidRPr="00C24C82">
        <w:t>Proces podjetniškega odkrivanja</w:t>
      </w:r>
      <w:bookmarkEnd w:id="384"/>
    </w:p>
    <w:p w14:paraId="5AF5AB08" w14:textId="77777777" w:rsidR="00C011C0" w:rsidRPr="0025033E" w:rsidRDefault="00C011C0" w:rsidP="00ED5676">
      <w:pPr>
        <w:suppressAutoHyphens w:val="0"/>
        <w:autoSpaceDN/>
        <w:spacing w:after="0" w:line="276" w:lineRule="auto"/>
        <w:jc w:val="both"/>
        <w:rPr>
          <w:rFonts w:eastAsia="Calibri" w:cs="Arial"/>
          <w:szCs w:val="20"/>
        </w:rPr>
      </w:pPr>
    </w:p>
    <w:p w14:paraId="1DAF3B42" w14:textId="5BA9A7BA" w:rsidR="00C011C0" w:rsidRPr="0025033E" w:rsidRDefault="00C011C0" w:rsidP="00ED5676">
      <w:pPr>
        <w:suppressAutoHyphens w:val="0"/>
        <w:autoSpaceDN/>
        <w:spacing w:after="0" w:line="276" w:lineRule="auto"/>
        <w:jc w:val="both"/>
        <w:rPr>
          <w:rFonts w:eastAsia="Calibri" w:cs="Arial"/>
          <w:szCs w:val="20"/>
        </w:rPr>
      </w:pPr>
      <w:r w:rsidRPr="0025033E">
        <w:rPr>
          <w:rFonts w:eastAsia="Calibri" w:cs="Arial"/>
          <w:szCs w:val="20"/>
        </w:rPr>
        <w:t xml:space="preserve">Gonilni proces priprave Strategij pametne specializacije je proces podjetniškega odkrivanja (angl. </w:t>
      </w:r>
      <w:proofErr w:type="spellStart"/>
      <w:r w:rsidRPr="0025033E">
        <w:rPr>
          <w:rFonts w:eastAsia="Calibri" w:cs="Arial"/>
          <w:szCs w:val="20"/>
        </w:rPr>
        <w:t>entrepreneurial</w:t>
      </w:r>
      <w:proofErr w:type="spellEnd"/>
      <w:r w:rsidRPr="0025033E">
        <w:rPr>
          <w:rFonts w:eastAsia="Calibri" w:cs="Arial"/>
          <w:szCs w:val="20"/>
        </w:rPr>
        <w:t xml:space="preserve"> </w:t>
      </w:r>
      <w:proofErr w:type="spellStart"/>
      <w:r w:rsidRPr="0025033E">
        <w:rPr>
          <w:rFonts w:eastAsia="Calibri" w:cs="Arial"/>
          <w:szCs w:val="20"/>
        </w:rPr>
        <w:t>discovery</w:t>
      </w:r>
      <w:proofErr w:type="spellEnd"/>
      <w:r w:rsidRPr="0025033E">
        <w:rPr>
          <w:rFonts w:eastAsia="Calibri" w:cs="Arial"/>
          <w:szCs w:val="20"/>
        </w:rPr>
        <w:t xml:space="preserve"> </w:t>
      </w:r>
      <w:proofErr w:type="spellStart"/>
      <w:r w:rsidRPr="0025033E">
        <w:rPr>
          <w:rFonts w:eastAsia="Calibri" w:cs="Arial"/>
          <w:szCs w:val="20"/>
        </w:rPr>
        <w:t>process</w:t>
      </w:r>
      <w:proofErr w:type="spellEnd"/>
      <w:r w:rsidRPr="0025033E">
        <w:rPr>
          <w:rFonts w:eastAsia="Calibri" w:cs="Arial"/>
          <w:szCs w:val="20"/>
        </w:rPr>
        <w:t xml:space="preserve"> - EDP), ki je splošno pojmovan kot vključujoč, na dokazih temelječ proces zainteresiranih strani, ki omogoča pridobivanje informacij o potencialu za nove dejavnosti in s tem učinkovito usmerjanje raziskav in inovacijske politike. Proces podjetniškega odkrivanja mora biti neprekinjen proces, ki se začne z začetnim ugotavljanjem prednostnih nalog strategije pametne specializacije in razširitvijo sodelovanja zainteresiranih strani pri izvajanju strategije pametne specializacije. V ta namen je uvedena tudi poseben </w:t>
      </w:r>
      <w:r w:rsidR="00C24C82" w:rsidRPr="0025033E">
        <w:rPr>
          <w:rFonts w:eastAsia="Calibri" w:cs="Arial"/>
          <w:szCs w:val="20"/>
        </w:rPr>
        <w:t>elektro</w:t>
      </w:r>
      <w:r w:rsidR="00C24C82">
        <w:rPr>
          <w:rFonts w:eastAsia="Calibri" w:cs="Arial"/>
          <w:szCs w:val="20"/>
        </w:rPr>
        <w:t>n</w:t>
      </w:r>
      <w:r w:rsidR="00C24C82" w:rsidRPr="0025033E">
        <w:rPr>
          <w:rFonts w:eastAsia="Calibri" w:cs="Arial"/>
          <w:szCs w:val="20"/>
        </w:rPr>
        <w:t>s</w:t>
      </w:r>
      <w:r w:rsidR="00C24C82">
        <w:rPr>
          <w:rFonts w:eastAsia="Calibri" w:cs="Arial"/>
          <w:szCs w:val="20"/>
        </w:rPr>
        <w:t>k</w:t>
      </w:r>
      <w:r w:rsidR="00C24C82" w:rsidRPr="0025033E">
        <w:rPr>
          <w:rFonts w:eastAsia="Calibri" w:cs="Arial"/>
          <w:szCs w:val="20"/>
        </w:rPr>
        <w:t>i</w:t>
      </w:r>
      <w:r w:rsidRPr="0025033E">
        <w:rPr>
          <w:rFonts w:eastAsia="Calibri" w:cs="Arial"/>
          <w:szCs w:val="20"/>
        </w:rPr>
        <w:t xml:space="preserve"> naslov </w:t>
      </w:r>
      <w:hyperlink r:id="rId27" w:history="1">
        <w:r w:rsidRPr="0025033E">
          <w:rPr>
            <w:rFonts w:eastAsia="Calibri" w:cs="Arial"/>
            <w:color w:val="0000FF"/>
            <w:szCs w:val="20"/>
            <w:u w:val="single"/>
          </w:rPr>
          <w:t>s5.mkrr@gov.si</w:t>
        </w:r>
      </w:hyperlink>
      <w:r w:rsidRPr="0025033E">
        <w:rPr>
          <w:rFonts w:eastAsia="Calibri" w:cs="Arial"/>
          <w:szCs w:val="20"/>
        </w:rPr>
        <w:t>, kamor lahko deležniki posredujejo predloge, razmisleke, usmeritve, vprašanja, kritike, pohvale. Na ta način se ohranja kontinuirana komunikacija z deležniki peterne vijačnice in omogoča tudi neprestana proces podjetniškega odkrivanja.</w:t>
      </w:r>
    </w:p>
    <w:p w14:paraId="66811549" w14:textId="77777777" w:rsidR="00C011C0" w:rsidRPr="0025033E" w:rsidRDefault="00C011C0" w:rsidP="00ED5676">
      <w:pPr>
        <w:suppressAutoHyphens w:val="0"/>
        <w:autoSpaceDN/>
        <w:spacing w:after="0" w:line="276" w:lineRule="auto"/>
        <w:jc w:val="both"/>
        <w:rPr>
          <w:rFonts w:eastAsia="Calibri" w:cs="Arial"/>
          <w:szCs w:val="20"/>
        </w:rPr>
      </w:pPr>
    </w:p>
    <w:p w14:paraId="011A8836" w14:textId="77777777" w:rsidR="00C011C0" w:rsidRPr="0025033E" w:rsidRDefault="00C011C0" w:rsidP="00ED5676">
      <w:pPr>
        <w:suppressAutoHyphens w:val="0"/>
        <w:autoSpaceDN/>
        <w:spacing w:after="0" w:line="276" w:lineRule="auto"/>
        <w:jc w:val="both"/>
        <w:rPr>
          <w:rFonts w:eastAsia="Calibri" w:cs="Arial"/>
          <w:szCs w:val="20"/>
        </w:rPr>
      </w:pPr>
      <w:r w:rsidRPr="0025033E">
        <w:rPr>
          <w:rFonts w:eastAsia="Calibri" w:cs="Arial"/>
          <w:szCs w:val="20"/>
        </w:rPr>
        <w:t>Pametna specializacija - S5 vse bolj postaja mehanizem za podporo regionalnim transformacijam gospodarstev in dvojnemu prehodu ter prehodu v Industrijo 5.0. V želji po zelo fokusno usmerjenem procesu EDP je bila pomembna vzpostavitev P2P (</w:t>
      </w:r>
      <w:proofErr w:type="spellStart"/>
      <w:r w:rsidRPr="0025033E">
        <w:rPr>
          <w:rFonts w:eastAsia="Calibri" w:cs="Arial"/>
          <w:szCs w:val="20"/>
        </w:rPr>
        <w:t>peer</w:t>
      </w:r>
      <w:proofErr w:type="spellEnd"/>
      <w:r w:rsidRPr="0025033E">
        <w:rPr>
          <w:rFonts w:eastAsia="Calibri" w:cs="Arial"/>
          <w:szCs w:val="20"/>
        </w:rPr>
        <w:t>-to-</w:t>
      </w:r>
      <w:proofErr w:type="spellStart"/>
      <w:r w:rsidRPr="0025033E">
        <w:rPr>
          <w:rFonts w:eastAsia="Calibri" w:cs="Arial"/>
          <w:szCs w:val="20"/>
        </w:rPr>
        <w:t>peer</w:t>
      </w:r>
      <w:proofErr w:type="spellEnd"/>
      <w:r w:rsidRPr="0025033E">
        <w:rPr>
          <w:rFonts w:eastAsia="Calibri" w:cs="Arial"/>
          <w:szCs w:val="20"/>
        </w:rPr>
        <w:t xml:space="preserve">) navezave med ekipo S5 in ekipo regionalnega dela MKRR za pripravo delavnic v slovenskih razvojnih regijah. V načrtu je bila izvedba ene delavnice na razvojno regijo v sodelovanju z nosilnim partnerjem (kanalom) - RRA, Tehnološki park, občina </w:t>
      </w:r>
      <w:proofErr w:type="spellStart"/>
      <w:r w:rsidRPr="0025033E">
        <w:rPr>
          <w:rFonts w:eastAsia="Calibri" w:cs="Arial"/>
          <w:szCs w:val="20"/>
        </w:rPr>
        <w:t>idr</w:t>
      </w:r>
      <w:proofErr w:type="spellEnd"/>
      <w:r w:rsidRPr="0025033E">
        <w:rPr>
          <w:rFonts w:eastAsia="Calibri" w:cs="Arial"/>
          <w:szCs w:val="20"/>
        </w:rPr>
        <w:t xml:space="preserve"> v 1.fazi regionalnega pristopa oziroma regionalnega EDP.</w:t>
      </w:r>
    </w:p>
    <w:p w14:paraId="71E8284D" w14:textId="77777777" w:rsidR="00C011C0" w:rsidRPr="0025033E" w:rsidRDefault="00C011C0" w:rsidP="00ED5676">
      <w:pPr>
        <w:suppressAutoHyphens w:val="0"/>
        <w:autoSpaceDN/>
        <w:spacing w:after="0" w:line="276" w:lineRule="auto"/>
        <w:jc w:val="both"/>
        <w:rPr>
          <w:rFonts w:eastAsia="Calibri" w:cs="Arial"/>
          <w:szCs w:val="20"/>
        </w:rPr>
      </w:pPr>
    </w:p>
    <w:p w14:paraId="725F0403" w14:textId="77777777" w:rsidR="00C011C0" w:rsidRPr="0025033E" w:rsidRDefault="00C011C0" w:rsidP="00ED5676">
      <w:pPr>
        <w:suppressAutoHyphens w:val="0"/>
        <w:autoSpaceDN/>
        <w:spacing w:after="0" w:line="276" w:lineRule="auto"/>
        <w:jc w:val="both"/>
        <w:rPr>
          <w:rFonts w:eastAsia="Calibri" w:cs="Arial"/>
          <w:szCs w:val="20"/>
        </w:rPr>
      </w:pPr>
      <w:r w:rsidRPr="0025033E">
        <w:rPr>
          <w:rFonts w:eastAsia="Calibri" w:cs="Arial"/>
          <w:szCs w:val="20"/>
        </w:rPr>
        <w:t xml:space="preserve">Dolgoročni cilji, ki smo jih zasledovali je bilo ukoreninjanje S5 v regijah po načelu subsidiarnosti izvajanja politik ter aktiviranje potencialov S5 v industrijskem prehodu (dvojni prehod, </w:t>
      </w:r>
      <w:proofErr w:type="spellStart"/>
      <w:r w:rsidRPr="0025033E">
        <w:rPr>
          <w:rFonts w:eastAsia="Calibri" w:cs="Arial"/>
          <w:szCs w:val="20"/>
        </w:rPr>
        <w:t>Green</w:t>
      </w:r>
      <w:proofErr w:type="spellEnd"/>
      <w:r w:rsidRPr="0025033E">
        <w:rPr>
          <w:rFonts w:eastAsia="Calibri" w:cs="Arial"/>
          <w:szCs w:val="20"/>
        </w:rPr>
        <w:t xml:space="preserve"> </w:t>
      </w:r>
      <w:proofErr w:type="spellStart"/>
      <w:r w:rsidRPr="0025033E">
        <w:rPr>
          <w:rFonts w:eastAsia="Calibri" w:cs="Arial"/>
          <w:szCs w:val="20"/>
        </w:rPr>
        <w:t>Deal</w:t>
      </w:r>
      <w:proofErr w:type="spellEnd"/>
      <w:r w:rsidRPr="0025033E">
        <w:rPr>
          <w:rFonts w:eastAsia="Calibri" w:cs="Arial"/>
          <w:szCs w:val="20"/>
        </w:rPr>
        <w:t>, Industrija 5.0).</w:t>
      </w:r>
    </w:p>
    <w:p w14:paraId="39513FB4" w14:textId="77777777" w:rsidR="002B6052" w:rsidRPr="0025033E" w:rsidRDefault="002B6052" w:rsidP="00ED5676">
      <w:pPr>
        <w:suppressAutoHyphens w:val="0"/>
        <w:autoSpaceDN/>
        <w:spacing w:after="0" w:line="276" w:lineRule="auto"/>
        <w:jc w:val="both"/>
        <w:rPr>
          <w:rFonts w:eastAsia="Calibri" w:cs="Arial"/>
          <w:szCs w:val="20"/>
        </w:rPr>
      </w:pPr>
    </w:p>
    <w:p w14:paraId="4229DE00" w14:textId="77777777" w:rsidR="00C011C0" w:rsidRPr="0025033E" w:rsidRDefault="00C011C0" w:rsidP="00ED5676">
      <w:pPr>
        <w:suppressAutoHyphens w:val="0"/>
        <w:autoSpaceDN/>
        <w:spacing w:after="0" w:line="276" w:lineRule="auto"/>
        <w:jc w:val="both"/>
        <w:rPr>
          <w:rFonts w:eastAsia="Calibri" w:cs="Arial"/>
          <w:szCs w:val="20"/>
        </w:rPr>
      </w:pPr>
      <w:r w:rsidRPr="0025033E">
        <w:rPr>
          <w:rFonts w:eastAsia="Calibri" w:cs="Arial"/>
          <w:szCs w:val="20"/>
        </w:rPr>
        <w:t xml:space="preserve">Specifični cilji, ki smo si jih zadali pa so bili: </w:t>
      </w:r>
    </w:p>
    <w:p w14:paraId="79C45502" w14:textId="4F0E1EF0" w:rsidR="002B6052" w:rsidRPr="0025033E" w:rsidRDefault="00C011C0" w:rsidP="009864BC">
      <w:pPr>
        <w:pStyle w:val="Odstavekseznama"/>
        <w:numPr>
          <w:ilvl w:val="0"/>
          <w:numId w:val="29"/>
        </w:numPr>
        <w:suppressAutoHyphens w:val="0"/>
        <w:autoSpaceDN/>
        <w:spacing w:after="0" w:line="276" w:lineRule="auto"/>
        <w:jc w:val="both"/>
        <w:rPr>
          <w:rFonts w:eastAsia="Calibri" w:cs="Arial"/>
          <w:szCs w:val="20"/>
        </w:rPr>
      </w:pPr>
      <w:r w:rsidRPr="0025033E">
        <w:rPr>
          <w:rFonts w:eastAsia="Calibri" w:cs="Arial"/>
          <w:szCs w:val="20"/>
        </w:rPr>
        <w:lastRenderedPageBreak/>
        <w:t>Promocija S5 in povezanih ukrepov PEKP ,</w:t>
      </w:r>
    </w:p>
    <w:p w14:paraId="506DD5A2" w14:textId="77777777" w:rsidR="002B6052" w:rsidRPr="0025033E" w:rsidRDefault="00C011C0" w:rsidP="009864BC">
      <w:pPr>
        <w:pStyle w:val="Odstavekseznama"/>
        <w:numPr>
          <w:ilvl w:val="0"/>
          <w:numId w:val="29"/>
        </w:numPr>
        <w:suppressAutoHyphens w:val="0"/>
        <w:autoSpaceDN/>
        <w:spacing w:after="0" w:line="276" w:lineRule="auto"/>
        <w:jc w:val="both"/>
        <w:rPr>
          <w:rFonts w:eastAsia="Calibri" w:cs="Arial"/>
          <w:szCs w:val="20"/>
        </w:rPr>
      </w:pPr>
      <w:r w:rsidRPr="0025033E">
        <w:rPr>
          <w:rFonts w:eastAsia="Calibri" w:cs="Arial"/>
          <w:szCs w:val="20"/>
        </w:rPr>
        <w:t>pridobivanje novih članov za strateška partnerstva (dodana vrednost za SRIP-e),</w:t>
      </w:r>
    </w:p>
    <w:p w14:paraId="30F3D4CB" w14:textId="77777777" w:rsidR="002B6052" w:rsidRPr="0025033E" w:rsidRDefault="00C011C0" w:rsidP="009864BC">
      <w:pPr>
        <w:pStyle w:val="Odstavekseznama"/>
        <w:numPr>
          <w:ilvl w:val="0"/>
          <w:numId w:val="29"/>
        </w:numPr>
        <w:suppressAutoHyphens w:val="0"/>
        <w:autoSpaceDN/>
        <w:spacing w:after="0" w:line="276" w:lineRule="auto"/>
        <w:jc w:val="both"/>
        <w:rPr>
          <w:rFonts w:eastAsia="Calibri" w:cs="Arial"/>
          <w:szCs w:val="20"/>
        </w:rPr>
      </w:pPr>
      <w:r w:rsidRPr="0025033E">
        <w:rPr>
          <w:rFonts w:eastAsia="Calibri" w:cs="Arial"/>
          <w:szCs w:val="20"/>
        </w:rPr>
        <w:t>spoznavanje akterjev na terenu in pridobitev neposrednih kontaktov,</w:t>
      </w:r>
    </w:p>
    <w:p w14:paraId="64DD4E60" w14:textId="75B80DBC" w:rsidR="00C011C0" w:rsidRPr="0025033E" w:rsidRDefault="00C011C0" w:rsidP="009864BC">
      <w:pPr>
        <w:pStyle w:val="Odstavekseznama"/>
        <w:numPr>
          <w:ilvl w:val="0"/>
          <w:numId w:val="29"/>
        </w:numPr>
        <w:suppressAutoHyphens w:val="0"/>
        <w:autoSpaceDN/>
        <w:spacing w:after="0" w:line="276" w:lineRule="auto"/>
        <w:jc w:val="both"/>
        <w:rPr>
          <w:rFonts w:eastAsia="Calibri" w:cs="Arial"/>
          <w:szCs w:val="20"/>
        </w:rPr>
      </w:pPr>
      <w:r w:rsidRPr="0025033E">
        <w:rPr>
          <w:rFonts w:eastAsia="Calibri" w:cs="Arial"/>
          <w:szCs w:val="20"/>
        </w:rPr>
        <w:t>proces podjetniškega odkrivanja za potrebe S5 novele v Q4 2024.</w:t>
      </w:r>
    </w:p>
    <w:p w14:paraId="0CBA9D8D" w14:textId="77777777" w:rsidR="002B6052" w:rsidRPr="0025033E" w:rsidRDefault="002B6052" w:rsidP="00ED5676">
      <w:pPr>
        <w:suppressAutoHyphens w:val="0"/>
        <w:autoSpaceDN/>
        <w:spacing w:after="0" w:line="276" w:lineRule="auto"/>
        <w:jc w:val="both"/>
        <w:rPr>
          <w:rFonts w:eastAsia="Calibri" w:cs="Arial"/>
          <w:szCs w:val="20"/>
        </w:rPr>
      </w:pPr>
    </w:p>
    <w:p w14:paraId="19149869" w14:textId="77777777" w:rsidR="00C011C0" w:rsidRPr="0025033E" w:rsidRDefault="00C011C0" w:rsidP="00ED5676">
      <w:pPr>
        <w:suppressAutoHyphens w:val="0"/>
        <w:autoSpaceDN/>
        <w:spacing w:after="0" w:line="276" w:lineRule="auto"/>
        <w:jc w:val="both"/>
        <w:rPr>
          <w:rFonts w:eastAsia="Calibri" w:cs="Arial"/>
          <w:szCs w:val="20"/>
        </w:rPr>
      </w:pPr>
      <w:r w:rsidRPr="0025033E">
        <w:rPr>
          <w:rFonts w:eastAsia="Calibri" w:cs="Arial"/>
          <w:szCs w:val="20"/>
        </w:rPr>
        <w:t xml:space="preserve">Prva faza regionalnega EDP je bila izvedena konec leta 2023 in v prvi polovici leta 2024, ko je bilo izvedeno 15 delavnic poglobljenih srečanj z deležniki v okviru podjetniškega odkrivanja: </w:t>
      </w:r>
    </w:p>
    <w:p w14:paraId="4627BE53" w14:textId="1F42D9E3"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1.</w:t>
      </w:r>
      <w:r w:rsidRPr="0025033E">
        <w:rPr>
          <w:rFonts w:eastAsia="Calibri" w:cs="Arial"/>
          <w:szCs w:val="20"/>
        </w:rPr>
        <w:tab/>
        <w:t xml:space="preserve">Mednarodna konferenca TBMCE, Portorož, srečanje z deležniki, področje: Krožno gospodarstvo, 7. </w:t>
      </w:r>
      <w:r w:rsidR="002B6052" w:rsidRPr="0025033E">
        <w:rPr>
          <w:rFonts w:eastAsia="Calibri" w:cs="Arial"/>
          <w:szCs w:val="20"/>
        </w:rPr>
        <w:t>9.</w:t>
      </w:r>
      <w:r w:rsidRPr="0025033E">
        <w:rPr>
          <w:rFonts w:eastAsia="Calibri" w:cs="Arial"/>
          <w:szCs w:val="20"/>
        </w:rPr>
        <w:t xml:space="preserve"> 2023.</w:t>
      </w:r>
    </w:p>
    <w:p w14:paraId="7DBD493F" w14:textId="24424B7D"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2.</w:t>
      </w:r>
      <w:r w:rsidRPr="0025033E">
        <w:rPr>
          <w:rFonts w:eastAsia="Calibri" w:cs="Arial"/>
          <w:szCs w:val="20"/>
        </w:rPr>
        <w:tab/>
        <w:t xml:space="preserve">MOS Celje, srečanje z deležniki in delavnica, področje: TOP, 14. </w:t>
      </w:r>
      <w:r w:rsidR="002B6052" w:rsidRPr="0025033E">
        <w:rPr>
          <w:rFonts w:eastAsia="Calibri" w:cs="Arial"/>
          <w:szCs w:val="20"/>
        </w:rPr>
        <w:t>9.</w:t>
      </w:r>
      <w:r w:rsidRPr="0025033E">
        <w:rPr>
          <w:rFonts w:eastAsia="Calibri" w:cs="Arial"/>
          <w:szCs w:val="20"/>
        </w:rPr>
        <w:t xml:space="preserve"> 2023.</w:t>
      </w:r>
    </w:p>
    <w:p w14:paraId="61AFE095" w14:textId="7E6BEDCA"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3.</w:t>
      </w:r>
      <w:r w:rsidRPr="0025033E">
        <w:rPr>
          <w:rFonts w:eastAsia="Calibri" w:cs="Arial"/>
          <w:szCs w:val="20"/>
        </w:rPr>
        <w:tab/>
        <w:t xml:space="preserve">RRA LUR, srečanje z deležniki, področje: prednosti Strategije S5 v mednarodnih verigah vrednosti, 10. </w:t>
      </w:r>
      <w:r w:rsidR="002B6052" w:rsidRPr="0025033E">
        <w:rPr>
          <w:rFonts w:eastAsia="Calibri" w:cs="Arial"/>
          <w:szCs w:val="20"/>
        </w:rPr>
        <w:t>11.</w:t>
      </w:r>
      <w:r w:rsidRPr="0025033E">
        <w:rPr>
          <w:rFonts w:eastAsia="Calibri" w:cs="Arial"/>
          <w:szCs w:val="20"/>
        </w:rPr>
        <w:t xml:space="preserve"> 2023.</w:t>
      </w:r>
    </w:p>
    <w:p w14:paraId="3347A725" w14:textId="3265D750"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4.</w:t>
      </w:r>
      <w:r w:rsidRPr="0025033E">
        <w:rPr>
          <w:rFonts w:eastAsia="Calibri" w:cs="Arial"/>
          <w:szCs w:val="20"/>
        </w:rPr>
        <w:tab/>
        <w:t xml:space="preserve">ROD Ajdovščina, delavnica, področja: Zdravje – Medicina in TOP, 22. </w:t>
      </w:r>
      <w:r w:rsidR="002B6052" w:rsidRPr="0025033E">
        <w:rPr>
          <w:rFonts w:eastAsia="Calibri" w:cs="Arial"/>
          <w:szCs w:val="20"/>
        </w:rPr>
        <w:t>11.</w:t>
      </w:r>
      <w:r w:rsidRPr="0025033E">
        <w:rPr>
          <w:rFonts w:eastAsia="Calibri" w:cs="Arial"/>
          <w:szCs w:val="20"/>
        </w:rPr>
        <w:t xml:space="preserve"> 2023.</w:t>
      </w:r>
    </w:p>
    <w:p w14:paraId="5EE4094F" w14:textId="4D8A8D71"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5.</w:t>
      </w:r>
      <w:r w:rsidRPr="0025033E">
        <w:rPr>
          <w:rFonts w:eastAsia="Calibri" w:cs="Arial"/>
          <w:szCs w:val="20"/>
        </w:rPr>
        <w:tab/>
        <w:t xml:space="preserve">Pomurski tehnološki park, delavnica, področja: PMIS, IKT in Krožno gospodarstvo, 14. </w:t>
      </w:r>
      <w:r w:rsidR="002B6052" w:rsidRPr="0025033E">
        <w:rPr>
          <w:rFonts w:eastAsia="Calibri" w:cs="Arial"/>
          <w:szCs w:val="20"/>
        </w:rPr>
        <w:t>12.</w:t>
      </w:r>
      <w:r w:rsidRPr="0025033E">
        <w:rPr>
          <w:rFonts w:eastAsia="Calibri" w:cs="Arial"/>
          <w:szCs w:val="20"/>
        </w:rPr>
        <w:t xml:space="preserve"> 2023.</w:t>
      </w:r>
    </w:p>
    <w:p w14:paraId="6D4617DA" w14:textId="58C0C59C"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6.</w:t>
      </w:r>
      <w:r w:rsidRPr="0025033E">
        <w:rPr>
          <w:rFonts w:eastAsia="Calibri" w:cs="Arial"/>
          <w:szCs w:val="20"/>
        </w:rPr>
        <w:tab/>
        <w:t xml:space="preserve">Štajerska gospodarska zbornica, delavnica, področje: Krožno gospodarstvo in MATPRO, 5. </w:t>
      </w:r>
      <w:r w:rsidR="002B6052" w:rsidRPr="0025033E">
        <w:rPr>
          <w:rFonts w:eastAsia="Calibri" w:cs="Arial"/>
          <w:szCs w:val="20"/>
        </w:rPr>
        <w:t>3.</w:t>
      </w:r>
      <w:r w:rsidRPr="0025033E">
        <w:rPr>
          <w:rFonts w:eastAsia="Calibri" w:cs="Arial"/>
          <w:szCs w:val="20"/>
        </w:rPr>
        <w:t xml:space="preserve"> 2024.</w:t>
      </w:r>
    </w:p>
    <w:p w14:paraId="350E0593" w14:textId="0DC8559F"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7.</w:t>
      </w:r>
      <w:r w:rsidRPr="0025033E">
        <w:rPr>
          <w:rFonts w:eastAsia="Calibri" w:cs="Arial"/>
          <w:szCs w:val="20"/>
        </w:rPr>
        <w:tab/>
        <w:t xml:space="preserve">Zahodna Kohezijska regija, Regijska konferenca, srečanje z deležniki, področje: SRIP Hrana, 5. </w:t>
      </w:r>
      <w:r w:rsidR="002B6052" w:rsidRPr="0025033E">
        <w:rPr>
          <w:rFonts w:eastAsia="Calibri" w:cs="Arial"/>
          <w:szCs w:val="20"/>
        </w:rPr>
        <w:t>4.</w:t>
      </w:r>
      <w:r w:rsidRPr="0025033E">
        <w:rPr>
          <w:rFonts w:eastAsia="Calibri" w:cs="Arial"/>
          <w:szCs w:val="20"/>
        </w:rPr>
        <w:t xml:space="preserve"> 2024</w:t>
      </w:r>
      <w:r w:rsidR="005A33A5">
        <w:rPr>
          <w:rFonts w:eastAsia="Calibri" w:cs="Arial"/>
          <w:szCs w:val="20"/>
        </w:rPr>
        <w:t>.</w:t>
      </w:r>
    </w:p>
    <w:p w14:paraId="75F8AA25" w14:textId="59897FD7"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8.</w:t>
      </w:r>
      <w:r w:rsidRPr="0025033E">
        <w:rPr>
          <w:rFonts w:eastAsia="Calibri" w:cs="Arial"/>
          <w:szCs w:val="20"/>
        </w:rPr>
        <w:tab/>
        <w:t xml:space="preserve">Vzhodna Kohezijska regija, Regijska konferenca, srečanje z deležniki, področje: SRIP Hrana, 19. </w:t>
      </w:r>
      <w:r w:rsidR="002B6052" w:rsidRPr="0025033E">
        <w:rPr>
          <w:rFonts w:eastAsia="Calibri" w:cs="Arial"/>
          <w:szCs w:val="20"/>
        </w:rPr>
        <w:t>4.</w:t>
      </w:r>
      <w:r w:rsidRPr="0025033E">
        <w:rPr>
          <w:rFonts w:eastAsia="Calibri" w:cs="Arial"/>
          <w:szCs w:val="20"/>
        </w:rPr>
        <w:t xml:space="preserve"> 2024</w:t>
      </w:r>
      <w:r w:rsidR="005A33A5">
        <w:rPr>
          <w:rFonts w:eastAsia="Calibri" w:cs="Arial"/>
          <w:szCs w:val="20"/>
        </w:rPr>
        <w:t>.</w:t>
      </w:r>
    </w:p>
    <w:p w14:paraId="5FA45429" w14:textId="0AFA3519"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9.</w:t>
      </w:r>
      <w:r w:rsidRPr="0025033E">
        <w:rPr>
          <w:rFonts w:eastAsia="Calibri" w:cs="Arial"/>
          <w:szCs w:val="20"/>
        </w:rPr>
        <w:tab/>
        <w:t xml:space="preserve">Univerza v Mariboru, srečanje z deležniki v okviru projekta SIPCAST, področje: MATPRO, 3. </w:t>
      </w:r>
      <w:r w:rsidR="002B6052" w:rsidRPr="0025033E">
        <w:rPr>
          <w:rFonts w:eastAsia="Calibri" w:cs="Arial"/>
          <w:szCs w:val="20"/>
        </w:rPr>
        <w:t>6.</w:t>
      </w:r>
      <w:r w:rsidRPr="0025033E">
        <w:rPr>
          <w:rFonts w:eastAsia="Calibri" w:cs="Arial"/>
          <w:szCs w:val="20"/>
        </w:rPr>
        <w:t xml:space="preserve"> 2024</w:t>
      </w:r>
      <w:r w:rsidR="005A33A5">
        <w:rPr>
          <w:rFonts w:eastAsia="Calibri" w:cs="Arial"/>
          <w:szCs w:val="20"/>
        </w:rPr>
        <w:t>.</w:t>
      </w:r>
    </w:p>
    <w:p w14:paraId="3E3D9983" w14:textId="3BD3B954"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10.</w:t>
      </w:r>
      <w:r w:rsidRPr="0025033E">
        <w:rPr>
          <w:rFonts w:eastAsia="Calibri" w:cs="Arial"/>
          <w:szCs w:val="20"/>
        </w:rPr>
        <w:tab/>
        <w:t xml:space="preserve">Srečanje z deležniki akademske sfere Univerze v Mariboru, področje: pregled stanja in potreb raziskovalne infrastrukture za potrebe industrije, 3. </w:t>
      </w:r>
      <w:r w:rsidR="002B6052" w:rsidRPr="0025033E">
        <w:rPr>
          <w:rFonts w:eastAsia="Calibri" w:cs="Arial"/>
          <w:szCs w:val="20"/>
        </w:rPr>
        <w:t>6.</w:t>
      </w:r>
      <w:r w:rsidRPr="0025033E">
        <w:rPr>
          <w:rFonts w:eastAsia="Calibri" w:cs="Arial"/>
          <w:szCs w:val="20"/>
        </w:rPr>
        <w:t xml:space="preserve"> 2024</w:t>
      </w:r>
      <w:r w:rsidR="005A33A5">
        <w:rPr>
          <w:rFonts w:eastAsia="Calibri" w:cs="Arial"/>
          <w:szCs w:val="20"/>
        </w:rPr>
        <w:t>.</w:t>
      </w:r>
    </w:p>
    <w:p w14:paraId="5C3710A7" w14:textId="44799CAA"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11.</w:t>
      </w:r>
      <w:r w:rsidRPr="0025033E">
        <w:rPr>
          <w:rFonts w:eastAsia="Calibri" w:cs="Arial"/>
          <w:szCs w:val="20"/>
        </w:rPr>
        <w:tab/>
        <w:t xml:space="preserve">Srečanje z deležniki akademske sfere Univerze v Ljubljani, področje: pregled stanja in potreb raziskovalne infrastrukture za potrebe industrije, 5. </w:t>
      </w:r>
      <w:r w:rsidR="002B6052" w:rsidRPr="0025033E">
        <w:rPr>
          <w:rFonts w:eastAsia="Calibri" w:cs="Arial"/>
          <w:szCs w:val="20"/>
        </w:rPr>
        <w:t>6.</w:t>
      </w:r>
      <w:r w:rsidRPr="0025033E">
        <w:rPr>
          <w:rFonts w:eastAsia="Calibri" w:cs="Arial"/>
          <w:szCs w:val="20"/>
        </w:rPr>
        <w:t xml:space="preserve"> 2024</w:t>
      </w:r>
      <w:r w:rsidR="005A33A5">
        <w:rPr>
          <w:rFonts w:eastAsia="Calibri" w:cs="Arial"/>
          <w:szCs w:val="20"/>
        </w:rPr>
        <w:t>.</w:t>
      </w:r>
    </w:p>
    <w:p w14:paraId="4786BD3F" w14:textId="087BF4BC"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12.</w:t>
      </w:r>
      <w:r w:rsidRPr="0025033E">
        <w:rPr>
          <w:rFonts w:eastAsia="Calibri" w:cs="Arial"/>
          <w:szCs w:val="20"/>
        </w:rPr>
        <w:tab/>
        <w:t xml:space="preserve">Srečanje s z deležniki KTO, področje: prenos znanja med Univerzo in podjetji, 6. </w:t>
      </w:r>
      <w:r w:rsidR="002B6052" w:rsidRPr="0025033E">
        <w:rPr>
          <w:rFonts w:eastAsia="Calibri" w:cs="Arial"/>
          <w:szCs w:val="20"/>
        </w:rPr>
        <w:t>6.</w:t>
      </w:r>
      <w:r w:rsidRPr="0025033E">
        <w:rPr>
          <w:rFonts w:eastAsia="Calibri" w:cs="Arial"/>
          <w:szCs w:val="20"/>
        </w:rPr>
        <w:t xml:space="preserve"> 2024</w:t>
      </w:r>
      <w:r w:rsidR="005A33A5">
        <w:rPr>
          <w:rFonts w:eastAsia="Calibri" w:cs="Arial"/>
          <w:szCs w:val="20"/>
        </w:rPr>
        <w:t>.</w:t>
      </w:r>
    </w:p>
    <w:p w14:paraId="1716E6EA" w14:textId="4F6087E6"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13.</w:t>
      </w:r>
      <w:r w:rsidRPr="0025033E">
        <w:rPr>
          <w:rFonts w:eastAsia="Calibri" w:cs="Arial"/>
          <w:szCs w:val="20"/>
        </w:rPr>
        <w:tab/>
        <w:t xml:space="preserve">Gospodarska zbornica Slovenije, srečanje z deležniki SRIP ACS+, področje: Mobilnost, 6. </w:t>
      </w:r>
      <w:r w:rsidR="002B6052" w:rsidRPr="0025033E">
        <w:rPr>
          <w:rFonts w:eastAsia="Calibri" w:cs="Arial"/>
          <w:szCs w:val="20"/>
        </w:rPr>
        <w:t>6.</w:t>
      </w:r>
      <w:r w:rsidRPr="0025033E">
        <w:rPr>
          <w:rFonts w:eastAsia="Calibri" w:cs="Arial"/>
          <w:szCs w:val="20"/>
        </w:rPr>
        <w:t xml:space="preserve"> 2024.</w:t>
      </w:r>
    </w:p>
    <w:p w14:paraId="64A56E5B" w14:textId="0801E970"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14.</w:t>
      </w:r>
      <w:r w:rsidRPr="0025033E">
        <w:rPr>
          <w:rFonts w:eastAsia="Calibri" w:cs="Arial"/>
          <w:szCs w:val="20"/>
        </w:rPr>
        <w:tab/>
        <w:t xml:space="preserve">Inštitut Jožef Štefan, Srečanje z deležniki SRIP, področje: TOP in PMIS,7. </w:t>
      </w:r>
      <w:r w:rsidR="002B6052" w:rsidRPr="0025033E">
        <w:rPr>
          <w:rFonts w:eastAsia="Calibri" w:cs="Arial"/>
          <w:szCs w:val="20"/>
        </w:rPr>
        <w:t>6.</w:t>
      </w:r>
      <w:r w:rsidRPr="0025033E">
        <w:rPr>
          <w:rFonts w:eastAsia="Calibri" w:cs="Arial"/>
          <w:szCs w:val="20"/>
        </w:rPr>
        <w:t xml:space="preserve"> 2024.</w:t>
      </w:r>
    </w:p>
    <w:p w14:paraId="3987809C" w14:textId="12B9F0FB" w:rsidR="00C011C0" w:rsidRPr="0025033E" w:rsidRDefault="00C011C0" w:rsidP="00ED5676">
      <w:pPr>
        <w:suppressAutoHyphens w:val="0"/>
        <w:autoSpaceDN/>
        <w:spacing w:after="0" w:line="276" w:lineRule="auto"/>
        <w:ind w:left="567" w:hanging="567"/>
        <w:jc w:val="both"/>
        <w:rPr>
          <w:rFonts w:eastAsia="Calibri" w:cs="Arial"/>
          <w:szCs w:val="20"/>
        </w:rPr>
      </w:pPr>
      <w:r w:rsidRPr="0025033E">
        <w:rPr>
          <w:rFonts w:eastAsia="Calibri" w:cs="Arial"/>
          <w:szCs w:val="20"/>
        </w:rPr>
        <w:t>15.</w:t>
      </w:r>
      <w:r w:rsidRPr="0025033E">
        <w:rPr>
          <w:rFonts w:eastAsia="Calibri" w:cs="Arial"/>
          <w:szCs w:val="20"/>
        </w:rPr>
        <w:tab/>
        <w:t xml:space="preserve">Sodražica, delavnica, področje: PSIDL, 11. </w:t>
      </w:r>
      <w:r w:rsidR="002B6052" w:rsidRPr="0025033E">
        <w:rPr>
          <w:rFonts w:eastAsia="Calibri" w:cs="Arial"/>
          <w:szCs w:val="20"/>
        </w:rPr>
        <w:t>6.</w:t>
      </w:r>
      <w:r w:rsidRPr="0025033E">
        <w:rPr>
          <w:rFonts w:eastAsia="Calibri" w:cs="Arial"/>
          <w:szCs w:val="20"/>
        </w:rPr>
        <w:t xml:space="preserve"> 2024.</w:t>
      </w:r>
    </w:p>
    <w:p w14:paraId="1E5DBB90" w14:textId="77777777" w:rsidR="00C011C0" w:rsidRPr="0025033E" w:rsidRDefault="00C011C0" w:rsidP="00ED5676">
      <w:pPr>
        <w:suppressAutoHyphens w:val="0"/>
        <w:autoSpaceDN/>
        <w:spacing w:after="0" w:line="276" w:lineRule="auto"/>
        <w:ind w:left="567" w:hanging="567"/>
        <w:jc w:val="both"/>
        <w:rPr>
          <w:rFonts w:eastAsia="Calibri" w:cs="Arial"/>
          <w:szCs w:val="20"/>
        </w:rPr>
      </w:pPr>
    </w:p>
    <w:p w14:paraId="14E03F12" w14:textId="77777777" w:rsidR="00A169E8" w:rsidRPr="0025033E" w:rsidRDefault="00C011C0" w:rsidP="00ED5676">
      <w:pPr>
        <w:suppressAutoHyphens w:val="0"/>
        <w:autoSpaceDN/>
        <w:spacing w:after="0" w:line="276" w:lineRule="auto"/>
        <w:jc w:val="both"/>
        <w:rPr>
          <w:rFonts w:eastAsia="Calibri" w:cs="Arial"/>
          <w:szCs w:val="20"/>
        </w:rPr>
        <w:sectPr w:rsidR="00A169E8" w:rsidRPr="0025033E" w:rsidSect="00014A15">
          <w:pgSz w:w="11906" w:h="16838" w:code="9"/>
          <w:pgMar w:top="1418" w:right="1418" w:bottom="1418" w:left="1418" w:header="709" w:footer="709" w:gutter="0"/>
          <w:cols w:space="708"/>
          <w:docGrid w:linePitch="272"/>
        </w:sectPr>
      </w:pPr>
      <w:r w:rsidRPr="0025033E">
        <w:rPr>
          <w:rFonts w:eastAsia="Calibri" w:cs="Arial"/>
          <w:szCs w:val="20"/>
        </w:rPr>
        <w:t>V sklopu 2. faze regionalnega EDP pa se je pristop strukturiral na izvedbo 12 študij z naslovom Študija o propulzivnih podjetjih na prednostnih področjih S5 v razvojnih regijah. Študije so bile pripravljene oziroma koordinirane s strani 12 regionalnih razvojnih agencij. Na tej podlag se bo v prvi polovici leta 2025 izvedla nova delavnica regionalnega EDP v vsaki razvojni regiji.</w:t>
      </w:r>
    </w:p>
    <w:p w14:paraId="0CF14374" w14:textId="7DFFC69B" w:rsidR="00C011C0" w:rsidRPr="0025033E" w:rsidRDefault="00A169E8" w:rsidP="009864BC">
      <w:pPr>
        <w:pStyle w:val="Naslov10"/>
        <w:numPr>
          <w:ilvl w:val="0"/>
          <w:numId w:val="17"/>
        </w:numPr>
        <w:spacing w:before="0" w:after="0"/>
        <w:rPr>
          <w:rFonts w:cs="Arial"/>
        </w:rPr>
      </w:pPr>
      <w:bookmarkStart w:id="385" w:name="_Toc191460224"/>
      <w:r w:rsidRPr="0025033E">
        <w:rPr>
          <w:rFonts w:cs="Arial"/>
        </w:rPr>
        <w:lastRenderedPageBreak/>
        <w:t xml:space="preserve">IZVAJANJE PROGRAMA EKP </w:t>
      </w:r>
      <w:r w:rsidR="00427FC8" w:rsidRPr="0025033E">
        <w:rPr>
          <w:rFonts w:cs="Arial"/>
        </w:rPr>
        <w:t>2021–2027</w:t>
      </w:r>
      <w:bookmarkEnd w:id="385"/>
    </w:p>
    <w:p w14:paraId="35EF3DF7" w14:textId="77777777" w:rsidR="005C39FF" w:rsidRPr="0025033E" w:rsidRDefault="005C39FF" w:rsidP="00ED5676">
      <w:pPr>
        <w:spacing w:after="0"/>
        <w:jc w:val="both"/>
        <w:rPr>
          <w:rFonts w:eastAsia="Calibri" w:cs="Arial"/>
        </w:rPr>
      </w:pPr>
    </w:p>
    <w:p w14:paraId="7E8D96F2" w14:textId="77777777" w:rsidR="00A169E8" w:rsidRPr="00654311" w:rsidRDefault="00A169E8" w:rsidP="00ED5676">
      <w:pPr>
        <w:suppressAutoHyphens w:val="0"/>
        <w:autoSpaceDE w:val="0"/>
        <w:adjustRightInd w:val="0"/>
        <w:spacing w:after="0" w:line="288" w:lineRule="auto"/>
        <w:jc w:val="both"/>
        <w:rPr>
          <w:rFonts w:cs="Arial"/>
          <w:szCs w:val="20"/>
        </w:rPr>
      </w:pPr>
      <w:r w:rsidRPr="0025033E">
        <w:rPr>
          <w:rFonts w:cs="Arial"/>
          <w:szCs w:val="20"/>
        </w:rPr>
        <w:t xml:space="preserve">V okviru razpoložljivih sredstev za programsko </w:t>
      </w:r>
      <w:r w:rsidRPr="00654311">
        <w:rPr>
          <w:rFonts w:cs="Arial"/>
          <w:szCs w:val="20"/>
        </w:rPr>
        <w:t xml:space="preserve">obdobje </w:t>
      </w:r>
      <w:r w:rsidRPr="00654311">
        <w:rPr>
          <w:rFonts w:eastAsia="Calibri" w:cs="Arial"/>
          <w:szCs w:val="20"/>
        </w:rPr>
        <w:t xml:space="preserve">2021–2027 </w:t>
      </w:r>
      <w:r w:rsidRPr="00654311">
        <w:rPr>
          <w:rFonts w:cs="Arial"/>
          <w:szCs w:val="20"/>
        </w:rPr>
        <w:t>je razdelitev sredstev po skladih naslednja:</w:t>
      </w:r>
    </w:p>
    <w:p w14:paraId="18E4ABDE" w14:textId="77777777" w:rsidR="00A169E8" w:rsidRPr="00654311" w:rsidRDefault="00A169E8" w:rsidP="009864BC">
      <w:pPr>
        <w:numPr>
          <w:ilvl w:val="0"/>
          <w:numId w:val="11"/>
        </w:numPr>
        <w:suppressAutoHyphens w:val="0"/>
        <w:autoSpaceDE w:val="0"/>
        <w:autoSpaceDN/>
        <w:adjustRightInd w:val="0"/>
        <w:spacing w:after="0" w:line="288" w:lineRule="auto"/>
        <w:jc w:val="both"/>
        <w:rPr>
          <w:rFonts w:cs="Arial"/>
          <w:szCs w:val="20"/>
        </w:rPr>
      </w:pPr>
      <w:r w:rsidRPr="00654311">
        <w:rPr>
          <w:rFonts w:cs="Arial"/>
          <w:szCs w:val="20"/>
        </w:rPr>
        <w:t>ESRR: 1.545.686.286 EUR;</w:t>
      </w:r>
    </w:p>
    <w:p w14:paraId="17A21122" w14:textId="77777777" w:rsidR="00A169E8" w:rsidRPr="00654311" w:rsidRDefault="00A169E8" w:rsidP="009864BC">
      <w:pPr>
        <w:numPr>
          <w:ilvl w:val="0"/>
          <w:numId w:val="11"/>
        </w:numPr>
        <w:suppressAutoHyphens w:val="0"/>
        <w:autoSpaceDE w:val="0"/>
        <w:autoSpaceDN/>
        <w:adjustRightInd w:val="0"/>
        <w:spacing w:after="0" w:line="288" w:lineRule="auto"/>
        <w:jc w:val="both"/>
        <w:rPr>
          <w:rFonts w:cs="Arial"/>
          <w:szCs w:val="20"/>
        </w:rPr>
      </w:pPr>
      <w:r w:rsidRPr="00654311">
        <w:rPr>
          <w:rFonts w:cs="Arial"/>
          <w:szCs w:val="20"/>
        </w:rPr>
        <w:t>ESS+: 611.504.805 EUR;</w:t>
      </w:r>
    </w:p>
    <w:p w14:paraId="3F7802A5" w14:textId="77777777" w:rsidR="00A169E8" w:rsidRPr="00654311" w:rsidRDefault="00A169E8" w:rsidP="009864BC">
      <w:pPr>
        <w:numPr>
          <w:ilvl w:val="0"/>
          <w:numId w:val="11"/>
        </w:numPr>
        <w:suppressAutoHyphens w:val="0"/>
        <w:autoSpaceDE w:val="0"/>
        <w:autoSpaceDN/>
        <w:adjustRightInd w:val="0"/>
        <w:spacing w:after="0" w:line="288" w:lineRule="auto"/>
        <w:jc w:val="both"/>
        <w:rPr>
          <w:rFonts w:cs="Arial"/>
          <w:szCs w:val="20"/>
        </w:rPr>
      </w:pPr>
      <w:r w:rsidRPr="00654311">
        <w:rPr>
          <w:rFonts w:cs="Arial"/>
          <w:szCs w:val="20"/>
        </w:rPr>
        <w:t>KS: 700.675.721 EUR;</w:t>
      </w:r>
    </w:p>
    <w:p w14:paraId="7A0A3DBE" w14:textId="77777777" w:rsidR="00A169E8" w:rsidRPr="00654311" w:rsidRDefault="00A169E8" w:rsidP="009864BC">
      <w:pPr>
        <w:numPr>
          <w:ilvl w:val="0"/>
          <w:numId w:val="11"/>
        </w:numPr>
        <w:suppressAutoHyphens w:val="0"/>
        <w:autoSpaceDE w:val="0"/>
        <w:autoSpaceDN/>
        <w:adjustRightInd w:val="0"/>
        <w:spacing w:after="0" w:line="240" w:lineRule="auto"/>
        <w:jc w:val="both"/>
        <w:rPr>
          <w:rFonts w:cs="Arial"/>
          <w:szCs w:val="20"/>
        </w:rPr>
      </w:pPr>
      <w:r w:rsidRPr="00654311">
        <w:rPr>
          <w:rFonts w:cs="Arial"/>
          <w:szCs w:val="20"/>
        </w:rPr>
        <w:t>SPP: 248.773.600 EUR.</w:t>
      </w:r>
    </w:p>
    <w:p w14:paraId="75EF9F00" w14:textId="77777777" w:rsidR="00A169E8" w:rsidRPr="00654311" w:rsidRDefault="00A169E8" w:rsidP="00ED5676">
      <w:pPr>
        <w:suppressAutoHyphens w:val="0"/>
        <w:autoSpaceDE w:val="0"/>
        <w:adjustRightInd w:val="0"/>
        <w:spacing w:after="0" w:line="288" w:lineRule="auto"/>
        <w:jc w:val="both"/>
        <w:rPr>
          <w:rFonts w:cs="Arial"/>
          <w:szCs w:val="20"/>
        </w:rPr>
      </w:pPr>
    </w:p>
    <w:p w14:paraId="04B3C24F" w14:textId="77777777" w:rsidR="00A169E8" w:rsidRPr="00654311" w:rsidRDefault="00A169E8" w:rsidP="00ED5676">
      <w:pPr>
        <w:suppressAutoHyphens w:val="0"/>
        <w:autoSpaceDN/>
        <w:spacing w:after="0" w:line="288" w:lineRule="auto"/>
        <w:jc w:val="both"/>
        <w:rPr>
          <w:rFonts w:eastAsia="SimSun" w:cs="Arial"/>
          <w:szCs w:val="20"/>
          <w:lang w:eastAsia="zh-CN"/>
        </w:rPr>
      </w:pPr>
      <w:r w:rsidRPr="00654311">
        <w:rPr>
          <w:rFonts w:eastAsia="SimSun" w:cs="Arial"/>
          <w:szCs w:val="20"/>
          <w:lang w:eastAsia="zh-CN"/>
        </w:rPr>
        <w:t>V okviru razdelitve razpoložljivih sredstev posameznih skladov glede na geografsko upravičenost, kamor spada razdelitev na obe kohezijski regiji, je stanje naslednje:</w:t>
      </w:r>
    </w:p>
    <w:p w14:paraId="3A981DE3" w14:textId="77777777" w:rsidR="00A169E8" w:rsidRPr="0025033E" w:rsidRDefault="00A169E8" w:rsidP="009864BC">
      <w:pPr>
        <w:numPr>
          <w:ilvl w:val="0"/>
          <w:numId w:val="12"/>
        </w:numPr>
        <w:suppressAutoHyphens w:val="0"/>
        <w:autoSpaceDE w:val="0"/>
        <w:autoSpaceDN/>
        <w:adjustRightInd w:val="0"/>
        <w:spacing w:after="0" w:line="288" w:lineRule="auto"/>
        <w:ind w:left="714" w:hanging="357"/>
        <w:jc w:val="both"/>
        <w:rPr>
          <w:rFonts w:eastAsia="SimSun" w:cs="Arial"/>
          <w:szCs w:val="20"/>
          <w:lang w:eastAsia="zh-CN"/>
        </w:rPr>
      </w:pPr>
      <w:r w:rsidRPr="00654311">
        <w:rPr>
          <w:rFonts w:eastAsia="SimSun" w:cs="Arial"/>
          <w:szCs w:val="20"/>
          <w:lang w:eastAsia="zh-CN"/>
        </w:rPr>
        <w:t>kohezijski regiji Zahodna Slovenija je iz ESRR in ESS+ skupaj</w:t>
      </w:r>
      <w:r w:rsidRPr="0025033E">
        <w:rPr>
          <w:rFonts w:eastAsia="SimSun" w:cs="Arial"/>
          <w:szCs w:val="20"/>
          <w:lang w:eastAsia="zh-CN"/>
        </w:rPr>
        <w:t xml:space="preserve"> namenjenih 436 mio EUR razpoložljivih sredstev; </w:t>
      </w:r>
    </w:p>
    <w:p w14:paraId="78BF5338" w14:textId="77777777" w:rsidR="00A169E8" w:rsidRPr="0025033E" w:rsidRDefault="00A169E8" w:rsidP="009864BC">
      <w:pPr>
        <w:numPr>
          <w:ilvl w:val="0"/>
          <w:numId w:val="12"/>
        </w:numPr>
        <w:suppressAutoHyphens w:val="0"/>
        <w:autoSpaceDE w:val="0"/>
        <w:autoSpaceDN/>
        <w:adjustRightInd w:val="0"/>
        <w:spacing w:after="0" w:line="288" w:lineRule="auto"/>
        <w:jc w:val="both"/>
        <w:rPr>
          <w:rFonts w:eastAsia="SimSun" w:cs="Arial"/>
          <w:szCs w:val="20"/>
          <w:lang w:eastAsia="zh-CN"/>
        </w:rPr>
      </w:pPr>
      <w:r w:rsidRPr="0025033E">
        <w:rPr>
          <w:rFonts w:eastAsia="SimSun" w:cs="Arial"/>
          <w:szCs w:val="20"/>
          <w:lang w:eastAsia="zh-CN"/>
        </w:rPr>
        <w:t xml:space="preserve">kohezijski regiji Vzhodna Slovenija je iz ESRR in ESS+ skupaj namenjenih 1,398 mrd EUR razpoložljivih sredstev; </w:t>
      </w:r>
    </w:p>
    <w:p w14:paraId="5EE88FAA" w14:textId="77777777" w:rsidR="00A169E8" w:rsidRPr="0025033E" w:rsidRDefault="00A169E8" w:rsidP="009864BC">
      <w:pPr>
        <w:numPr>
          <w:ilvl w:val="0"/>
          <w:numId w:val="12"/>
        </w:numPr>
        <w:suppressAutoHyphens w:val="0"/>
        <w:autoSpaceDE w:val="0"/>
        <w:autoSpaceDN/>
        <w:adjustRightInd w:val="0"/>
        <w:spacing w:after="0" w:line="288" w:lineRule="auto"/>
        <w:jc w:val="both"/>
        <w:rPr>
          <w:rFonts w:eastAsia="SimSun" w:cs="Arial"/>
          <w:szCs w:val="20"/>
          <w:lang w:eastAsia="zh-CN"/>
        </w:rPr>
      </w:pPr>
      <w:r w:rsidRPr="0025033E">
        <w:rPr>
          <w:rFonts w:eastAsia="SimSun" w:cs="Arial"/>
          <w:szCs w:val="20"/>
          <w:lang w:eastAsia="zh-CN"/>
        </w:rPr>
        <w:t>obema regijama je skupaj na voljo 700 mio EUR iz sklada KS, ki se ne deli med regijama in se izvaja na območju celotne Slovenije;</w:t>
      </w:r>
    </w:p>
    <w:p w14:paraId="1ADC6492" w14:textId="77777777" w:rsidR="00A169E8" w:rsidRPr="0025033E" w:rsidRDefault="00A169E8" w:rsidP="009864BC">
      <w:pPr>
        <w:numPr>
          <w:ilvl w:val="0"/>
          <w:numId w:val="12"/>
        </w:numPr>
        <w:suppressAutoHyphens w:val="0"/>
        <w:autoSpaceDE w:val="0"/>
        <w:autoSpaceDN/>
        <w:adjustRightInd w:val="0"/>
        <w:spacing w:after="0" w:line="288" w:lineRule="auto"/>
        <w:jc w:val="both"/>
        <w:rPr>
          <w:rFonts w:eastAsia="SimSun" w:cs="Arial"/>
          <w:szCs w:val="20"/>
          <w:lang w:eastAsia="zh-CN"/>
        </w:rPr>
      </w:pPr>
      <w:r w:rsidRPr="0025033E">
        <w:rPr>
          <w:rFonts w:eastAsia="SimSun" w:cs="Arial"/>
          <w:szCs w:val="20"/>
          <w:lang w:eastAsia="zh-CN"/>
        </w:rPr>
        <w:t>izvajanje SPP ni vezano na geografsko upravičenost med kohezijski regiji, temveč je namenjeno regijam, ki so upravičena območja pravičnega prehoda; v Sloveniji sta to dve premogovni regiji: Savinjsko-šaleška in Zasavska.</w:t>
      </w:r>
    </w:p>
    <w:p w14:paraId="140AF987" w14:textId="77777777" w:rsidR="00A169E8" w:rsidRPr="0025033E" w:rsidRDefault="00A169E8" w:rsidP="0030659F">
      <w:pPr>
        <w:suppressAutoHyphens w:val="0"/>
        <w:autoSpaceDE w:val="0"/>
        <w:adjustRightInd w:val="0"/>
        <w:spacing w:after="0" w:line="288" w:lineRule="auto"/>
        <w:jc w:val="both"/>
        <w:rPr>
          <w:rFonts w:eastAsia="SimSun" w:cs="Arial"/>
          <w:szCs w:val="20"/>
          <w:lang w:eastAsia="zh-CN"/>
        </w:rPr>
      </w:pPr>
    </w:p>
    <w:p w14:paraId="04136446" w14:textId="77777777" w:rsidR="00A169E8" w:rsidRPr="0025033E" w:rsidRDefault="00A169E8" w:rsidP="00ED5676">
      <w:pPr>
        <w:suppressAutoHyphens w:val="0"/>
        <w:autoSpaceDE w:val="0"/>
        <w:adjustRightInd w:val="0"/>
        <w:spacing w:after="0" w:line="288" w:lineRule="auto"/>
        <w:jc w:val="both"/>
        <w:rPr>
          <w:rFonts w:cs="Arial"/>
          <w:szCs w:val="20"/>
        </w:rPr>
      </w:pPr>
      <w:r w:rsidRPr="0025033E">
        <w:rPr>
          <w:rFonts w:cs="Arial"/>
          <w:szCs w:val="20"/>
        </w:rPr>
        <w:t>KRZS se uvršča med razvite regije, KRVS pa med manj razvite regije, kar pomeni različno stopnjo sofinanciranja s strani EK. Ker pa so tudi v KRZS kljub splošni večji razvitosti prisotne velike razlike v stopnji razvitosti med razvojnimi regijami in znotraj njih, bo proračun RS zagotavljal ustrezno višino nacionalnega prispevka, ki bo omogočal ustrezno izvedbo operacij v obeh kohezijskih regijah.</w:t>
      </w:r>
    </w:p>
    <w:p w14:paraId="76FA75B1" w14:textId="77777777" w:rsidR="00A169E8" w:rsidRPr="0025033E" w:rsidRDefault="00A169E8" w:rsidP="00970363">
      <w:pPr>
        <w:suppressAutoHyphens w:val="0"/>
        <w:autoSpaceDN/>
        <w:spacing w:after="0" w:line="240" w:lineRule="auto"/>
        <w:jc w:val="both"/>
        <w:rPr>
          <w:rFonts w:cs="Arial"/>
          <w:b/>
          <w:bCs/>
          <w:color w:val="5B9BD5"/>
          <w:szCs w:val="20"/>
        </w:rPr>
      </w:pPr>
    </w:p>
    <w:p w14:paraId="01820436" w14:textId="77777777" w:rsidR="00A169E8" w:rsidRPr="0025033E" w:rsidRDefault="00A169E8" w:rsidP="00ED5676">
      <w:pPr>
        <w:suppressAutoHyphens w:val="0"/>
        <w:autoSpaceDN/>
        <w:spacing w:after="0"/>
        <w:jc w:val="both"/>
        <w:rPr>
          <w:rFonts w:cs="Arial"/>
          <w:szCs w:val="20"/>
        </w:rPr>
      </w:pPr>
      <w:r w:rsidRPr="0025033E">
        <w:rPr>
          <w:rFonts w:cs="Arial"/>
          <w:szCs w:val="20"/>
        </w:rPr>
        <w:t xml:space="preserve">S sprejemom nacionalne uredbe se je lahko začelo izvajanje EKP </w:t>
      </w:r>
      <w:r w:rsidRPr="0025033E">
        <w:rPr>
          <w:rFonts w:eastAsia="Calibri" w:cs="Arial"/>
          <w:szCs w:val="20"/>
        </w:rPr>
        <w:t>2021–2027</w:t>
      </w:r>
      <w:r w:rsidRPr="0025033E">
        <w:rPr>
          <w:rFonts w:cs="Arial"/>
          <w:szCs w:val="20"/>
        </w:rPr>
        <w:t>. V juniju 2023 je bila izdana prva odločitev o podpori, ki predstavlja dejanski začetek izvajanja PEKP.</w:t>
      </w:r>
    </w:p>
    <w:p w14:paraId="73E8374C" w14:textId="77777777" w:rsidR="00A169E8" w:rsidRPr="00654311" w:rsidRDefault="00A169E8" w:rsidP="00ED5676">
      <w:pPr>
        <w:suppressAutoHyphens w:val="0"/>
        <w:autoSpaceDN/>
        <w:spacing w:after="0"/>
        <w:jc w:val="both"/>
        <w:rPr>
          <w:rFonts w:cs="Arial"/>
          <w:szCs w:val="20"/>
        </w:rPr>
      </w:pPr>
    </w:p>
    <w:p w14:paraId="2E9E5AD8" w14:textId="77777777" w:rsidR="00A169E8" w:rsidRPr="00654311" w:rsidRDefault="00A169E8" w:rsidP="00ED5676">
      <w:pPr>
        <w:suppressAutoHyphens w:val="0"/>
        <w:autoSpaceDN/>
        <w:spacing w:after="0" w:line="288" w:lineRule="auto"/>
        <w:jc w:val="both"/>
        <w:rPr>
          <w:rFonts w:eastAsia="SimSun" w:cs="Arial"/>
          <w:szCs w:val="20"/>
          <w:lang w:eastAsia="zh-CN"/>
        </w:rPr>
      </w:pPr>
      <w:r w:rsidRPr="00654311">
        <w:rPr>
          <w:rFonts w:cs="Arial"/>
          <w:szCs w:val="20"/>
        </w:rPr>
        <w:t xml:space="preserve">Tudi v okviru EKP </w:t>
      </w:r>
      <w:r w:rsidRPr="00654311">
        <w:rPr>
          <w:rFonts w:eastAsia="Calibri" w:cs="Arial"/>
          <w:szCs w:val="20"/>
        </w:rPr>
        <w:t>2021–2027</w:t>
      </w:r>
      <w:r w:rsidRPr="00654311">
        <w:rPr>
          <w:rFonts w:cs="Arial"/>
          <w:szCs w:val="20"/>
        </w:rPr>
        <w:t xml:space="preserve">, </w:t>
      </w:r>
      <w:r w:rsidRPr="00654311">
        <w:rPr>
          <w:rFonts w:eastAsia="SimSun" w:cs="Arial"/>
          <w:szCs w:val="20"/>
          <w:lang w:eastAsia="zh-CN"/>
        </w:rPr>
        <w:t xml:space="preserve">ne glede na razdelitev po skladih ali kohezijskih regijah, izvajanje EKP zajema različne vidike, od finančnega, kamor lahko štejemo napredek, vezan na uspešnost koriščenja EU sredstev, do vsebinskega, kjer je moč spremljati vsebinski napredek na posamezni prednostni osi. </w:t>
      </w:r>
    </w:p>
    <w:p w14:paraId="0C0FD5A2" w14:textId="77777777" w:rsidR="00A169E8" w:rsidRPr="00654311" w:rsidRDefault="00A169E8" w:rsidP="00ED5676">
      <w:pPr>
        <w:suppressAutoHyphens w:val="0"/>
        <w:autoSpaceDN/>
        <w:spacing w:after="0" w:line="288" w:lineRule="auto"/>
        <w:jc w:val="both"/>
        <w:rPr>
          <w:rFonts w:eastAsia="SimSun" w:cs="Arial"/>
          <w:szCs w:val="20"/>
          <w:lang w:eastAsia="zh-CN"/>
        </w:rPr>
      </w:pPr>
    </w:p>
    <w:p w14:paraId="56834E10" w14:textId="77777777" w:rsidR="00A169E8" w:rsidRPr="0025033E" w:rsidRDefault="00A169E8" w:rsidP="00ED5676">
      <w:pPr>
        <w:suppressAutoHyphens w:val="0"/>
        <w:autoSpaceDN/>
        <w:spacing w:after="0" w:line="288" w:lineRule="auto"/>
        <w:jc w:val="both"/>
        <w:rPr>
          <w:rFonts w:cs="Arial"/>
          <w:szCs w:val="20"/>
        </w:rPr>
      </w:pPr>
      <w:r w:rsidRPr="0025033E">
        <w:rPr>
          <w:rFonts w:cs="Arial"/>
          <w:szCs w:val="20"/>
        </w:rPr>
        <w:t>Sistem koriščenja EKP tudi v tem programskem obdobju obsega več faz, ki si sledijo v sosledju:</w:t>
      </w:r>
    </w:p>
    <w:p w14:paraId="0656AE15" w14:textId="77777777" w:rsidR="00A169E8" w:rsidRPr="0025033E" w:rsidRDefault="00A169E8" w:rsidP="009864BC">
      <w:pPr>
        <w:numPr>
          <w:ilvl w:val="0"/>
          <w:numId w:val="19"/>
        </w:numPr>
        <w:suppressAutoHyphens w:val="0"/>
        <w:autoSpaceDN/>
        <w:spacing w:after="0" w:line="288" w:lineRule="auto"/>
        <w:jc w:val="both"/>
        <w:rPr>
          <w:rFonts w:cs="Arial"/>
          <w:szCs w:val="20"/>
        </w:rPr>
      </w:pPr>
      <w:r w:rsidRPr="0025033E">
        <w:rPr>
          <w:rFonts w:cs="Arial"/>
          <w:b/>
          <w:szCs w:val="20"/>
        </w:rPr>
        <w:t xml:space="preserve">FAZA: </w:t>
      </w:r>
      <w:r w:rsidRPr="0025033E">
        <w:rPr>
          <w:rFonts w:cs="Arial"/>
          <w:szCs w:val="20"/>
        </w:rPr>
        <w:t xml:space="preserve">OU oceni vlogo PT za odobritev evropskih sredstev za posamični javni razpis/projekt oziroma program. V kolikor je vloga skladna z vsebino PEKP, OU izda odločitev o podpori PT. </w:t>
      </w:r>
    </w:p>
    <w:p w14:paraId="46610F2E" w14:textId="77777777" w:rsidR="00A169E8" w:rsidRPr="0025033E" w:rsidRDefault="00A169E8" w:rsidP="009864BC">
      <w:pPr>
        <w:numPr>
          <w:ilvl w:val="0"/>
          <w:numId w:val="19"/>
        </w:numPr>
        <w:suppressAutoHyphens w:val="0"/>
        <w:autoSpaceDN/>
        <w:spacing w:after="0" w:line="288" w:lineRule="auto"/>
        <w:jc w:val="both"/>
        <w:rPr>
          <w:rFonts w:cs="Arial"/>
          <w:szCs w:val="20"/>
        </w:rPr>
      </w:pPr>
      <w:r w:rsidRPr="0025033E">
        <w:rPr>
          <w:rFonts w:cs="Arial"/>
          <w:b/>
          <w:szCs w:val="20"/>
        </w:rPr>
        <w:t xml:space="preserve">FAZA: </w:t>
      </w:r>
      <w:r w:rsidRPr="0025033E">
        <w:rPr>
          <w:rFonts w:cs="Arial"/>
          <w:szCs w:val="20"/>
        </w:rPr>
        <w:t xml:space="preserve">PT izvedejo postopke izbora (npr. objavijo javne razpise), dodelijo sredstva in sklenejo pogodbe o sofinanciranju z upravičenci, kar je podlaga za dejansko financiranje projektov iz sredstev EKP. </w:t>
      </w:r>
    </w:p>
    <w:p w14:paraId="1490305B" w14:textId="77777777" w:rsidR="00A169E8" w:rsidRPr="0025033E" w:rsidRDefault="00A169E8" w:rsidP="009864BC">
      <w:pPr>
        <w:numPr>
          <w:ilvl w:val="0"/>
          <w:numId w:val="19"/>
        </w:numPr>
        <w:suppressAutoHyphens w:val="0"/>
        <w:autoSpaceDN/>
        <w:spacing w:after="0" w:line="288" w:lineRule="auto"/>
        <w:jc w:val="both"/>
        <w:rPr>
          <w:rFonts w:cs="Arial"/>
          <w:szCs w:val="20"/>
        </w:rPr>
      </w:pPr>
      <w:r w:rsidRPr="0025033E">
        <w:rPr>
          <w:rFonts w:cs="Arial"/>
          <w:b/>
          <w:szCs w:val="20"/>
        </w:rPr>
        <w:t xml:space="preserve">FAZA: </w:t>
      </w:r>
      <w:r w:rsidRPr="0025033E">
        <w:rPr>
          <w:rFonts w:cs="Arial"/>
          <w:szCs w:val="20"/>
        </w:rPr>
        <w:t xml:space="preserve">izvedba projekta (upravičenec, izvajalci) v skladu s pogodbo o sofinanciranju. Za izvedene aktivnosti upravičenci PT izstavijo račune (zahtevke za izplačila, v nadaljnjem besedilu: ZZI), ki se nato plačajo (založijo) iz državnega proračuna. </w:t>
      </w:r>
    </w:p>
    <w:p w14:paraId="7A9BC1F6" w14:textId="77777777" w:rsidR="00A169E8" w:rsidRPr="0025033E" w:rsidRDefault="00A169E8" w:rsidP="009864BC">
      <w:pPr>
        <w:numPr>
          <w:ilvl w:val="0"/>
          <w:numId w:val="19"/>
        </w:numPr>
        <w:suppressAutoHyphens w:val="0"/>
        <w:autoSpaceDN/>
        <w:spacing w:after="0" w:line="288" w:lineRule="auto"/>
        <w:jc w:val="both"/>
        <w:rPr>
          <w:rFonts w:cs="Arial"/>
          <w:szCs w:val="20"/>
        </w:rPr>
      </w:pPr>
      <w:r w:rsidRPr="0025033E">
        <w:rPr>
          <w:rFonts w:cs="Arial"/>
          <w:b/>
          <w:szCs w:val="20"/>
        </w:rPr>
        <w:t xml:space="preserve">FAZA: </w:t>
      </w:r>
      <w:r w:rsidRPr="0025033E">
        <w:rPr>
          <w:rFonts w:cs="Arial"/>
          <w:szCs w:val="20"/>
        </w:rPr>
        <w:t xml:space="preserve">predstavlja prenos plačanih in preverjenih ZZI iz e-MA2 v informacijski sistem organa za </w:t>
      </w:r>
      <w:proofErr w:type="spellStart"/>
      <w:r w:rsidRPr="0025033E">
        <w:rPr>
          <w:rFonts w:cs="Arial"/>
          <w:szCs w:val="20"/>
        </w:rPr>
        <w:t>računovodenje</w:t>
      </w:r>
      <w:proofErr w:type="spellEnd"/>
      <w:r w:rsidRPr="0025033E">
        <w:rPr>
          <w:rFonts w:cs="Arial"/>
          <w:szCs w:val="20"/>
        </w:rPr>
        <w:t xml:space="preserve"> (e-CA). Organ za </w:t>
      </w:r>
      <w:proofErr w:type="spellStart"/>
      <w:r w:rsidRPr="0025033E">
        <w:rPr>
          <w:rFonts w:cs="Arial"/>
          <w:szCs w:val="20"/>
        </w:rPr>
        <w:t>računovodenje</w:t>
      </w:r>
      <w:proofErr w:type="spellEnd"/>
      <w:r w:rsidRPr="0025033E">
        <w:rPr>
          <w:rFonts w:cs="Arial"/>
          <w:szCs w:val="20"/>
        </w:rPr>
        <w:t xml:space="preserve"> pri MF ZZI-je pregleda, jih potrdi, izvede povračilo sredstev EU iz podračuna na Banki Slovenije v državni proračun in nato Evropski komisiji pošlje zahtevek za povračilo sredstev. Četrta faza predstavlja koriščenje sredstev.  </w:t>
      </w:r>
    </w:p>
    <w:p w14:paraId="446CEF55" w14:textId="77777777" w:rsidR="00A169E8" w:rsidRPr="0025033E" w:rsidRDefault="00A169E8" w:rsidP="009864BC">
      <w:pPr>
        <w:numPr>
          <w:ilvl w:val="0"/>
          <w:numId w:val="19"/>
        </w:numPr>
        <w:suppressAutoHyphens w:val="0"/>
        <w:autoSpaceDN/>
        <w:spacing w:after="0" w:line="288" w:lineRule="auto"/>
        <w:jc w:val="both"/>
        <w:rPr>
          <w:rFonts w:cs="Arial"/>
          <w:szCs w:val="20"/>
        </w:rPr>
      </w:pPr>
      <w:r w:rsidRPr="0025033E">
        <w:rPr>
          <w:rFonts w:cs="Arial"/>
          <w:b/>
          <w:szCs w:val="20"/>
        </w:rPr>
        <w:t xml:space="preserve">FAZA: </w:t>
      </w:r>
      <w:r w:rsidRPr="0025033E">
        <w:rPr>
          <w:rFonts w:cs="Arial"/>
          <w:szCs w:val="20"/>
        </w:rPr>
        <w:t xml:space="preserve">predstavlja preverjanje zahtevkov pri EK in plačilo sredstev iz proračuna EU na podračune pri Banki Slovenija. </w:t>
      </w:r>
    </w:p>
    <w:p w14:paraId="22265830" w14:textId="77777777" w:rsidR="00A169E8" w:rsidRPr="0025033E" w:rsidRDefault="00A169E8" w:rsidP="00ED5676">
      <w:pPr>
        <w:suppressAutoHyphens w:val="0"/>
        <w:autoSpaceDN/>
        <w:spacing w:after="0"/>
        <w:jc w:val="both"/>
        <w:rPr>
          <w:rFonts w:cs="Arial"/>
          <w:szCs w:val="20"/>
        </w:rPr>
      </w:pPr>
    </w:p>
    <w:p w14:paraId="61F2A566" w14:textId="77777777" w:rsidR="00A169E8" w:rsidRPr="0025033E" w:rsidRDefault="00A169E8" w:rsidP="00ED5676">
      <w:pPr>
        <w:spacing w:after="0"/>
        <w:jc w:val="both"/>
        <w:rPr>
          <w:rFonts w:cs="Arial"/>
          <w:szCs w:val="20"/>
          <w:lang w:eastAsia="zh-CN"/>
        </w:rPr>
        <w:sectPr w:rsidR="00A169E8" w:rsidRPr="0025033E" w:rsidSect="00014A15">
          <w:pgSz w:w="11906" w:h="16838" w:code="9"/>
          <w:pgMar w:top="1418" w:right="1418" w:bottom="1418" w:left="1418" w:header="709" w:footer="709" w:gutter="0"/>
          <w:cols w:space="708"/>
          <w:docGrid w:linePitch="272"/>
        </w:sectPr>
      </w:pPr>
      <w:r w:rsidRPr="0025033E">
        <w:rPr>
          <w:rFonts w:cs="Arial"/>
          <w:szCs w:val="20"/>
          <w:lang w:eastAsia="zh-CN"/>
        </w:rPr>
        <w:t>V tabeli 4 je predstavljen finančni napredek po skladih in po geografski upravičenosti za obdobje od 1. 1. 2021 do 31. 12. 2024 ter finančni napredek po posameznih fazah izvajanja EKP.</w:t>
      </w:r>
    </w:p>
    <w:p w14:paraId="0E0D0FB2" w14:textId="720B3568" w:rsidR="00A169E8" w:rsidRDefault="00A169E8" w:rsidP="00ED5676">
      <w:pPr>
        <w:pStyle w:val="Napis"/>
        <w:keepNext/>
        <w:spacing w:after="0"/>
        <w:jc w:val="both"/>
        <w:rPr>
          <w:rFonts w:cs="Arial"/>
          <w:b w:val="0"/>
          <w:bCs w:val="0"/>
        </w:rPr>
      </w:pPr>
      <w:bookmarkStart w:id="386" w:name="_Toc191386695"/>
      <w:r w:rsidRPr="0025033E">
        <w:rPr>
          <w:rFonts w:cs="Arial"/>
          <w:b w:val="0"/>
          <w:bCs w:val="0"/>
        </w:rPr>
        <w:lastRenderedPageBreak/>
        <w:t xml:space="preserve">Tabela </w:t>
      </w:r>
      <w:r w:rsidRPr="0025033E">
        <w:rPr>
          <w:rFonts w:cs="Arial"/>
          <w:b w:val="0"/>
          <w:bCs w:val="0"/>
        </w:rPr>
        <w:fldChar w:fldCharType="begin"/>
      </w:r>
      <w:r w:rsidRPr="0025033E">
        <w:rPr>
          <w:rFonts w:cs="Arial"/>
          <w:b w:val="0"/>
          <w:bCs w:val="0"/>
        </w:rPr>
        <w:instrText xml:space="preserve"> SEQ Tabela \* ARABIC </w:instrText>
      </w:r>
      <w:r w:rsidRPr="0025033E">
        <w:rPr>
          <w:rFonts w:cs="Arial"/>
          <w:b w:val="0"/>
          <w:bCs w:val="0"/>
        </w:rPr>
        <w:fldChar w:fldCharType="separate"/>
      </w:r>
      <w:r w:rsidR="00476D26" w:rsidRPr="0025033E">
        <w:rPr>
          <w:rFonts w:cs="Arial"/>
          <w:b w:val="0"/>
          <w:bCs w:val="0"/>
          <w:noProof/>
        </w:rPr>
        <w:t>4</w:t>
      </w:r>
      <w:r w:rsidRPr="0025033E">
        <w:rPr>
          <w:rFonts w:cs="Arial"/>
          <w:b w:val="0"/>
          <w:bCs w:val="0"/>
        </w:rPr>
        <w:fldChar w:fldCharType="end"/>
      </w:r>
      <w:r w:rsidRPr="0025033E">
        <w:rPr>
          <w:rFonts w:cs="Arial"/>
          <w:b w:val="0"/>
          <w:bCs w:val="0"/>
        </w:rPr>
        <w:t>: Stanje izvajanja Programa EKP 2021–2027 po skladih in regijah skupaj: obdobje od 1. 1. 2021 do 31. 12. 2024</w:t>
      </w:r>
      <w:bookmarkEnd w:id="386"/>
    </w:p>
    <w:p w14:paraId="0099D57A" w14:textId="77777777" w:rsidR="009173C9" w:rsidRPr="009173C9" w:rsidRDefault="009173C9" w:rsidP="009173C9">
      <w:pPr>
        <w:spacing w:after="0"/>
      </w:pPr>
    </w:p>
    <w:tbl>
      <w:tblPr>
        <w:tblW w:w="13903" w:type="dxa"/>
        <w:tblCellMar>
          <w:left w:w="70" w:type="dxa"/>
          <w:right w:w="70" w:type="dxa"/>
        </w:tblCellMar>
        <w:tblLook w:val="04A0" w:firstRow="1" w:lastRow="0" w:firstColumn="1" w:lastColumn="0" w:noHBand="0" w:noVBand="1"/>
      </w:tblPr>
      <w:tblGrid>
        <w:gridCol w:w="1358"/>
        <w:gridCol w:w="1774"/>
        <w:gridCol w:w="2049"/>
        <w:gridCol w:w="1888"/>
        <w:gridCol w:w="1012"/>
        <w:gridCol w:w="1864"/>
        <w:gridCol w:w="1104"/>
        <w:gridCol w:w="1772"/>
        <w:gridCol w:w="1082"/>
      </w:tblGrid>
      <w:tr w:rsidR="00A169E8" w:rsidRPr="007A0101" w14:paraId="19BDD557" w14:textId="77777777" w:rsidTr="00813DA2">
        <w:trPr>
          <w:trHeight w:val="341"/>
        </w:trPr>
        <w:tc>
          <w:tcPr>
            <w:tcW w:w="1358"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7F40B46"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Sklad</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8616F98"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Regija</w:t>
            </w:r>
          </w:p>
        </w:tc>
        <w:tc>
          <w:tcPr>
            <w:tcW w:w="2049"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D02FB06"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Pravice porabe brez tehnične pomoči</w:t>
            </w:r>
          </w:p>
        </w:tc>
        <w:tc>
          <w:tcPr>
            <w:tcW w:w="2900" w:type="dxa"/>
            <w:gridSpan w:val="2"/>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6650918"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A</w:t>
            </w:r>
          </w:p>
        </w:tc>
        <w:tc>
          <w:tcPr>
            <w:tcW w:w="2968" w:type="dxa"/>
            <w:gridSpan w:val="2"/>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D1AB77B"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B</w:t>
            </w:r>
          </w:p>
        </w:tc>
        <w:tc>
          <w:tcPr>
            <w:tcW w:w="2854" w:type="dxa"/>
            <w:gridSpan w:val="2"/>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04FDDAC1"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C</w:t>
            </w:r>
          </w:p>
        </w:tc>
      </w:tr>
      <w:tr w:rsidR="00A169E8" w:rsidRPr="007A0101" w14:paraId="2DBFBDF3" w14:textId="77777777" w:rsidTr="00813DA2">
        <w:trPr>
          <w:trHeight w:val="485"/>
        </w:trPr>
        <w:tc>
          <w:tcPr>
            <w:tcW w:w="1358"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2AE1910" w14:textId="77777777" w:rsidR="00A169E8" w:rsidRPr="007A0101" w:rsidRDefault="00A169E8" w:rsidP="00ED5676">
            <w:pPr>
              <w:spacing w:after="0" w:line="240" w:lineRule="auto"/>
              <w:jc w:val="both"/>
              <w:rPr>
                <w:rFonts w:cs="Arial"/>
                <w:b/>
                <w:bCs/>
                <w:color w:val="000000"/>
                <w:szCs w:val="20"/>
              </w:rPr>
            </w:pPr>
          </w:p>
        </w:tc>
        <w:tc>
          <w:tcPr>
            <w:tcW w:w="1774"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C0445F8" w14:textId="77777777" w:rsidR="00A169E8" w:rsidRPr="007A0101" w:rsidRDefault="00A169E8" w:rsidP="00ED5676">
            <w:pPr>
              <w:spacing w:after="0" w:line="240" w:lineRule="auto"/>
              <w:jc w:val="both"/>
              <w:rPr>
                <w:rFonts w:cs="Arial"/>
                <w:b/>
                <w:bCs/>
                <w:color w:val="000000"/>
                <w:szCs w:val="20"/>
              </w:rPr>
            </w:pPr>
          </w:p>
        </w:tc>
        <w:tc>
          <w:tcPr>
            <w:tcW w:w="2049"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FCF5B1" w14:textId="77777777" w:rsidR="00A169E8" w:rsidRPr="007A0101" w:rsidRDefault="00A169E8" w:rsidP="00ED5676">
            <w:pPr>
              <w:spacing w:after="0" w:line="240" w:lineRule="auto"/>
              <w:jc w:val="both"/>
              <w:rPr>
                <w:rFonts w:cs="Arial"/>
                <w:b/>
                <w:bCs/>
                <w:color w:val="000000"/>
                <w:szCs w:val="20"/>
              </w:rPr>
            </w:pPr>
          </w:p>
        </w:tc>
        <w:tc>
          <w:tcPr>
            <w:tcW w:w="2900" w:type="dxa"/>
            <w:gridSpan w:val="2"/>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56A3C6C"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Odločitve o podpori 31.12.2024</w:t>
            </w:r>
          </w:p>
        </w:tc>
        <w:tc>
          <w:tcPr>
            <w:tcW w:w="2968" w:type="dxa"/>
            <w:gridSpan w:val="2"/>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079CF320"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Potrjene operacije 31.12.2024</w:t>
            </w:r>
          </w:p>
        </w:tc>
        <w:tc>
          <w:tcPr>
            <w:tcW w:w="2854" w:type="dxa"/>
            <w:gridSpan w:val="2"/>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2B27B7B7"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 xml:space="preserve">Izplačila iz DP 31.12.2024 </w:t>
            </w:r>
          </w:p>
        </w:tc>
      </w:tr>
      <w:tr w:rsidR="00A169E8" w:rsidRPr="007A0101" w14:paraId="2E149D90" w14:textId="77777777" w:rsidTr="00813DA2">
        <w:trPr>
          <w:trHeight w:val="269"/>
        </w:trPr>
        <w:tc>
          <w:tcPr>
            <w:tcW w:w="1358"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FE6DE48" w14:textId="77777777" w:rsidR="00A169E8" w:rsidRPr="007A0101" w:rsidRDefault="00A169E8" w:rsidP="00ED5676">
            <w:pPr>
              <w:spacing w:after="0" w:line="240" w:lineRule="auto"/>
              <w:jc w:val="both"/>
              <w:rPr>
                <w:rFonts w:cs="Arial"/>
                <w:b/>
                <w:bCs/>
                <w:color w:val="000000"/>
                <w:szCs w:val="20"/>
              </w:rPr>
            </w:pPr>
          </w:p>
        </w:tc>
        <w:tc>
          <w:tcPr>
            <w:tcW w:w="1774"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6EA432D" w14:textId="77777777" w:rsidR="00A169E8" w:rsidRPr="007A0101" w:rsidRDefault="00A169E8" w:rsidP="00ED5676">
            <w:pPr>
              <w:spacing w:after="0" w:line="240" w:lineRule="auto"/>
              <w:jc w:val="both"/>
              <w:rPr>
                <w:rFonts w:cs="Arial"/>
                <w:b/>
                <w:bCs/>
                <w:color w:val="000000"/>
                <w:szCs w:val="20"/>
              </w:rPr>
            </w:pPr>
          </w:p>
        </w:tc>
        <w:tc>
          <w:tcPr>
            <w:tcW w:w="2049" w:type="dxa"/>
            <w:vMerge w:val="restart"/>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41FF914"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EU del (EUR)</w:t>
            </w:r>
          </w:p>
        </w:tc>
        <w:tc>
          <w:tcPr>
            <w:tcW w:w="1888" w:type="dxa"/>
            <w:vMerge w:val="restart"/>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9A34509"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EU del (EUR)</w:t>
            </w:r>
          </w:p>
        </w:tc>
        <w:tc>
          <w:tcPr>
            <w:tcW w:w="1012" w:type="dxa"/>
            <w:tcBorders>
              <w:top w:val="nil"/>
              <w:left w:val="nil"/>
              <w:bottom w:val="single" w:sz="4" w:space="0" w:color="auto"/>
              <w:right w:val="single" w:sz="4" w:space="0" w:color="auto"/>
            </w:tcBorders>
            <w:shd w:val="clear" w:color="auto" w:fill="DEEAF6" w:themeFill="accent5" w:themeFillTint="33"/>
            <w:vAlign w:val="center"/>
            <w:hideMark/>
          </w:tcPr>
          <w:p w14:paraId="079C6322"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 EU del</w:t>
            </w:r>
          </w:p>
        </w:tc>
        <w:tc>
          <w:tcPr>
            <w:tcW w:w="1864" w:type="dxa"/>
            <w:vMerge w:val="restart"/>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1593C261"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EU del (EUR)</w:t>
            </w:r>
          </w:p>
        </w:tc>
        <w:tc>
          <w:tcPr>
            <w:tcW w:w="1104" w:type="dxa"/>
            <w:tcBorders>
              <w:top w:val="nil"/>
              <w:left w:val="nil"/>
              <w:bottom w:val="single" w:sz="4" w:space="0" w:color="auto"/>
              <w:right w:val="single" w:sz="4" w:space="0" w:color="auto"/>
            </w:tcBorders>
            <w:shd w:val="clear" w:color="auto" w:fill="DEEAF6" w:themeFill="accent5" w:themeFillTint="33"/>
            <w:vAlign w:val="center"/>
            <w:hideMark/>
          </w:tcPr>
          <w:p w14:paraId="6094D176"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 EU del</w:t>
            </w:r>
          </w:p>
        </w:tc>
        <w:tc>
          <w:tcPr>
            <w:tcW w:w="1772" w:type="dxa"/>
            <w:vMerge w:val="restart"/>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8348DFC"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EU del (EUR)</w:t>
            </w:r>
          </w:p>
        </w:tc>
        <w:tc>
          <w:tcPr>
            <w:tcW w:w="1082" w:type="dxa"/>
            <w:tcBorders>
              <w:top w:val="nil"/>
              <w:left w:val="nil"/>
              <w:bottom w:val="single" w:sz="4" w:space="0" w:color="auto"/>
              <w:right w:val="single" w:sz="4" w:space="0" w:color="auto"/>
            </w:tcBorders>
            <w:shd w:val="clear" w:color="auto" w:fill="DEEAF6" w:themeFill="accent5" w:themeFillTint="33"/>
            <w:vAlign w:val="center"/>
            <w:hideMark/>
          </w:tcPr>
          <w:p w14:paraId="2337C887"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 EU del</w:t>
            </w:r>
          </w:p>
        </w:tc>
      </w:tr>
      <w:tr w:rsidR="00A169E8" w:rsidRPr="007A0101" w14:paraId="194C2337" w14:textId="77777777" w:rsidTr="00813DA2">
        <w:trPr>
          <w:trHeight w:val="269"/>
        </w:trPr>
        <w:tc>
          <w:tcPr>
            <w:tcW w:w="1358"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7ED71D4" w14:textId="77777777" w:rsidR="00A169E8" w:rsidRPr="007A0101" w:rsidRDefault="00A169E8" w:rsidP="00ED5676">
            <w:pPr>
              <w:spacing w:after="0" w:line="240" w:lineRule="auto"/>
              <w:jc w:val="both"/>
              <w:rPr>
                <w:rFonts w:cs="Arial"/>
                <w:b/>
                <w:bCs/>
                <w:color w:val="000000"/>
                <w:szCs w:val="20"/>
              </w:rPr>
            </w:pPr>
          </w:p>
        </w:tc>
        <w:tc>
          <w:tcPr>
            <w:tcW w:w="1774"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34CE06" w14:textId="77777777" w:rsidR="00A169E8" w:rsidRPr="007A0101" w:rsidRDefault="00A169E8" w:rsidP="00ED5676">
            <w:pPr>
              <w:spacing w:after="0" w:line="240" w:lineRule="auto"/>
              <w:jc w:val="both"/>
              <w:rPr>
                <w:rFonts w:cs="Arial"/>
                <w:b/>
                <w:bCs/>
                <w:color w:val="000000"/>
                <w:szCs w:val="20"/>
              </w:rPr>
            </w:pPr>
          </w:p>
        </w:tc>
        <w:tc>
          <w:tcPr>
            <w:tcW w:w="2049" w:type="dxa"/>
            <w:vMerge/>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53D08742" w14:textId="77777777" w:rsidR="00A169E8" w:rsidRPr="007A0101" w:rsidRDefault="00A169E8" w:rsidP="00ED5676">
            <w:pPr>
              <w:spacing w:after="0" w:line="240" w:lineRule="auto"/>
              <w:jc w:val="both"/>
              <w:rPr>
                <w:rFonts w:cs="Arial"/>
                <w:color w:val="000000"/>
                <w:szCs w:val="20"/>
              </w:rPr>
            </w:pPr>
          </w:p>
        </w:tc>
        <w:tc>
          <w:tcPr>
            <w:tcW w:w="1888" w:type="dxa"/>
            <w:vMerge/>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01E1C8F8" w14:textId="77777777" w:rsidR="00A169E8" w:rsidRPr="007A0101" w:rsidRDefault="00A169E8" w:rsidP="00ED5676">
            <w:pPr>
              <w:spacing w:after="0" w:line="240" w:lineRule="auto"/>
              <w:jc w:val="both"/>
              <w:rPr>
                <w:rFonts w:cs="Arial"/>
                <w:color w:val="000000"/>
                <w:szCs w:val="20"/>
              </w:rPr>
            </w:pPr>
          </w:p>
        </w:tc>
        <w:tc>
          <w:tcPr>
            <w:tcW w:w="1012" w:type="dxa"/>
            <w:tcBorders>
              <w:top w:val="nil"/>
              <w:left w:val="nil"/>
              <w:bottom w:val="single" w:sz="4" w:space="0" w:color="auto"/>
              <w:right w:val="single" w:sz="4" w:space="0" w:color="auto"/>
            </w:tcBorders>
            <w:shd w:val="clear" w:color="auto" w:fill="DEEAF6" w:themeFill="accent5" w:themeFillTint="33"/>
            <w:vAlign w:val="center"/>
            <w:hideMark/>
          </w:tcPr>
          <w:p w14:paraId="4DE78B57"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4/3*100</w:t>
            </w:r>
          </w:p>
        </w:tc>
        <w:tc>
          <w:tcPr>
            <w:tcW w:w="1864" w:type="dxa"/>
            <w:vMerge/>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6D959C1" w14:textId="77777777" w:rsidR="00A169E8" w:rsidRPr="007A0101" w:rsidRDefault="00A169E8" w:rsidP="00ED5676">
            <w:pPr>
              <w:spacing w:after="0" w:line="240" w:lineRule="auto"/>
              <w:jc w:val="both"/>
              <w:rPr>
                <w:rFonts w:cs="Arial"/>
                <w:color w:val="000000"/>
                <w:szCs w:val="20"/>
              </w:rPr>
            </w:pPr>
          </w:p>
        </w:tc>
        <w:tc>
          <w:tcPr>
            <w:tcW w:w="1104" w:type="dxa"/>
            <w:tcBorders>
              <w:top w:val="nil"/>
              <w:left w:val="nil"/>
              <w:bottom w:val="single" w:sz="4" w:space="0" w:color="auto"/>
              <w:right w:val="single" w:sz="4" w:space="0" w:color="auto"/>
            </w:tcBorders>
            <w:shd w:val="clear" w:color="auto" w:fill="DEEAF6" w:themeFill="accent5" w:themeFillTint="33"/>
            <w:vAlign w:val="center"/>
            <w:hideMark/>
          </w:tcPr>
          <w:p w14:paraId="1B552718"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6/3*100</w:t>
            </w:r>
          </w:p>
        </w:tc>
        <w:tc>
          <w:tcPr>
            <w:tcW w:w="1772" w:type="dxa"/>
            <w:vMerge/>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CC97F5D" w14:textId="77777777" w:rsidR="00A169E8" w:rsidRPr="007A0101" w:rsidRDefault="00A169E8" w:rsidP="00ED5676">
            <w:pPr>
              <w:spacing w:after="0" w:line="240" w:lineRule="auto"/>
              <w:jc w:val="both"/>
              <w:rPr>
                <w:rFonts w:cs="Arial"/>
                <w:color w:val="000000"/>
                <w:szCs w:val="20"/>
              </w:rPr>
            </w:pPr>
          </w:p>
        </w:tc>
        <w:tc>
          <w:tcPr>
            <w:tcW w:w="1082" w:type="dxa"/>
            <w:tcBorders>
              <w:top w:val="nil"/>
              <w:left w:val="nil"/>
              <w:bottom w:val="single" w:sz="4" w:space="0" w:color="auto"/>
              <w:right w:val="single" w:sz="4" w:space="0" w:color="auto"/>
            </w:tcBorders>
            <w:shd w:val="clear" w:color="auto" w:fill="DEEAF6" w:themeFill="accent5" w:themeFillTint="33"/>
            <w:vAlign w:val="center"/>
            <w:hideMark/>
          </w:tcPr>
          <w:p w14:paraId="4927DCBD"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8/3*100</w:t>
            </w:r>
          </w:p>
        </w:tc>
      </w:tr>
      <w:tr w:rsidR="00A169E8" w:rsidRPr="00006EC3" w14:paraId="580FF91B" w14:textId="77777777" w:rsidTr="00813DA2">
        <w:trPr>
          <w:trHeight w:val="70"/>
        </w:trPr>
        <w:tc>
          <w:tcPr>
            <w:tcW w:w="1358"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18EFC5AE" w14:textId="77777777" w:rsidR="00A169E8" w:rsidRPr="00006EC3" w:rsidRDefault="00A169E8" w:rsidP="00ED5676">
            <w:pPr>
              <w:spacing w:after="0" w:line="240" w:lineRule="auto"/>
              <w:jc w:val="both"/>
              <w:rPr>
                <w:rFonts w:cs="Arial"/>
                <w:color w:val="000000"/>
                <w:sz w:val="16"/>
                <w:szCs w:val="16"/>
              </w:rPr>
            </w:pPr>
            <w:r w:rsidRPr="00006EC3">
              <w:rPr>
                <w:rFonts w:cs="Arial"/>
                <w:color w:val="000000"/>
                <w:sz w:val="16"/>
                <w:szCs w:val="16"/>
              </w:rPr>
              <w:t>1</w:t>
            </w:r>
          </w:p>
        </w:tc>
        <w:tc>
          <w:tcPr>
            <w:tcW w:w="1774" w:type="dxa"/>
            <w:tcBorders>
              <w:top w:val="nil"/>
              <w:left w:val="nil"/>
              <w:bottom w:val="single" w:sz="4" w:space="0" w:color="auto"/>
              <w:right w:val="single" w:sz="4" w:space="0" w:color="auto"/>
            </w:tcBorders>
            <w:shd w:val="clear" w:color="auto" w:fill="DEEAF6" w:themeFill="accent5" w:themeFillTint="33"/>
            <w:vAlign w:val="center"/>
            <w:hideMark/>
          </w:tcPr>
          <w:p w14:paraId="417F6FBD" w14:textId="77777777" w:rsidR="00A169E8" w:rsidRPr="00006EC3" w:rsidRDefault="00A169E8" w:rsidP="00ED5676">
            <w:pPr>
              <w:spacing w:after="0" w:line="240" w:lineRule="auto"/>
              <w:jc w:val="both"/>
              <w:rPr>
                <w:rFonts w:cs="Arial"/>
                <w:color w:val="000000"/>
                <w:sz w:val="16"/>
                <w:szCs w:val="16"/>
              </w:rPr>
            </w:pPr>
            <w:r w:rsidRPr="00006EC3">
              <w:rPr>
                <w:rFonts w:cs="Arial"/>
                <w:color w:val="000000"/>
                <w:sz w:val="16"/>
                <w:szCs w:val="16"/>
              </w:rPr>
              <w:t>2</w:t>
            </w:r>
          </w:p>
        </w:tc>
        <w:tc>
          <w:tcPr>
            <w:tcW w:w="2049" w:type="dxa"/>
            <w:tcBorders>
              <w:top w:val="nil"/>
              <w:left w:val="nil"/>
              <w:bottom w:val="single" w:sz="4" w:space="0" w:color="auto"/>
              <w:right w:val="single" w:sz="4" w:space="0" w:color="auto"/>
            </w:tcBorders>
            <w:shd w:val="clear" w:color="auto" w:fill="DEEAF6" w:themeFill="accent5" w:themeFillTint="33"/>
            <w:vAlign w:val="center"/>
            <w:hideMark/>
          </w:tcPr>
          <w:p w14:paraId="50EE8318" w14:textId="77777777" w:rsidR="00A169E8" w:rsidRPr="00006EC3" w:rsidRDefault="00A169E8" w:rsidP="00ED5676">
            <w:pPr>
              <w:spacing w:after="0" w:line="240" w:lineRule="auto"/>
              <w:jc w:val="both"/>
              <w:rPr>
                <w:rFonts w:cs="Arial"/>
                <w:color w:val="000000"/>
                <w:sz w:val="16"/>
                <w:szCs w:val="16"/>
              </w:rPr>
            </w:pPr>
            <w:r w:rsidRPr="00006EC3">
              <w:rPr>
                <w:rFonts w:cs="Arial"/>
                <w:color w:val="000000"/>
                <w:sz w:val="16"/>
                <w:szCs w:val="16"/>
              </w:rPr>
              <w:t>3</w:t>
            </w:r>
          </w:p>
        </w:tc>
        <w:tc>
          <w:tcPr>
            <w:tcW w:w="1888" w:type="dxa"/>
            <w:tcBorders>
              <w:top w:val="nil"/>
              <w:left w:val="nil"/>
              <w:bottom w:val="single" w:sz="4" w:space="0" w:color="auto"/>
              <w:right w:val="single" w:sz="4" w:space="0" w:color="auto"/>
            </w:tcBorders>
            <w:shd w:val="clear" w:color="auto" w:fill="DEEAF6" w:themeFill="accent5" w:themeFillTint="33"/>
            <w:vAlign w:val="center"/>
            <w:hideMark/>
          </w:tcPr>
          <w:p w14:paraId="69281CF6" w14:textId="77777777" w:rsidR="00A169E8" w:rsidRPr="00006EC3" w:rsidRDefault="00A169E8" w:rsidP="00ED5676">
            <w:pPr>
              <w:spacing w:after="0" w:line="240" w:lineRule="auto"/>
              <w:jc w:val="both"/>
              <w:rPr>
                <w:rFonts w:cs="Arial"/>
                <w:color w:val="000000"/>
                <w:sz w:val="16"/>
                <w:szCs w:val="16"/>
              </w:rPr>
            </w:pPr>
            <w:r w:rsidRPr="00006EC3">
              <w:rPr>
                <w:rFonts w:cs="Arial"/>
                <w:color w:val="000000"/>
                <w:sz w:val="16"/>
                <w:szCs w:val="16"/>
              </w:rPr>
              <w:t>4</w:t>
            </w:r>
          </w:p>
        </w:tc>
        <w:tc>
          <w:tcPr>
            <w:tcW w:w="1012" w:type="dxa"/>
            <w:tcBorders>
              <w:top w:val="nil"/>
              <w:left w:val="nil"/>
              <w:bottom w:val="single" w:sz="4" w:space="0" w:color="auto"/>
              <w:right w:val="single" w:sz="4" w:space="0" w:color="auto"/>
            </w:tcBorders>
            <w:shd w:val="clear" w:color="auto" w:fill="DEEAF6" w:themeFill="accent5" w:themeFillTint="33"/>
            <w:vAlign w:val="center"/>
            <w:hideMark/>
          </w:tcPr>
          <w:p w14:paraId="42EC0320" w14:textId="77777777" w:rsidR="00A169E8" w:rsidRPr="00006EC3" w:rsidRDefault="00A169E8" w:rsidP="00ED5676">
            <w:pPr>
              <w:spacing w:after="0" w:line="240" w:lineRule="auto"/>
              <w:jc w:val="both"/>
              <w:rPr>
                <w:rFonts w:cs="Arial"/>
                <w:color w:val="000000"/>
                <w:sz w:val="16"/>
                <w:szCs w:val="16"/>
              </w:rPr>
            </w:pPr>
            <w:r w:rsidRPr="00006EC3">
              <w:rPr>
                <w:rFonts w:cs="Arial"/>
                <w:color w:val="000000"/>
                <w:sz w:val="16"/>
                <w:szCs w:val="16"/>
              </w:rPr>
              <w:t>5</w:t>
            </w:r>
          </w:p>
        </w:tc>
        <w:tc>
          <w:tcPr>
            <w:tcW w:w="1864" w:type="dxa"/>
            <w:tcBorders>
              <w:top w:val="nil"/>
              <w:left w:val="nil"/>
              <w:bottom w:val="single" w:sz="4" w:space="0" w:color="auto"/>
              <w:right w:val="single" w:sz="4" w:space="0" w:color="auto"/>
            </w:tcBorders>
            <w:shd w:val="clear" w:color="auto" w:fill="DEEAF6" w:themeFill="accent5" w:themeFillTint="33"/>
            <w:vAlign w:val="center"/>
            <w:hideMark/>
          </w:tcPr>
          <w:p w14:paraId="7340C2D5" w14:textId="77777777" w:rsidR="00A169E8" w:rsidRPr="00006EC3" w:rsidRDefault="00A169E8" w:rsidP="00ED5676">
            <w:pPr>
              <w:spacing w:after="0" w:line="240" w:lineRule="auto"/>
              <w:jc w:val="both"/>
              <w:rPr>
                <w:rFonts w:cs="Arial"/>
                <w:color w:val="000000"/>
                <w:sz w:val="16"/>
                <w:szCs w:val="16"/>
              </w:rPr>
            </w:pPr>
            <w:r w:rsidRPr="00006EC3">
              <w:rPr>
                <w:rFonts w:cs="Arial"/>
                <w:color w:val="000000"/>
                <w:sz w:val="16"/>
                <w:szCs w:val="16"/>
              </w:rPr>
              <w:t>6</w:t>
            </w:r>
          </w:p>
        </w:tc>
        <w:tc>
          <w:tcPr>
            <w:tcW w:w="1104" w:type="dxa"/>
            <w:tcBorders>
              <w:top w:val="nil"/>
              <w:left w:val="nil"/>
              <w:bottom w:val="single" w:sz="4" w:space="0" w:color="auto"/>
              <w:right w:val="single" w:sz="4" w:space="0" w:color="auto"/>
            </w:tcBorders>
            <w:shd w:val="clear" w:color="auto" w:fill="DEEAF6" w:themeFill="accent5" w:themeFillTint="33"/>
            <w:vAlign w:val="center"/>
            <w:hideMark/>
          </w:tcPr>
          <w:p w14:paraId="167F47EA" w14:textId="77777777" w:rsidR="00A169E8" w:rsidRPr="00006EC3" w:rsidRDefault="00A169E8" w:rsidP="00ED5676">
            <w:pPr>
              <w:spacing w:after="0" w:line="240" w:lineRule="auto"/>
              <w:jc w:val="both"/>
              <w:rPr>
                <w:rFonts w:cs="Arial"/>
                <w:color w:val="000000"/>
                <w:sz w:val="16"/>
                <w:szCs w:val="16"/>
              </w:rPr>
            </w:pPr>
            <w:r w:rsidRPr="00006EC3">
              <w:rPr>
                <w:rFonts w:cs="Arial"/>
                <w:color w:val="000000"/>
                <w:sz w:val="16"/>
                <w:szCs w:val="16"/>
              </w:rPr>
              <w:t>7</w:t>
            </w:r>
          </w:p>
        </w:tc>
        <w:tc>
          <w:tcPr>
            <w:tcW w:w="1772" w:type="dxa"/>
            <w:tcBorders>
              <w:top w:val="nil"/>
              <w:left w:val="nil"/>
              <w:bottom w:val="single" w:sz="4" w:space="0" w:color="auto"/>
              <w:right w:val="single" w:sz="4" w:space="0" w:color="auto"/>
            </w:tcBorders>
            <w:shd w:val="clear" w:color="auto" w:fill="DEEAF6" w:themeFill="accent5" w:themeFillTint="33"/>
            <w:vAlign w:val="center"/>
            <w:hideMark/>
          </w:tcPr>
          <w:p w14:paraId="2BF68A17" w14:textId="77777777" w:rsidR="00A169E8" w:rsidRPr="00006EC3" w:rsidRDefault="00A169E8" w:rsidP="00ED5676">
            <w:pPr>
              <w:spacing w:after="0" w:line="240" w:lineRule="auto"/>
              <w:jc w:val="both"/>
              <w:rPr>
                <w:rFonts w:cs="Arial"/>
                <w:color w:val="000000"/>
                <w:sz w:val="16"/>
                <w:szCs w:val="16"/>
              </w:rPr>
            </w:pPr>
            <w:r w:rsidRPr="00006EC3">
              <w:rPr>
                <w:rFonts w:cs="Arial"/>
                <w:color w:val="000000"/>
                <w:sz w:val="16"/>
                <w:szCs w:val="16"/>
              </w:rPr>
              <w:t>8</w:t>
            </w:r>
          </w:p>
        </w:tc>
        <w:tc>
          <w:tcPr>
            <w:tcW w:w="1082" w:type="dxa"/>
            <w:tcBorders>
              <w:top w:val="nil"/>
              <w:left w:val="nil"/>
              <w:bottom w:val="single" w:sz="4" w:space="0" w:color="auto"/>
              <w:right w:val="single" w:sz="4" w:space="0" w:color="auto"/>
            </w:tcBorders>
            <w:shd w:val="clear" w:color="auto" w:fill="DEEAF6" w:themeFill="accent5" w:themeFillTint="33"/>
            <w:vAlign w:val="center"/>
            <w:hideMark/>
          </w:tcPr>
          <w:p w14:paraId="2C1C6308" w14:textId="77777777" w:rsidR="00A169E8" w:rsidRPr="00006EC3" w:rsidRDefault="00A169E8" w:rsidP="00ED5676">
            <w:pPr>
              <w:spacing w:after="0" w:line="240" w:lineRule="auto"/>
              <w:jc w:val="both"/>
              <w:rPr>
                <w:rFonts w:cs="Arial"/>
                <w:color w:val="000000"/>
                <w:sz w:val="16"/>
                <w:szCs w:val="16"/>
              </w:rPr>
            </w:pPr>
            <w:r w:rsidRPr="00006EC3">
              <w:rPr>
                <w:rFonts w:cs="Arial"/>
                <w:color w:val="000000"/>
                <w:sz w:val="16"/>
                <w:szCs w:val="16"/>
              </w:rPr>
              <w:t>9</w:t>
            </w:r>
          </w:p>
        </w:tc>
      </w:tr>
      <w:tr w:rsidR="00A169E8" w:rsidRPr="007A0101" w14:paraId="7DBF6F39" w14:textId="77777777" w:rsidTr="00A169E8">
        <w:trPr>
          <w:trHeight w:val="360"/>
        </w:trPr>
        <w:tc>
          <w:tcPr>
            <w:tcW w:w="1358" w:type="dxa"/>
            <w:vMerge w:val="restart"/>
            <w:tcBorders>
              <w:top w:val="nil"/>
              <w:left w:val="single" w:sz="4" w:space="0" w:color="auto"/>
              <w:bottom w:val="single" w:sz="4" w:space="0" w:color="auto"/>
              <w:right w:val="single" w:sz="4" w:space="0" w:color="auto"/>
            </w:tcBorders>
            <w:shd w:val="clear" w:color="auto" w:fill="auto"/>
            <w:vAlign w:val="center"/>
            <w:hideMark/>
          </w:tcPr>
          <w:p w14:paraId="77D45A6B"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ESRR</w:t>
            </w:r>
          </w:p>
        </w:tc>
        <w:tc>
          <w:tcPr>
            <w:tcW w:w="1774" w:type="dxa"/>
            <w:tcBorders>
              <w:top w:val="nil"/>
              <w:left w:val="nil"/>
              <w:bottom w:val="single" w:sz="4" w:space="0" w:color="auto"/>
              <w:right w:val="single" w:sz="4" w:space="0" w:color="auto"/>
            </w:tcBorders>
            <w:shd w:val="clear" w:color="auto" w:fill="auto"/>
            <w:noWrap/>
            <w:vAlign w:val="center"/>
            <w:hideMark/>
          </w:tcPr>
          <w:p w14:paraId="289DC45E"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Zahod</w:t>
            </w:r>
          </w:p>
        </w:tc>
        <w:tc>
          <w:tcPr>
            <w:tcW w:w="2049" w:type="dxa"/>
            <w:tcBorders>
              <w:top w:val="nil"/>
              <w:left w:val="nil"/>
              <w:bottom w:val="single" w:sz="4" w:space="0" w:color="auto"/>
              <w:right w:val="single" w:sz="4" w:space="0" w:color="auto"/>
            </w:tcBorders>
            <w:shd w:val="clear" w:color="auto" w:fill="auto"/>
            <w:noWrap/>
            <w:vAlign w:val="center"/>
            <w:hideMark/>
          </w:tcPr>
          <w:p w14:paraId="4783099D"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370.648.766</w:t>
            </w:r>
          </w:p>
        </w:tc>
        <w:tc>
          <w:tcPr>
            <w:tcW w:w="1888" w:type="dxa"/>
            <w:tcBorders>
              <w:top w:val="nil"/>
              <w:left w:val="nil"/>
              <w:bottom w:val="single" w:sz="4" w:space="0" w:color="auto"/>
              <w:right w:val="single" w:sz="4" w:space="0" w:color="auto"/>
            </w:tcBorders>
            <w:shd w:val="clear" w:color="auto" w:fill="auto"/>
            <w:noWrap/>
            <w:vAlign w:val="center"/>
            <w:hideMark/>
          </w:tcPr>
          <w:p w14:paraId="0914A01C"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50.111.280</w:t>
            </w:r>
          </w:p>
        </w:tc>
        <w:tc>
          <w:tcPr>
            <w:tcW w:w="1012" w:type="dxa"/>
            <w:tcBorders>
              <w:top w:val="nil"/>
              <w:left w:val="nil"/>
              <w:bottom w:val="single" w:sz="4" w:space="0" w:color="auto"/>
              <w:right w:val="single" w:sz="4" w:space="0" w:color="auto"/>
            </w:tcBorders>
            <w:shd w:val="clear" w:color="auto" w:fill="auto"/>
            <w:noWrap/>
            <w:vAlign w:val="center"/>
            <w:hideMark/>
          </w:tcPr>
          <w:p w14:paraId="774EFE00"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14%</w:t>
            </w:r>
          </w:p>
        </w:tc>
        <w:tc>
          <w:tcPr>
            <w:tcW w:w="1864" w:type="dxa"/>
            <w:tcBorders>
              <w:top w:val="nil"/>
              <w:left w:val="nil"/>
              <w:bottom w:val="single" w:sz="4" w:space="0" w:color="auto"/>
              <w:right w:val="single" w:sz="4" w:space="0" w:color="auto"/>
            </w:tcBorders>
            <w:shd w:val="clear" w:color="auto" w:fill="auto"/>
            <w:noWrap/>
            <w:vAlign w:val="center"/>
            <w:hideMark/>
          </w:tcPr>
          <w:p w14:paraId="2C73502B"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33.256.751</w:t>
            </w:r>
          </w:p>
        </w:tc>
        <w:tc>
          <w:tcPr>
            <w:tcW w:w="1104" w:type="dxa"/>
            <w:tcBorders>
              <w:top w:val="nil"/>
              <w:left w:val="nil"/>
              <w:bottom w:val="single" w:sz="4" w:space="0" w:color="auto"/>
              <w:right w:val="single" w:sz="4" w:space="0" w:color="auto"/>
            </w:tcBorders>
            <w:shd w:val="clear" w:color="auto" w:fill="auto"/>
            <w:noWrap/>
            <w:vAlign w:val="center"/>
            <w:hideMark/>
          </w:tcPr>
          <w:p w14:paraId="5ED7595C"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9%</w:t>
            </w:r>
          </w:p>
        </w:tc>
        <w:tc>
          <w:tcPr>
            <w:tcW w:w="1772" w:type="dxa"/>
            <w:tcBorders>
              <w:top w:val="nil"/>
              <w:left w:val="nil"/>
              <w:bottom w:val="single" w:sz="4" w:space="0" w:color="auto"/>
              <w:right w:val="single" w:sz="4" w:space="0" w:color="auto"/>
            </w:tcBorders>
            <w:shd w:val="clear" w:color="auto" w:fill="auto"/>
            <w:vAlign w:val="center"/>
            <w:hideMark/>
          </w:tcPr>
          <w:p w14:paraId="068C132A"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6.026.419</w:t>
            </w:r>
          </w:p>
        </w:tc>
        <w:tc>
          <w:tcPr>
            <w:tcW w:w="1082" w:type="dxa"/>
            <w:tcBorders>
              <w:top w:val="nil"/>
              <w:left w:val="nil"/>
              <w:bottom w:val="single" w:sz="4" w:space="0" w:color="auto"/>
              <w:right w:val="single" w:sz="4" w:space="0" w:color="auto"/>
            </w:tcBorders>
            <w:shd w:val="clear" w:color="auto" w:fill="auto"/>
            <w:noWrap/>
            <w:vAlign w:val="center"/>
            <w:hideMark/>
          </w:tcPr>
          <w:p w14:paraId="46C7E595"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w:t>
            </w:r>
          </w:p>
        </w:tc>
      </w:tr>
      <w:tr w:rsidR="00A169E8" w:rsidRPr="007A0101" w14:paraId="647118F6" w14:textId="77777777" w:rsidTr="00A169E8">
        <w:trPr>
          <w:trHeight w:val="360"/>
        </w:trPr>
        <w:tc>
          <w:tcPr>
            <w:tcW w:w="1358" w:type="dxa"/>
            <w:vMerge/>
            <w:tcBorders>
              <w:top w:val="nil"/>
              <w:left w:val="single" w:sz="4" w:space="0" w:color="auto"/>
              <w:bottom w:val="single" w:sz="4" w:space="0" w:color="auto"/>
              <w:right w:val="single" w:sz="4" w:space="0" w:color="auto"/>
            </w:tcBorders>
            <w:vAlign w:val="center"/>
            <w:hideMark/>
          </w:tcPr>
          <w:p w14:paraId="341AE5B4" w14:textId="77777777" w:rsidR="00A169E8" w:rsidRPr="007A0101" w:rsidRDefault="00A169E8" w:rsidP="00ED5676">
            <w:pPr>
              <w:spacing w:after="0" w:line="240" w:lineRule="auto"/>
              <w:jc w:val="both"/>
              <w:rPr>
                <w:rFonts w:cs="Arial"/>
                <w:color w:val="000000"/>
                <w:szCs w:val="20"/>
              </w:rPr>
            </w:pPr>
          </w:p>
        </w:tc>
        <w:tc>
          <w:tcPr>
            <w:tcW w:w="1774" w:type="dxa"/>
            <w:tcBorders>
              <w:top w:val="nil"/>
              <w:left w:val="nil"/>
              <w:bottom w:val="single" w:sz="4" w:space="0" w:color="auto"/>
              <w:right w:val="single" w:sz="4" w:space="0" w:color="auto"/>
            </w:tcBorders>
            <w:shd w:val="clear" w:color="auto" w:fill="auto"/>
            <w:noWrap/>
            <w:vAlign w:val="center"/>
            <w:hideMark/>
          </w:tcPr>
          <w:p w14:paraId="06EAF7F2"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Vzhod</w:t>
            </w:r>
          </w:p>
        </w:tc>
        <w:tc>
          <w:tcPr>
            <w:tcW w:w="2049" w:type="dxa"/>
            <w:tcBorders>
              <w:top w:val="nil"/>
              <w:left w:val="nil"/>
              <w:bottom w:val="single" w:sz="4" w:space="0" w:color="auto"/>
              <w:right w:val="single" w:sz="4" w:space="0" w:color="auto"/>
            </w:tcBorders>
            <w:shd w:val="clear" w:color="auto" w:fill="auto"/>
            <w:noWrap/>
            <w:vAlign w:val="center"/>
            <w:hideMark/>
          </w:tcPr>
          <w:p w14:paraId="7F36B250"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1.175.037.520</w:t>
            </w:r>
          </w:p>
        </w:tc>
        <w:tc>
          <w:tcPr>
            <w:tcW w:w="1888" w:type="dxa"/>
            <w:tcBorders>
              <w:top w:val="nil"/>
              <w:left w:val="nil"/>
              <w:bottom w:val="single" w:sz="4" w:space="0" w:color="auto"/>
              <w:right w:val="single" w:sz="4" w:space="0" w:color="auto"/>
            </w:tcBorders>
            <w:shd w:val="clear" w:color="auto" w:fill="auto"/>
            <w:noWrap/>
            <w:vAlign w:val="center"/>
            <w:hideMark/>
          </w:tcPr>
          <w:p w14:paraId="70639820"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194.512.361</w:t>
            </w:r>
          </w:p>
        </w:tc>
        <w:tc>
          <w:tcPr>
            <w:tcW w:w="1012" w:type="dxa"/>
            <w:tcBorders>
              <w:top w:val="nil"/>
              <w:left w:val="nil"/>
              <w:bottom w:val="single" w:sz="4" w:space="0" w:color="auto"/>
              <w:right w:val="single" w:sz="4" w:space="0" w:color="auto"/>
            </w:tcBorders>
            <w:shd w:val="clear" w:color="auto" w:fill="auto"/>
            <w:noWrap/>
            <w:vAlign w:val="center"/>
            <w:hideMark/>
          </w:tcPr>
          <w:p w14:paraId="37D00793"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17%</w:t>
            </w:r>
          </w:p>
        </w:tc>
        <w:tc>
          <w:tcPr>
            <w:tcW w:w="1864" w:type="dxa"/>
            <w:tcBorders>
              <w:top w:val="nil"/>
              <w:left w:val="nil"/>
              <w:bottom w:val="single" w:sz="4" w:space="0" w:color="auto"/>
              <w:right w:val="single" w:sz="4" w:space="0" w:color="auto"/>
            </w:tcBorders>
            <w:shd w:val="clear" w:color="auto" w:fill="auto"/>
            <w:noWrap/>
            <w:vAlign w:val="center"/>
            <w:hideMark/>
          </w:tcPr>
          <w:p w14:paraId="42BF674C"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137.358.382</w:t>
            </w:r>
          </w:p>
        </w:tc>
        <w:tc>
          <w:tcPr>
            <w:tcW w:w="1104" w:type="dxa"/>
            <w:tcBorders>
              <w:top w:val="nil"/>
              <w:left w:val="nil"/>
              <w:bottom w:val="single" w:sz="4" w:space="0" w:color="auto"/>
              <w:right w:val="single" w:sz="4" w:space="0" w:color="auto"/>
            </w:tcBorders>
            <w:shd w:val="clear" w:color="auto" w:fill="auto"/>
            <w:noWrap/>
            <w:vAlign w:val="center"/>
            <w:hideMark/>
          </w:tcPr>
          <w:p w14:paraId="43EAA0BB"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12%</w:t>
            </w:r>
          </w:p>
        </w:tc>
        <w:tc>
          <w:tcPr>
            <w:tcW w:w="1772" w:type="dxa"/>
            <w:tcBorders>
              <w:top w:val="nil"/>
              <w:left w:val="nil"/>
              <w:bottom w:val="single" w:sz="4" w:space="0" w:color="auto"/>
              <w:right w:val="single" w:sz="4" w:space="0" w:color="auto"/>
            </w:tcBorders>
            <w:shd w:val="clear" w:color="auto" w:fill="auto"/>
            <w:noWrap/>
            <w:vAlign w:val="center"/>
            <w:hideMark/>
          </w:tcPr>
          <w:p w14:paraId="1B2502C6"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22.381.269</w:t>
            </w:r>
          </w:p>
        </w:tc>
        <w:tc>
          <w:tcPr>
            <w:tcW w:w="1082" w:type="dxa"/>
            <w:tcBorders>
              <w:top w:val="nil"/>
              <w:left w:val="nil"/>
              <w:bottom w:val="single" w:sz="4" w:space="0" w:color="auto"/>
              <w:right w:val="single" w:sz="4" w:space="0" w:color="auto"/>
            </w:tcBorders>
            <w:shd w:val="clear" w:color="auto" w:fill="auto"/>
            <w:noWrap/>
            <w:vAlign w:val="center"/>
            <w:hideMark/>
          </w:tcPr>
          <w:p w14:paraId="75E81B6D"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w:t>
            </w:r>
          </w:p>
        </w:tc>
      </w:tr>
      <w:tr w:rsidR="00A169E8" w:rsidRPr="007A0101" w14:paraId="317AB775" w14:textId="77777777" w:rsidTr="00813DA2">
        <w:trPr>
          <w:trHeight w:val="360"/>
        </w:trPr>
        <w:tc>
          <w:tcPr>
            <w:tcW w:w="313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1D772A7"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Skupaj ESRR</w:t>
            </w:r>
          </w:p>
        </w:tc>
        <w:tc>
          <w:tcPr>
            <w:tcW w:w="2049" w:type="dxa"/>
            <w:tcBorders>
              <w:top w:val="nil"/>
              <w:left w:val="nil"/>
              <w:bottom w:val="single" w:sz="4" w:space="0" w:color="auto"/>
              <w:right w:val="single" w:sz="4" w:space="0" w:color="auto"/>
            </w:tcBorders>
            <w:shd w:val="clear" w:color="auto" w:fill="DEEAF6" w:themeFill="accent5" w:themeFillTint="33"/>
            <w:noWrap/>
            <w:vAlign w:val="center"/>
            <w:hideMark/>
          </w:tcPr>
          <w:p w14:paraId="21564FFB"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1.545.686.286</w:t>
            </w:r>
          </w:p>
        </w:tc>
        <w:tc>
          <w:tcPr>
            <w:tcW w:w="1888" w:type="dxa"/>
            <w:tcBorders>
              <w:top w:val="nil"/>
              <w:left w:val="nil"/>
              <w:bottom w:val="single" w:sz="4" w:space="0" w:color="auto"/>
              <w:right w:val="single" w:sz="4" w:space="0" w:color="auto"/>
            </w:tcBorders>
            <w:shd w:val="clear" w:color="auto" w:fill="DEEAF6" w:themeFill="accent5" w:themeFillTint="33"/>
            <w:noWrap/>
            <w:vAlign w:val="center"/>
            <w:hideMark/>
          </w:tcPr>
          <w:p w14:paraId="07470576"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244.623.641</w:t>
            </w:r>
          </w:p>
        </w:tc>
        <w:tc>
          <w:tcPr>
            <w:tcW w:w="1012" w:type="dxa"/>
            <w:tcBorders>
              <w:top w:val="nil"/>
              <w:left w:val="nil"/>
              <w:bottom w:val="single" w:sz="4" w:space="0" w:color="auto"/>
              <w:right w:val="single" w:sz="4" w:space="0" w:color="auto"/>
            </w:tcBorders>
            <w:shd w:val="clear" w:color="auto" w:fill="DEEAF6" w:themeFill="accent5" w:themeFillTint="33"/>
            <w:noWrap/>
            <w:vAlign w:val="center"/>
            <w:hideMark/>
          </w:tcPr>
          <w:p w14:paraId="4AA938F6"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16%</w:t>
            </w:r>
          </w:p>
        </w:tc>
        <w:tc>
          <w:tcPr>
            <w:tcW w:w="1864" w:type="dxa"/>
            <w:tcBorders>
              <w:top w:val="nil"/>
              <w:left w:val="nil"/>
              <w:bottom w:val="single" w:sz="4" w:space="0" w:color="auto"/>
              <w:right w:val="single" w:sz="4" w:space="0" w:color="auto"/>
            </w:tcBorders>
            <w:shd w:val="clear" w:color="auto" w:fill="DEEAF6" w:themeFill="accent5" w:themeFillTint="33"/>
            <w:noWrap/>
            <w:vAlign w:val="center"/>
            <w:hideMark/>
          </w:tcPr>
          <w:p w14:paraId="58FB1EF1"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170.615.134</w:t>
            </w:r>
          </w:p>
        </w:tc>
        <w:tc>
          <w:tcPr>
            <w:tcW w:w="1104" w:type="dxa"/>
            <w:tcBorders>
              <w:top w:val="nil"/>
              <w:left w:val="nil"/>
              <w:bottom w:val="single" w:sz="4" w:space="0" w:color="auto"/>
              <w:right w:val="single" w:sz="4" w:space="0" w:color="auto"/>
            </w:tcBorders>
            <w:shd w:val="clear" w:color="auto" w:fill="DEEAF6" w:themeFill="accent5" w:themeFillTint="33"/>
            <w:noWrap/>
            <w:vAlign w:val="center"/>
            <w:hideMark/>
          </w:tcPr>
          <w:p w14:paraId="34DEDAC5"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11%</w:t>
            </w:r>
          </w:p>
        </w:tc>
        <w:tc>
          <w:tcPr>
            <w:tcW w:w="1772" w:type="dxa"/>
            <w:tcBorders>
              <w:top w:val="nil"/>
              <w:left w:val="nil"/>
              <w:bottom w:val="single" w:sz="4" w:space="0" w:color="auto"/>
              <w:right w:val="single" w:sz="4" w:space="0" w:color="auto"/>
            </w:tcBorders>
            <w:shd w:val="clear" w:color="auto" w:fill="DEEAF6" w:themeFill="accent5" w:themeFillTint="33"/>
            <w:noWrap/>
            <w:vAlign w:val="center"/>
            <w:hideMark/>
          </w:tcPr>
          <w:p w14:paraId="647B7B86"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28.407.688</w:t>
            </w:r>
          </w:p>
        </w:tc>
        <w:tc>
          <w:tcPr>
            <w:tcW w:w="1082" w:type="dxa"/>
            <w:tcBorders>
              <w:top w:val="nil"/>
              <w:left w:val="nil"/>
              <w:bottom w:val="single" w:sz="4" w:space="0" w:color="auto"/>
              <w:right w:val="single" w:sz="4" w:space="0" w:color="auto"/>
            </w:tcBorders>
            <w:shd w:val="clear" w:color="auto" w:fill="DEEAF6" w:themeFill="accent5" w:themeFillTint="33"/>
            <w:noWrap/>
            <w:vAlign w:val="center"/>
            <w:hideMark/>
          </w:tcPr>
          <w:p w14:paraId="703EBA37"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w:t>
            </w:r>
          </w:p>
        </w:tc>
      </w:tr>
      <w:tr w:rsidR="00A169E8" w:rsidRPr="007A0101" w14:paraId="061B848D" w14:textId="77777777" w:rsidTr="00A169E8">
        <w:trPr>
          <w:trHeight w:val="360"/>
        </w:trPr>
        <w:tc>
          <w:tcPr>
            <w:tcW w:w="1358" w:type="dxa"/>
            <w:vMerge w:val="restart"/>
            <w:tcBorders>
              <w:top w:val="nil"/>
              <w:left w:val="single" w:sz="4" w:space="0" w:color="auto"/>
              <w:bottom w:val="single" w:sz="4" w:space="0" w:color="auto"/>
              <w:right w:val="single" w:sz="4" w:space="0" w:color="auto"/>
            </w:tcBorders>
            <w:shd w:val="clear" w:color="auto" w:fill="auto"/>
            <w:vAlign w:val="center"/>
            <w:hideMark/>
          </w:tcPr>
          <w:p w14:paraId="4BDCD780"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ESS+</w:t>
            </w:r>
          </w:p>
        </w:tc>
        <w:tc>
          <w:tcPr>
            <w:tcW w:w="1774" w:type="dxa"/>
            <w:tcBorders>
              <w:top w:val="nil"/>
              <w:left w:val="nil"/>
              <w:bottom w:val="single" w:sz="4" w:space="0" w:color="auto"/>
              <w:right w:val="single" w:sz="4" w:space="0" w:color="auto"/>
            </w:tcBorders>
            <w:shd w:val="clear" w:color="auto" w:fill="auto"/>
            <w:noWrap/>
            <w:vAlign w:val="center"/>
            <w:hideMark/>
          </w:tcPr>
          <w:p w14:paraId="724414BA"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Zahod</w:t>
            </w:r>
          </w:p>
        </w:tc>
        <w:tc>
          <w:tcPr>
            <w:tcW w:w="2049" w:type="dxa"/>
            <w:tcBorders>
              <w:top w:val="nil"/>
              <w:left w:val="nil"/>
              <w:bottom w:val="single" w:sz="4" w:space="0" w:color="auto"/>
              <w:right w:val="single" w:sz="4" w:space="0" w:color="auto"/>
            </w:tcBorders>
            <w:shd w:val="clear" w:color="auto" w:fill="auto"/>
            <w:noWrap/>
            <w:vAlign w:val="center"/>
            <w:hideMark/>
          </w:tcPr>
          <w:p w14:paraId="38DC0B7F"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142.107.283</w:t>
            </w:r>
          </w:p>
        </w:tc>
        <w:tc>
          <w:tcPr>
            <w:tcW w:w="1888" w:type="dxa"/>
            <w:tcBorders>
              <w:top w:val="nil"/>
              <w:left w:val="nil"/>
              <w:bottom w:val="single" w:sz="4" w:space="0" w:color="auto"/>
              <w:right w:val="single" w:sz="4" w:space="0" w:color="auto"/>
            </w:tcBorders>
            <w:shd w:val="clear" w:color="auto" w:fill="auto"/>
            <w:noWrap/>
            <w:vAlign w:val="center"/>
            <w:hideMark/>
          </w:tcPr>
          <w:p w14:paraId="6CB1DE93"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50.717.005</w:t>
            </w:r>
          </w:p>
        </w:tc>
        <w:tc>
          <w:tcPr>
            <w:tcW w:w="1012" w:type="dxa"/>
            <w:tcBorders>
              <w:top w:val="nil"/>
              <w:left w:val="nil"/>
              <w:bottom w:val="single" w:sz="4" w:space="0" w:color="auto"/>
              <w:right w:val="single" w:sz="4" w:space="0" w:color="auto"/>
            </w:tcBorders>
            <w:shd w:val="clear" w:color="auto" w:fill="auto"/>
            <w:noWrap/>
            <w:vAlign w:val="center"/>
            <w:hideMark/>
          </w:tcPr>
          <w:p w14:paraId="7EB4ACA1"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36%</w:t>
            </w:r>
          </w:p>
        </w:tc>
        <w:tc>
          <w:tcPr>
            <w:tcW w:w="1864" w:type="dxa"/>
            <w:tcBorders>
              <w:top w:val="nil"/>
              <w:left w:val="nil"/>
              <w:bottom w:val="single" w:sz="4" w:space="0" w:color="auto"/>
              <w:right w:val="single" w:sz="4" w:space="0" w:color="auto"/>
            </w:tcBorders>
            <w:shd w:val="clear" w:color="auto" w:fill="auto"/>
            <w:noWrap/>
            <w:vAlign w:val="center"/>
            <w:hideMark/>
          </w:tcPr>
          <w:p w14:paraId="744F86CF"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44.154.177</w:t>
            </w:r>
          </w:p>
        </w:tc>
        <w:tc>
          <w:tcPr>
            <w:tcW w:w="1104" w:type="dxa"/>
            <w:tcBorders>
              <w:top w:val="nil"/>
              <w:left w:val="nil"/>
              <w:bottom w:val="single" w:sz="4" w:space="0" w:color="auto"/>
              <w:right w:val="single" w:sz="4" w:space="0" w:color="auto"/>
            </w:tcBorders>
            <w:shd w:val="clear" w:color="auto" w:fill="auto"/>
            <w:noWrap/>
            <w:vAlign w:val="center"/>
            <w:hideMark/>
          </w:tcPr>
          <w:p w14:paraId="29F3A9D0"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31%</w:t>
            </w:r>
          </w:p>
        </w:tc>
        <w:tc>
          <w:tcPr>
            <w:tcW w:w="1772" w:type="dxa"/>
            <w:tcBorders>
              <w:top w:val="nil"/>
              <w:left w:val="nil"/>
              <w:bottom w:val="single" w:sz="4" w:space="0" w:color="auto"/>
              <w:right w:val="single" w:sz="4" w:space="0" w:color="auto"/>
            </w:tcBorders>
            <w:shd w:val="clear" w:color="auto" w:fill="auto"/>
            <w:noWrap/>
            <w:vAlign w:val="center"/>
            <w:hideMark/>
          </w:tcPr>
          <w:p w14:paraId="03C658B9"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3.535.798</w:t>
            </w:r>
          </w:p>
        </w:tc>
        <w:tc>
          <w:tcPr>
            <w:tcW w:w="1082" w:type="dxa"/>
            <w:tcBorders>
              <w:top w:val="nil"/>
              <w:left w:val="nil"/>
              <w:bottom w:val="single" w:sz="4" w:space="0" w:color="auto"/>
              <w:right w:val="single" w:sz="4" w:space="0" w:color="auto"/>
            </w:tcBorders>
            <w:shd w:val="clear" w:color="auto" w:fill="auto"/>
            <w:noWrap/>
            <w:vAlign w:val="center"/>
            <w:hideMark/>
          </w:tcPr>
          <w:p w14:paraId="6B46619C"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w:t>
            </w:r>
          </w:p>
        </w:tc>
      </w:tr>
      <w:tr w:rsidR="00A169E8" w:rsidRPr="007A0101" w14:paraId="559C304C" w14:textId="77777777" w:rsidTr="00A169E8">
        <w:trPr>
          <w:trHeight w:val="360"/>
        </w:trPr>
        <w:tc>
          <w:tcPr>
            <w:tcW w:w="1358" w:type="dxa"/>
            <w:vMerge/>
            <w:tcBorders>
              <w:top w:val="nil"/>
              <w:left w:val="single" w:sz="4" w:space="0" w:color="auto"/>
              <w:bottom w:val="single" w:sz="4" w:space="0" w:color="auto"/>
              <w:right w:val="single" w:sz="4" w:space="0" w:color="auto"/>
            </w:tcBorders>
            <w:vAlign w:val="center"/>
            <w:hideMark/>
          </w:tcPr>
          <w:p w14:paraId="68B8D7D5" w14:textId="77777777" w:rsidR="00A169E8" w:rsidRPr="007A0101" w:rsidRDefault="00A169E8" w:rsidP="00ED5676">
            <w:pPr>
              <w:spacing w:after="0" w:line="240" w:lineRule="auto"/>
              <w:jc w:val="both"/>
              <w:rPr>
                <w:rFonts w:cs="Arial"/>
                <w:color w:val="000000"/>
                <w:szCs w:val="20"/>
              </w:rPr>
            </w:pPr>
          </w:p>
        </w:tc>
        <w:tc>
          <w:tcPr>
            <w:tcW w:w="1774" w:type="dxa"/>
            <w:tcBorders>
              <w:top w:val="nil"/>
              <w:left w:val="nil"/>
              <w:bottom w:val="single" w:sz="4" w:space="0" w:color="auto"/>
              <w:right w:val="single" w:sz="4" w:space="0" w:color="auto"/>
            </w:tcBorders>
            <w:shd w:val="clear" w:color="auto" w:fill="auto"/>
            <w:noWrap/>
            <w:vAlign w:val="center"/>
            <w:hideMark/>
          </w:tcPr>
          <w:p w14:paraId="163CF294"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Vzhod</w:t>
            </w:r>
          </w:p>
        </w:tc>
        <w:tc>
          <w:tcPr>
            <w:tcW w:w="2049" w:type="dxa"/>
            <w:tcBorders>
              <w:top w:val="nil"/>
              <w:left w:val="nil"/>
              <w:bottom w:val="single" w:sz="4" w:space="0" w:color="auto"/>
              <w:right w:val="single" w:sz="4" w:space="0" w:color="auto"/>
            </w:tcBorders>
            <w:shd w:val="clear" w:color="auto" w:fill="auto"/>
            <w:noWrap/>
            <w:vAlign w:val="center"/>
            <w:hideMark/>
          </w:tcPr>
          <w:p w14:paraId="3B32D655"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469.397.522</w:t>
            </w:r>
          </w:p>
        </w:tc>
        <w:tc>
          <w:tcPr>
            <w:tcW w:w="1888" w:type="dxa"/>
            <w:tcBorders>
              <w:top w:val="nil"/>
              <w:left w:val="nil"/>
              <w:bottom w:val="single" w:sz="4" w:space="0" w:color="auto"/>
              <w:right w:val="single" w:sz="4" w:space="0" w:color="auto"/>
            </w:tcBorders>
            <w:shd w:val="clear" w:color="auto" w:fill="auto"/>
            <w:noWrap/>
            <w:vAlign w:val="center"/>
            <w:hideMark/>
          </w:tcPr>
          <w:p w14:paraId="2855480F"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233.344.643</w:t>
            </w:r>
          </w:p>
        </w:tc>
        <w:tc>
          <w:tcPr>
            <w:tcW w:w="1012" w:type="dxa"/>
            <w:tcBorders>
              <w:top w:val="nil"/>
              <w:left w:val="nil"/>
              <w:bottom w:val="single" w:sz="4" w:space="0" w:color="auto"/>
              <w:right w:val="single" w:sz="4" w:space="0" w:color="auto"/>
            </w:tcBorders>
            <w:shd w:val="clear" w:color="auto" w:fill="auto"/>
            <w:noWrap/>
            <w:vAlign w:val="center"/>
            <w:hideMark/>
          </w:tcPr>
          <w:p w14:paraId="6ABA1E5F"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50%</w:t>
            </w:r>
          </w:p>
        </w:tc>
        <w:tc>
          <w:tcPr>
            <w:tcW w:w="1864" w:type="dxa"/>
            <w:tcBorders>
              <w:top w:val="nil"/>
              <w:left w:val="nil"/>
              <w:bottom w:val="single" w:sz="4" w:space="0" w:color="auto"/>
              <w:right w:val="single" w:sz="4" w:space="0" w:color="auto"/>
            </w:tcBorders>
            <w:shd w:val="clear" w:color="auto" w:fill="auto"/>
            <w:noWrap/>
            <w:vAlign w:val="center"/>
            <w:hideMark/>
          </w:tcPr>
          <w:p w14:paraId="012C01D3"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222.008.737</w:t>
            </w:r>
          </w:p>
        </w:tc>
        <w:tc>
          <w:tcPr>
            <w:tcW w:w="1104" w:type="dxa"/>
            <w:tcBorders>
              <w:top w:val="nil"/>
              <w:left w:val="nil"/>
              <w:bottom w:val="single" w:sz="4" w:space="0" w:color="auto"/>
              <w:right w:val="single" w:sz="4" w:space="0" w:color="auto"/>
            </w:tcBorders>
            <w:shd w:val="clear" w:color="auto" w:fill="auto"/>
            <w:noWrap/>
            <w:vAlign w:val="center"/>
            <w:hideMark/>
          </w:tcPr>
          <w:p w14:paraId="104EB0EE"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47%</w:t>
            </w:r>
          </w:p>
        </w:tc>
        <w:tc>
          <w:tcPr>
            <w:tcW w:w="1772" w:type="dxa"/>
            <w:tcBorders>
              <w:top w:val="nil"/>
              <w:left w:val="nil"/>
              <w:bottom w:val="single" w:sz="4" w:space="0" w:color="auto"/>
              <w:right w:val="single" w:sz="4" w:space="0" w:color="auto"/>
            </w:tcBorders>
            <w:shd w:val="clear" w:color="auto" w:fill="auto"/>
            <w:noWrap/>
            <w:vAlign w:val="center"/>
            <w:hideMark/>
          </w:tcPr>
          <w:p w14:paraId="35E6538F"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13.517.606</w:t>
            </w:r>
          </w:p>
        </w:tc>
        <w:tc>
          <w:tcPr>
            <w:tcW w:w="1082" w:type="dxa"/>
            <w:tcBorders>
              <w:top w:val="nil"/>
              <w:left w:val="nil"/>
              <w:bottom w:val="single" w:sz="4" w:space="0" w:color="auto"/>
              <w:right w:val="single" w:sz="4" w:space="0" w:color="auto"/>
            </w:tcBorders>
            <w:shd w:val="clear" w:color="auto" w:fill="auto"/>
            <w:noWrap/>
            <w:vAlign w:val="center"/>
            <w:hideMark/>
          </w:tcPr>
          <w:p w14:paraId="602063A9"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3%</w:t>
            </w:r>
          </w:p>
        </w:tc>
      </w:tr>
      <w:tr w:rsidR="00A169E8" w:rsidRPr="007A0101" w14:paraId="55B21E75" w14:textId="77777777" w:rsidTr="00813DA2">
        <w:trPr>
          <w:trHeight w:val="360"/>
        </w:trPr>
        <w:tc>
          <w:tcPr>
            <w:tcW w:w="313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F5AEA5"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Skupaj ESS+</w:t>
            </w:r>
          </w:p>
        </w:tc>
        <w:tc>
          <w:tcPr>
            <w:tcW w:w="2049" w:type="dxa"/>
            <w:tcBorders>
              <w:top w:val="nil"/>
              <w:left w:val="nil"/>
              <w:bottom w:val="single" w:sz="4" w:space="0" w:color="auto"/>
              <w:right w:val="single" w:sz="4" w:space="0" w:color="auto"/>
            </w:tcBorders>
            <w:shd w:val="clear" w:color="auto" w:fill="DEEAF6" w:themeFill="accent5" w:themeFillTint="33"/>
            <w:noWrap/>
            <w:vAlign w:val="center"/>
            <w:hideMark/>
          </w:tcPr>
          <w:p w14:paraId="6339E461"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611.504.805</w:t>
            </w:r>
          </w:p>
        </w:tc>
        <w:tc>
          <w:tcPr>
            <w:tcW w:w="1888" w:type="dxa"/>
            <w:tcBorders>
              <w:top w:val="nil"/>
              <w:left w:val="nil"/>
              <w:bottom w:val="single" w:sz="4" w:space="0" w:color="auto"/>
              <w:right w:val="single" w:sz="4" w:space="0" w:color="auto"/>
            </w:tcBorders>
            <w:shd w:val="clear" w:color="auto" w:fill="DEEAF6" w:themeFill="accent5" w:themeFillTint="33"/>
            <w:noWrap/>
            <w:vAlign w:val="center"/>
            <w:hideMark/>
          </w:tcPr>
          <w:p w14:paraId="3EFB416B"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284.061.648</w:t>
            </w:r>
          </w:p>
        </w:tc>
        <w:tc>
          <w:tcPr>
            <w:tcW w:w="1012" w:type="dxa"/>
            <w:tcBorders>
              <w:top w:val="nil"/>
              <w:left w:val="nil"/>
              <w:bottom w:val="single" w:sz="4" w:space="0" w:color="auto"/>
              <w:right w:val="single" w:sz="4" w:space="0" w:color="auto"/>
            </w:tcBorders>
            <w:shd w:val="clear" w:color="auto" w:fill="DEEAF6" w:themeFill="accent5" w:themeFillTint="33"/>
            <w:noWrap/>
            <w:vAlign w:val="center"/>
            <w:hideMark/>
          </w:tcPr>
          <w:p w14:paraId="48097A17"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46%</w:t>
            </w:r>
          </w:p>
        </w:tc>
        <w:tc>
          <w:tcPr>
            <w:tcW w:w="1864" w:type="dxa"/>
            <w:tcBorders>
              <w:top w:val="nil"/>
              <w:left w:val="nil"/>
              <w:bottom w:val="single" w:sz="4" w:space="0" w:color="auto"/>
              <w:right w:val="single" w:sz="4" w:space="0" w:color="auto"/>
            </w:tcBorders>
            <w:shd w:val="clear" w:color="auto" w:fill="DEEAF6" w:themeFill="accent5" w:themeFillTint="33"/>
            <w:noWrap/>
            <w:vAlign w:val="center"/>
            <w:hideMark/>
          </w:tcPr>
          <w:p w14:paraId="2E9DA47D"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266.162.914</w:t>
            </w:r>
          </w:p>
        </w:tc>
        <w:tc>
          <w:tcPr>
            <w:tcW w:w="1104" w:type="dxa"/>
            <w:tcBorders>
              <w:top w:val="nil"/>
              <w:left w:val="nil"/>
              <w:bottom w:val="single" w:sz="4" w:space="0" w:color="auto"/>
              <w:right w:val="single" w:sz="4" w:space="0" w:color="auto"/>
            </w:tcBorders>
            <w:shd w:val="clear" w:color="auto" w:fill="DEEAF6" w:themeFill="accent5" w:themeFillTint="33"/>
            <w:noWrap/>
            <w:vAlign w:val="center"/>
            <w:hideMark/>
          </w:tcPr>
          <w:p w14:paraId="70BC2AF8"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44%</w:t>
            </w:r>
          </w:p>
        </w:tc>
        <w:tc>
          <w:tcPr>
            <w:tcW w:w="1772" w:type="dxa"/>
            <w:tcBorders>
              <w:top w:val="nil"/>
              <w:left w:val="nil"/>
              <w:bottom w:val="single" w:sz="4" w:space="0" w:color="auto"/>
              <w:right w:val="single" w:sz="4" w:space="0" w:color="auto"/>
            </w:tcBorders>
            <w:shd w:val="clear" w:color="auto" w:fill="DEEAF6" w:themeFill="accent5" w:themeFillTint="33"/>
            <w:noWrap/>
            <w:vAlign w:val="center"/>
            <w:hideMark/>
          </w:tcPr>
          <w:p w14:paraId="7DC96AF2"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17.053.404</w:t>
            </w:r>
          </w:p>
        </w:tc>
        <w:tc>
          <w:tcPr>
            <w:tcW w:w="1082" w:type="dxa"/>
            <w:tcBorders>
              <w:top w:val="nil"/>
              <w:left w:val="nil"/>
              <w:bottom w:val="single" w:sz="4" w:space="0" w:color="auto"/>
              <w:right w:val="single" w:sz="4" w:space="0" w:color="auto"/>
            </w:tcBorders>
            <w:shd w:val="clear" w:color="auto" w:fill="DEEAF6" w:themeFill="accent5" w:themeFillTint="33"/>
            <w:noWrap/>
            <w:vAlign w:val="center"/>
            <w:hideMark/>
          </w:tcPr>
          <w:p w14:paraId="3318B3AF"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3%</w:t>
            </w:r>
          </w:p>
        </w:tc>
      </w:tr>
      <w:tr w:rsidR="00A169E8" w:rsidRPr="007A0101" w14:paraId="4B8784A5" w14:textId="77777777" w:rsidTr="00A169E8">
        <w:trPr>
          <w:trHeight w:val="36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2D475F33"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KS</w:t>
            </w:r>
          </w:p>
        </w:tc>
        <w:tc>
          <w:tcPr>
            <w:tcW w:w="1774" w:type="dxa"/>
            <w:tcBorders>
              <w:top w:val="nil"/>
              <w:left w:val="nil"/>
              <w:bottom w:val="single" w:sz="4" w:space="0" w:color="auto"/>
              <w:right w:val="single" w:sz="4" w:space="0" w:color="auto"/>
            </w:tcBorders>
            <w:shd w:val="clear" w:color="auto" w:fill="auto"/>
            <w:noWrap/>
            <w:vAlign w:val="center"/>
            <w:hideMark/>
          </w:tcPr>
          <w:p w14:paraId="261BE233"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Celotna SI</w:t>
            </w:r>
          </w:p>
        </w:tc>
        <w:tc>
          <w:tcPr>
            <w:tcW w:w="2049" w:type="dxa"/>
            <w:tcBorders>
              <w:top w:val="nil"/>
              <w:left w:val="nil"/>
              <w:bottom w:val="single" w:sz="4" w:space="0" w:color="auto"/>
              <w:right w:val="single" w:sz="4" w:space="0" w:color="auto"/>
            </w:tcBorders>
            <w:shd w:val="clear" w:color="auto" w:fill="auto"/>
            <w:noWrap/>
            <w:vAlign w:val="center"/>
            <w:hideMark/>
          </w:tcPr>
          <w:p w14:paraId="16C17A9F"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700.675.721</w:t>
            </w:r>
          </w:p>
        </w:tc>
        <w:tc>
          <w:tcPr>
            <w:tcW w:w="1888" w:type="dxa"/>
            <w:tcBorders>
              <w:top w:val="nil"/>
              <w:left w:val="nil"/>
              <w:bottom w:val="single" w:sz="4" w:space="0" w:color="auto"/>
              <w:right w:val="single" w:sz="4" w:space="0" w:color="auto"/>
            </w:tcBorders>
            <w:shd w:val="clear" w:color="auto" w:fill="auto"/>
            <w:noWrap/>
            <w:vAlign w:val="center"/>
            <w:hideMark/>
          </w:tcPr>
          <w:p w14:paraId="1789F32A"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105.025.661</w:t>
            </w:r>
          </w:p>
        </w:tc>
        <w:tc>
          <w:tcPr>
            <w:tcW w:w="1012" w:type="dxa"/>
            <w:tcBorders>
              <w:top w:val="nil"/>
              <w:left w:val="nil"/>
              <w:bottom w:val="single" w:sz="4" w:space="0" w:color="auto"/>
              <w:right w:val="single" w:sz="4" w:space="0" w:color="auto"/>
            </w:tcBorders>
            <w:shd w:val="clear" w:color="auto" w:fill="auto"/>
            <w:noWrap/>
            <w:vAlign w:val="center"/>
            <w:hideMark/>
          </w:tcPr>
          <w:p w14:paraId="22425E16"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15%</w:t>
            </w:r>
          </w:p>
        </w:tc>
        <w:tc>
          <w:tcPr>
            <w:tcW w:w="1864" w:type="dxa"/>
            <w:tcBorders>
              <w:top w:val="nil"/>
              <w:left w:val="nil"/>
              <w:bottom w:val="single" w:sz="4" w:space="0" w:color="auto"/>
              <w:right w:val="single" w:sz="4" w:space="0" w:color="auto"/>
            </w:tcBorders>
            <w:shd w:val="clear" w:color="auto" w:fill="auto"/>
            <w:noWrap/>
            <w:vAlign w:val="center"/>
            <w:hideMark/>
          </w:tcPr>
          <w:p w14:paraId="672044F0"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56.102.158</w:t>
            </w:r>
          </w:p>
        </w:tc>
        <w:tc>
          <w:tcPr>
            <w:tcW w:w="1104" w:type="dxa"/>
            <w:tcBorders>
              <w:top w:val="nil"/>
              <w:left w:val="nil"/>
              <w:bottom w:val="single" w:sz="4" w:space="0" w:color="auto"/>
              <w:right w:val="single" w:sz="4" w:space="0" w:color="auto"/>
            </w:tcBorders>
            <w:shd w:val="clear" w:color="auto" w:fill="auto"/>
            <w:noWrap/>
            <w:vAlign w:val="center"/>
            <w:hideMark/>
          </w:tcPr>
          <w:p w14:paraId="5C0187F3"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8%</w:t>
            </w:r>
          </w:p>
        </w:tc>
        <w:tc>
          <w:tcPr>
            <w:tcW w:w="1772" w:type="dxa"/>
            <w:tcBorders>
              <w:top w:val="nil"/>
              <w:left w:val="nil"/>
              <w:bottom w:val="single" w:sz="4" w:space="0" w:color="auto"/>
              <w:right w:val="single" w:sz="4" w:space="0" w:color="auto"/>
            </w:tcBorders>
            <w:shd w:val="clear" w:color="auto" w:fill="auto"/>
            <w:noWrap/>
            <w:vAlign w:val="center"/>
            <w:hideMark/>
          </w:tcPr>
          <w:p w14:paraId="41C94A2C"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19.753.316</w:t>
            </w:r>
          </w:p>
        </w:tc>
        <w:tc>
          <w:tcPr>
            <w:tcW w:w="1082" w:type="dxa"/>
            <w:tcBorders>
              <w:top w:val="nil"/>
              <w:left w:val="nil"/>
              <w:bottom w:val="single" w:sz="4" w:space="0" w:color="auto"/>
              <w:right w:val="single" w:sz="4" w:space="0" w:color="auto"/>
            </w:tcBorders>
            <w:shd w:val="clear" w:color="auto" w:fill="auto"/>
            <w:noWrap/>
            <w:vAlign w:val="center"/>
            <w:hideMark/>
          </w:tcPr>
          <w:p w14:paraId="622F4C1B"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3%</w:t>
            </w:r>
          </w:p>
        </w:tc>
      </w:tr>
      <w:tr w:rsidR="00A169E8" w:rsidRPr="007A0101" w14:paraId="69D5C627" w14:textId="77777777" w:rsidTr="00813DA2">
        <w:trPr>
          <w:trHeight w:val="360"/>
        </w:trPr>
        <w:tc>
          <w:tcPr>
            <w:tcW w:w="313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8F889CE"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Skupaj KS</w:t>
            </w:r>
          </w:p>
        </w:tc>
        <w:tc>
          <w:tcPr>
            <w:tcW w:w="2049" w:type="dxa"/>
            <w:tcBorders>
              <w:top w:val="nil"/>
              <w:left w:val="nil"/>
              <w:bottom w:val="single" w:sz="4" w:space="0" w:color="auto"/>
              <w:right w:val="single" w:sz="4" w:space="0" w:color="auto"/>
            </w:tcBorders>
            <w:shd w:val="clear" w:color="auto" w:fill="DEEAF6" w:themeFill="accent5" w:themeFillTint="33"/>
            <w:noWrap/>
            <w:vAlign w:val="center"/>
            <w:hideMark/>
          </w:tcPr>
          <w:p w14:paraId="61CB71D6"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700.675.721</w:t>
            </w:r>
          </w:p>
        </w:tc>
        <w:tc>
          <w:tcPr>
            <w:tcW w:w="1888" w:type="dxa"/>
            <w:tcBorders>
              <w:top w:val="nil"/>
              <w:left w:val="nil"/>
              <w:bottom w:val="single" w:sz="4" w:space="0" w:color="auto"/>
              <w:right w:val="single" w:sz="4" w:space="0" w:color="auto"/>
            </w:tcBorders>
            <w:shd w:val="clear" w:color="auto" w:fill="DEEAF6" w:themeFill="accent5" w:themeFillTint="33"/>
            <w:noWrap/>
            <w:vAlign w:val="center"/>
            <w:hideMark/>
          </w:tcPr>
          <w:p w14:paraId="54DAFBF4"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105.025.661</w:t>
            </w:r>
          </w:p>
        </w:tc>
        <w:tc>
          <w:tcPr>
            <w:tcW w:w="1012" w:type="dxa"/>
            <w:tcBorders>
              <w:top w:val="nil"/>
              <w:left w:val="nil"/>
              <w:bottom w:val="single" w:sz="4" w:space="0" w:color="auto"/>
              <w:right w:val="single" w:sz="4" w:space="0" w:color="auto"/>
            </w:tcBorders>
            <w:shd w:val="clear" w:color="auto" w:fill="DEEAF6" w:themeFill="accent5" w:themeFillTint="33"/>
            <w:noWrap/>
            <w:vAlign w:val="center"/>
            <w:hideMark/>
          </w:tcPr>
          <w:p w14:paraId="700097FA"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15%</w:t>
            </w:r>
          </w:p>
        </w:tc>
        <w:tc>
          <w:tcPr>
            <w:tcW w:w="1864" w:type="dxa"/>
            <w:tcBorders>
              <w:top w:val="nil"/>
              <w:left w:val="nil"/>
              <w:bottom w:val="single" w:sz="4" w:space="0" w:color="auto"/>
              <w:right w:val="single" w:sz="4" w:space="0" w:color="auto"/>
            </w:tcBorders>
            <w:shd w:val="clear" w:color="auto" w:fill="DEEAF6" w:themeFill="accent5" w:themeFillTint="33"/>
            <w:noWrap/>
            <w:vAlign w:val="center"/>
            <w:hideMark/>
          </w:tcPr>
          <w:p w14:paraId="61D357F1"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56.102.158</w:t>
            </w:r>
          </w:p>
        </w:tc>
        <w:tc>
          <w:tcPr>
            <w:tcW w:w="1104" w:type="dxa"/>
            <w:tcBorders>
              <w:top w:val="nil"/>
              <w:left w:val="nil"/>
              <w:bottom w:val="single" w:sz="4" w:space="0" w:color="auto"/>
              <w:right w:val="single" w:sz="4" w:space="0" w:color="auto"/>
            </w:tcBorders>
            <w:shd w:val="clear" w:color="auto" w:fill="DEEAF6" w:themeFill="accent5" w:themeFillTint="33"/>
            <w:noWrap/>
            <w:vAlign w:val="center"/>
            <w:hideMark/>
          </w:tcPr>
          <w:p w14:paraId="03E197CA"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8%</w:t>
            </w:r>
          </w:p>
        </w:tc>
        <w:tc>
          <w:tcPr>
            <w:tcW w:w="1772" w:type="dxa"/>
            <w:tcBorders>
              <w:top w:val="nil"/>
              <w:left w:val="nil"/>
              <w:bottom w:val="single" w:sz="4" w:space="0" w:color="auto"/>
              <w:right w:val="single" w:sz="4" w:space="0" w:color="auto"/>
            </w:tcBorders>
            <w:shd w:val="clear" w:color="auto" w:fill="DEEAF6" w:themeFill="accent5" w:themeFillTint="33"/>
            <w:noWrap/>
            <w:vAlign w:val="center"/>
            <w:hideMark/>
          </w:tcPr>
          <w:p w14:paraId="0088CEB1"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19.753.316</w:t>
            </w:r>
          </w:p>
        </w:tc>
        <w:tc>
          <w:tcPr>
            <w:tcW w:w="1082" w:type="dxa"/>
            <w:tcBorders>
              <w:top w:val="nil"/>
              <w:left w:val="nil"/>
              <w:bottom w:val="single" w:sz="4" w:space="0" w:color="auto"/>
              <w:right w:val="single" w:sz="4" w:space="0" w:color="auto"/>
            </w:tcBorders>
            <w:shd w:val="clear" w:color="auto" w:fill="DEEAF6" w:themeFill="accent5" w:themeFillTint="33"/>
            <w:noWrap/>
            <w:vAlign w:val="center"/>
            <w:hideMark/>
          </w:tcPr>
          <w:p w14:paraId="1B6E1985"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3%</w:t>
            </w:r>
          </w:p>
        </w:tc>
      </w:tr>
      <w:tr w:rsidR="00A169E8" w:rsidRPr="007A0101" w14:paraId="77EDC94E" w14:textId="77777777" w:rsidTr="00A169E8">
        <w:trPr>
          <w:trHeight w:val="36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491FAC68"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SPP</w:t>
            </w:r>
          </w:p>
        </w:tc>
        <w:tc>
          <w:tcPr>
            <w:tcW w:w="1774" w:type="dxa"/>
            <w:tcBorders>
              <w:top w:val="nil"/>
              <w:left w:val="nil"/>
              <w:bottom w:val="single" w:sz="4" w:space="0" w:color="auto"/>
              <w:right w:val="single" w:sz="4" w:space="0" w:color="auto"/>
            </w:tcBorders>
            <w:shd w:val="clear" w:color="auto" w:fill="auto"/>
            <w:noWrap/>
            <w:vAlign w:val="center"/>
            <w:hideMark/>
          </w:tcPr>
          <w:p w14:paraId="5F25F908"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Celotna SI</w:t>
            </w:r>
          </w:p>
        </w:tc>
        <w:tc>
          <w:tcPr>
            <w:tcW w:w="2049" w:type="dxa"/>
            <w:tcBorders>
              <w:top w:val="nil"/>
              <w:left w:val="nil"/>
              <w:bottom w:val="single" w:sz="4" w:space="0" w:color="auto"/>
              <w:right w:val="single" w:sz="4" w:space="0" w:color="auto"/>
            </w:tcBorders>
            <w:shd w:val="clear" w:color="auto" w:fill="auto"/>
            <w:noWrap/>
            <w:vAlign w:val="center"/>
            <w:hideMark/>
          </w:tcPr>
          <w:p w14:paraId="4ECF8D49"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248.773.600</w:t>
            </w:r>
          </w:p>
        </w:tc>
        <w:tc>
          <w:tcPr>
            <w:tcW w:w="1888" w:type="dxa"/>
            <w:tcBorders>
              <w:top w:val="nil"/>
              <w:left w:val="nil"/>
              <w:bottom w:val="single" w:sz="4" w:space="0" w:color="auto"/>
              <w:right w:val="single" w:sz="4" w:space="0" w:color="auto"/>
            </w:tcBorders>
            <w:shd w:val="clear" w:color="auto" w:fill="auto"/>
            <w:noWrap/>
            <w:vAlign w:val="center"/>
            <w:hideMark/>
          </w:tcPr>
          <w:p w14:paraId="0B6BFA25"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157.603.166</w:t>
            </w:r>
          </w:p>
        </w:tc>
        <w:tc>
          <w:tcPr>
            <w:tcW w:w="1012" w:type="dxa"/>
            <w:tcBorders>
              <w:top w:val="nil"/>
              <w:left w:val="nil"/>
              <w:bottom w:val="single" w:sz="4" w:space="0" w:color="auto"/>
              <w:right w:val="single" w:sz="4" w:space="0" w:color="auto"/>
            </w:tcBorders>
            <w:shd w:val="clear" w:color="auto" w:fill="auto"/>
            <w:noWrap/>
            <w:vAlign w:val="center"/>
            <w:hideMark/>
          </w:tcPr>
          <w:p w14:paraId="48682200"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63%</w:t>
            </w:r>
          </w:p>
        </w:tc>
        <w:tc>
          <w:tcPr>
            <w:tcW w:w="1864" w:type="dxa"/>
            <w:tcBorders>
              <w:top w:val="nil"/>
              <w:left w:val="nil"/>
              <w:bottom w:val="single" w:sz="4" w:space="0" w:color="auto"/>
              <w:right w:val="single" w:sz="4" w:space="0" w:color="auto"/>
            </w:tcBorders>
            <w:shd w:val="clear" w:color="auto" w:fill="auto"/>
            <w:noWrap/>
            <w:vAlign w:val="center"/>
            <w:hideMark/>
          </w:tcPr>
          <w:p w14:paraId="5DED3B8E"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28.533.599</w:t>
            </w:r>
          </w:p>
        </w:tc>
        <w:tc>
          <w:tcPr>
            <w:tcW w:w="1104" w:type="dxa"/>
            <w:tcBorders>
              <w:top w:val="nil"/>
              <w:left w:val="nil"/>
              <w:bottom w:val="single" w:sz="4" w:space="0" w:color="auto"/>
              <w:right w:val="single" w:sz="4" w:space="0" w:color="auto"/>
            </w:tcBorders>
            <w:shd w:val="clear" w:color="auto" w:fill="auto"/>
            <w:noWrap/>
            <w:vAlign w:val="center"/>
            <w:hideMark/>
          </w:tcPr>
          <w:p w14:paraId="7112A374"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11%</w:t>
            </w:r>
          </w:p>
        </w:tc>
        <w:tc>
          <w:tcPr>
            <w:tcW w:w="1772" w:type="dxa"/>
            <w:tcBorders>
              <w:top w:val="nil"/>
              <w:left w:val="nil"/>
              <w:bottom w:val="single" w:sz="4" w:space="0" w:color="auto"/>
              <w:right w:val="single" w:sz="4" w:space="0" w:color="auto"/>
            </w:tcBorders>
            <w:shd w:val="clear" w:color="auto" w:fill="auto"/>
            <w:noWrap/>
            <w:vAlign w:val="center"/>
            <w:hideMark/>
          </w:tcPr>
          <w:p w14:paraId="7315966B"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9.033.858</w:t>
            </w:r>
          </w:p>
        </w:tc>
        <w:tc>
          <w:tcPr>
            <w:tcW w:w="1082" w:type="dxa"/>
            <w:tcBorders>
              <w:top w:val="nil"/>
              <w:left w:val="nil"/>
              <w:bottom w:val="single" w:sz="4" w:space="0" w:color="auto"/>
              <w:right w:val="single" w:sz="4" w:space="0" w:color="auto"/>
            </w:tcBorders>
            <w:shd w:val="clear" w:color="auto" w:fill="auto"/>
            <w:noWrap/>
            <w:vAlign w:val="center"/>
            <w:hideMark/>
          </w:tcPr>
          <w:p w14:paraId="1E387BB0"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4%</w:t>
            </w:r>
          </w:p>
        </w:tc>
      </w:tr>
      <w:tr w:rsidR="00A169E8" w:rsidRPr="007A0101" w14:paraId="20E4C82D" w14:textId="77777777" w:rsidTr="00813DA2">
        <w:trPr>
          <w:trHeight w:val="360"/>
        </w:trPr>
        <w:tc>
          <w:tcPr>
            <w:tcW w:w="313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7850A247"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Skupaj SPP</w:t>
            </w:r>
          </w:p>
        </w:tc>
        <w:tc>
          <w:tcPr>
            <w:tcW w:w="2049" w:type="dxa"/>
            <w:tcBorders>
              <w:top w:val="nil"/>
              <w:left w:val="nil"/>
              <w:bottom w:val="single" w:sz="4" w:space="0" w:color="auto"/>
              <w:right w:val="single" w:sz="4" w:space="0" w:color="auto"/>
            </w:tcBorders>
            <w:shd w:val="clear" w:color="auto" w:fill="DEEAF6" w:themeFill="accent5" w:themeFillTint="33"/>
            <w:noWrap/>
            <w:vAlign w:val="center"/>
            <w:hideMark/>
          </w:tcPr>
          <w:p w14:paraId="486E8231"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248.773.600</w:t>
            </w:r>
          </w:p>
        </w:tc>
        <w:tc>
          <w:tcPr>
            <w:tcW w:w="1888" w:type="dxa"/>
            <w:tcBorders>
              <w:top w:val="nil"/>
              <w:left w:val="nil"/>
              <w:bottom w:val="single" w:sz="4" w:space="0" w:color="auto"/>
              <w:right w:val="single" w:sz="4" w:space="0" w:color="auto"/>
            </w:tcBorders>
            <w:shd w:val="clear" w:color="auto" w:fill="DEEAF6" w:themeFill="accent5" w:themeFillTint="33"/>
            <w:noWrap/>
            <w:vAlign w:val="center"/>
            <w:hideMark/>
          </w:tcPr>
          <w:p w14:paraId="52856A24"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157.603.166</w:t>
            </w:r>
          </w:p>
        </w:tc>
        <w:tc>
          <w:tcPr>
            <w:tcW w:w="1012" w:type="dxa"/>
            <w:tcBorders>
              <w:top w:val="nil"/>
              <w:left w:val="nil"/>
              <w:bottom w:val="single" w:sz="4" w:space="0" w:color="auto"/>
              <w:right w:val="single" w:sz="4" w:space="0" w:color="auto"/>
            </w:tcBorders>
            <w:shd w:val="clear" w:color="auto" w:fill="DEEAF6" w:themeFill="accent5" w:themeFillTint="33"/>
            <w:noWrap/>
            <w:vAlign w:val="center"/>
            <w:hideMark/>
          </w:tcPr>
          <w:p w14:paraId="6345C6D6"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63%</w:t>
            </w:r>
          </w:p>
        </w:tc>
        <w:tc>
          <w:tcPr>
            <w:tcW w:w="1864" w:type="dxa"/>
            <w:tcBorders>
              <w:top w:val="nil"/>
              <w:left w:val="nil"/>
              <w:bottom w:val="single" w:sz="4" w:space="0" w:color="auto"/>
              <w:right w:val="single" w:sz="4" w:space="0" w:color="auto"/>
            </w:tcBorders>
            <w:shd w:val="clear" w:color="auto" w:fill="DEEAF6" w:themeFill="accent5" w:themeFillTint="33"/>
            <w:noWrap/>
            <w:vAlign w:val="center"/>
            <w:hideMark/>
          </w:tcPr>
          <w:p w14:paraId="06E9DED4"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28.533.599</w:t>
            </w:r>
          </w:p>
        </w:tc>
        <w:tc>
          <w:tcPr>
            <w:tcW w:w="1104" w:type="dxa"/>
            <w:tcBorders>
              <w:top w:val="nil"/>
              <w:left w:val="nil"/>
              <w:bottom w:val="single" w:sz="4" w:space="0" w:color="auto"/>
              <w:right w:val="single" w:sz="4" w:space="0" w:color="auto"/>
            </w:tcBorders>
            <w:shd w:val="clear" w:color="auto" w:fill="DEEAF6" w:themeFill="accent5" w:themeFillTint="33"/>
            <w:noWrap/>
            <w:vAlign w:val="center"/>
            <w:hideMark/>
          </w:tcPr>
          <w:p w14:paraId="551631BF"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11%</w:t>
            </w:r>
          </w:p>
        </w:tc>
        <w:tc>
          <w:tcPr>
            <w:tcW w:w="1772" w:type="dxa"/>
            <w:tcBorders>
              <w:top w:val="nil"/>
              <w:left w:val="nil"/>
              <w:bottom w:val="single" w:sz="4" w:space="0" w:color="auto"/>
              <w:right w:val="single" w:sz="4" w:space="0" w:color="auto"/>
            </w:tcBorders>
            <w:shd w:val="clear" w:color="auto" w:fill="DEEAF6" w:themeFill="accent5" w:themeFillTint="33"/>
            <w:noWrap/>
            <w:vAlign w:val="center"/>
            <w:hideMark/>
          </w:tcPr>
          <w:p w14:paraId="4F7F5835"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9.033.858</w:t>
            </w:r>
          </w:p>
        </w:tc>
        <w:tc>
          <w:tcPr>
            <w:tcW w:w="1082" w:type="dxa"/>
            <w:tcBorders>
              <w:top w:val="nil"/>
              <w:left w:val="nil"/>
              <w:bottom w:val="single" w:sz="4" w:space="0" w:color="auto"/>
              <w:right w:val="single" w:sz="4" w:space="0" w:color="auto"/>
            </w:tcBorders>
            <w:shd w:val="clear" w:color="auto" w:fill="DEEAF6" w:themeFill="accent5" w:themeFillTint="33"/>
            <w:noWrap/>
            <w:vAlign w:val="center"/>
            <w:hideMark/>
          </w:tcPr>
          <w:p w14:paraId="6367D1B4"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4%</w:t>
            </w:r>
          </w:p>
        </w:tc>
      </w:tr>
      <w:tr w:rsidR="00A169E8" w:rsidRPr="007A0101" w14:paraId="0B854EE5" w14:textId="77777777" w:rsidTr="00A169E8">
        <w:trPr>
          <w:trHeight w:val="360"/>
        </w:trPr>
        <w:tc>
          <w:tcPr>
            <w:tcW w:w="13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E01B67"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PEKP</w:t>
            </w:r>
          </w:p>
        </w:tc>
        <w:tc>
          <w:tcPr>
            <w:tcW w:w="1774" w:type="dxa"/>
            <w:tcBorders>
              <w:top w:val="nil"/>
              <w:left w:val="nil"/>
              <w:bottom w:val="single" w:sz="4" w:space="0" w:color="auto"/>
              <w:right w:val="single" w:sz="4" w:space="0" w:color="auto"/>
            </w:tcBorders>
            <w:shd w:val="clear" w:color="auto" w:fill="auto"/>
            <w:noWrap/>
            <w:vAlign w:val="center"/>
            <w:hideMark/>
          </w:tcPr>
          <w:p w14:paraId="4787E29C"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Zahod</w:t>
            </w:r>
          </w:p>
        </w:tc>
        <w:tc>
          <w:tcPr>
            <w:tcW w:w="2049" w:type="dxa"/>
            <w:tcBorders>
              <w:top w:val="nil"/>
              <w:left w:val="nil"/>
              <w:bottom w:val="single" w:sz="4" w:space="0" w:color="auto"/>
              <w:right w:val="single" w:sz="4" w:space="0" w:color="auto"/>
            </w:tcBorders>
            <w:shd w:val="clear" w:color="auto" w:fill="auto"/>
            <w:noWrap/>
            <w:vAlign w:val="center"/>
            <w:hideMark/>
          </w:tcPr>
          <w:p w14:paraId="430D4A3F"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512.756.049</w:t>
            </w:r>
          </w:p>
        </w:tc>
        <w:tc>
          <w:tcPr>
            <w:tcW w:w="1888" w:type="dxa"/>
            <w:tcBorders>
              <w:top w:val="nil"/>
              <w:left w:val="nil"/>
              <w:bottom w:val="single" w:sz="4" w:space="0" w:color="auto"/>
              <w:right w:val="single" w:sz="4" w:space="0" w:color="auto"/>
            </w:tcBorders>
            <w:shd w:val="clear" w:color="auto" w:fill="auto"/>
            <w:noWrap/>
            <w:vAlign w:val="center"/>
            <w:hideMark/>
          </w:tcPr>
          <w:p w14:paraId="6FE628FA"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100.828.285</w:t>
            </w:r>
          </w:p>
        </w:tc>
        <w:tc>
          <w:tcPr>
            <w:tcW w:w="1012" w:type="dxa"/>
            <w:tcBorders>
              <w:top w:val="nil"/>
              <w:left w:val="nil"/>
              <w:bottom w:val="single" w:sz="4" w:space="0" w:color="auto"/>
              <w:right w:val="single" w:sz="4" w:space="0" w:color="auto"/>
            </w:tcBorders>
            <w:shd w:val="clear" w:color="auto" w:fill="auto"/>
            <w:noWrap/>
            <w:vAlign w:val="center"/>
            <w:hideMark/>
          </w:tcPr>
          <w:p w14:paraId="6BBEF3B5"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20%</w:t>
            </w:r>
          </w:p>
        </w:tc>
        <w:tc>
          <w:tcPr>
            <w:tcW w:w="1864" w:type="dxa"/>
            <w:tcBorders>
              <w:top w:val="nil"/>
              <w:left w:val="nil"/>
              <w:bottom w:val="single" w:sz="4" w:space="0" w:color="auto"/>
              <w:right w:val="single" w:sz="4" w:space="0" w:color="auto"/>
            </w:tcBorders>
            <w:shd w:val="clear" w:color="auto" w:fill="auto"/>
            <w:noWrap/>
            <w:vAlign w:val="center"/>
            <w:hideMark/>
          </w:tcPr>
          <w:p w14:paraId="17984E62"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77.410.928</w:t>
            </w:r>
          </w:p>
        </w:tc>
        <w:tc>
          <w:tcPr>
            <w:tcW w:w="1104" w:type="dxa"/>
            <w:tcBorders>
              <w:top w:val="nil"/>
              <w:left w:val="nil"/>
              <w:bottom w:val="single" w:sz="4" w:space="0" w:color="auto"/>
              <w:right w:val="single" w:sz="4" w:space="0" w:color="auto"/>
            </w:tcBorders>
            <w:shd w:val="clear" w:color="auto" w:fill="auto"/>
            <w:noWrap/>
            <w:vAlign w:val="center"/>
            <w:hideMark/>
          </w:tcPr>
          <w:p w14:paraId="4903C12B"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15%</w:t>
            </w:r>
          </w:p>
        </w:tc>
        <w:tc>
          <w:tcPr>
            <w:tcW w:w="1772" w:type="dxa"/>
            <w:tcBorders>
              <w:top w:val="nil"/>
              <w:left w:val="nil"/>
              <w:bottom w:val="single" w:sz="4" w:space="0" w:color="auto"/>
              <w:right w:val="single" w:sz="4" w:space="0" w:color="auto"/>
            </w:tcBorders>
            <w:shd w:val="clear" w:color="auto" w:fill="auto"/>
            <w:noWrap/>
            <w:vAlign w:val="center"/>
            <w:hideMark/>
          </w:tcPr>
          <w:p w14:paraId="301677F9"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9.562.218</w:t>
            </w:r>
          </w:p>
        </w:tc>
        <w:tc>
          <w:tcPr>
            <w:tcW w:w="1082" w:type="dxa"/>
            <w:tcBorders>
              <w:top w:val="nil"/>
              <w:left w:val="nil"/>
              <w:bottom w:val="single" w:sz="4" w:space="0" w:color="auto"/>
              <w:right w:val="single" w:sz="4" w:space="0" w:color="auto"/>
            </w:tcBorders>
            <w:shd w:val="clear" w:color="auto" w:fill="auto"/>
            <w:noWrap/>
            <w:vAlign w:val="center"/>
            <w:hideMark/>
          </w:tcPr>
          <w:p w14:paraId="69054DC4"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w:t>
            </w:r>
          </w:p>
        </w:tc>
      </w:tr>
      <w:tr w:rsidR="00A169E8" w:rsidRPr="007A0101" w14:paraId="0C861DCB" w14:textId="77777777" w:rsidTr="00A169E8">
        <w:trPr>
          <w:trHeight w:val="360"/>
        </w:trPr>
        <w:tc>
          <w:tcPr>
            <w:tcW w:w="1358" w:type="dxa"/>
            <w:vMerge/>
            <w:tcBorders>
              <w:top w:val="nil"/>
              <w:left w:val="single" w:sz="4" w:space="0" w:color="auto"/>
              <w:bottom w:val="single" w:sz="4" w:space="0" w:color="auto"/>
              <w:right w:val="single" w:sz="4" w:space="0" w:color="auto"/>
            </w:tcBorders>
            <w:vAlign w:val="center"/>
            <w:hideMark/>
          </w:tcPr>
          <w:p w14:paraId="14304FE1" w14:textId="77777777" w:rsidR="00A169E8" w:rsidRPr="007A0101" w:rsidRDefault="00A169E8" w:rsidP="00ED5676">
            <w:pPr>
              <w:spacing w:after="0" w:line="240" w:lineRule="auto"/>
              <w:jc w:val="both"/>
              <w:rPr>
                <w:rFonts w:cs="Arial"/>
                <w:color w:val="000000"/>
                <w:szCs w:val="20"/>
              </w:rPr>
            </w:pPr>
          </w:p>
        </w:tc>
        <w:tc>
          <w:tcPr>
            <w:tcW w:w="1774" w:type="dxa"/>
            <w:tcBorders>
              <w:top w:val="nil"/>
              <w:left w:val="nil"/>
              <w:bottom w:val="single" w:sz="4" w:space="0" w:color="auto"/>
              <w:right w:val="single" w:sz="4" w:space="0" w:color="auto"/>
            </w:tcBorders>
            <w:shd w:val="clear" w:color="auto" w:fill="auto"/>
            <w:noWrap/>
            <w:vAlign w:val="center"/>
            <w:hideMark/>
          </w:tcPr>
          <w:p w14:paraId="1C75366B"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Vzhod</w:t>
            </w:r>
          </w:p>
        </w:tc>
        <w:tc>
          <w:tcPr>
            <w:tcW w:w="2049" w:type="dxa"/>
            <w:tcBorders>
              <w:top w:val="nil"/>
              <w:left w:val="nil"/>
              <w:bottom w:val="single" w:sz="4" w:space="0" w:color="auto"/>
              <w:right w:val="single" w:sz="4" w:space="0" w:color="auto"/>
            </w:tcBorders>
            <w:shd w:val="clear" w:color="auto" w:fill="auto"/>
            <w:noWrap/>
            <w:vAlign w:val="center"/>
            <w:hideMark/>
          </w:tcPr>
          <w:p w14:paraId="57B56BE1"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1.644.435.042</w:t>
            </w:r>
          </w:p>
        </w:tc>
        <w:tc>
          <w:tcPr>
            <w:tcW w:w="1888" w:type="dxa"/>
            <w:tcBorders>
              <w:top w:val="nil"/>
              <w:left w:val="nil"/>
              <w:bottom w:val="single" w:sz="4" w:space="0" w:color="auto"/>
              <w:right w:val="single" w:sz="4" w:space="0" w:color="auto"/>
            </w:tcBorders>
            <w:shd w:val="clear" w:color="auto" w:fill="auto"/>
            <w:noWrap/>
            <w:vAlign w:val="center"/>
            <w:hideMark/>
          </w:tcPr>
          <w:p w14:paraId="65F87BBD"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427.857.005</w:t>
            </w:r>
          </w:p>
        </w:tc>
        <w:tc>
          <w:tcPr>
            <w:tcW w:w="1012" w:type="dxa"/>
            <w:tcBorders>
              <w:top w:val="nil"/>
              <w:left w:val="nil"/>
              <w:bottom w:val="single" w:sz="4" w:space="0" w:color="auto"/>
              <w:right w:val="single" w:sz="4" w:space="0" w:color="auto"/>
            </w:tcBorders>
            <w:shd w:val="clear" w:color="auto" w:fill="auto"/>
            <w:noWrap/>
            <w:vAlign w:val="center"/>
            <w:hideMark/>
          </w:tcPr>
          <w:p w14:paraId="08AFFC2C"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26%</w:t>
            </w:r>
          </w:p>
        </w:tc>
        <w:tc>
          <w:tcPr>
            <w:tcW w:w="1864" w:type="dxa"/>
            <w:tcBorders>
              <w:top w:val="nil"/>
              <w:left w:val="nil"/>
              <w:bottom w:val="single" w:sz="4" w:space="0" w:color="auto"/>
              <w:right w:val="single" w:sz="4" w:space="0" w:color="auto"/>
            </w:tcBorders>
            <w:shd w:val="clear" w:color="auto" w:fill="auto"/>
            <w:noWrap/>
            <w:vAlign w:val="center"/>
            <w:hideMark/>
          </w:tcPr>
          <w:p w14:paraId="6269D6C9"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359.367.119</w:t>
            </w:r>
          </w:p>
        </w:tc>
        <w:tc>
          <w:tcPr>
            <w:tcW w:w="1104" w:type="dxa"/>
            <w:tcBorders>
              <w:top w:val="nil"/>
              <w:left w:val="nil"/>
              <w:bottom w:val="single" w:sz="4" w:space="0" w:color="auto"/>
              <w:right w:val="single" w:sz="4" w:space="0" w:color="auto"/>
            </w:tcBorders>
            <w:shd w:val="clear" w:color="auto" w:fill="auto"/>
            <w:noWrap/>
            <w:vAlign w:val="center"/>
            <w:hideMark/>
          </w:tcPr>
          <w:p w14:paraId="1161BCB5"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22%</w:t>
            </w:r>
          </w:p>
        </w:tc>
        <w:tc>
          <w:tcPr>
            <w:tcW w:w="1772" w:type="dxa"/>
            <w:tcBorders>
              <w:top w:val="nil"/>
              <w:left w:val="nil"/>
              <w:bottom w:val="single" w:sz="4" w:space="0" w:color="auto"/>
              <w:right w:val="single" w:sz="4" w:space="0" w:color="auto"/>
            </w:tcBorders>
            <w:shd w:val="clear" w:color="auto" w:fill="auto"/>
            <w:noWrap/>
            <w:vAlign w:val="center"/>
            <w:hideMark/>
          </w:tcPr>
          <w:p w14:paraId="6D911D81"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35.898.875</w:t>
            </w:r>
          </w:p>
        </w:tc>
        <w:tc>
          <w:tcPr>
            <w:tcW w:w="1082" w:type="dxa"/>
            <w:tcBorders>
              <w:top w:val="nil"/>
              <w:left w:val="nil"/>
              <w:bottom w:val="single" w:sz="4" w:space="0" w:color="auto"/>
              <w:right w:val="single" w:sz="4" w:space="0" w:color="auto"/>
            </w:tcBorders>
            <w:shd w:val="clear" w:color="auto" w:fill="auto"/>
            <w:noWrap/>
            <w:vAlign w:val="center"/>
            <w:hideMark/>
          </w:tcPr>
          <w:p w14:paraId="7325CF14"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w:t>
            </w:r>
          </w:p>
        </w:tc>
      </w:tr>
      <w:tr w:rsidR="00A169E8" w:rsidRPr="007A0101" w14:paraId="79F1ABDB" w14:textId="77777777" w:rsidTr="00A169E8">
        <w:trPr>
          <w:trHeight w:val="360"/>
        </w:trPr>
        <w:tc>
          <w:tcPr>
            <w:tcW w:w="1358" w:type="dxa"/>
            <w:vMerge/>
            <w:tcBorders>
              <w:top w:val="nil"/>
              <w:left w:val="single" w:sz="4" w:space="0" w:color="auto"/>
              <w:bottom w:val="single" w:sz="4" w:space="0" w:color="auto"/>
              <w:right w:val="single" w:sz="4" w:space="0" w:color="auto"/>
            </w:tcBorders>
            <w:vAlign w:val="center"/>
            <w:hideMark/>
          </w:tcPr>
          <w:p w14:paraId="10319B0A" w14:textId="77777777" w:rsidR="00A169E8" w:rsidRPr="007A0101" w:rsidRDefault="00A169E8" w:rsidP="00ED5676">
            <w:pPr>
              <w:spacing w:after="0" w:line="240" w:lineRule="auto"/>
              <w:jc w:val="both"/>
              <w:rPr>
                <w:rFonts w:cs="Arial"/>
                <w:color w:val="000000"/>
                <w:szCs w:val="20"/>
              </w:rPr>
            </w:pPr>
          </w:p>
        </w:tc>
        <w:tc>
          <w:tcPr>
            <w:tcW w:w="1774" w:type="dxa"/>
            <w:tcBorders>
              <w:top w:val="nil"/>
              <w:left w:val="nil"/>
              <w:bottom w:val="single" w:sz="4" w:space="0" w:color="auto"/>
              <w:right w:val="single" w:sz="4" w:space="0" w:color="auto"/>
            </w:tcBorders>
            <w:shd w:val="clear" w:color="auto" w:fill="auto"/>
            <w:noWrap/>
            <w:vAlign w:val="center"/>
            <w:hideMark/>
          </w:tcPr>
          <w:p w14:paraId="5A157B24"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Celotna SI - KS</w:t>
            </w:r>
          </w:p>
        </w:tc>
        <w:tc>
          <w:tcPr>
            <w:tcW w:w="2049" w:type="dxa"/>
            <w:tcBorders>
              <w:top w:val="nil"/>
              <w:left w:val="nil"/>
              <w:bottom w:val="single" w:sz="4" w:space="0" w:color="auto"/>
              <w:right w:val="single" w:sz="4" w:space="0" w:color="auto"/>
            </w:tcBorders>
            <w:shd w:val="clear" w:color="auto" w:fill="auto"/>
            <w:noWrap/>
            <w:vAlign w:val="center"/>
            <w:hideMark/>
          </w:tcPr>
          <w:p w14:paraId="0521E9E0"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700.675.721</w:t>
            </w:r>
          </w:p>
        </w:tc>
        <w:tc>
          <w:tcPr>
            <w:tcW w:w="1888" w:type="dxa"/>
            <w:tcBorders>
              <w:top w:val="nil"/>
              <w:left w:val="nil"/>
              <w:bottom w:val="single" w:sz="4" w:space="0" w:color="auto"/>
              <w:right w:val="single" w:sz="4" w:space="0" w:color="auto"/>
            </w:tcBorders>
            <w:shd w:val="clear" w:color="auto" w:fill="auto"/>
            <w:noWrap/>
            <w:vAlign w:val="center"/>
            <w:hideMark/>
          </w:tcPr>
          <w:p w14:paraId="0115E908"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105.025.661</w:t>
            </w:r>
          </w:p>
        </w:tc>
        <w:tc>
          <w:tcPr>
            <w:tcW w:w="1012" w:type="dxa"/>
            <w:tcBorders>
              <w:top w:val="nil"/>
              <w:left w:val="nil"/>
              <w:bottom w:val="single" w:sz="4" w:space="0" w:color="auto"/>
              <w:right w:val="single" w:sz="4" w:space="0" w:color="auto"/>
            </w:tcBorders>
            <w:shd w:val="clear" w:color="auto" w:fill="auto"/>
            <w:noWrap/>
            <w:vAlign w:val="center"/>
            <w:hideMark/>
          </w:tcPr>
          <w:p w14:paraId="4099834A"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15%</w:t>
            </w:r>
          </w:p>
        </w:tc>
        <w:tc>
          <w:tcPr>
            <w:tcW w:w="1864" w:type="dxa"/>
            <w:tcBorders>
              <w:top w:val="nil"/>
              <w:left w:val="nil"/>
              <w:bottom w:val="single" w:sz="4" w:space="0" w:color="auto"/>
              <w:right w:val="single" w:sz="4" w:space="0" w:color="auto"/>
            </w:tcBorders>
            <w:shd w:val="clear" w:color="auto" w:fill="auto"/>
            <w:noWrap/>
            <w:vAlign w:val="center"/>
            <w:hideMark/>
          </w:tcPr>
          <w:p w14:paraId="5C4E8E3E"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56.102.158</w:t>
            </w:r>
          </w:p>
        </w:tc>
        <w:tc>
          <w:tcPr>
            <w:tcW w:w="1104" w:type="dxa"/>
            <w:tcBorders>
              <w:top w:val="nil"/>
              <w:left w:val="nil"/>
              <w:bottom w:val="single" w:sz="4" w:space="0" w:color="auto"/>
              <w:right w:val="single" w:sz="4" w:space="0" w:color="auto"/>
            </w:tcBorders>
            <w:shd w:val="clear" w:color="auto" w:fill="auto"/>
            <w:noWrap/>
            <w:vAlign w:val="center"/>
            <w:hideMark/>
          </w:tcPr>
          <w:p w14:paraId="4CB3B617"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8%</w:t>
            </w:r>
          </w:p>
        </w:tc>
        <w:tc>
          <w:tcPr>
            <w:tcW w:w="1772" w:type="dxa"/>
            <w:tcBorders>
              <w:top w:val="nil"/>
              <w:left w:val="nil"/>
              <w:bottom w:val="single" w:sz="4" w:space="0" w:color="auto"/>
              <w:right w:val="single" w:sz="4" w:space="0" w:color="auto"/>
            </w:tcBorders>
            <w:shd w:val="clear" w:color="auto" w:fill="auto"/>
            <w:noWrap/>
            <w:vAlign w:val="center"/>
            <w:hideMark/>
          </w:tcPr>
          <w:p w14:paraId="255D7AD5"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19.753.316</w:t>
            </w:r>
          </w:p>
        </w:tc>
        <w:tc>
          <w:tcPr>
            <w:tcW w:w="1082" w:type="dxa"/>
            <w:tcBorders>
              <w:top w:val="nil"/>
              <w:left w:val="nil"/>
              <w:bottom w:val="single" w:sz="4" w:space="0" w:color="auto"/>
              <w:right w:val="single" w:sz="4" w:space="0" w:color="auto"/>
            </w:tcBorders>
            <w:shd w:val="clear" w:color="auto" w:fill="auto"/>
            <w:noWrap/>
            <w:vAlign w:val="center"/>
            <w:hideMark/>
          </w:tcPr>
          <w:p w14:paraId="0E3DF521"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3%</w:t>
            </w:r>
          </w:p>
        </w:tc>
      </w:tr>
      <w:tr w:rsidR="00A169E8" w:rsidRPr="007A0101" w14:paraId="63E2AAE2" w14:textId="77777777" w:rsidTr="00A169E8">
        <w:trPr>
          <w:trHeight w:val="360"/>
        </w:trPr>
        <w:tc>
          <w:tcPr>
            <w:tcW w:w="1358" w:type="dxa"/>
            <w:vMerge/>
            <w:tcBorders>
              <w:top w:val="nil"/>
              <w:left w:val="single" w:sz="4" w:space="0" w:color="auto"/>
              <w:bottom w:val="single" w:sz="4" w:space="0" w:color="auto"/>
              <w:right w:val="single" w:sz="4" w:space="0" w:color="auto"/>
            </w:tcBorders>
            <w:vAlign w:val="center"/>
            <w:hideMark/>
          </w:tcPr>
          <w:p w14:paraId="475AEB97" w14:textId="77777777" w:rsidR="00A169E8" w:rsidRPr="007A0101" w:rsidRDefault="00A169E8" w:rsidP="00ED5676">
            <w:pPr>
              <w:spacing w:after="0" w:line="240" w:lineRule="auto"/>
              <w:jc w:val="both"/>
              <w:rPr>
                <w:rFonts w:cs="Arial"/>
                <w:color w:val="000000"/>
                <w:szCs w:val="20"/>
              </w:rPr>
            </w:pPr>
          </w:p>
        </w:tc>
        <w:tc>
          <w:tcPr>
            <w:tcW w:w="1774" w:type="dxa"/>
            <w:tcBorders>
              <w:top w:val="nil"/>
              <w:left w:val="nil"/>
              <w:bottom w:val="single" w:sz="4" w:space="0" w:color="auto"/>
              <w:right w:val="single" w:sz="4" w:space="0" w:color="auto"/>
            </w:tcBorders>
            <w:shd w:val="clear" w:color="auto" w:fill="auto"/>
            <w:noWrap/>
            <w:vAlign w:val="center"/>
            <w:hideMark/>
          </w:tcPr>
          <w:p w14:paraId="060CE397"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Celotna SI - SPP</w:t>
            </w:r>
          </w:p>
        </w:tc>
        <w:tc>
          <w:tcPr>
            <w:tcW w:w="2049" w:type="dxa"/>
            <w:tcBorders>
              <w:top w:val="nil"/>
              <w:left w:val="nil"/>
              <w:bottom w:val="single" w:sz="4" w:space="0" w:color="auto"/>
              <w:right w:val="single" w:sz="4" w:space="0" w:color="auto"/>
            </w:tcBorders>
            <w:shd w:val="clear" w:color="auto" w:fill="auto"/>
            <w:noWrap/>
            <w:vAlign w:val="center"/>
            <w:hideMark/>
          </w:tcPr>
          <w:p w14:paraId="3783C244"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248.773.600</w:t>
            </w:r>
          </w:p>
        </w:tc>
        <w:tc>
          <w:tcPr>
            <w:tcW w:w="1888" w:type="dxa"/>
            <w:tcBorders>
              <w:top w:val="nil"/>
              <w:left w:val="nil"/>
              <w:bottom w:val="single" w:sz="4" w:space="0" w:color="auto"/>
              <w:right w:val="single" w:sz="4" w:space="0" w:color="auto"/>
            </w:tcBorders>
            <w:shd w:val="clear" w:color="auto" w:fill="auto"/>
            <w:noWrap/>
            <w:vAlign w:val="center"/>
            <w:hideMark/>
          </w:tcPr>
          <w:p w14:paraId="54C07D33"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157.603.166</w:t>
            </w:r>
          </w:p>
        </w:tc>
        <w:tc>
          <w:tcPr>
            <w:tcW w:w="1012" w:type="dxa"/>
            <w:tcBorders>
              <w:top w:val="nil"/>
              <w:left w:val="nil"/>
              <w:bottom w:val="single" w:sz="4" w:space="0" w:color="auto"/>
              <w:right w:val="single" w:sz="4" w:space="0" w:color="auto"/>
            </w:tcBorders>
            <w:shd w:val="clear" w:color="auto" w:fill="auto"/>
            <w:noWrap/>
            <w:vAlign w:val="center"/>
            <w:hideMark/>
          </w:tcPr>
          <w:p w14:paraId="778FE6D7"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63%</w:t>
            </w:r>
          </w:p>
        </w:tc>
        <w:tc>
          <w:tcPr>
            <w:tcW w:w="1864" w:type="dxa"/>
            <w:tcBorders>
              <w:top w:val="nil"/>
              <w:left w:val="nil"/>
              <w:bottom w:val="single" w:sz="4" w:space="0" w:color="auto"/>
              <w:right w:val="single" w:sz="4" w:space="0" w:color="auto"/>
            </w:tcBorders>
            <w:shd w:val="clear" w:color="auto" w:fill="auto"/>
            <w:noWrap/>
            <w:vAlign w:val="center"/>
            <w:hideMark/>
          </w:tcPr>
          <w:p w14:paraId="6697B3B9"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28.533.599</w:t>
            </w:r>
          </w:p>
        </w:tc>
        <w:tc>
          <w:tcPr>
            <w:tcW w:w="1104" w:type="dxa"/>
            <w:tcBorders>
              <w:top w:val="nil"/>
              <w:left w:val="nil"/>
              <w:bottom w:val="single" w:sz="4" w:space="0" w:color="auto"/>
              <w:right w:val="single" w:sz="4" w:space="0" w:color="auto"/>
            </w:tcBorders>
            <w:shd w:val="clear" w:color="auto" w:fill="auto"/>
            <w:noWrap/>
            <w:vAlign w:val="center"/>
            <w:hideMark/>
          </w:tcPr>
          <w:p w14:paraId="64D6B684"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11%</w:t>
            </w:r>
          </w:p>
        </w:tc>
        <w:tc>
          <w:tcPr>
            <w:tcW w:w="1772" w:type="dxa"/>
            <w:tcBorders>
              <w:top w:val="nil"/>
              <w:left w:val="nil"/>
              <w:bottom w:val="single" w:sz="4" w:space="0" w:color="auto"/>
              <w:right w:val="single" w:sz="4" w:space="0" w:color="auto"/>
            </w:tcBorders>
            <w:shd w:val="clear" w:color="auto" w:fill="auto"/>
            <w:noWrap/>
            <w:vAlign w:val="center"/>
            <w:hideMark/>
          </w:tcPr>
          <w:p w14:paraId="1C24DEE4"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9.033.858</w:t>
            </w:r>
          </w:p>
        </w:tc>
        <w:tc>
          <w:tcPr>
            <w:tcW w:w="1082" w:type="dxa"/>
            <w:tcBorders>
              <w:top w:val="nil"/>
              <w:left w:val="nil"/>
              <w:bottom w:val="single" w:sz="4" w:space="0" w:color="auto"/>
              <w:right w:val="single" w:sz="4" w:space="0" w:color="auto"/>
            </w:tcBorders>
            <w:shd w:val="clear" w:color="auto" w:fill="auto"/>
            <w:noWrap/>
            <w:vAlign w:val="center"/>
            <w:hideMark/>
          </w:tcPr>
          <w:p w14:paraId="4D878ABF"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4%</w:t>
            </w:r>
          </w:p>
        </w:tc>
      </w:tr>
      <w:tr w:rsidR="00A169E8" w:rsidRPr="007A0101" w14:paraId="475E7F5B" w14:textId="77777777" w:rsidTr="00813DA2">
        <w:trPr>
          <w:trHeight w:val="360"/>
        </w:trPr>
        <w:tc>
          <w:tcPr>
            <w:tcW w:w="313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09C296B7" w14:textId="4C8D7A5E" w:rsidR="00A169E8" w:rsidRPr="007A0101" w:rsidRDefault="00E94F09" w:rsidP="00ED5676">
            <w:pPr>
              <w:spacing w:after="0" w:line="240" w:lineRule="auto"/>
              <w:jc w:val="both"/>
              <w:rPr>
                <w:rFonts w:cs="Arial"/>
                <w:b/>
                <w:bCs/>
                <w:color w:val="000000"/>
                <w:szCs w:val="20"/>
              </w:rPr>
            </w:pPr>
            <w:r w:rsidRPr="007A0101">
              <w:rPr>
                <w:rFonts w:cs="Arial"/>
                <w:b/>
                <w:bCs/>
                <w:color w:val="000000"/>
                <w:szCs w:val="20"/>
              </w:rPr>
              <w:t>SKUPAJ</w:t>
            </w:r>
          </w:p>
        </w:tc>
        <w:tc>
          <w:tcPr>
            <w:tcW w:w="2049" w:type="dxa"/>
            <w:tcBorders>
              <w:top w:val="nil"/>
              <w:left w:val="nil"/>
              <w:bottom w:val="single" w:sz="4" w:space="0" w:color="auto"/>
              <w:right w:val="single" w:sz="4" w:space="0" w:color="auto"/>
            </w:tcBorders>
            <w:shd w:val="clear" w:color="auto" w:fill="DEEAF6" w:themeFill="accent5" w:themeFillTint="33"/>
            <w:noWrap/>
            <w:vAlign w:val="center"/>
            <w:hideMark/>
          </w:tcPr>
          <w:p w14:paraId="091CB291"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3.106.640.412</w:t>
            </w:r>
          </w:p>
        </w:tc>
        <w:tc>
          <w:tcPr>
            <w:tcW w:w="1888" w:type="dxa"/>
            <w:tcBorders>
              <w:top w:val="nil"/>
              <w:left w:val="nil"/>
              <w:bottom w:val="single" w:sz="4" w:space="0" w:color="auto"/>
              <w:right w:val="single" w:sz="4" w:space="0" w:color="auto"/>
            </w:tcBorders>
            <w:shd w:val="clear" w:color="auto" w:fill="DEEAF6" w:themeFill="accent5" w:themeFillTint="33"/>
            <w:noWrap/>
            <w:vAlign w:val="center"/>
            <w:hideMark/>
          </w:tcPr>
          <w:p w14:paraId="2CFB0E1D"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791.314.116</w:t>
            </w:r>
          </w:p>
        </w:tc>
        <w:tc>
          <w:tcPr>
            <w:tcW w:w="1012" w:type="dxa"/>
            <w:tcBorders>
              <w:top w:val="nil"/>
              <w:left w:val="nil"/>
              <w:bottom w:val="single" w:sz="4" w:space="0" w:color="auto"/>
              <w:right w:val="single" w:sz="4" w:space="0" w:color="auto"/>
            </w:tcBorders>
            <w:shd w:val="clear" w:color="auto" w:fill="DEEAF6" w:themeFill="accent5" w:themeFillTint="33"/>
            <w:noWrap/>
            <w:vAlign w:val="center"/>
            <w:hideMark/>
          </w:tcPr>
          <w:p w14:paraId="3659332C"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25%</w:t>
            </w:r>
          </w:p>
        </w:tc>
        <w:tc>
          <w:tcPr>
            <w:tcW w:w="1864" w:type="dxa"/>
            <w:tcBorders>
              <w:top w:val="nil"/>
              <w:left w:val="nil"/>
              <w:bottom w:val="single" w:sz="4" w:space="0" w:color="auto"/>
              <w:right w:val="single" w:sz="4" w:space="0" w:color="auto"/>
            </w:tcBorders>
            <w:shd w:val="clear" w:color="auto" w:fill="DEEAF6" w:themeFill="accent5" w:themeFillTint="33"/>
            <w:noWrap/>
            <w:vAlign w:val="center"/>
            <w:hideMark/>
          </w:tcPr>
          <w:p w14:paraId="170CE126"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521.413.805</w:t>
            </w:r>
          </w:p>
        </w:tc>
        <w:tc>
          <w:tcPr>
            <w:tcW w:w="1104" w:type="dxa"/>
            <w:tcBorders>
              <w:top w:val="nil"/>
              <w:left w:val="nil"/>
              <w:bottom w:val="single" w:sz="4" w:space="0" w:color="auto"/>
              <w:right w:val="single" w:sz="4" w:space="0" w:color="auto"/>
            </w:tcBorders>
            <w:shd w:val="clear" w:color="auto" w:fill="DEEAF6" w:themeFill="accent5" w:themeFillTint="33"/>
            <w:noWrap/>
            <w:vAlign w:val="center"/>
            <w:hideMark/>
          </w:tcPr>
          <w:p w14:paraId="64263130"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17%</w:t>
            </w:r>
          </w:p>
        </w:tc>
        <w:tc>
          <w:tcPr>
            <w:tcW w:w="1772" w:type="dxa"/>
            <w:tcBorders>
              <w:top w:val="nil"/>
              <w:left w:val="nil"/>
              <w:bottom w:val="single" w:sz="4" w:space="0" w:color="auto"/>
              <w:right w:val="single" w:sz="4" w:space="0" w:color="auto"/>
            </w:tcBorders>
            <w:shd w:val="clear" w:color="auto" w:fill="DEEAF6" w:themeFill="accent5" w:themeFillTint="33"/>
            <w:noWrap/>
            <w:vAlign w:val="center"/>
            <w:hideMark/>
          </w:tcPr>
          <w:p w14:paraId="2839FC18"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74.248.266</w:t>
            </w:r>
          </w:p>
        </w:tc>
        <w:tc>
          <w:tcPr>
            <w:tcW w:w="1082" w:type="dxa"/>
            <w:tcBorders>
              <w:top w:val="nil"/>
              <w:left w:val="nil"/>
              <w:bottom w:val="single" w:sz="4" w:space="0" w:color="auto"/>
              <w:right w:val="single" w:sz="4" w:space="0" w:color="auto"/>
            </w:tcBorders>
            <w:shd w:val="clear" w:color="auto" w:fill="DEEAF6" w:themeFill="accent5" w:themeFillTint="33"/>
            <w:noWrap/>
            <w:vAlign w:val="center"/>
            <w:hideMark/>
          </w:tcPr>
          <w:p w14:paraId="5388EFA5" w14:textId="77777777" w:rsidR="00A169E8" w:rsidRPr="007A0101" w:rsidRDefault="00A169E8" w:rsidP="00ED5676">
            <w:pPr>
              <w:spacing w:after="0" w:line="240" w:lineRule="auto"/>
              <w:jc w:val="both"/>
              <w:rPr>
                <w:rFonts w:cs="Arial"/>
                <w:b/>
                <w:bCs/>
                <w:color w:val="000000"/>
                <w:szCs w:val="20"/>
              </w:rPr>
            </w:pPr>
            <w:r w:rsidRPr="007A0101">
              <w:rPr>
                <w:rFonts w:cs="Arial"/>
                <w:b/>
                <w:bCs/>
                <w:color w:val="000000"/>
                <w:szCs w:val="20"/>
              </w:rPr>
              <w:t>2%</w:t>
            </w:r>
          </w:p>
        </w:tc>
      </w:tr>
    </w:tbl>
    <w:p w14:paraId="5B0A49FA" w14:textId="77777777" w:rsidR="00A169E8" w:rsidRPr="00006EC3" w:rsidRDefault="00A169E8"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Vir: IS OU e-MA2, MFERAC</w:t>
      </w:r>
    </w:p>
    <w:p w14:paraId="34C4E0AD" w14:textId="77777777" w:rsidR="00A169E8" w:rsidRPr="00006EC3" w:rsidRDefault="00A169E8"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 Razpoložljiva sredstva/pravice porabe EKP za obdobje 2021−2027 (EU del) – Program EKP 2021–2027.</w:t>
      </w:r>
    </w:p>
    <w:p w14:paraId="7FEC130D" w14:textId="77777777" w:rsidR="00A169E8" w:rsidRPr="00006EC3" w:rsidRDefault="00A169E8"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 xml:space="preserve">** Odločitve o podpori zajemajo vrednost vlog za posamezen projekt, program ali javni razpis/poziv, brez neupravičenih stroškov. </w:t>
      </w:r>
    </w:p>
    <w:p w14:paraId="1EA3E17F" w14:textId="77777777" w:rsidR="00A169E8" w:rsidRPr="00006EC3" w:rsidRDefault="00A169E8"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 Potrjene operacije pomenijo pogodbe o sofinanciranju oziroma odločitve o podpori, kadar je upravičenec neposredni proračunski uporabnik.</w:t>
      </w:r>
    </w:p>
    <w:p w14:paraId="097D2FC7" w14:textId="2F053B09" w:rsidR="00A169E8" w:rsidRPr="00006EC3" w:rsidRDefault="00A169E8"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 xml:space="preserve">**** Izplačila iz državnega proračuna (vir: </w:t>
      </w:r>
      <w:proofErr w:type="spellStart"/>
      <w:r w:rsidRPr="00006EC3">
        <w:rPr>
          <w:rFonts w:eastAsia="SimSun" w:cs="Arial"/>
          <w:sz w:val="16"/>
          <w:szCs w:val="16"/>
          <w:lang w:eastAsia="zh-CN"/>
        </w:rPr>
        <w:t>MFeRAC</w:t>
      </w:r>
      <w:proofErr w:type="spellEnd"/>
      <w:r w:rsidRPr="00006EC3">
        <w:rPr>
          <w:rFonts w:eastAsia="SimSun" w:cs="Arial"/>
          <w:sz w:val="16"/>
          <w:szCs w:val="16"/>
          <w:lang w:eastAsia="zh-CN"/>
        </w:rPr>
        <w:t>, izpis na dan 6. 1. 2025 za obdobje do 31. 12. 2024).</w:t>
      </w:r>
    </w:p>
    <w:p w14:paraId="2484EFE9" w14:textId="77777777" w:rsidR="00A169E8" w:rsidRPr="0025033E" w:rsidRDefault="00A169E8" w:rsidP="00ED5676">
      <w:pPr>
        <w:spacing w:after="0"/>
        <w:jc w:val="both"/>
        <w:rPr>
          <w:rFonts w:eastAsia="Calibri" w:cs="Arial"/>
        </w:rPr>
        <w:sectPr w:rsidR="00A169E8" w:rsidRPr="0025033E" w:rsidSect="00A169E8">
          <w:pgSz w:w="16838" w:h="11906" w:orient="landscape" w:code="9"/>
          <w:pgMar w:top="1418" w:right="1418" w:bottom="1418" w:left="1418" w:header="709" w:footer="709" w:gutter="0"/>
          <w:cols w:space="708"/>
          <w:docGrid w:linePitch="272"/>
        </w:sectPr>
      </w:pPr>
    </w:p>
    <w:p w14:paraId="559FB45E" w14:textId="77777777" w:rsidR="007D0104" w:rsidRPr="007A0101" w:rsidRDefault="007D0104" w:rsidP="00ED5676">
      <w:pPr>
        <w:suppressAutoHyphens w:val="0"/>
        <w:autoSpaceDN/>
        <w:spacing w:after="0" w:line="288" w:lineRule="auto"/>
        <w:jc w:val="both"/>
        <w:rPr>
          <w:rFonts w:cs="Arial"/>
          <w:color w:val="FF0000"/>
          <w:szCs w:val="20"/>
        </w:rPr>
      </w:pPr>
      <w:bookmarkStart w:id="387" w:name="_Toc187739298"/>
      <w:bookmarkStart w:id="388" w:name="_Toc187740031"/>
      <w:r w:rsidRPr="007A0101">
        <w:rPr>
          <w:rFonts w:cs="Arial"/>
          <w:szCs w:val="20"/>
        </w:rPr>
        <w:lastRenderedPageBreak/>
        <w:t>Tabela 4 prikazuje stanje izvajanja v celotnem obdobju izvajanja do konca decembra 2024:</w:t>
      </w:r>
      <w:r w:rsidRPr="007A0101" w:rsidDel="0070176C">
        <w:rPr>
          <w:rFonts w:cs="Arial"/>
          <w:szCs w:val="20"/>
        </w:rPr>
        <w:t xml:space="preserve"> </w:t>
      </w:r>
    </w:p>
    <w:p w14:paraId="6AD763DF" w14:textId="77777777" w:rsidR="007D0104" w:rsidRPr="007A0101" w:rsidRDefault="007D0104" w:rsidP="009864BC">
      <w:pPr>
        <w:numPr>
          <w:ilvl w:val="0"/>
          <w:numId w:val="8"/>
        </w:numPr>
        <w:suppressAutoHyphens w:val="0"/>
        <w:autoSpaceDN/>
        <w:spacing w:after="0" w:line="288" w:lineRule="auto"/>
        <w:jc w:val="both"/>
        <w:rPr>
          <w:rFonts w:eastAsia="SimSun" w:cs="Arial"/>
          <w:szCs w:val="20"/>
          <w:lang w:eastAsia="zh-CN"/>
        </w:rPr>
      </w:pPr>
      <w:bookmarkStart w:id="389" w:name="_Hlk156810655"/>
      <w:r w:rsidRPr="007A0101">
        <w:rPr>
          <w:rFonts w:eastAsia="SimSun" w:cs="Arial"/>
          <w:szCs w:val="20"/>
          <w:lang w:eastAsia="zh-CN"/>
        </w:rPr>
        <w:t xml:space="preserve">odločitve o podpori v skupni vrednosti </w:t>
      </w:r>
      <w:bookmarkStart w:id="390" w:name="_Hlk157421511"/>
      <w:r w:rsidRPr="007A0101">
        <w:rPr>
          <w:rFonts w:eastAsia="SimSun" w:cs="Arial"/>
          <w:szCs w:val="20"/>
          <w:lang w:eastAsia="zh-CN"/>
        </w:rPr>
        <w:t xml:space="preserve">791.314.116 </w:t>
      </w:r>
      <w:bookmarkEnd w:id="390"/>
      <w:r w:rsidRPr="007A0101">
        <w:rPr>
          <w:rFonts w:eastAsia="SimSun" w:cs="Arial"/>
          <w:szCs w:val="20"/>
          <w:lang w:eastAsia="zh-CN"/>
        </w:rPr>
        <w:t>EUR (EU del), kar je 25 % vseh razpoložljivih sredstev (1. faza);</w:t>
      </w:r>
    </w:p>
    <w:p w14:paraId="641F472A" w14:textId="4C94B398" w:rsidR="007D0104" w:rsidRPr="007A0101" w:rsidRDefault="007D0104" w:rsidP="009864BC">
      <w:pPr>
        <w:numPr>
          <w:ilvl w:val="0"/>
          <w:numId w:val="6"/>
        </w:numPr>
        <w:suppressAutoHyphens w:val="0"/>
        <w:autoSpaceDN/>
        <w:spacing w:after="0" w:line="288" w:lineRule="auto"/>
        <w:jc w:val="both"/>
        <w:rPr>
          <w:rFonts w:eastAsia="SimSun" w:cs="Arial"/>
          <w:szCs w:val="20"/>
          <w:lang w:eastAsia="zh-CN"/>
        </w:rPr>
      </w:pPr>
      <w:r w:rsidRPr="007A0101">
        <w:rPr>
          <w:rFonts w:eastAsia="SimSun" w:cs="Arial"/>
          <w:szCs w:val="20"/>
          <w:lang w:eastAsia="zh-CN"/>
        </w:rPr>
        <w:t xml:space="preserve">znesek potrjenih operacij v skupni vrednosti </w:t>
      </w:r>
      <w:bookmarkStart w:id="391" w:name="_Hlk157421552"/>
      <w:r w:rsidRPr="007A0101">
        <w:rPr>
          <w:rFonts w:eastAsia="SimSun" w:cs="Arial"/>
          <w:szCs w:val="20"/>
          <w:lang w:eastAsia="zh-CN"/>
        </w:rPr>
        <w:t>521.42</w:t>
      </w:r>
      <w:r w:rsidR="007A0101" w:rsidRPr="007A0101">
        <w:rPr>
          <w:rFonts w:eastAsia="SimSun" w:cs="Arial"/>
          <w:szCs w:val="20"/>
          <w:lang w:eastAsia="zh-CN"/>
        </w:rPr>
        <w:t>1</w:t>
      </w:r>
      <w:r w:rsidRPr="007A0101">
        <w:rPr>
          <w:rFonts w:eastAsia="SimSun" w:cs="Arial"/>
          <w:szCs w:val="20"/>
          <w:lang w:eastAsia="zh-CN"/>
        </w:rPr>
        <w:t xml:space="preserve">.805 </w:t>
      </w:r>
      <w:bookmarkEnd w:id="391"/>
      <w:r w:rsidRPr="007A0101">
        <w:rPr>
          <w:rFonts w:eastAsia="SimSun" w:cs="Arial"/>
          <w:szCs w:val="20"/>
          <w:lang w:eastAsia="zh-CN"/>
        </w:rPr>
        <w:t>EUR (EU del), kar je 17 % razpoložljivih sredstev (2. faza);</w:t>
      </w:r>
    </w:p>
    <w:p w14:paraId="6F02737F" w14:textId="77777777" w:rsidR="00EA4649" w:rsidRDefault="007D0104" w:rsidP="009864BC">
      <w:pPr>
        <w:numPr>
          <w:ilvl w:val="0"/>
          <w:numId w:val="6"/>
        </w:numPr>
        <w:suppressAutoHyphens w:val="0"/>
        <w:autoSpaceDN/>
        <w:spacing w:after="0" w:line="288" w:lineRule="auto"/>
        <w:jc w:val="both"/>
        <w:rPr>
          <w:rFonts w:eastAsia="SimSun" w:cs="Arial"/>
          <w:szCs w:val="20"/>
          <w:lang w:eastAsia="zh-CN"/>
        </w:rPr>
      </w:pPr>
      <w:r w:rsidRPr="007A0101">
        <w:rPr>
          <w:rFonts w:eastAsia="SimSun" w:cs="Arial"/>
          <w:szCs w:val="20"/>
          <w:lang w:eastAsia="zh-CN"/>
        </w:rPr>
        <w:t xml:space="preserve">izplačila iz državnega proračuna v skupni vrednosti </w:t>
      </w:r>
      <w:bookmarkStart w:id="392" w:name="_Hlk157421593"/>
      <w:r w:rsidRPr="007A0101">
        <w:rPr>
          <w:rFonts w:eastAsia="SimSun" w:cs="Arial"/>
          <w:szCs w:val="20"/>
          <w:lang w:eastAsia="zh-CN"/>
        </w:rPr>
        <w:t xml:space="preserve">74.248.266 </w:t>
      </w:r>
      <w:bookmarkEnd w:id="392"/>
      <w:r w:rsidRPr="007A0101">
        <w:rPr>
          <w:rFonts w:eastAsia="SimSun" w:cs="Arial"/>
          <w:szCs w:val="20"/>
          <w:lang w:eastAsia="zh-CN"/>
        </w:rPr>
        <w:t>EUR (EU del), kar je 2 % raz</w:t>
      </w:r>
      <w:r w:rsidRPr="008E5C0B">
        <w:rPr>
          <w:rFonts w:eastAsia="SimSun" w:cs="Arial"/>
          <w:szCs w:val="20"/>
          <w:lang w:eastAsia="zh-CN"/>
        </w:rPr>
        <w:t>p</w:t>
      </w:r>
      <w:r w:rsidRPr="007A0101">
        <w:rPr>
          <w:rFonts w:eastAsia="SimSun" w:cs="Arial"/>
          <w:szCs w:val="20"/>
          <w:lang w:eastAsia="zh-CN"/>
        </w:rPr>
        <w:t>oložljivih sredstev (3. faza)</w:t>
      </w:r>
      <w:r w:rsidR="00EA4649">
        <w:rPr>
          <w:rFonts w:eastAsia="SimSun" w:cs="Arial"/>
          <w:szCs w:val="20"/>
          <w:lang w:eastAsia="zh-CN"/>
        </w:rPr>
        <w:t>.</w:t>
      </w:r>
    </w:p>
    <w:p w14:paraId="1EF9F87E" w14:textId="6D031D00" w:rsidR="007D0104" w:rsidRPr="007A0101" w:rsidRDefault="007D0104" w:rsidP="0030659F">
      <w:pPr>
        <w:suppressAutoHyphens w:val="0"/>
        <w:autoSpaceDN/>
        <w:spacing w:after="0" w:line="288" w:lineRule="auto"/>
        <w:jc w:val="both"/>
        <w:rPr>
          <w:rFonts w:eastAsia="SimSun" w:cs="Arial"/>
          <w:szCs w:val="20"/>
          <w:lang w:eastAsia="zh-CN"/>
        </w:rPr>
      </w:pPr>
    </w:p>
    <w:p w14:paraId="76BEB244" w14:textId="2FB89893" w:rsidR="007D0104" w:rsidRPr="008E5C0B" w:rsidRDefault="00EA4649" w:rsidP="00006EC3">
      <w:pPr>
        <w:suppressAutoHyphens w:val="0"/>
        <w:autoSpaceDE w:val="0"/>
        <w:autoSpaceDN/>
        <w:adjustRightInd w:val="0"/>
        <w:spacing w:after="0" w:line="288" w:lineRule="auto"/>
        <w:jc w:val="both"/>
        <w:rPr>
          <w:rFonts w:cs="Arial"/>
          <w:szCs w:val="20"/>
        </w:rPr>
      </w:pPr>
      <w:r>
        <w:rPr>
          <w:rFonts w:eastAsia="SimSun" w:cs="Arial"/>
          <w:szCs w:val="20"/>
          <w:lang w:eastAsia="zh-CN"/>
        </w:rPr>
        <w:t>C</w:t>
      </w:r>
      <w:r w:rsidR="007D0104" w:rsidRPr="001E286A">
        <w:rPr>
          <w:rFonts w:eastAsia="SimSun" w:cs="Arial"/>
          <w:szCs w:val="20"/>
          <w:lang w:eastAsia="zh-CN"/>
        </w:rPr>
        <w:t>ertificirani</w:t>
      </w:r>
      <w:r w:rsidR="00006EC3">
        <w:rPr>
          <w:rFonts w:eastAsia="SimSun" w:cs="Arial"/>
          <w:szCs w:val="20"/>
          <w:lang w:eastAsia="zh-CN"/>
        </w:rPr>
        <w:t>h</w:t>
      </w:r>
      <w:r w:rsidR="007D0104" w:rsidRPr="001E286A">
        <w:rPr>
          <w:rFonts w:eastAsia="SimSun" w:cs="Arial"/>
          <w:szCs w:val="20"/>
          <w:lang w:eastAsia="zh-CN"/>
        </w:rPr>
        <w:t xml:space="preserve"> izdatk</w:t>
      </w:r>
      <w:r w:rsidR="00006EC3">
        <w:rPr>
          <w:rFonts w:eastAsia="SimSun" w:cs="Arial"/>
          <w:szCs w:val="20"/>
          <w:lang w:eastAsia="zh-CN"/>
        </w:rPr>
        <w:t>ov je bilo do konca leta 2024</w:t>
      </w:r>
      <w:r>
        <w:rPr>
          <w:rFonts w:eastAsia="SimSun" w:cs="Arial"/>
          <w:szCs w:val="20"/>
          <w:lang w:eastAsia="zh-CN"/>
        </w:rPr>
        <w:t xml:space="preserve"> </w:t>
      </w:r>
      <w:r w:rsidR="007D0104" w:rsidRPr="001E286A">
        <w:rPr>
          <w:rFonts w:eastAsia="SimSun" w:cs="Arial"/>
          <w:szCs w:val="20"/>
          <w:lang w:eastAsia="zh-CN"/>
        </w:rPr>
        <w:t xml:space="preserve">v skupni vrednosti </w:t>
      </w:r>
      <w:r w:rsidR="008E5C0B" w:rsidRPr="001E286A">
        <w:rPr>
          <w:rFonts w:eastAsia="SimSun" w:cs="Arial"/>
          <w:szCs w:val="20"/>
          <w:lang w:eastAsia="zh-CN"/>
        </w:rPr>
        <w:t>34.751.404,36</w:t>
      </w:r>
      <w:r w:rsidR="007D0104" w:rsidRPr="001E286A">
        <w:rPr>
          <w:rFonts w:eastAsia="SimSun" w:cs="Arial"/>
          <w:szCs w:val="20"/>
          <w:lang w:eastAsia="zh-CN"/>
        </w:rPr>
        <w:t xml:space="preserve"> EUR (EU del), kar je </w:t>
      </w:r>
      <w:r w:rsidR="001E286A" w:rsidRPr="001E286A">
        <w:rPr>
          <w:rFonts w:eastAsia="SimSun" w:cs="Arial"/>
          <w:szCs w:val="20"/>
          <w:lang w:eastAsia="zh-CN"/>
        </w:rPr>
        <w:t>1</w:t>
      </w:r>
      <w:r w:rsidR="007D0104" w:rsidRPr="001E286A">
        <w:rPr>
          <w:rFonts w:eastAsia="SimSun" w:cs="Arial"/>
          <w:szCs w:val="20"/>
          <w:lang w:eastAsia="zh-CN"/>
        </w:rPr>
        <w:t xml:space="preserve"> % razpoložljivih</w:t>
      </w:r>
      <w:r w:rsidR="007D0104" w:rsidRPr="008E5C0B">
        <w:rPr>
          <w:rFonts w:eastAsia="SimSun" w:cs="Arial"/>
          <w:szCs w:val="20"/>
          <w:lang w:eastAsia="zh-CN"/>
        </w:rPr>
        <w:t xml:space="preserve"> sredstev</w:t>
      </w:r>
      <w:r w:rsidR="007D0104" w:rsidRPr="008E5C0B">
        <w:rPr>
          <w:rFonts w:eastAsia="Calibri" w:cs="Arial"/>
          <w:color w:val="000000"/>
          <w:szCs w:val="20"/>
        </w:rPr>
        <w:t>.</w:t>
      </w:r>
      <w:bookmarkEnd w:id="389"/>
    </w:p>
    <w:p w14:paraId="0CC9D943" w14:textId="77777777" w:rsidR="007D0104" w:rsidRPr="0025033E" w:rsidRDefault="007D0104" w:rsidP="00E237F0">
      <w:pPr>
        <w:suppressAutoHyphens w:val="0"/>
        <w:autoSpaceDN/>
        <w:spacing w:after="0" w:line="240" w:lineRule="auto"/>
        <w:jc w:val="both"/>
        <w:rPr>
          <w:rFonts w:cs="Arial"/>
          <w:szCs w:val="20"/>
        </w:rPr>
      </w:pPr>
    </w:p>
    <w:p w14:paraId="36A08AE0" w14:textId="1C364BC4" w:rsidR="007D0104" w:rsidRPr="0025033E" w:rsidRDefault="007D0104" w:rsidP="00ED5676">
      <w:pPr>
        <w:suppressAutoHyphens w:val="0"/>
        <w:autoSpaceDN/>
        <w:spacing w:after="0"/>
        <w:jc w:val="both"/>
        <w:rPr>
          <w:rFonts w:cs="Arial"/>
          <w:szCs w:val="20"/>
        </w:rPr>
      </w:pPr>
      <w:r w:rsidRPr="0025033E">
        <w:rPr>
          <w:rFonts w:cs="Arial"/>
          <w:szCs w:val="20"/>
        </w:rPr>
        <w:t>Slovenija na podlagi PEKP izvaja naslednje vsebine v okviru desetih prednostnih nalog:</w:t>
      </w:r>
    </w:p>
    <w:p w14:paraId="47FC7B4E"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1. PREDNOSTNA NALOGA: Inovacijska družba znanja;</w:t>
      </w:r>
    </w:p>
    <w:p w14:paraId="3C134790"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2. PREDNOSTNA NALOGA: Digitalna povezljivost;</w:t>
      </w:r>
    </w:p>
    <w:p w14:paraId="4AAD2C30"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3. PREDNOSTNA NALOGA: Zelena preobrazba za podnebno nevtralnost;</w:t>
      </w:r>
    </w:p>
    <w:p w14:paraId="70851536"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4. PREDNOSTNA NALOGA: Trajnostna urbana mobilnost;</w:t>
      </w:r>
    </w:p>
    <w:p w14:paraId="3C8BA869"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5. PREDNOSTNA NALOGA: Trajnostna (čez)regionalna mobilnost in povezljivost;</w:t>
      </w:r>
    </w:p>
    <w:p w14:paraId="54C89E48"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6. PREDNOSTNA NALOGA: Znanja in spretnosti ter odzivni trg dela;</w:t>
      </w:r>
    </w:p>
    <w:p w14:paraId="2F6D1DB4"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7. PREDNOSTNA NALOGA: Dolgotrajna oskrba in zdravje ter socialna vključenost;</w:t>
      </w:r>
    </w:p>
    <w:p w14:paraId="08194B4D"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8. PREDNOSTNA NALOGA: Trajnostna turizem in kultura;</w:t>
      </w:r>
    </w:p>
    <w:p w14:paraId="4D6A7255"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9. PREDNOSTNA NALOGA: Trajnostni razvoj lokalnih območij;</w:t>
      </w:r>
    </w:p>
    <w:p w14:paraId="07B10AE9"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10. PREDNOSTNA NALOGA: Prestrukturiranje premogovnih regij;</w:t>
      </w:r>
    </w:p>
    <w:p w14:paraId="2DFC52EE" w14:textId="77777777" w:rsidR="007D0104" w:rsidRPr="0025033E" w:rsidRDefault="007D0104" w:rsidP="00ED5676">
      <w:pPr>
        <w:suppressAutoHyphens w:val="0"/>
        <w:autoSpaceDN/>
        <w:spacing w:after="0"/>
        <w:jc w:val="both"/>
        <w:rPr>
          <w:rFonts w:cs="Arial"/>
          <w:szCs w:val="20"/>
        </w:rPr>
      </w:pPr>
    </w:p>
    <w:p w14:paraId="11764AB9" w14:textId="0E39A905" w:rsidR="009D252C" w:rsidRPr="0025033E" w:rsidRDefault="009D252C" w:rsidP="00ED5676">
      <w:pPr>
        <w:jc w:val="both"/>
        <w:rPr>
          <w:rFonts w:cs="Arial"/>
        </w:rPr>
        <w:sectPr w:rsidR="009D252C" w:rsidRPr="0025033E" w:rsidSect="00A169E8">
          <w:pgSz w:w="11906" w:h="16838" w:code="9"/>
          <w:pgMar w:top="1418" w:right="1418" w:bottom="1418" w:left="1418" w:header="709" w:footer="709" w:gutter="0"/>
          <w:cols w:space="708"/>
          <w:docGrid w:linePitch="272"/>
        </w:sectPr>
      </w:pPr>
    </w:p>
    <w:p w14:paraId="282EF2C5" w14:textId="37419AF3" w:rsidR="007D0104" w:rsidRDefault="007D0104" w:rsidP="00ED5676">
      <w:pPr>
        <w:pStyle w:val="Brezrazmikov"/>
        <w:jc w:val="both"/>
        <w:rPr>
          <w:rFonts w:ascii="Arial" w:hAnsi="Arial" w:cs="Arial"/>
          <w:sz w:val="20"/>
          <w:szCs w:val="20"/>
        </w:rPr>
      </w:pPr>
      <w:bookmarkStart w:id="393" w:name="_Toc191386696"/>
      <w:r w:rsidRPr="0025033E">
        <w:rPr>
          <w:rFonts w:ascii="Arial" w:hAnsi="Arial" w:cs="Arial"/>
          <w:sz w:val="20"/>
          <w:szCs w:val="20"/>
        </w:rPr>
        <w:lastRenderedPageBreak/>
        <w:t xml:space="preserve">Tabela </w:t>
      </w:r>
      <w:r w:rsidRPr="0025033E">
        <w:rPr>
          <w:rFonts w:ascii="Arial" w:hAnsi="Arial" w:cs="Arial"/>
          <w:sz w:val="20"/>
          <w:szCs w:val="20"/>
        </w:rPr>
        <w:fldChar w:fldCharType="begin"/>
      </w:r>
      <w:r w:rsidRPr="0025033E">
        <w:rPr>
          <w:rFonts w:ascii="Arial" w:hAnsi="Arial" w:cs="Arial"/>
          <w:sz w:val="20"/>
          <w:szCs w:val="20"/>
        </w:rPr>
        <w:instrText xml:space="preserve"> SEQ Tabela \* ARABIC </w:instrText>
      </w:r>
      <w:r w:rsidRPr="0025033E">
        <w:rPr>
          <w:rFonts w:ascii="Arial" w:hAnsi="Arial" w:cs="Arial"/>
          <w:sz w:val="20"/>
          <w:szCs w:val="20"/>
        </w:rPr>
        <w:fldChar w:fldCharType="separate"/>
      </w:r>
      <w:r w:rsidR="00476D26" w:rsidRPr="0025033E">
        <w:rPr>
          <w:rFonts w:ascii="Arial" w:hAnsi="Arial" w:cs="Arial"/>
          <w:noProof/>
          <w:sz w:val="20"/>
          <w:szCs w:val="20"/>
        </w:rPr>
        <w:t>5</w:t>
      </w:r>
      <w:r w:rsidRPr="0025033E">
        <w:rPr>
          <w:rFonts w:ascii="Arial" w:hAnsi="Arial" w:cs="Arial"/>
          <w:sz w:val="20"/>
          <w:szCs w:val="20"/>
        </w:rPr>
        <w:fldChar w:fldCharType="end"/>
      </w:r>
      <w:r w:rsidRPr="0025033E">
        <w:rPr>
          <w:rFonts w:ascii="Arial" w:hAnsi="Arial" w:cs="Arial"/>
          <w:sz w:val="20"/>
          <w:szCs w:val="20"/>
        </w:rPr>
        <w:t>: Izvajanje izvajanja Programa EKP 2021–2027 po prednostnih nalogah skupaj: obdobje od 1. 1. 2021 do 31. 12. 2024</w:t>
      </w:r>
      <w:bookmarkEnd w:id="393"/>
    </w:p>
    <w:p w14:paraId="37532DA2" w14:textId="77777777" w:rsidR="009173C9" w:rsidRPr="0025033E" w:rsidRDefault="009173C9" w:rsidP="00ED5676">
      <w:pPr>
        <w:pStyle w:val="Brezrazmikov"/>
        <w:jc w:val="both"/>
        <w:rPr>
          <w:rFonts w:ascii="Arial" w:hAnsi="Arial" w:cs="Arial"/>
          <w:sz w:val="20"/>
          <w:szCs w:val="20"/>
        </w:rPr>
      </w:pPr>
    </w:p>
    <w:tbl>
      <w:tblPr>
        <w:tblW w:w="14863" w:type="dxa"/>
        <w:tblCellMar>
          <w:left w:w="70" w:type="dxa"/>
          <w:right w:w="70" w:type="dxa"/>
        </w:tblCellMar>
        <w:tblLook w:val="04A0" w:firstRow="1" w:lastRow="0" w:firstColumn="1" w:lastColumn="0" w:noHBand="0" w:noVBand="1"/>
      </w:tblPr>
      <w:tblGrid>
        <w:gridCol w:w="5665"/>
        <w:gridCol w:w="1667"/>
        <w:gridCol w:w="1575"/>
        <w:gridCol w:w="899"/>
        <w:gridCol w:w="1534"/>
        <w:gridCol w:w="899"/>
        <w:gridCol w:w="1575"/>
        <w:gridCol w:w="900"/>
        <w:gridCol w:w="149"/>
      </w:tblGrid>
      <w:tr w:rsidR="007D0104" w:rsidRPr="00E4016A" w14:paraId="05ED9F5E" w14:textId="77777777" w:rsidTr="00813DA2">
        <w:trPr>
          <w:gridAfter w:val="1"/>
          <w:wAfter w:w="149" w:type="dxa"/>
          <w:trHeight w:val="367"/>
        </w:trPr>
        <w:tc>
          <w:tcPr>
            <w:tcW w:w="5665" w:type="dxa"/>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76392840"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Prednostna naloga</w:t>
            </w:r>
          </w:p>
        </w:tc>
        <w:tc>
          <w:tcPr>
            <w:tcW w:w="1667" w:type="dxa"/>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09CA2274" w14:textId="77777777" w:rsidR="007D0104" w:rsidRPr="00E4016A" w:rsidRDefault="007D0104" w:rsidP="00006EC3">
            <w:pPr>
              <w:suppressAutoHyphens w:val="0"/>
              <w:autoSpaceDN/>
              <w:spacing w:after="0" w:line="240" w:lineRule="auto"/>
              <w:rPr>
                <w:rFonts w:cs="Arial"/>
                <w:b/>
                <w:bCs/>
                <w:color w:val="000000"/>
                <w:szCs w:val="20"/>
              </w:rPr>
            </w:pPr>
            <w:r w:rsidRPr="00E4016A">
              <w:rPr>
                <w:rFonts w:cs="Arial"/>
                <w:b/>
                <w:bCs/>
                <w:color w:val="000000"/>
                <w:szCs w:val="20"/>
              </w:rPr>
              <w:t>Pravice porabe brez tehnične pomoči</w:t>
            </w:r>
          </w:p>
        </w:tc>
        <w:tc>
          <w:tcPr>
            <w:tcW w:w="2474" w:type="dxa"/>
            <w:gridSpan w:val="2"/>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2A9871B7"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A</w:t>
            </w:r>
          </w:p>
        </w:tc>
        <w:tc>
          <w:tcPr>
            <w:tcW w:w="2433" w:type="dxa"/>
            <w:gridSpan w:val="2"/>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354F4E73"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B</w:t>
            </w:r>
          </w:p>
        </w:tc>
        <w:tc>
          <w:tcPr>
            <w:tcW w:w="2475" w:type="dxa"/>
            <w:gridSpan w:val="2"/>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3E816ADE"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C</w:t>
            </w:r>
          </w:p>
        </w:tc>
      </w:tr>
      <w:tr w:rsidR="007D0104" w:rsidRPr="00E4016A" w14:paraId="19270223" w14:textId="77777777" w:rsidTr="00813DA2">
        <w:trPr>
          <w:gridAfter w:val="1"/>
          <w:wAfter w:w="149" w:type="dxa"/>
          <w:trHeight w:val="319"/>
        </w:trPr>
        <w:tc>
          <w:tcPr>
            <w:tcW w:w="5665"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08078F07" w14:textId="77777777" w:rsidR="007D0104" w:rsidRPr="00E4016A" w:rsidRDefault="007D0104" w:rsidP="00ED5676">
            <w:pPr>
              <w:suppressAutoHyphens w:val="0"/>
              <w:autoSpaceDN/>
              <w:spacing w:after="0" w:line="240" w:lineRule="auto"/>
              <w:jc w:val="both"/>
              <w:rPr>
                <w:rFonts w:cs="Arial"/>
                <w:b/>
                <w:bCs/>
                <w:color w:val="000000"/>
                <w:szCs w:val="20"/>
              </w:rPr>
            </w:pPr>
          </w:p>
        </w:tc>
        <w:tc>
          <w:tcPr>
            <w:tcW w:w="1667"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2506A3A9" w14:textId="77777777" w:rsidR="007D0104" w:rsidRPr="00E4016A" w:rsidRDefault="007D0104" w:rsidP="00ED5676">
            <w:pPr>
              <w:suppressAutoHyphens w:val="0"/>
              <w:autoSpaceDN/>
              <w:spacing w:after="0" w:line="240" w:lineRule="auto"/>
              <w:jc w:val="both"/>
              <w:rPr>
                <w:rFonts w:cs="Arial"/>
                <w:b/>
                <w:bCs/>
                <w:color w:val="000000"/>
                <w:szCs w:val="20"/>
              </w:rPr>
            </w:pPr>
          </w:p>
        </w:tc>
        <w:tc>
          <w:tcPr>
            <w:tcW w:w="2474" w:type="dxa"/>
            <w:gridSpan w:val="2"/>
            <w:vMerge w:val="restart"/>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0AC15301"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Odločitve o podpori 31.12.2024</w:t>
            </w:r>
          </w:p>
        </w:tc>
        <w:tc>
          <w:tcPr>
            <w:tcW w:w="2433" w:type="dxa"/>
            <w:gridSpan w:val="2"/>
            <w:vMerge w:val="restart"/>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359A0137"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Potrjene operacije 31.12.2024</w:t>
            </w:r>
          </w:p>
        </w:tc>
        <w:tc>
          <w:tcPr>
            <w:tcW w:w="2475" w:type="dxa"/>
            <w:gridSpan w:val="2"/>
            <w:vMerge w:val="restart"/>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702D6921"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 xml:space="preserve">Izplačila iz DP 31.12.2024 </w:t>
            </w:r>
          </w:p>
        </w:tc>
      </w:tr>
      <w:tr w:rsidR="007D0104" w:rsidRPr="00E4016A" w14:paraId="7DC1E457" w14:textId="77777777" w:rsidTr="00813DA2">
        <w:trPr>
          <w:trHeight w:val="319"/>
        </w:trPr>
        <w:tc>
          <w:tcPr>
            <w:tcW w:w="5665"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0889C8F7" w14:textId="77777777" w:rsidR="007D0104" w:rsidRPr="00E4016A" w:rsidRDefault="007D0104" w:rsidP="00ED5676">
            <w:pPr>
              <w:suppressAutoHyphens w:val="0"/>
              <w:autoSpaceDN/>
              <w:spacing w:after="0" w:line="240" w:lineRule="auto"/>
              <w:jc w:val="both"/>
              <w:rPr>
                <w:rFonts w:cs="Arial"/>
                <w:b/>
                <w:bCs/>
                <w:color w:val="000000"/>
                <w:szCs w:val="20"/>
              </w:rPr>
            </w:pPr>
          </w:p>
        </w:tc>
        <w:tc>
          <w:tcPr>
            <w:tcW w:w="1667"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28EF73D0" w14:textId="77777777" w:rsidR="007D0104" w:rsidRPr="00E4016A" w:rsidRDefault="007D0104" w:rsidP="00ED5676">
            <w:pPr>
              <w:suppressAutoHyphens w:val="0"/>
              <w:autoSpaceDN/>
              <w:spacing w:after="0" w:line="240" w:lineRule="auto"/>
              <w:jc w:val="both"/>
              <w:rPr>
                <w:rFonts w:cs="Arial"/>
                <w:b/>
                <w:bCs/>
                <w:color w:val="000000"/>
                <w:szCs w:val="20"/>
              </w:rPr>
            </w:pPr>
          </w:p>
        </w:tc>
        <w:tc>
          <w:tcPr>
            <w:tcW w:w="2474" w:type="dxa"/>
            <w:gridSpan w:val="2"/>
            <w:vMerge/>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053AC25D" w14:textId="77777777" w:rsidR="007D0104" w:rsidRPr="00E4016A" w:rsidRDefault="007D0104" w:rsidP="00ED5676">
            <w:pPr>
              <w:suppressAutoHyphens w:val="0"/>
              <w:autoSpaceDN/>
              <w:spacing w:after="0" w:line="240" w:lineRule="auto"/>
              <w:jc w:val="both"/>
              <w:rPr>
                <w:rFonts w:cs="Arial"/>
                <w:b/>
                <w:bCs/>
                <w:color w:val="000000"/>
                <w:szCs w:val="20"/>
              </w:rPr>
            </w:pPr>
          </w:p>
        </w:tc>
        <w:tc>
          <w:tcPr>
            <w:tcW w:w="2433" w:type="dxa"/>
            <w:gridSpan w:val="2"/>
            <w:vMerge/>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3A3F2E6C" w14:textId="77777777" w:rsidR="007D0104" w:rsidRPr="00E4016A" w:rsidRDefault="007D0104" w:rsidP="00ED5676">
            <w:pPr>
              <w:suppressAutoHyphens w:val="0"/>
              <w:autoSpaceDN/>
              <w:spacing w:after="0" w:line="240" w:lineRule="auto"/>
              <w:jc w:val="both"/>
              <w:rPr>
                <w:rFonts w:cs="Arial"/>
                <w:b/>
                <w:bCs/>
                <w:color w:val="000000"/>
                <w:szCs w:val="20"/>
              </w:rPr>
            </w:pPr>
          </w:p>
        </w:tc>
        <w:tc>
          <w:tcPr>
            <w:tcW w:w="2475" w:type="dxa"/>
            <w:gridSpan w:val="2"/>
            <w:vMerge/>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24E4A766" w14:textId="77777777" w:rsidR="007D0104" w:rsidRPr="00E4016A" w:rsidRDefault="007D0104" w:rsidP="00ED5676">
            <w:pPr>
              <w:suppressAutoHyphens w:val="0"/>
              <w:autoSpaceDN/>
              <w:spacing w:after="0" w:line="240" w:lineRule="auto"/>
              <w:jc w:val="both"/>
              <w:rPr>
                <w:rFonts w:cs="Arial"/>
                <w:b/>
                <w:bCs/>
                <w:color w:val="000000"/>
                <w:szCs w:val="20"/>
              </w:rPr>
            </w:pPr>
          </w:p>
        </w:tc>
        <w:tc>
          <w:tcPr>
            <w:tcW w:w="149" w:type="dxa"/>
            <w:tcBorders>
              <w:top w:val="nil"/>
              <w:left w:val="nil"/>
              <w:bottom w:val="nil"/>
              <w:right w:val="nil"/>
            </w:tcBorders>
            <w:shd w:val="clear" w:color="auto" w:fill="auto"/>
            <w:noWrap/>
            <w:vAlign w:val="bottom"/>
            <w:hideMark/>
          </w:tcPr>
          <w:p w14:paraId="72F6B670" w14:textId="77777777" w:rsidR="007D0104" w:rsidRPr="00E4016A" w:rsidRDefault="007D0104" w:rsidP="00ED5676">
            <w:pPr>
              <w:suppressAutoHyphens w:val="0"/>
              <w:autoSpaceDN/>
              <w:spacing w:after="0" w:line="240" w:lineRule="auto"/>
              <w:jc w:val="both"/>
              <w:rPr>
                <w:rFonts w:cs="Arial"/>
                <w:b/>
                <w:bCs/>
                <w:color w:val="000000"/>
                <w:szCs w:val="20"/>
              </w:rPr>
            </w:pPr>
          </w:p>
        </w:tc>
      </w:tr>
      <w:tr w:rsidR="007D0104" w:rsidRPr="00E4016A" w14:paraId="1D689A9F" w14:textId="77777777" w:rsidTr="00813DA2">
        <w:trPr>
          <w:trHeight w:val="319"/>
        </w:trPr>
        <w:tc>
          <w:tcPr>
            <w:tcW w:w="5665"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1261CEFA" w14:textId="77777777" w:rsidR="007D0104" w:rsidRPr="00E4016A" w:rsidRDefault="007D0104" w:rsidP="00ED5676">
            <w:pPr>
              <w:suppressAutoHyphens w:val="0"/>
              <w:autoSpaceDN/>
              <w:spacing w:after="0" w:line="240" w:lineRule="auto"/>
              <w:jc w:val="both"/>
              <w:rPr>
                <w:rFonts w:cs="Arial"/>
                <w:b/>
                <w:bCs/>
                <w:color w:val="000000"/>
                <w:szCs w:val="20"/>
              </w:rPr>
            </w:pPr>
          </w:p>
        </w:tc>
        <w:tc>
          <w:tcPr>
            <w:tcW w:w="1667" w:type="dxa"/>
            <w:vMerge w:val="restart"/>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4D4DF98D"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EU del (EUR)</w:t>
            </w:r>
          </w:p>
        </w:tc>
        <w:tc>
          <w:tcPr>
            <w:tcW w:w="1575" w:type="dxa"/>
            <w:vMerge w:val="restart"/>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436B80EC"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EU del (EUR)</w:t>
            </w:r>
          </w:p>
        </w:tc>
        <w:tc>
          <w:tcPr>
            <w:tcW w:w="899" w:type="dxa"/>
            <w:tcBorders>
              <w:top w:val="nil"/>
              <w:left w:val="nil"/>
              <w:bottom w:val="single" w:sz="4" w:space="0" w:color="auto"/>
              <w:right w:val="single" w:sz="4" w:space="0" w:color="auto"/>
            </w:tcBorders>
            <w:shd w:val="clear" w:color="auto" w:fill="DEEAF6" w:themeFill="accent5" w:themeFillTint="33"/>
            <w:vAlign w:val="center"/>
            <w:hideMark/>
          </w:tcPr>
          <w:p w14:paraId="0E3DAA64"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 EU del</w:t>
            </w:r>
          </w:p>
        </w:tc>
        <w:tc>
          <w:tcPr>
            <w:tcW w:w="1534" w:type="dxa"/>
            <w:vMerge w:val="restart"/>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6EBE6AD5"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EU del (EUR)</w:t>
            </w:r>
          </w:p>
        </w:tc>
        <w:tc>
          <w:tcPr>
            <w:tcW w:w="899" w:type="dxa"/>
            <w:tcBorders>
              <w:top w:val="nil"/>
              <w:left w:val="nil"/>
              <w:bottom w:val="single" w:sz="4" w:space="0" w:color="auto"/>
              <w:right w:val="single" w:sz="4" w:space="0" w:color="auto"/>
            </w:tcBorders>
            <w:shd w:val="clear" w:color="auto" w:fill="DEEAF6" w:themeFill="accent5" w:themeFillTint="33"/>
            <w:vAlign w:val="center"/>
            <w:hideMark/>
          </w:tcPr>
          <w:p w14:paraId="1A15698A"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 EU del</w:t>
            </w:r>
          </w:p>
        </w:tc>
        <w:tc>
          <w:tcPr>
            <w:tcW w:w="1575" w:type="dxa"/>
            <w:vMerge w:val="restart"/>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427E85DC"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EU del (EUR)</w:t>
            </w:r>
          </w:p>
        </w:tc>
        <w:tc>
          <w:tcPr>
            <w:tcW w:w="900" w:type="dxa"/>
            <w:tcBorders>
              <w:top w:val="nil"/>
              <w:left w:val="nil"/>
              <w:bottom w:val="single" w:sz="4" w:space="0" w:color="auto"/>
              <w:right w:val="single" w:sz="4" w:space="0" w:color="auto"/>
            </w:tcBorders>
            <w:shd w:val="clear" w:color="auto" w:fill="DEEAF6" w:themeFill="accent5" w:themeFillTint="33"/>
            <w:vAlign w:val="center"/>
            <w:hideMark/>
          </w:tcPr>
          <w:p w14:paraId="0AE221A4"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 EU del</w:t>
            </w:r>
          </w:p>
        </w:tc>
        <w:tc>
          <w:tcPr>
            <w:tcW w:w="149" w:type="dxa"/>
            <w:vAlign w:val="center"/>
            <w:hideMark/>
          </w:tcPr>
          <w:p w14:paraId="20314674" w14:textId="77777777" w:rsidR="007D0104" w:rsidRPr="00E4016A" w:rsidRDefault="007D0104" w:rsidP="00ED5676">
            <w:pPr>
              <w:suppressAutoHyphens w:val="0"/>
              <w:autoSpaceDN/>
              <w:spacing w:after="0" w:line="240" w:lineRule="auto"/>
              <w:jc w:val="both"/>
              <w:rPr>
                <w:rFonts w:cs="Arial"/>
                <w:szCs w:val="20"/>
              </w:rPr>
            </w:pPr>
          </w:p>
        </w:tc>
      </w:tr>
      <w:tr w:rsidR="007D0104" w:rsidRPr="00E4016A" w14:paraId="3BD3FD87" w14:textId="77777777" w:rsidTr="00813DA2">
        <w:trPr>
          <w:trHeight w:val="319"/>
        </w:trPr>
        <w:tc>
          <w:tcPr>
            <w:tcW w:w="5665"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51008E5E" w14:textId="77777777" w:rsidR="007D0104" w:rsidRPr="00E4016A" w:rsidRDefault="007D0104" w:rsidP="00ED5676">
            <w:pPr>
              <w:suppressAutoHyphens w:val="0"/>
              <w:autoSpaceDN/>
              <w:spacing w:after="0" w:line="240" w:lineRule="auto"/>
              <w:jc w:val="both"/>
              <w:rPr>
                <w:rFonts w:cs="Arial"/>
                <w:b/>
                <w:bCs/>
                <w:color w:val="000000"/>
                <w:szCs w:val="20"/>
              </w:rPr>
            </w:pPr>
          </w:p>
        </w:tc>
        <w:tc>
          <w:tcPr>
            <w:tcW w:w="1667" w:type="dxa"/>
            <w:vMerge/>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1D62865D" w14:textId="77777777" w:rsidR="007D0104" w:rsidRPr="00E4016A" w:rsidRDefault="007D0104" w:rsidP="00ED5676">
            <w:pPr>
              <w:suppressAutoHyphens w:val="0"/>
              <w:autoSpaceDN/>
              <w:spacing w:after="0" w:line="240" w:lineRule="auto"/>
              <w:jc w:val="both"/>
              <w:rPr>
                <w:rFonts w:cs="Arial"/>
                <w:b/>
                <w:bCs/>
                <w:color w:val="000000"/>
                <w:szCs w:val="20"/>
              </w:rPr>
            </w:pPr>
          </w:p>
        </w:tc>
        <w:tc>
          <w:tcPr>
            <w:tcW w:w="1575" w:type="dxa"/>
            <w:vMerge/>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67C96BEF" w14:textId="77777777" w:rsidR="007D0104" w:rsidRPr="00E4016A" w:rsidRDefault="007D0104" w:rsidP="00ED5676">
            <w:pPr>
              <w:suppressAutoHyphens w:val="0"/>
              <w:autoSpaceDN/>
              <w:spacing w:after="0" w:line="240" w:lineRule="auto"/>
              <w:jc w:val="both"/>
              <w:rPr>
                <w:rFonts w:cs="Arial"/>
                <w:b/>
                <w:bCs/>
                <w:color w:val="000000"/>
                <w:szCs w:val="20"/>
              </w:rPr>
            </w:pPr>
          </w:p>
        </w:tc>
        <w:tc>
          <w:tcPr>
            <w:tcW w:w="899" w:type="dxa"/>
            <w:tcBorders>
              <w:top w:val="nil"/>
              <w:left w:val="nil"/>
              <w:bottom w:val="single" w:sz="4" w:space="0" w:color="auto"/>
              <w:right w:val="single" w:sz="4" w:space="0" w:color="auto"/>
            </w:tcBorders>
            <w:shd w:val="clear" w:color="auto" w:fill="DEEAF6" w:themeFill="accent5" w:themeFillTint="33"/>
            <w:vAlign w:val="center"/>
            <w:hideMark/>
          </w:tcPr>
          <w:p w14:paraId="353E9AF9"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3/2*100</w:t>
            </w:r>
          </w:p>
        </w:tc>
        <w:tc>
          <w:tcPr>
            <w:tcW w:w="1534" w:type="dxa"/>
            <w:vMerge/>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3DCC128E" w14:textId="77777777" w:rsidR="007D0104" w:rsidRPr="00E4016A" w:rsidRDefault="007D0104" w:rsidP="00ED5676">
            <w:pPr>
              <w:suppressAutoHyphens w:val="0"/>
              <w:autoSpaceDN/>
              <w:spacing w:after="0" w:line="240" w:lineRule="auto"/>
              <w:jc w:val="both"/>
              <w:rPr>
                <w:rFonts w:cs="Arial"/>
                <w:b/>
                <w:bCs/>
                <w:color w:val="000000"/>
                <w:szCs w:val="20"/>
              </w:rPr>
            </w:pPr>
          </w:p>
        </w:tc>
        <w:tc>
          <w:tcPr>
            <w:tcW w:w="899" w:type="dxa"/>
            <w:tcBorders>
              <w:top w:val="nil"/>
              <w:left w:val="nil"/>
              <w:bottom w:val="single" w:sz="4" w:space="0" w:color="auto"/>
              <w:right w:val="single" w:sz="4" w:space="0" w:color="auto"/>
            </w:tcBorders>
            <w:shd w:val="clear" w:color="auto" w:fill="DEEAF6" w:themeFill="accent5" w:themeFillTint="33"/>
            <w:vAlign w:val="center"/>
            <w:hideMark/>
          </w:tcPr>
          <w:p w14:paraId="58F0B218"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5/2*100</w:t>
            </w:r>
          </w:p>
        </w:tc>
        <w:tc>
          <w:tcPr>
            <w:tcW w:w="1575" w:type="dxa"/>
            <w:vMerge/>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24ED1AC3" w14:textId="77777777" w:rsidR="007D0104" w:rsidRPr="00E4016A" w:rsidRDefault="007D0104" w:rsidP="00ED5676">
            <w:pPr>
              <w:suppressAutoHyphens w:val="0"/>
              <w:autoSpaceDN/>
              <w:spacing w:after="0" w:line="240" w:lineRule="auto"/>
              <w:jc w:val="both"/>
              <w:rPr>
                <w:rFonts w:cs="Arial"/>
                <w:b/>
                <w:bCs/>
                <w:color w:val="000000"/>
                <w:szCs w:val="20"/>
              </w:rPr>
            </w:pPr>
          </w:p>
        </w:tc>
        <w:tc>
          <w:tcPr>
            <w:tcW w:w="900" w:type="dxa"/>
            <w:tcBorders>
              <w:top w:val="nil"/>
              <w:left w:val="nil"/>
              <w:bottom w:val="single" w:sz="4" w:space="0" w:color="auto"/>
              <w:right w:val="single" w:sz="4" w:space="0" w:color="auto"/>
            </w:tcBorders>
            <w:shd w:val="clear" w:color="auto" w:fill="DEEAF6" w:themeFill="accent5" w:themeFillTint="33"/>
            <w:vAlign w:val="center"/>
            <w:hideMark/>
          </w:tcPr>
          <w:p w14:paraId="37286EBA"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7/2*100</w:t>
            </w:r>
          </w:p>
        </w:tc>
        <w:tc>
          <w:tcPr>
            <w:tcW w:w="149" w:type="dxa"/>
            <w:vAlign w:val="center"/>
            <w:hideMark/>
          </w:tcPr>
          <w:p w14:paraId="252C9EC7" w14:textId="77777777" w:rsidR="007D0104" w:rsidRPr="00E4016A" w:rsidRDefault="007D0104" w:rsidP="00ED5676">
            <w:pPr>
              <w:suppressAutoHyphens w:val="0"/>
              <w:autoSpaceDN/>
              <w:spacing w:after="0" w:line="240" w:lineRule="auto"/>
              <w:jc w:val="both"/>
              <w:rPr>
                <w:rFonts w:cs="Arial"/>
                <w:szCs w:val="20"/>
              </w:rPr>
            </w:pPr>
          </w:p>
        </w:tc>
      </w:tr>
      <w:tr w:rsidR="007D0104" w:rsidRPr="00006EC3" w14:paraId="29DC6418" w14:textId="77777777" w:rsidTr="00813DA2">
        <w:trPr>
          <w:trHeight w:val="255"/>
        </w:trPr>
        <w:tc>
          <w:tcPr>
            <w:tcW w:w="5665"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EB1F796" w14:textId="77777777" w:rsidR="007D0104" w:rsidRPr="00006EC3" w:rsidRDefault="007D0104" w:rsidP="00ED5676">
            <w:pPr>
              <w:suppressAutoHyphens w:val="0"/>
              <w:autoSpaceDN/>
              <w:spacing w:after="0" w:line="240" w:lineRule="auto"/>
              <w:jc w:val="both"/>
              <w:rPr>
                <w:rFonts w:cs="Arial"/>
                <w:b/>
                <w:bCs/>
                <w:color w:val="000000"/>
                <w:sz w:val="18"/>
                <w:szCs w:val="18"/>
              </w:rPr>
            </w:pPr>
            <w:r w:rsidRPr="00006EC3">
              <w:rPr>
                <w:rFonts w:cs="Arial"/>
                <w:b/>
                <w:bCs/>
                <w:color w:val="000000"/>
                <w:sz w:val="18"/>
                <w:szCs w:val="18"/>
              </w:rPr>
              <w:t>1</w:t>
            </w:r>
          </w:p>
        </w:tc>
        <w:tc>
          <w:tcPr>
            <w:tcW w:w="1667" w:type="dxa"/>
            <w:tcBorders>
              <w:top w:val="nil"/>
              <w:left w:val="nil"/>
              <w:bottom w:val="single" w:sz="4" w:space="0" w:color="auto"/>
              <w:right w:val="single" w:sz="4" w:space="0" w:color="auto"/>
            </w:tcBorders>
            <w:shd w:val="clear" w:color="auto" w:fill="DEEAF6" w:themeFill="accent5" w:themeFillTint="33"/>
            <w:vAlign w:val="center"/>
            <w:hideMark/>
          </w:tcPr>
          <w:p w14:paraId="1C7423A4" w14:textId="77777777" w:rsidR="007D0104" w:rsidRPr="00006EC3" w:rsidRDefault="007D0104" w:rsidP="00ED5676">
            <w:pPr>
              <w:suppressAutoHyphens w:val="0"/>
              <w:autoSpaceDN/>
              <w:spacing w:after="0" w:line="240" w:lineRule="auto"/>
              <w:jc w:val="both"/>
              <w:rPr>
                <w:rFonts w:cs="Arial"/>
                <w:b/>
                <w:bCs/>
                <w:color w:val="000000"/>
                <w:sz w:val="18"/>
                <w:szCs w:val="18"/>
              </w:rPr>
            </w:pPr>
            <w:r w:rsidRPr="00006EC3">
              <w:rPr>
                <w:rFonts w:cs="Arial"/>
                <w:b/>
                <w:bCs/>
                <w:color w:val="000000"/>
                <w:sz w:val="18"/>
                <w:szCs w:val="18"/>
              </w:rPr>
              <w:t>2</w:t>
            </w:r>
          </w:p>
        </w:tc>
        <w:tc>
          <w:tcPr>
            <w:tcW w:w="1575" w:type="dxa"/>
            <w:tcBorders>
              <w:top w:val="nil"/>
              <w:left w:val="nil"/>
              <w:bottom w:val="single" w:sz="4" w:space="0" w:color="auto"/>
              <w:right w:val="single" w:sz="4" w:space="0" w:color="auto"/>
            </w:tcBorders>
            <w:shd w:val="clear" w:color="auto" w:fill="DEEAF6" w:themeFill="accent5" w:themeFillTint="33"/>
            <w:vAlign w:val="center"/>
            <w:hideMark/>
          </w:tcPr>
          <w:p w14:paraId="2E87FE81" w14:textId="77777777" w:rsidR="007D0104" w:rsidRPr="00006EC3" w:rsidRDefault="007D0104" w:rsidP="00ED5676">
            <w:pPr>
              <w:suppressAutoHyphens w:val="0"/>
              <w:autoSpaceDN/>
              <w:spacing w:after="0" w:line="240" w:lineRule="auto"/>
              <w:jc w:val="both"/>
              <w:rPr>
                <w:rFonts w:cs="Arial"/>
                <w:b/>
                <w:bCs/>
                <w:color w:val="000000"/>
                <w:sz w:val="18"/>
                <w:szCs w:val="18"/>
              </w:rPr>
            </w:pPr>
            <w:r w:rsidRPr="00006EC3">
              <w:rPr>
                <w:rFonts w:cs="Arial"/>
                <w:b/>
                <w:bCs/>
                <w:color w:val="000000"/>
                <w:sz w:val="18"/>
                <w:szCs w:val="18"/>
              </w:rPr>
              <w:t>3</w:t>
            </w:r>
          </w:p>
        </w:tc>
        <w:tc>
          <w:tcPr>
            <w:tcW w:w="899" w:type="dxa"/>
            <w:tcBorders>
              <w:top w:val="nil"/>
              <w:left w:val="nil"/>
              <w:bottom w:val="single" w:sz="4" w:space="0" w:color="auto"/>
              <w:right w:val="single" w:sz="4" w:space="0" w:color="auto"/>
            </w:tcBorders>
            <w:shd w:val="clear" w:color="auto" w:fill="DEEAF6" w:themeFill="accent5" w:themeFillTint="33"/>
            <w:vAlign w:val="center"/>
            <w:hideMark/>
          </w:tcPr>
          <w:p w14:paraId="323B6FFC" w14:textId="77777777" w:rsidR="007D0104" w:rsidRPr="00006EC3" w:rsidRDefault="007D0104" w:rsidP="00ED5676">
            <w:pPr>
              <w:suppressAutoHyphens w:val="0"/>
              <w:autoSpaceDN/>
              <w:spacing w:after="0" w:line="240" w:lineRule="auto"/>
              <w:jc w:val="both"/>
              <w:rPr>
                <w:rFonts w:cs="Arial"/>
                <w:b/>
                <w:bCs/>
                <w:color w:val="000000"/>
                <w:sz w:val="18"/>
                <w:szCs w:val="18"/>
              </w:rPr>
            </w:pPr>
            <w:r w:rsidRPr="00006EC3">
              <w:rPr>
                <w:rFonts w:cs="Arial"/>
                <w:b/>
                <w:bCs/>
                <w:color w:val="000000"/>
                <w:sz w:val="18"/>
                <w:szCs w:val="18"/>
              </w:rPr>
              <w:t>4</w:t>
            </w:r>
          </w:p>
        </w:tc>
        <w:tc>
          <w:tcPr>
            <w:tcW w:w="1534" w:type="dxa"/>
            <w:tcBorders>
              <w:top w:val="nil"/>
              <w:left w:val="nil"/>
              <w:bottom w:val="single" w:sz="4" w:space="0" w:color="auto"/>
              <w:right w:val="single" w:sz="4" w:space="0" w:color="auto"/>
            </w:tcBorders>
            <w:shd w:val="clear" w:color="auto" w:fill="DEEAF6" w:themeFill="accent5" w:themeFillTint="33"/>
            <w:vAlign w:val="center"/>
            <w:hideMark/>
          </w:tcPr>
          <w:p w14:paraId="2D43D736" w14:textId="77777777" w:rsidR="007D0104" w:rsidRPr="00006EC3" w:rsidRDefault="007D0104" w:rsidP="00ED5676">
            <w:pPr>
              <w:suppressAutoHyphens w:val="0"/>
              <w:autoSpaceDN/>
              <w:spacing w:after="0" w:line="240" w:lineRule="auto"/>
              <w:jc w:val="both"/>
              <w:rPr>
                <w:rFonts w:cs="Arial"/>
                <w:b/>
                <w:bCs/>
                <w:color w:val="000000"/>
                <w:sz w:val="18"/>
                <w:szCs w:val="18"/>
              </w:rPr>
            </w:pPr>
            <w:r w:rsidRPr="00006EC3">
              <w:rPr>
                <w:rFonts w:cs="Arial"/>
                <w:b/>
                <w:bCs/>
                <w:color w:val="000000"/>
                <w:sz w:val="18"/>
                <w:szCs w:val="18"/>
              </w:rPr>
              <w:t>5</w:t>
            </w:r>
          </w:p>
        </w:tc>
        <w:tc>
          <w:tcPr>
            <w:tcW w:w="899" w:type="dxa"/>
            <w:tcBorders>
              <w:top w:val="nil"/>
              <w:left w:val="nil"/>
              <w:bottom w:val="single" w:sz="4" w:space="0" w:color="auto"/>
              <w:right w:val="single" w:sz="4" w:space="0" w:color="auto"/>
            </w:tcBorders>
            <w:shd w:val="clear" w:color="auto" w:fill="DEEAF6" w:themeFill="accent5" w:themeFillTint="33"/>
            <w:vAlign w:val="center"/>
            <w:hideMark/>
          </w:tcPr>
          <w:p w14:paraId="1EA40318" w14:textId="77777777" w:rsidR="007D0104" w:rsidRPr="00006EC3" w:rsidRDefault="007D0104" w:rsidP="00ED5676">
            <w:pPr>
              <w:suppressAutoHyphens w:val="0"/>
              <w:autoSpaceDN/>
              <w:spacing w:after="0" w:line="240" w:lineRule="auto"/>
              <w:jc w:val="both"/>
              <w:rPr>
                <w:rFonts w:cs="Arial"/>
                <w:b/>
                <w:bCs/>
                <w:color w:val="000000"/>
                <w:sz w:val="18"/>
                <w:szCs w:val="18"/>
              </w:rPr>
            </w:pPr>
            <w:r w:rsidRPr="00006EC3">
              <w:rPr>
                <w:rFonts w:cs="Arial"/>
                <w:b/>
                <w:bCs/>
                <w:color w:val="000000"/>
                <w:sz w:val="18"/>
                <w:szCs w:val="18"/>
              </w:rPr>
              <w:t>6</w:t>
            </w:r>
          </w:p>
        </w:tc>
        <w:tc>
          <w:tcPr>
            <w:tcW w:w="1575" w:type="dxa"/>
            <w:tcBorders>
              <w:top w:val="nil"/>
              <w:left w:val="nil"/>
              <w:bottom w:val="single" w:sz="4" w:space="0" w:color="auto"/>
              <w:right w:val="single" w:sz="4" w:space="0" w:color="auto"/>
            </w:tcBorders>
            <w:shd w:val="clear" w:color="auto" w:fill="DEEAF6" w:themeFill="accent5" w:themeFillTint="33"/>
            <w:vAlign w:val="center"/>
            <w:hideMark/>
          </w:tcPr>
          <w:p w14:paraId="15176658" w14:textId="77777777" w:rsidR="007D0104" w:rsidRPr="00006EC3" w:rsidRDefault="007D0104" w:rsidP="00ED5676">
            <w:pPr>
              <w:suppressAutoHyphens w:val="0"/>
              <w:autoSpaceDN/>
              <w:spacing w:after="0" w:line="240" w:lineRule="auto"/>
              <w:jc w:val="both"/>
              <w:rPr>
                <w:rFonts w:cs="Arial"/>
                <w:b/>
                <w:bCs/>
                <w:color w:val="000000"/>
                <w:sz w:val="18"/>
                <w:szCs w:val="18"/>
              </w:rPr>
            </w:pPr>
            <w:r w:rsidRPr="00006EC3">
              <w:rPr>
                <w:rFonts w:cs="Arial"/>
                <w:b/>
                <w:bCs/>
                <w:color w:val="000000"/>
                <w:sz w:val="18"/>
                <w:szCs w:val="18"/>
              </w:rPr>
              <w:t>7</w:t>
            </w:r>
          </w:p>
        </w:tc>
        <w:tc>
          <w:tcPr>
            <w:tcW w:w="900" w:type="dxa"/>
            <w:tcBorders>
              <w:top w:val="nil"/>
              <w:left w:val="nil"/>
              <w:bottom w:val="single" w:sz="4" w:space="0" w:color="auto"/>
              <w:right w:val="single" w:sz="4" w:space="0" w:color="auto"/>
            </w:tcBorders>
            <w:shd w:val="clear" w:color="auto" w:fill="DEEAF6" w:themeFill="accent5" w:themeFillTint="33"/>
            <w:vAlign w:val="center"/>
            <w:hideMark/>
          </w:tcPr>
          <w:p w14:paraId="3DBE0168" w14:textId="77777777" w:rsidR="007D0104" w:rsidRPr="00006EC3" w:rsidRDefault="007D0104" w:rsidP="00ED5676">
            <w:pPr>
              <w:suppressAutoHyphens w:val="0"/>
              <w:autoSpaceDN/>
              <w:spacing w:after="0" w:line="240" w:lineRule="auto"/>
              <w:jc w:val="both"/>
              <w:rPr>
                <w:rFonts w:cs="Arial"/>
                <w:b/>
                <w:bCs/>
                <w:color w:val="000000"/>
                <w:sz w:val="18"/>
                <w:szCs w:val="18"/>
              </w:rPr>
            </w:pPr>
            <w:r w:rsidRPr="00006EC3">
              <w:rPr>
                <w:rFonts w:cs="Arial"/>
                <w:b/>
                <w:bCs/>
                <w:color w:val="000000"/>
                <w:sz w:val="18"/>
                <w:szCs w:val="18"/>
              </w:rPr>
              <w:t>8</w:t>
            </w:r>
          </w:p>
        </w:tc>
        <w:tc>
          <w:tcPr>
            <w:tcW w:w="149" w:type="dxa"/>
            <w:vAlign w:val="center"/>
            <w:hideMark/>
          </w:tcPr>
          <w:p w14:paraId="3D48B88A" w14:textId="77777777" w:rsidR="007D0104" w:rsidRPr="00006EC3" w:rsidRDefault="007D0104" w:rsidP="00ED5676">
            <w:pPr>
              <w:suppressAutoHyphens w:val="0"/>
              <w:autoSpaceDN/>
              <w:spacing w:after="0" w:line="240" w:lineRule="auto"/>
              <w:jc w:val="both"/>
              <w:rPr>
                <w:rFonts w:cs="Arial"/>
                <w:sz w:val="18"/>
                <w:szCs w:val="18"/>
              </w:rPr>
            </w:pPr>
          </w:p>
        </w:tc>
      </w:tr>
      <w:tr w:rsidR="007D0104" w:rsidRPr="00E4016A" w14:paraId="1E002261" w14:textId="77777777" w:rsidTr="00006EC3">
        <w:trPr>
          <w:trHeight w:val="319"/>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6F8BE05"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PN 1 - Inovacijska družba znanja</w:t>
            </w:r>
          </w:p>
        </w:tc>
        <w:tc>
          <w:tcPr>
            <w:tcW w:w="1667" w:type="dxa"/>
            <w:tcBorders>
              <w:top w:val="nil"/>
              <w:left w:val="nil"/>
              <w:bottom w:val="single" w:sz="4" w:space="0" w:color="auto"/>
              <w:right w:val="single" w:sz="4" w:space="0" w:color="auto"/>
            </w:tcBorders>
            <w:shd w:val="clear" w:color="auto" w:fill="auto"/>
            <w:noWrap/>
            <w:vAlign w:val="bottom"/>
            <w:hideMark/>
          </w:tcPr>
          <w:p w14:paraId="0F9E7C5E"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707.511.069</w:t>
            </w:r>
          </w:p>
        </w:tc>
        <w:tc>
          <w:tcPr>
            <w:tcW w:w="1575" w:type="dxa"/>
            <w:tcBorders>
              <w:top w:val="nil"/>
              <w:left w:val="nil"/>
              <w:bottom w:val="single" w:sz="4" w:space="0" w:color="auto"/>
              <w:right w:val="single" w:sz="4" w:space="0" w:color="auto"/>
            </w:tcBorders>
            <w:shd w:val="clear" w:color="auto" w:fill="auto"/>
            <w:noWrap/>
            <w:vAlign w:val="bottom"/>
            <w:hideMark/>
          </w:tcPr>
          <w:p w14:paraId="4E15DE9D"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115.260.951</w:t>
            </w:r>
          </w:p>
        </w:tc>
        <w:tc>
          <w:tcPr>
            <w:tcW w:w="899" w:type="dxa"/>
            <w:tcBorders>
              <w:top w:val="nil"/>
              <w:left w:val="nil"/>
              <w:bottom w:val="single" w:sz="4" w:space="0" w:color="auto"/>
              <w:right w:val="single" w:sz="4" w:space="0" w:color="auto"/>
            </w:tcBorders>
            <w:shd w:val="clear" w:color="auto" w:fill="auto"/>
            <w:noWrap/>
            <w:vAlign w:val="bottom"/>
            <w:hideMark/>
          </w:tcPr>
          <w:p w14:paraId="380A1D47"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16%</w:t>
            </w:r>
          </w:p>
        </w:tc>
        <w:tc>
          <w:tcPr>
            <w:tcW w:w="1534" w:type="dxa"/>
            <w:tcBorders>
              <w:top w:val="nil"/>
              <w:left w:val="nil"/>
              <w:bottom w:val="single" w:sz="4" w:space="0" w:color="auto"/>
              <w:right w:val="single" w:sz="4" w:space="0" w:color="auto"/>
            </w:tcBorders>
            <w:shd w:val="clear" w:color="auto" w:fill="auto"/>
            <w:noWrap/>
            <w:vAlign w:val="bottom"/>
            <w:hideMark/>
          </w:tcPr>
          <w:p w14:paraId="77120A60"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85.045.826</w:t>
            </w:r>
          </w:p>
        </w:tc>
        <w:tc>
          <w:tcPr>
            <w:tcW w:w="899" w:type="dxa"/>
            <w:tcBorders>
              <w:top w:val="nil"/>
              <w:left w:val="nil"/>
              <w:bottom w:val="single" w:sz="4" w:space="0" w:color="auto"/>
              <w:right w:val="single" w:sz="4" w:space="0" w:color="auto"/>
            </w:tcBorders>
            <w:shd w:val="clear" w:color="auto" w:fill="auto"/>
            <w:noWrap/>
            <w:vAlign w:val="bottom"/>
            <w:hideMark/>
          </w:tcPr>
          <w:p w14:paraId="0A250010"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12%</w:t>
            </w:r>
          </w:p>
        </w:tc>
        <w:tc>
          <w:tcPr>
            <w:tcW w:w="1575" w:type="dxa"/>
            <w:tcBorders>
              <w:top w:val="nil"/>
              <w:left w:val="nil"/>
              <w:bottom w:val="single" w:sz="4" w:space="0" w:color="auto"/>
              <w:right w:val="single" w:sz="4" w:space="0" w:color="auto"/>
            </w:tcBorders>
            <w:shd w:val="clear" w:color="auto" w:fill="auto"/>
            <w:noWrap/>
            <w:vAlign w:val="bottom"/>
            <w:hideMark/>
          </w:tcPr>
          <w:p w14:paraId="48800A9A"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9.532.127</w:t>
            </w:r>
          </w:p>
        </w:tc>
        <w:tc>
          <w:tcPr>
            <w:tcW w:w="900" w:type="dxa"/>
            <w:tcBorders>
              <w:top w:val="nil"/>
              <w:left w:val="nil"/>
              <w:bottom w:val="single" w:sz="4" w:space="0" w:color="auto"/>
              <w:right w:val="single" w:sz="4" w:space="0" w:color="auto"/>
            </w:tcBorders>
            <w:shd w:val="clear" w:color="auto" w:fill="auto"/>
            <w:noWrap/>
            <w:vAlign w:val="bottom"/>
            <w:hideMark/>
          </w:tcPr>
          <w:p w14:paraId="732396E6"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w:t>
            </w:r>
          </w:p>
        </w:tc>
        <w:tc>
          <w:tcPr>
            <w:tcW w:w="149" w:type="dxa"/>
            <w:vAlign w:val="center"/>
            <w:hideMark/>
          </w:tcPr>
          <w:p w14:paraId="3760F768" w14:textId="77777777" w:rsidR="007D0104" w:rsidRPr="00E4016A" w:rsidRDefault="007D0104" w:rsidP="00ED5676">
            <w:pPr>
              <w:suppressAutoHyphens w:val="0"/>
              <w:autoSpaceDN/>
              <w:spacing w:after="0" w:line="240" w:lineRule="auto"/>
              <w:jc w:val="both"/>
              <w:rPr>
                <w:rFonts w:cs="Arial"/>
                <w:szCs w:val="20"/>
              </w:rPr>
            </w:pPr>
          </w:p>
        </w:tc>
      </w:tr>
      <w:tr w:rsidR="007D0104" w:rsidRPr="00E4016A" w14:paraId="75CDC493" w14:textId="77777777" w:rsidTr="00006EC3">
        <w:trPr>
          <w:trHeight w:val="319"/>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633B5AA"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PN 2 - Digitalna povezljivost</w:t>
            </w:r>
          </w:p>
        </w:tc>
        <w:tc>
          <w:tcPr>
            <w:tcW w:w="1667" w:type="dxa"/>
            <w:tcBorders>
              <w:top w:val="nil"/>
              <w:left w:val="nil"/>
              <w:bottom w:val="single" w:sz="4" w:space="0" w:color="auto"/>
              <w:right w:val="single" w:sz="4" w:space="0" w:color="auto"/>
            </w:tcBorders>
            <w:shd w:val="clear" w:color="auto" w:fill="auto"/>
            <w:noWrap/>
            <w:vAlign w:val="bottom"/>
            <w:hideMark/>
          </w:tcPr>
          <w:p w14:paraId="08CCE6BF"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19.662.744</w:t>
            </w:r>
          </w:p>
        </w:tc>
        <w:tc>
          <w:tcPr>
            <w:tcW w:w="1575" w:type="dxa"/>
            <w:tcBorders>
              <w:top w:val="nil"/>
              <w:left w:val="nil"/>
              <w:bottom w:val="single" w:sz="4" w:space="0" w:color="auto"/>
              <w:right w:val="single" w:sz="4" w:space="0" w:color="auto"/>
            </w:tcBorders>
            <w:shd w:val="clear" w:color="auto" w:fill="auto"/>
            <w:noWrap/>
            <w:vAlign w:val="bottom"/>
            <w:hideMark/>
          </w:tcPr>
          <w:p w14:paraId="37BCD267"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899" w:type="dxa"/>
            <w:tcBorders>
              <w:top w:val="nil"/>
              <w:left w:val="nil"/>
              <w:bottom w:val="single" w:sz="4" w:space="0" w:color="auto"/>
              <w:right w:val="single" w:sz="4" w:space="0" w:color="auto"/>
            </w:tcBorders>
            <w:shd w:val="clear" w:color="auto" w:fill="auto"/>
            <w:noWrap/>
            <w:vAlign w:val="bottom"/>
            <w:hideMark/>
          </w:tcPr>
          <w:p w14:paraId="61E088EA"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1534" w:type="dxa"/>
            <w:tcBorders>
              <w:top w:val="nil"/>
              <w:left w:val="nil"/>
              <w:bottom w:val="single" w:sz="4" w:space="0" w:color="auto"/>
              <w:right w:val="single" w:sz="4" w:space="0" w:color="auto"/>
            </w:tcBorders>
            <w:shd w:val="clear" w:color="auto" w:fill="auto"/>
            <w:noWrap/>
            <w:vAlign w:val="bottom"/>
            <w:hideMark/>
          </w:tcPr>
          <w:p w14:paraId="7DF16E7E"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899" w:type="dxa"/>
            <w:tcBorders>
              <w:top w:val="nil"/>
              <w:left w:val="nil"/>
              <w:bottom w:val="single" w:sz="4" w:space="0" w:color="auto"/>
              <w:right w:val="single" w:sz="4" w:space="0" w:color="auto"/>
            </w:tcBorders>
            <w:shd w:val="clear" w:color="auto" w:fill="auto"/>
            <w:noWrap/>
            <w:vAlign w:val="bottom"/>
            <w:hideMark/>
          </w:tcPr>
          <w:p w14:paraId="3228D0C9"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1575" w:type="dxa"/>
            <w:tcBorders>
              <w:top w:val="nil"/>
              <w:left w:val="nil"/>
              <w:bottom w:val="single" w:sz="4" w:space="0" w:color="auto"/>
              <w:right w:val="single" w:sz="4" w:space="0" w:color="auto"/>
            </w:tcBorders>
            <w:shd w:val="clear" w:color="auto" w:fill="auto"/>
            <w:noWrap/>
            <w:vAlign w:val="bottom"/>
            <w:hideMark/>
          </w:tcPr>
          <w:p w14:paraId="62DE6FFB"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0A7ADC89"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149" w:type="dxa"/>
            <w:vAlign w:val="center"/>
            <w:hideMark/>
          </w:tcPr>
          <w:p w14:paraId="266B19E9" w14:textId="77777777" w:rsidR="007D0104" w:rsidRPr="00E4016A" w:rsidRDefault="007D0104" w:rsidP="00ED5676">
            <w:pPr>
              <w:suppressAutoHyphens w:val="0"/>
              <w:autoSpaceDN/>
              <w:spacing w:after="0" w:line="240" w:lineRule="auto"/>
              <w:jc w:val="both"/>
              <w:rPr>
                <w:rFonts w:cs="Arial"/>
                <w:szCs w:val="20"/>
              </w:rPr>
            </w:pPr>
          </w:p>
        </w:tc>
      </w:tr>
      <w:tr w:rsidR="007D0104" w:rsidRPr="00E4016A" w14:paraId="1AFDF66D" w14:textId="77777777" w:rsidTr="00006EC3">
        <w:trPr>
          <w:trHeight w:val="319"/>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1FB3FCC"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PN 3 - Zelena preobrazba za podnebno nevtralnost</w:t>
            </w:r>
          </w:p>
        </w:tc>
        <w:tc>
          <w:tcPr>
            <w:tcW w:w="1667" w:type="dxa"/>
            <w:tcBorders>
              <w:top w:val="nil"/>
              <w:left w:val="nil"/>
              <w:bottom w:val="single" w:sz="4" w:space="0" w:color="auto"/>
              <w:right w:val="single" w:sz="4" w:space="0" w:color="auto"/>
            </w:tcBorders>
            <w:shd w:val="clear" w:color="auto" w:fill="auto"/>
            <w:noWrap/>
            <w:vAlign w:val="bottom"/>
            <w:hideMark/>
          </w:tcPr>
          <w:p w14:paraId="4ECB73D0"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739.117.182</w:t>
            </w:r>
          </w:p>
        </w:tc>
        <w:tc>
          <w:tcPr>
            <w:tcW w:w="1575" w:type="dxa"/>
            <w:tcBorders>
              <w:top w:val="nil"/>
              <w:left w:val="nil"/>
              <w:bottom w:val="single" w:sz="4" w:space="0" w:color="auto"/>
              <w:right w:val="single" w:sz="4" w:space="0" w:color="auto"/>
            </w:tcBorders>
            <w:shd w:val="clear" w:color="auto" w:fill="auto"/>
            <w:noWrap/>
            <w:vAlign w:val="bottom"/>
            <w:hideMark/>
          </w:tcPr>
          <w:p w14:paraId="6E26D265"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149.095.888</w:t>
            </w:r>
          </w:p>
        </w:tc>
        <w:tc>
          <w:tcPr>
            <w:tcW w:w="899" w:type="dxa"/>
            <w:tcBorders>
              <w:top w:val="nil"/>
              <w:left w:val="nil"/>
              <w:bottom w:val="single" w:sz="4" w:space="0" w:color="auto"/>
              <w:right w:val="single" w:sz="4" w:space="0" w:color="auto"/>
            </w:tcBorders>
            <w:shd w:val="clear" w:color="auto" w:fill="auto"/>
            <w:noWrap/>
            <w:vAlign w:val="bottom"/>
            <w:hideMark/>
          </w:tcPr>
          <w:p w14:paraId="626252BE"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20%</w:t>
            </w:r>
          </w:p>
        </w:tc>
        <w:tc>
          <w:tcPr>
            <w:tcW w:w="1534" w:type="dxa"/>
            <w:tcBorders>
              <w:top w:val="nil"/>
              <w:left w:val="nil"/>
              <w:bottom w:val="single" w:sz="4" w:space="0" w:color="auto"/>
              <w:right w:val="single" w:sz="4" w:space="0" w:color="auto"/>
            </w:tcBorders>
            <w:shd w:val="clear" w:color="auto" w:fill="auto"/>
            <w:noWrap/>
            <w:vAlign w:val="bottom"/>
            <w:hideMark/>
          </w:tcPr>
          <w:p w14:paraId="710D2C25"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116.870.903</w:t>
            </w:r>
          </w:p>
        </w:tc>
        <w:tc>
          <w:tcPr>
            <w:tcW w:w="899" w:type="dxa"/>
            <w:tcBorders>
              <w:top w:val="nil"/>
              <w:left w:val="nil"/>
              <w:bottom w:val="single" w:sz="4" w:space="0" w:color="auto"/>
              <w:right w:val="single" w:sz="4" w:space="0" w:color="auto"/>
            </w:tcBorders>
            <w:shd w:val="clear" w:color="auto" w:fill="auto"/>
            <w:noWrap/>
            <w:vAlign w:val="bottom"/>
            <w:hideMark/>
          </w:tcPr>
          <w:p w14:paraId="21638194"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16%</w:t>
            </w:r>
          </w:p>
        </w:tc>
        <w:tc>
          <w:tcPr>
            <w:tcW w:w="1575" w:type="dxa"/>
            <w:tcBorders>
              <w:top w:val="nil"/>
              <w:left w:val="nil"/>
              <w:bottom w:val="single" w:sz="4" w:space="0" w:color="auto"/>
              <w:right w:val="single" w:sz="4" w:space="0" w:color="auto"/>
            </w:tcBorders>
            <w:shd w:val="clear" w:color="auto" w:fill="auto"/>
            <w:noWrap/>
            <w:vAlign w:val="bottom"/>
            <w:hideMark/>
          </w:tcPr>
          <w:p w14:paraId="016EC13E"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23.717.265</w:t>
            </w:r>
          </w:p>
        </w:tc>
        <w:tc>
          <w:tcPr>
            <w:tcW w:w="900" w:type="dxa"/>
            <w:tcBorders>
              <w:top w:val="nil"/>
              <w:left w:val="nil"/>
              <w:bottom w:val="single" w:sz="4" w:space="0" w:color="auto"/>
              <w:right w:val="single" w:sz="4" w:space="0" w:color="auto"/>
            </w:tcBorders>
            <w:shd w:val="clear" w:color="auto" w:fill="auto"/>
            <w:noWrap/>
            <w:vAlign w:val="bottom"/>
            <w:hideMark/>
          </w:tcPr>
          <w:p w14:paraId="10F81D07"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3%</w:t>
            </w:r>
          </w:p>
        </w:tc>
        <w:tc>
          <w:tcPr>
            <w:tcW w:w="149" w:type="dxa"/>
            <w:vAlign w:val="center"/>
            <w:hideMark/>
          </w:tcPr>
          <w:p w14:paraId="197E3D2F" w14:textId="77777777" w:rsidR="007D0104" w:rsidRPr="00E4016A" w:rsidRDefault="007D0104" w:rsidP="00ED5676">
            <w:pPr>
              <w:suppressAutoHyphens w:val="0"/>
              <w:autoSpaceDN/>
              <w:spacing w:after="0" w:line="240" w:lineRule="auto"/>
              <w:jc w:val="both"/>
              <w:rPr>
                <w:rFonts w:cs="Arial"/>
                <w:szCs w:val="20"/>
              </w:rPr>
            </w:pPr>
          </w:p>
        </w:tc>
      </w:tr>
      <w:tr w:rsidR="007D0104" w:rsidRPr="00E4016A" w14:paraId="1EA00187" w14:textId="77777777" w:rsidTr="00006EC3">
        <w:trPr>
          <w:trHeight w:val="319"/>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BE3743A"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PN 4 - Trajnostna urbana mobilnost</w:t>
            </w:r>
          </w:p>
        </w:tc>
        <w:tc>
          <w:tcPr>
            <w:tcW w:w="1667" w:type="dxa"/>
            <w:tcBorders>
              <w:top w:val="nil"/>
              <w:left w:val="nil"/>
              <w:bottom w:val="single" w:sz="4" w:space="0" w:color="auto"/>
              <w:right w:val="single" w:sz="4" w:space="0" w:color="auto"/>
            </w:tcBorders>
            <w:shd w:val="clear" w:color="auto" w:fill="auto"/>
            <w:noWrap/>
            <w:vAlign w:val="bottom"/>
            <w:hideMark/>
          </w:tcPr>
          <w:p w14:paraId="7FEE8EE0"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53.917.253</w:t>
            </w:r>
          </w:p>
        </w:tc>
        <w:tc>
          <w:tcPr>
            <w:tcW w:w="1575" w:type="dxa"/>
            <w:tcBorders>
              <w:top w:val="nil"/>
              <w:left w:val="nil"/>
              <w:bottom w:val="single" w:sz="4" w:space="0" w:color="auto"/>
              <w:right w:val="single" w:sz="4" w:space="0" w:color="auto"/>
            </w:tcBorders>
            <w:shd w:val="clear" w:color="auto" w:fill="auto"/>
            <w:noWrap/>
            <w:vAlign w:val="bottom"/>
            <w:hideMark/>
          </w:tcPr>
          <w:p w14:paraId="7DEC199A"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899" w:type="dxa"/>
            <w:tcBorders>
              <w:top w:val="nil"/>
              <w:left w:val="nil"/>
              <w:bottom w:val="single" w:sz="4" w:space="0" w:color="auto"/>
              <w:right w:val="single" w:sz="4" w:space="0" w:color="auto"/>
            </w:tcBorders>
            <w:shd w:val="clear" w:color="auto" w:fill="auto"/>
            <w:noWrap/>
            <w:vAlign w:val="bottom"/>
            <w:hideMark/>
          </w:tcPr>
          <w:p w14:paraId="659F12AB"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1534" w:type="dxa"/>
            <w:tcBorders>
              <w:top w:val="nil"/>
              <w:left w:val="nil"/>
              <w:bottom w:val="single" w:sz="4" w:space="0" w:color="auto"/>
              <w:right w:val="single" w:sz="4" w:space="0" w:color="auto"/>
            </w:tcBorders>
            <w:shd w:val="clear" w:color="auto" w:fill="auto"/>
            <w:noWrap/>
            <w:vAlign w:val="bottom"/>
            <w:hideMark/>
          </w:tcPr>
          <w:p w14:paraId="229C0F5A"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899" w:type="dxa"/>
            <w:tcBorders>
              <w:top w:val="nil"/>
              <w:left w:val="nil"/>
              <w:bottom w:val="single" w:sz="4" w:space="0" w:color="auto"/>
              <w:right w:val="single" w:sz="4" w:space="0" w:color="auto"/>
            </w:tcBorders>
            <w:shd w:val="clear" w:color="auto" w:fill="auto"/>
            <w:noWrap/>
            <w:vAlign w:val="bottom"/>
            <w:hideMark/>
          </w:tcPr>
          <w:p w14:paraId="5805B261"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1575" w:type="dxa"/>
            <w:tcBorders>
              <w:top w:val="nil"/>
              <w:left w:val="nil"/>
              <w:bottom w:val="single" w:sz="4" w:space="0" w:color="auto"/>
              <w:right w:val="single" w:sz="4" w:space="0" w:color="auto"/>
            </w:tcBorders>
            <w:shd w:val="clear" w:color="auto" w:fill="auto"/>
            <w:noWrap/>
            <w:vAlign w:val="bottom"/>
            <w:hideMark/>
          </w:tcPr>
          <w:p w14:paraId="6D992667"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27631E3A"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149" w:type="dxa"/>
            <w:vAlign w:val="center"/>
            <w:hideMark/>
          </w:tcPr>
          <w:p w14:paraId="208B64A0" w14:textId="77777777" w:rsidR="007D0104" w:rsidRPr="00E4016A" w:rsidRDefault="007D0104" w:rsidP="00ED5676">
            <w:pPr>
              <w:suppressAutoHyphens w:val="0"/>
              <w:autoSpaceDN/>
              <w:spacing w:after="0" w:line="240" w:lineRule="auto"/>
              <w:jc w:val="both"/>
              <w:rPr>
                <w:rFonts w:cs="Arial"/>
                <w:szCs w:val="20"/>
              </w:rPr>
            </w:pPr>
          </w:p>
        </w:tc>
      </w:tr>
      <w:tr w:rsidR="007D0104" w:rsidRPr="00E4016A" w14:paraId="4773252D" w14:textId="77777777" w:rsidTr="00006EC3">
        <w:trPr>
          <w:trHeight w:val="319"/>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B6762BE"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PN 5 - Trajnostna (čez)regionalna mobilnost in povezljivost</w:t>
            </w:r>
          </w:p>
        </w:tc>
        <w:tc>
          <w:tcPr>
            <w:tcW w:w="1667" w:type="dxa"/>
            <w:tcBorders>
              <w:top w:val="nil"/>
              <w:left w:val="nil"/>
              <w:bottom w:val="single" w:sz="4" w:space="0" w:color="auto"/>
              <w:right w:val="single" w:sz="4" w:space="0" w:color="auto"/>
            </w:tcBorders>
            <w:shd w:val="clear" w:color="auto" w:fill="auto"/>
            <w:noWrap/>
            <w:vAlign w:val="bottom"/>
            <w:hideMark/>
          </w:tcPr>
          <w:p w14:paraId="484416E6"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511.031.161</w:t>
            </w:r>
          </w:p>
        </w:tc>
        <w:tc>
          <w:tcPr>
            <w:tcW w:w="1575" w:type="dxa"/>
            <w:tcBorders>
              <w:top w:val="nil"/>
              <w:left w:val="nil"/>
              <w:bottom w:val="single" w:sz="4" w:space="0" w:color="auto"/>
              <w:right w:val="single" w:sz="4" w:space="0" w:color="auto"/>
            </w:tcBorders>
            <w:shd w:val="clear" w:color="auto" w:fill="auto"/>
            <w:noWrap/>
            <w:vAlign w:val="bottom"/>
            <w:hideMark/>
          </w:tcPr>
          <w:p w14:paraId="772F4367"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39.634.567</w:t>
            </w:r>
          </w:p>
        </w:tc>
        <w:tc>
          <w:tcPr>
            <w:tcW w:w="899" w:type="dxa"/>
            <w:tcBorders>
              <w:top w:val="nil"/>
              <w:left w:val="nil"/>
              <w:bottom w:val="single" w:sz="4" w:space="0" w:color="auto"/>
              <w:right w:val="single" w:sz="4" w:space="0" w:color="auto"/>
            </w:tcBorders>
            <w:shd w:val="clear" w:color="auto" w:fill="auto"/>
            <w:noWrap/>
            <w:vAlign w:val="bottom"/>
            <w:hideMark/>
          </w:tcPr>
          <w:p w14:paraId="6B39BC0E"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8%</w:t>
            </w:r>
          </w:p>
        </w:tc>
        <w:tc>
          <w:tcPr>
            <w:tcW w:w="1534" w:type="dxa"/>
            <w:tcBorders>
              <w:top w:val="nil"/>
              <w:left w:val="nil"/>
              <w:bottom w:val="single" w:sz="4" w:space="0" w:color="auto"/>
              <w:right w:val="single" w:sz="4" w:space="0" w:color="auto"/>
            </w:tcBorders>
            <w:shd w:val="clear" w:color="auto" w:fill="auto"/>
            <w:noWrap/>
            <w:vAlign w:val="bottom"/>
            <w:hideMark/>
          </w:tcPr>
          <w:p w14:paraId="20F045D2"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16.211.065</w:t>
            </w:r>
          </w:p>
        </w:tc>
        <w:tc>
          <w:tcPr>
            <w:tcW w:w="899" w:type="dxa"/>
            <w:tcBorders>
              <w:top w:val="nil"/>
              <w:left w:val="nil"/>
              <w:bottom w:val="single" w:sz="4" w:space="0" w:color="auto"/>
              <w:right w:val="single" w:sz="4" w:space="0" w:color="auto"/>
            </w:tcBorders>
            <w:shd w:val="clear" w:color="auto" w:fill="auto"/>
            <w:noWrap/>
            <w:vAlign w:val="bottom"/>
            <w:hideMark/>
          </w:tcPr>
          <w:p w14:paraId="3CB34FF2"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3%</w:t>
            </w:r>
          </w:p>
        </w:tc>
        <w:tc>
          <w:tcPr>
            <w:tcW w:w="1575" w:type="dxa"/>
            <w:tcBorders>
              <w:top w:val="nil"/>
              <w:left w:val="nil"/>
              <w:bottom w:val="single" w:sz="4" w:space="0" w:color="auto"/>
              <w:right w:val="single" w:sz="4" w:space="0" w:color="auto"/>
            </w:tcBorders>
            <w:shd w:val="clear" w:color="auto" w:fill="auto"/>
            <w:noWrap/>
            <w:vAlign w:val="bottom"/>
            <w:hideMark/>
          </w:tcPr>
          <w:p w14:paraId="460EDBC4"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11.010.792</w:t>
            </w:r>
          </w:p>
        </w:tc>
        <w:tc>
          <w:tcPr>
            <w:tcW w:w="900" w:type="dxa"/>
            <w:tcBorders>
              <w:top w:val="nil"/>
              <w:left w:val="nil"/>
              <w:bottom w:val="single" w:sz="4" w:space="0" w:color="auto"/>
              <w:right w:val="single" w:sz="4" w:space="0" w:color="auto"/>
            </w:tcBorders>
            <w:shd w:val="clear" w:color="auto" w:fill="auto"/>
            <w:noWrap/>
            <w:vAlign w:val="bottom"/>
            <w:hideMark/>
          </w:tcPr>
          <w:p w14:paraId="4311DAC6"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2%</w:t>
            </w:r>
          </w:p>
        </w:tc>
        <w:tc>
          <w:tcPr>
            <w:tcW w:w="149" w:type="dxa"/>
            <w:vAlign w:val="center"/>
            <w:hideMark/>
          </w:tcPr>
          <w:p w14:paraId="1F02BF57" w14:textId="77777777" w:rsidR="007D0104" w:rsidRPr="00E4016A" w:rsidRDefault="007D0104" w:rsidP="00ED5676">
            <w:pPr>
              <w:suppressAutoHyphens w:val="0"/>
              <w:autoSpaceDN/>
              <w:spacing w:after="0" w:line="240" w:lineRule="auto"/>
              <w:jc w:val="both"/>
              <w:rPr>
                <w:rFonts w:cs="Arial"/>
                <w:szCs w:val="20"/>
              </w:rPr>
            </w:pPr>
          </w:p>
        </w:tc>
      </w:tr>
      <w:tr w:rsidR="007D0104" w:rsidRPr="00E4016A" w14:paraId="3A6A012F" w14:textId="77777777" w:rsidTr="00006EC3">
        <w:trPr>
          <w:trHeight w:val="319"/>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7660E82"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PN 6 - Znanja in spretnosti ter odzivni trg dela</w:t>
            </w:r>
          </w:p>
        </w:tc>
        <w:tc>
          <w:tcPr>
            <w:tcW w:w="1667" w:type="dxa"/>
            <w:tcBorders>
              <w:top w:val="nil"/>
              <w:left w:val="nil"/>
              <w:bottom w:val="single" w:sz="4" w:space="0" w:color="auto"/>
              <w:right w:val="single" w:sz="4" w:space="0" w:color="auto"/>
            </w:tcBorders>
            <w:shd w:val="clear" w:color="auto" w:fill="auto"/>
            <w:noWrap/>
            <w:vAlign w:val="bottom"/>
            <w:hideMark/>
          </w:tcPr>
          <w:p w14:paraId="11475EEE"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439.423.865</w:t>
            </w:r>
          </w:p>
        </w:tc>
        <w:tc>
          <w:tcPr>
            <w:tcW w:w="1575" w:type="dxa"/>
            <w:tcBorders>
              <w:top w:val="nil"/>
              <w:left w:val="nil"/>
              <w:bottom w:val="single" w:sz="4" w:space="0" w:color="auto"/>
              <w:right w:val="single" w:sz="4" w:space="0" w:color="auto"/>
            </w:tcBorders>
            <w:shd w:val="clear" w:color="auto" w:fill="auto"/>
            <w:noWrap/>
            <w:vAlign w:val="bottom"/>
            <w:hideMark/>
          </w:tcPr>
          <w:p w14:paraId="7A1191CC"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211.474.380</w:t>
            </w:r>
          </w:p>
        </w:tc>
        <w:tc>
          <w:tcPr>
            <w:tcW w:w="899" w:type="dxa"/>
            <w:tcBorders>
              <w:top w:val="nil"/>
              <w:left w:val="nil"/>
              <w:bottom w:val="single" w:sz="4" w:space="0" w:color="auto"/>
              <w:right w:val="single" w:sz="4" w:space="0" w:color="auto"/>
            </w:tcBorders>
            <w:shd w:val="clear" w:color="auto" w:fill="auto"/>
            <w:noWrap/>
            <w:vAlign w:val="bottom"/>
            <w:hideMark/>
          </w:tcPr>
          <w:p w14:paraId="0F1327F0"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48%</w:t>
            </w:r>
          </w:p>
        </w:tc>
        <w:tc>
          <w:tcPr>
            <w:tcW w:w="1534" w:type="dxa"/>
            <w:tcBorders>
              <w:top w:val="nil"/>
              <w:left w:val="nil"/>
              <w:bottom w:val="single" w:sz="4" w:space="0" w:color="auto"/>
              <w:right w:val="single" w:sz="4" w:space="0" w:color="auto"/>
            </w:tcBorders>
            <w:shd w:val="clear" w:color="auto" w:fill="auto"/>
            <w:noWrap/>
            <w:vAlign w:val="bottom"/>
            <w:hideMark/>
          </w:tcPr>
          <w:p w14:paraId="6CEFDA28"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202.524.108</w:t>
            </w:r>
          </w:p>
        </w:tc>
        <w:tc>
          <w:tcPr>
            <w:tcW w:w="899" w:type="dxa"/>
            <w:tcBorders>
              <w:top w:val="nil"/>
              <w:left w:val="nil"/>
              <w:bottom w:val="single" w:sz="4" w:space="0" w:color="auto"/>
              <w:right w:val="single" w:sz="4" w:space="0" w:color="auto"/>
            </w:tcBorders>
            <w:shd w:val="clear" w:color="auto" w:fill="auto"/>
            <w:noWrap/>
            <w:vAlign w:val="bottom"/>
            <w:hideMark/>
          </w:tcPr>
          <w:p w14:paraId="489124AB"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46%</w:t>
            </w:r>
          </w:p>
        </w:tc>
        <w:tc>
          <w:tcPr>
            <w:tcW w:w="1575" w:type="dxa"/>
            <w:tcBorders>
              <w:top w:val="nil"/>
              <w:left w:val="nil"/>
              <w:bottom w:val="single" w:sz="4" w:space="0" w:color="auto"/>
              <w:right w:val="single" w:sz="4" w:space="0" w:color="auto"/>
            </w:tcBorders>
            <w:shd w:val="clear" w:color="auto" w:fill="auto"/>
            <w:noWrap/>
            <w:vAlign w:val="bottom"/>
            <w:hideMark/>
          </w:tcPr>
          <w:p w14:paraId="0338A2F2"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11.241.011</w:t>
            </w:r>
          </w:p>
        </w:tc>
        <w:tc>
          <w:tcPr>
            <w:tcW w:w="900" w:type="dxa"/>
            <w:tcBorders>
              <w:top w:val="nil"/>
              <w:left w:val="nil"/>
              <w:bottom w:val="single" w:sz="4" w:space="0" w:color="auto"/>
              <w:right w:val="single" w:sz="4" w:space="0" w:color="auto"/>
            </w:tcBorders>
            <w:shd w:val="clear" w:color="auto" w:fill="auto"/>
            <w:noWrap/>
            <w:vAlign w:val="bottom"/>
            <w:hideMark/>
          </w:tcPr>
          <w:p w14:paraId="2ECFC3D4"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3%</w:t>
            </w:r>
          </w:p>
        </w:tc>
        <w:tc>
          <w:tcPr>
            <w:tcW w:w="149" w:type="dxa"/>
            <w:vAlign w:val="center"/>
            <w:hideMark/>
          </w:tcPr>
          <w:p w14:paraId="73987268" w14:textId="77777777" w:rsidR="007D0104" w:rsidRPr="00E4016A" w:rsidRDefault="007D0104" w:rsidP="00ED5676">
            <w:pPr>
              <w:suppressAutoHyphens w:val="0"/>
              <w:autoSpaceDN/>
              <w:spacing w:after="0" w:line="240" w:lineRule="auto"/>
              <w:jc w:val="both"/>
              <w:rPr>
                <w:rFonts w:cs="Arial"/>
                <w:szCs w:val="20"/>
              </w:rPr>
            </w:pPr>
          </w:p>
        </w:tc>
      </w:tr>
      <w:tr w:rsidR="007D0104" w:rsidRPr="00E4016A" w14:paraId="1D4F082C" w14:textId="77777777" w:rsidTr="00006EC3">
        <w:trPr>
          <w:trHeight w:val="319"/>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FBC363A"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PN 7 - Dolgotrajna oskrba in zdravje ter socialna vključenost</w:t>
            </w:r>
          </w:p>
        </w:tc>
        <w:tc>
          <w:tcPr>
            <w:tcW w:w="1667" w:type="dxa"/>
            <w:tcBorders>
              <w:top w:val="nil"/>
              <w:left w:val="nil"/>
              <w:bottom w:val="single" w:sz="4" w:space="0" w:color="auto"/>
              <w:right w:val="single" w:sz="4" w:space="0" w:color="auto"/>
            </w:tcBorders>
            <w:shd w:val="clear" w:color="auto" w:fill="auto"/>
            <w:noWrap/>
            <w:vAlign w:val="bottom"/>
            <w:hideMark/>
          </w:tcPr>
          <w:p w14:paraId="427913DB"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282.311.001</w:t>
            </w:r>
          </w:p>
        </w:tc>
        <w:tc>
          <w:tcPr>
            <w:tcW w:w="1575" w:type="dxa"/>
            <w:tcBorders>
              <w:top w:val="nil"/>
              <w:left w:val="nil"/>
              <w:bottom w:val="single" w:sz="4" w:space="0" w:color="auto"/>
              <w:right w:val="single" w:sz="4" w:space="0" w:color="auto"/>
            </w:tcBorders>
            <w:shd w:val="clear" w:color="auto" w:fill="auto"/>
            <w:noWrap/>
            <w:vAlign w:val="bottom"/>
            <w:hideMark/>
          </w:tcPr>
          <w:p w14:paraId="39FB88A8"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72.587.268</w:t>
            </w:r>
          </w:p>
        </w:tc>
        <w:tc>
          <w:tcPr>
            <w:tcW w:w="899" w:type="dxa"/>
            <w:tcBorders>
              <w:top w:val="nil"/>
              <w:left w:val="nil"/>
              <w:bottom w:val="single" w:sz="4" w:space="0" w:color="auto"/>
              <w:right w:val="single" w:sz="4" w:space="0" w:color="auto"/>
            </w:tcBorders>
            <w:shd w:val="clear" w:color="auto" w:fill="auto"/>
            <w:noWrap/>
            <w:vAlign w:val="bottom"/>
            <w:hideMark/>
          </w:tcPr>
          <w:p w14:paraId="01B6758B"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26%</w:t>
            </w:r>
          </w:p>
        </w:tc>
        <w:tc>
          <w:tcPr>
            <w:tcW w:w="1534" w:type="dxa"/>
            <w:tcBorders>
              <w:top w:val="nil"/>
              <w:left w:val="nil"/>
              <w:bottom w:val="single" w:sz="4" w:space="0" w:color="auto"/>
              <w:right w:val="single" w:sz="4" w:space="0" w:color="auto"/>
            </w:tcBorders>
            <w:shd w:val="clear" w:color="auto" w:fill="auto"/>
            <w:noWrap/>
            <w:vAlign w:val="bottom"/>
            <w:hideMark/>
          </w:tcPr>
          <w:p w14:paraId="4FC8072C"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63.638.806</w:t>
            </w:r>
          </w:p>
        </w:tc>
        <w:tc>
          <w:tcPr>
            <w:tcW w:w="899" w:type="dxa"/>
            <w:tcBorders>
              <w:top w:val="nil"/>
              <w:left w:val="nil"/>
              <w:bottom w:val="single" w:sz="4" w:space="0" w:color="auto"/>
              <w:right w:val="single" w:sz="4" w:space="0" w:color="auto"/>
            </w:tcBorders>
            <w:shd w:val="clear" w:color="auto" w:fill="auto"/>
            <w:noWrap/>
            <w:vAlign w:val="bottom"/>
            <w:hideMark/>
          </w:tcPr>
          <w:p w14:paraId="47C80D3C"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23%</w:t>
            </w:r>
          </w:p>
        </w:tc>
        <w:tc>
          <w:tcPr>
            <w:tcW w:w="1575" w:type="dxa"/>
            <w:tcBorders>
              <w:top w:val="nil"/>
              <w:left w:val="nil"/>
              <w:bottom w:val="single" w:sz="4" w:space="0" w:color="auto"/>
              <w:right w:val="single" w:sz="4" w:space="0" w:color="auto"/>
            </w:tcBorders>
            <w:shd w:val="clear" w:color="auto" w:fill="auto"/>
            <w:noWrap/>
            <w:vAlign w:val="bottom"/>
            <w:hideMark/>
          </w:tcPr>
          <w:p w14:paraId="60B09701"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5.812.393</w:t>
            </w:r>
          </w:p>
        </w:tc>
        <w:tc>
          <w:tcPr>
            <w:tcW w:w="900" w:type="dxa"/>
            <w:tcBorders>
              <w:top w:val="nil"/>
              <w:left w:val="nil"/>
              <w:bottom w:val="single" w:sz="4" w:space="0" w:color="auto"/>
              <w:right w:val="single" w:sz="4" w:space="0" w:color="auto"/>
            </w:tcBorders>
            <w:shd w:val="clear" w:color="auto" w:fill="auto"/>
            <w:noWrap/>
            <w:vAlign w:val="bottom"/>
            <w:hideMark/>
          </w:tcPr>
          <w:p w14:paraId="719DE3E4"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2%</w:t>
            </w:r>
          </w:p>
        </w:tc>
        <w:tc>
          <w:tcPr>
            <w:tcW w:w="149" w:type="dxa"/>
            <w:vAlign w:val="center"/>
            <w:hideMark/>
          </w:tcPr>
          <w:p w14:paraId="513C9C8F" w14:textId="77777777" w:rsidR="007D0104" w:rsidRPr="00E4016A" w:rsidRDefault="007D0104" w:rsidP="00ED5676">
            <w:pPr>
              <w:suppressAutoHyphens w:val="0"/>
              <w:autoSpaceDN/>
              <w:spacing w:after="0" w:line="240" w:lineRule="auto"/>
              <w:jc w:val="both"/>
              <w:rPr>
                <w:rFonts w:cs="Arial"/>
                <w:szCs w:val="20"/>
              </w:rPr>
            </w:pPr>
          </w:p>
        </w:tc>
      </w:tr>
      <w:tr w:rsidR="007D0104" w:rsidRPr="00E4016A" w14:paraId="6AFC4548" w14:textId="77777777" w:rsidTr="00006EC3">
        <w:trPr>
          <w:trHeight w:val="319"/>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BF93AE0"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PN 8 - Trajnostna turizem in kultura</w:t>
            </w:r>
          </w:p>
        </w:tc>
        <w:tc>
          <w:tcPr>
            <w:tcW w:w="1667" w:type="dxa"/>
            <w:tcBorders>
              <w:top w:val="nil"/>
              <w:left w:val="nil"/>
              <w:bottom w:val="single" w:sz="4" w:space="0" w:color="auto"/>
              <w:right w:val="single" w:sz="4" w:space="0" w:color="auto"/>
            </w:tcBorders>
            <w:shd w:val="clear" w:color="auto" w:fill="auto"/>
            <w:noWrap/>
            <w:vAlign w:val="bottom"/>
            <w:hideMark/>
          </w:tcPr>
          <w:p w14:paraId="23549ABD"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19.661.752</w:t>
            </w:r>
          </w:p>
        </w:tc>
        <w:tc>
          <w:tcPr>
            <w:tcW w:w="1575" w:type="dxa"/>
            <w:tcBorders>
              <w:top w:val="nil"/>
              <w:left w:val="nil"/>
              <w:bottom w:val="single" w:sz="4" w:space="0" w:color="auto"/>
              <w:right w:val="single" w:sz="4" w:space="0" w:color="auto"/>
            </w:tcBorders>
            <w:shd w:val="clear" w:color="auto" w:fill="auto"/>
            <w:noWrap/>
            <w:vAlign w:val="bottom"/>
            <w:hideMark/>
          </w:tcPr>
          <w:p w14:paraId="7FC105C5"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13.804.652</w:t>
            </w:r>
          </w:p>
        </w:tc>
        <w:tc>
          <w:tcPr>
            <w:tcW w:w="899" w:type="dxa"/>
            <w:tcBorders>
              <w:top w:val="nil"/>
              <w:left w:val="nil"/>
              <w:bottom w:val="single" w:sz="4" w:space="0" w:color="auto"/>
              <w:right w:val="single" w:sz="4" w:space="0" w:color="auto"/>
            </w:tcBorders>
            <w:shd w:val="clear" w:color="auto" w:fill="auto"/>
            <w:noWrap/>
            <w:vAlign w:val="bottom"/>
            <w:hideMark/>
          </w:tcPr>
          <w:p w14:paraId="2B0750DA"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70%</w:t>
            </w:r>
          </w:p>
        </w:tc>
        <w:tc>
          <w:tcPr>
            <w:tcW w:w="1534" w:type="dxa"/>
            <w:tcBorders>
              <w:top w:val="nil"/>
              <w:left w:val="nil"/>
              <w:bottom w:val="single" w:sz="4" w:space="0" w:color="auto"/>
              <w:right w:val="single" w:sz="4" w:space="0" w:color="auto"/>
            </w:tcBorders>
            <w:shd w:val="clear" w:color="auto" w:fill="auto"/>
            <w:noWrap/>
            <w:vAlign w:val="bottom"/>
            <w:hideMark/>
          </w:tcPr>
          <w:p w14:paraId="52B57F74"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899" w:type="dxa"/>
            <w:tcBorders>
              <w:top w:val="nil"/>
              <w:left w:val="nil"/>
              <w:bottom w:val="single" w:sz="4" w:space="0" w:color="auto"/>
              <w:right w:val="single" w:sz="4" w:space="0" w:color="auto"/>
            </w:tcBorders>
            <w:shd w:val="clear" w:color="auto" w:fill="auto"/>
            <w:noWrap/>
            <w:vAlign w:val="bottom"/>
            <w:hideMark/>
          </w:tcPr>
          <w:p w14:paraId="17E77131"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1575" w:type="dxa"/>
            <w:tcBorders>
              <w:top w:val="nil"/>
              <w:left w:val="nil"/>
              <w:bottom w:val="single" w:sz="4" w:space="0" w:color="auto"/>
              <w:right w:val="single" w:sz="4" w:space="0" w:color="auto"/>
            </w:tcBorders>
            <w:shd w:val="clear" w:color="auto" w:fill="auto"/>
            <w:noWrap/>
            <w:vAlign w:val="bottom"/>
            <w:hideMark/>
          </w:tcPr>
          <w:p w14:paraId="24EE156E"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5CB8F261"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0%</w:t>
            </w:r>
          </w:p>
        </w:tc>
        <w:tc>
          <w:tcPr>
            <w:tcW w:w="149" w:type="dxa"/>
            <w:vAlign w:val="center"/>
            <w:hideMark/>
          </w:tcPr>
          <w:p w14:paraId="3E374FC6" w14:textId="77777777" w:rsidR="007D0104" w:rsidRPr="00E4016A" w:rsidRDefault="007D0104" w:rsidP="00ED5676">
            <w:pPr>
              <w:suppressAutoHyphens w:val="0"/>
              <w:autoSpaceDN/>
              <w:spacing w:after="0" w:line="240" w:lineRule="auto"/>
              <w:jc w:val="both"/>
              <w:rPr>
                <w:rFonts w:cs="Arial"/>
                <w:szCs w:val="20"/>
              </w:rPr>
            </w:pPr>
          </w:p>
        </w:tc>
      </w:tr>
      <w:tr w:rsidR="007D0104" w:rsidRPr="00E4016A" w14:paraId="25DD3563" w14:textId="77777777" w:rsidTr="00006EC3">
        <w:trPr>
          <w:trHeight w:val="319"/>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AFAB9A3"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PN 9 - Trajnostni razvoj lokalnih območij</w:t>
            </w:r>
          </w:p>
        </w:tc>
        <w:tc>
          <w:tcPr>
            <w:tcW w:w="1667" w:type="dxa"/>
            <w:tcBorders>
              <w:top w:val="nil"/>
              <w:left w:val="nil"/>
              <w:bottom w:val="single" w:sz="4" w:space="0" w:color="auto"/>
              <w:right w:val="single" w:sz="4" w:space="0" w:color="auto"/>
            </w:tcBorders>
            <w:shd w:val="clear" w:color="auto" w:fill="auto"/>
            <w:noWrap/>
            <w:vAlign w:val="bottom"/>
            <w:hideMark/>
          </w:tcPr>
          <w:p w14:paraId="2FB0A45E"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85.230.785</w:t>
            </w:r>
          </w:p>
        </w:tc>
        <w:tc>
          <w:tcPr>
            <w:tcW w:w="1575" w:type="dxa"/>
            <w:tcBorders>
              <w:top w:val="nil"/>
              <w:left w:val="nil"/>
              <w:bottom w:val="single" w:sz="4" w:space="0" w:color="auto"/>
              <w:right w:val="single" w:sz="4" w:space="0" w:color="auto"/>
            </w:tcBorders>
            <w:shd w:val="clear" w:color="auto" w:fill="auto"/>
            <w:noWrap/>
            <w:vAlign w:val="bottom"/>
            <w:hideMark/>
          </w:tcPr>
          <w:p w14:paraId="269E7142"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31.853.244</w:t>
            </w:r>
          </w:p>
        </w:tc>
        <w:tc>
          <w:tcPr>
            <w:tcW w:w="899" w:type="dxa"/>
            <w:tcBorders>
              <w:top w:val="nil"/>
              <w:left w:val="nil"/>
              <w:bottom w:val="single" w:sz="4" w:space="0" w:color="auto"/>
              <w:right w:val="single" w:sz="4" w:space="0" w:color="auto"/>
            </w:tcBorders>
            <w:shd w:val="clear" w:color="auto" w:fill="auto"/>
            <w:noWrap/>
            <w:vAlign w:val="bottom"/>
            <w:hideMark/>
          </w:tcPr>
          <w:p w14:paraId="276BB2EA"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37%</w:t>
            </w:r>
          </w:p>
        </w:tc>
        <w:tc>
          <w:tcPr>
            <w:tcW w:w="1534" w:type="dxa"/>
            <w:tcBorders>
              <w:top w:val="nil"/>
              <w:left w:val="nil"/>
              <w:bottom w:val="single" w:sz="4" w:space="0" w:color="auto"/>
              <w:right w:val="single" w:sz="4" w:space="0" w:color="auto"/>
            </w:tcBorders>
            <w:shd w:val="clear" w:color="auto" w:fill="auto"/>
            <w:noWrap/>
            <w:vAlign w:val="bottom"/>
            <w:hideMark/>
          </w:tcPr>
          <w:p w14:paraId="69BB8EDA"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8.589.498</w:t>
            </w:r>
          </w:p>
        </w:tc>
        <w:tc>
          <w:tcPr>
            <w:tcW w:w="899" w:type="dxa"/>
            <w:tcBorders>
              <w:top w:val="nil"/>
              <w:left w:val="nil"/>
              <w:bottom w:val="single" w:sz="4" w:space="0" w:color="auto"/>
              <w:right w:val="single" w:sz="4" w:space="0" w:color="auto"/>
            </w:tcBorders>
            <w:shd w:val="clear" w:color="auto" w:fill="auto"/>
            <w:noWrap/>
            <w:vAlign w:val="bottom"/>
            <w:hideMark/>
          </w:tcPr>
          <w:p w14:paraId="5B6424D9"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10%</w:t>
            </w:r>
          </w:p>
        </w:tc>
        <w:tc>
          <w:tcPr>
            <w:tcW w:w="1575" w:type="dxa"/>
            <w:tcBorders>
              <w:top w:val="nil"/>
              <w:left w:val="nil"/>
              <w:bottom w:val="single" w:sz="4" w:space="0" w:color="auto"/>
              <w:right w:val="single" w:sz="4" w:space="0" w:color="auto"/>
            </w:tcBorders>
            <w:shd w:val="clear" w:color="auto" w:fill="auto"/>
            <w:noWrap/>
            <w:vAlign w:val="bottom"/>
            <w:hideMark/>
          </w:tcPr>
          <w:p w14:paraId="2BE68900"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3.900.820</w:t>
            </w:r>
          </w:p>
        </w:tc>
        <w:tc>
          <w:tcPr>
            <w:tcW w:w="900" w:type="dxa"/>
            <w:tcBorders>
              <w:top w:val="nil"/>
              <w:left w:val="nil"/>
              <w:bottom w:val="single" w:sz="4" w:space="0" w:color="auto"/>
              <w:right w:val="single" w:sz="4" w:space="0" w:color="auto"/>
            </w:tcBorders>
            <w:shd w:val="clear" w:color="auto" w:fill="auto"/>
            <w:noWrap/>
            <w:vAlign w:val="bottom"/>
            <w:hideMark/>
          </w:tcPr>
          <w:p w14:paraId="46229B9E"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5%</w:t>
            </w:r>
          </w:p>
        </w:tc>
        <w:tc>
          <w:tcPr>
            <w:tcW w:w="149" w:type="dxa"/>
            <w:vAlign w:val="center"/>
            <w:hideMark/>
          </w:tcPr>
          <w:p w14:paraId="38B8D557" w14:textId="77777777" w:rsidR="007D0104" w:rsidRPr="00E4016A" w:rsidRDefault="007D0104" w:rsidP="00ED5676">
            <w:pPr>
              <w:suppressAutoHyphens w:val="0"/>
              <w:autoSpaceDN/>
              <w:spacing w:after="0" w:line="240" w:lineRule="auto"/>
              <w:jc w:val="both"/>
              <w:rPr>
                <w:rFonts w:cs="Arial"/>
                <w:szCs w:val="20"/>
              </w:rPr>
            </w:pPr>
          </w:p>
        </w:tc>
      </w:tr>
      <w:tr w:rsidR="007D0104" w:rsidRPr="00E4016A" w14:paraId="46BBB15C" w14:textId="77777777" w:rsidTr="00006EC3">
        <w:trPr>
          <w:trHeight w:val="319"/>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255D515"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PN 10 - Prestrukturiranje premogovnih regij</w:t>
            </w:r>
          </w:p>
        </w:tc>
        <w:tc>
          <w:tcPr>
            <w:tcW w:w="1667" w:type="dxa"/>
            <w:tcBorders>
              <w:top w:val="nil"/>
              <w:left w:val="nil"/>
              <w:bottom w:val="single" w:sz="4" w:space="0" w:color="auto"/>
              <w:right w:val="single" w:sz="4" w:space="0" w:color="auto"/>
            </w:tcBorders>
            <w:shd w:val="clear" w:color="auto" w:fill="auto"/>
            <w:noWrap/>
            <w:vAlign w:val="bottom"/>
            <w:hideMark/>
          </w:tcPr>
          <w:p w14:paraId="21DC505C"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248.773.600</w:t>
            </w:r>
          </w:p>
        </w:tc>
        <w:tc>
          <w:tcPr>
            <w:tcW w:w="1575" w:type="dxa"/>
            <w:tcBorders>
              <w:top w:val="nil"/>
              <w:left w:val="nil"/>
              <w:bottom w:val="single" w:sz="4" w:space="0" w:color="auto"/>
              <w:right w:val="single" w:sz="4" w:space="0" w:color="auto"/>
            </w:tcBorders>
            <w:shd w:val="clear" w:color="auto" w:fill="auto"/>
            <w:noWrap/>
            <w:vAlign w:val="bottom"/>
            <w:hideMark/>
          </w:tcPr>
          <w:p w14:paraId="1C03A913"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157.603.166</w:t>
            </w:r>
          </w:p>
        </w:tc>
        <w:tc>
          <w:tcPr>
            <w:tcW w:w="899" w:type="dxa"/>
            <w:tcBorders>
              <w:top w:val="nil"/>
              <w:left w:val="nil"/>
              <w:bottom w:val="single" w:sz="4" w:space="0" w:color="auto"/>
              <w:right w:val="single" w:sz="4" w:space="0" w:color="auto"/>
            </w:tcBorders>
            <w:shd w:val="clear" w:color="auto" w:fill="auto"/>
            <w:noWrap/>
            <w:vAlign w:val="bottom"/>
            <w:hideMark/>
          </w:tcPr>
          <w:p w14:paraId="5379F499"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63%</w:t>
            </w:r>
          </w:p>
        </w:tc>
        <w:tc>
          <w:tcPr>
            <w:tcW w:w="1534" w:type="dxa"/>
            <w:tcBorders>
              <w:top w:val="nil"/>
              <w:left w:val="nil"/>
              <w:bottom w:val="single" w:sz="4" w:space="0" w:color="auto"/>
              <w:right w:val="single" w:sz="4" w:space="0" w:color="auto"/>
            </w:tcBorders>
            <w:shd w:val="clear" w:color="auto" w:fill="auto"/>
            <w:noWrap/>
            <w:vAlign w:val="bottom"/>
            <w:hideMark/>
          </w:tcPr>
          <w:p w14:paraId="08A9825A"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28.533.599</w:t>
            </w:r>
          </w:p>
        </w:tc>
        <w:tc>
          <w:tcPr>
            <w:tcW w:w="899" w:type="dxa"/>
            <w:tcBorders>
              <w:top w:val="nil"/>
              <w:left w:val="nil"/>
              <w:bottom w:val="single" w:sz="4" w:space="0" w:color="auto"/>
              <w:right w:val="single" w:sz="4" w:space="0" w:color="auto"/>
            </w:tcBorders>
            <w:shd w:val="clear" w:color="auto" w:fill="auto"/>
            <w:noWrap/>
            <w:vAlign w:val="bottom"/>
            <w:hideMark/>
          </w:tcPr>
          <w:p w14:paraId="69FA7855"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11%</w:t>
            </w:r>
          </w:p>
        </w:tc>
        <w:tc>
          <w:tcPr>
            <w:tcW w:w="1575" w:type="dxa"/>
            <w:tcBorders>
              <w:top w:val="nil"/>
              <w:left w:val="nil"/>
              <w:bottom w:val="single" w:sz="4" w:space="0" w:color="auto"/>
              <w:right w:val="single" w:sz="4" w:space="0" w:color="auto"/>
            </w:tcBorders>
            <w:shd w:val="clear" w:color="auto" w:fill="auto"/>
            <w:noWrap/>
            <w:vAlign w:val="bottom"/>
            <w:hideMark/>
          </w:tcPr>
          <w:p w14:paraId="48E73337"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9.033.858</w:t>
            </w:r>
          </w:p>
        </w:tc>
        <w:tc>
          <w:tcPr>
            <w:tcW w:w="900" w:type="dxa"/>
            <w:tcBorders>
              <w:top w:val="nil"/>
              <w:left w:val="nil"/>
              <w:bottom w:val="single" w:sz="4" w:space="0" w:color="auto"/>
              <w:right w:val="single" w:sz="4" w:space="0" w:color="auto"/>
            </w:tcBorders>
            <w:shd w:val="clear" w:color="auto" w:fill="auto"/>
            <w:noWrap/>
            <w:vAlign w:val="bottom"/>
            <w:hideMark/>
          </w:tcPr>
          <w:p w14:paraId="68A492C1" w14:textId="77777777" w:rsidR="007D0104" w:rsidRPr="00E4016A" w:rsidRDefault="007D0104" w:rsidP="00ED5676">
            <w:pPr>
              <w:suppressAutoHyphens w:val="0"/>
              <w:autoSpaceDN/>
              <w:spacing w:after="0" w:line="240" w:lineRule="auto"/>
              <w:jc w:val="both"/>
              <w:rPr>
                <w:rFonts w:cs="Arial"/>
                <w:color w:val="000000"/>
                <w:szCs w:val="20"/>
              </w:rPr>
            </w:pPr>
            <w:r w:rsidRPr="00E4016A">
              <w:rPr>
                <w:rFonts w:cs="Arial"/>
                <w:color w:val="000000"/>
                <w:szCs w:val="20"/>
              </w:rPr>
              <w:t>4%</w:t>
            </w:r>
          </w:p>
        </w:tc>
        <w:tc>
          <w:tcPr>
            <w:tcW w:w="149" w:type="dxa"/>
            <w:vAlign w:val="center"/>
            <w:hideMark/>
          </w:tcPr>
          <w:p w14:paraId="0C9EE4C9" w14:textId="77777777" w:rsidR="007D0104" w:rsidRPr="00E4016A" w:rsidRDefault="007D0104" w:rsidP="00ED5676">
            <w:pPr>
              <w:suppressAutoHyphens w:val="0"/>
              <w:autoSpaceDN/>
              <w:spacing w:after="0" w:line="240" w:lineRule="auto"/>
              <w:jc w:val="both"/>
              <w:rPr>
                <w:rFonts w:cs="Arial"/>
                <w:szCs w:val="20"/>
              </w:rPr>
            </w:pPr>
          </w:p>
        </w:tc>
      </w:tr>
      <w:tr w:rsidR="007D0104" w:rsidRPr="00E4016A" w14:paraId="4568F5B5" w14:textId="77777777" w:rsidTr="00813DA2">
        <w:trPr>
          <w:trHeight w:val="319"/>
        </w:trPr>
        <w:tc>
          <w:tcPr>
            <w:tcW w:w="5665"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298FF50F" w14:textId="0A3A1A74" w:rsidR="007D0104" w:rsidRPr="00E4016A" w:rsidRDefault="00E94F09" w:rsidP="00ED5676">
            <w:pPr>
              <w:suppressAutoHyphens w:val="0"/>
              <w:autoSpaceDN/>
              <w:spacing w:after="0" w:line="240" w:lineRule="auto"/>
              <w:jc w:val="both"/>
              <w:rPr>
                <w:rFonts w:cs="Arial"/>
                <w:b/>
                <w:bCs/>
                <w:color w:val="000000"/>
                <w:szCs w:val="20"/>
              </w:rPr>
            </w:pPr>
            <w:r w:rsidRPr="00E4016A">
              <w:rPr>
                <w:rFonts w:cs="Arial"/>
                <w:b/>
                <w:bCs/>
                <w:color w:val="000000"/>
                <w:szCs w:val="20"/>
              </w:rPr>
              <w:t xml:space="preserve">SKUPAJ </w:t>
            </w:r>
          </w:p>
        </w:tc>
        <w:tc>
          <w:tcPr>
            <w:tcW w:w="1667" w:type="dxa"/>
            <w:tcBorders>
              <w:top w:val="nil"/>
              <w:left w:val="nil"/>
              <w:bottom w:val="single" w:sz="4" w:space="0" w:color="auto"/>
              <w:right w:val="single" w:sz="4" w:space="0" w:color="auto"/>
            </w:tcBorders>
            <w:shd w:val="clear" w:color="auto" w:fill="DEEAF6" w:themeFill="accent5" w:themeFillTint="33"/>
            <w:noWrap/>
            <w:vAlign w:val="bottom"/>
            <w:hideMark/>
          </w:tcPr>
          <w:p w14:paraId="12B903BD"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3.106.640.412</w:t>
            </w:r>
          </w:p>
        </w:tc>
        <w:tc>
          <w:tcPr>
            <w:tcW w:w="1575" w:type="dxa"/>
            <w:tcBorders>
              <w:top w:val="nil"/>
              <w:left w:val="nil"/>
              <w:bottom w:val="single" w:sz="4" w:space="0" w:color="auto"/>
              <w:right w:val="single" w:sz="4" w:space="0" w:color="auto"/>
            </w:tcBorders>
            <w:shd w:val="clear" w:color="auto" w:fill="DEEAF6" w:themeFill="accent5" w:themeFillTint="33"/>
            <w:noWrap/>
            <w:vAlign w:val="bottom"/>
            <w:hideMark/>
          </w:tcPr>
          <w:p w14:paraId="5ED1217B"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791.314.116</w:t>
            </w:r>
          </w:p>
        </w:tc>
        <w:tc>
          <w:tcPr>
            <w:tcW w:w="899" w:type="dxa"/>
            <w:tcBorders>
              <w:top w:val="nil"/>
              <w:left w:val="nil"/>
              <w:bottom w:val="single" w:sz="4" w:space="0" w:color="auto"/>
              <w:right w:val="single" w:sz="4" w:space="0" w:color="auto"/>
            </w:tcBorders>
            <w:shd w:val="clear" w:color="auto" w:fill="DEEAF6" w:themeFill="accent5" w:themeFillTint="33"/>
            <w:noWrap/>
            <w:vAlign w:val="bottom"/>
            <w:hideMark/>
          </w:tcPr>
          <w:p w14:paraId="17FE51E3"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25%</w:t>
            </w:r>
          </w:p>
        </w:tc>
        <w:tc>
          <w:tcPr>
            <w:tcW w:w="1534" w:type="dxa"/>
            <w:tcBorders>
              <w:top w:val="nil"/>
              <w:left w:val="nil"/>
              <w:bottom w:val="single" w:sz="4" w:space="0" w:color="auto"/>
              <w:right w:val="single" w:sz="4" w:space="0" w:color="auto"/>
            </w:tcBorders>
            <w:shd w:val="clear" w:color="auto" w:fill="DEEAF6" w:themeFill="accent5" w:themeFillTint="33"/>
            <w:noWrap/>
            <w:vAlign w:val="bottom"/>
            <w:hideMark/>
          </w:tcPr>
          <w:p w14:paraId="12984204"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521.413.805</w:t>
            </w:r>
          </w:p>
        </w:tc>
        <w:tc>
          <w:tcPr>
            <w:tcW w:w="899" w:type="dxa"/>
            <w:tcBorders>
              <w:top w:val="nil"/>
              <w:left w:val="nil"/>
              <w:bottom w:val="single" w:sz="4" w:space="0" w:color="auto"/>
              <w:right w:val="single" w:sz="4" w:space="0" w:color="auto"/>
            </w:tcBorders>
            <w:shd w:val="clear" w:color="auto" w:fill="DEEAF6" w:themeFill="accent5" w:themeFillTint="33"/>
            <w:noWrap/>
            <w:vAlign w:val="bottom"/>
            <w:hideMark/>
          </w:tcPr>
          <w:p w14:paraId="7629510B"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17%</w:t>
            </w:r>
          </w:p>
        </w:tc>
        <w:tc>
          <w:tcPr>
            <w:tcW w:w="1575" w:type="dxa"/>
            <w:tcBorders>
              <w:top w:val="nil"/>
              <w:left w:val="nil"/>
              <w:bottom w:val="single" w:sz="4" w:space="0" w:color="auto"/>
              <w:right w:val="single" w:sz="4" w:space="0" w:color="auto"/>
            </w:tcBorders>
            <w:shd w:val="clear" w:color="auto" w:fill="DEEAF6" w:themeFill="accent5" w:themeFillTint="33"/>
            <w:noWrap/>
            <w:vAlign w:val="bottom"/>
            <w:hideMark/>
          </w:tcPr>
          <w:p w14:paraId="2A16F8AD"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74.248.266</w:t>
            </w:r>
          </w:p>
        </w:tc>
        <w:tc>
          <w:tcPr>
            <w:tcW w:w="900" w:type="dxa"/>
            <w:tcBorders>
              <w:top w:val="nil"/>
              <w:left w:val="nil"/>
              <w:bottom w:val="single" w:sz="4" w:space="0" w:color="auto"/>
              <w:right w:val="single" w:sz="4" w:space="0" w:color="auto"/>
            </w:tcBorders>
            <w:shd w:val="clear" w:color="auto" w:fill="DEEAF6" w:themeFill="accent5" w:themeFillTint="33"/>
            <w:noWrap/>
            <w:vAlign w:val="bottom"/>
            <w:hideMark/>
          </w:tcPr>
          <w:p w14:paraId="4E4ECB0E" w14:textId="77777777" w:rsidR="007D0104" w:rsidRPr="00E4016A" w:rsidRDefault="007D0104" w:rsidP="00ED5676">
            <w:pPr>
              <w:suppressAutoHyphens w:val="0"/>
              <w:autoSpaceDN/>
              <w:spacing w:after="0" w:line="240" w:lineRule="auto"/>
              <w:jc w:val="both"/>
              <w:rPr>
                <w:rFonts w:cs="Arial"/>
                <w:b/>
                <w:bCs/>
                <w:color w:val="000000"/>
                <w:szCs w:val="20"/>
              </w:rPr>
            </w:pPr>
            <w:r w:rsidRPr="00E4016A">
              <w:rPr>
                <w:rFonts w:cs="Arial"/>
                <w:b/>
                <w:bCs/>
                <w:color w:val="000000"/>
                <w:szCs w:val="20"/>
              </w:rPr>
              <w:t>2%</w:t>
            </w:r>
          </w:p>
        </w:tc>
        <w:tc>
          <w:tcPr>
            <w:tcW w:w="149" w:type="dxa"/>
            <w:vAlign w:val="center"/>
            <w:hideMark/>
          </w:tcPr>
          <w:p w14:paraId="3FD0B97E" w14:textId="77777777" w:rsidR="007D0104" w:rsidRPr="00E4016A" w:rsidRDefault="007D0104" w:rsidP="00ED5676">
            <w:pPr>
              <w:suppressAutoHyphens w:val="0"/>
              <w:autoSpaceDN/>
              <w:spacing w:after="0" w:line="240" w:lineRule="auto"/>
              <w:jc w:val="both"/>
              <w:rPr>
                <w:rFonts w:cs="Arial"/>
                <w:szCs w:val="20"/>
              </w:rPr>
            </w:pPr>
          </w:p>
        </w:tc>
      </w:tr>
    </w:tbl>
    <w:p w14:paraId="4839A7E7" w14:textId="77777777" w:rsidR="007D0104" w:rsidRPr="00006EC3" w:rsidRDefault="007D0104" w:rsidP="00ED5676">
      <w:pPr>
        <w:suppressAutoHyphens w:val="0"/>
        <w:autoSpaceDN/>
        <w:spacing w:after="0" w:line="288" w:lineRule="auto"/>
        <w:contextualSpacing/>
        <w:jc w:val="both"/>
        <w:rPr>
          <w:rFonts w:eastAsia="SimSun" w:cs="Arial"/>
          <w:sz w:val="16"/>
          <w:szCs w:val="16"/>
          <w:lang w:eastAsia="zh-CN"/>
        </w:rPr>
      </w:pPr>
      <w:bookmarkStart w:id="394" w:name="_Hlk188016546"/>
      <w:r w:rsidRPr="00006EC3">
        <w:rPr>
          <w:rFonts w:eastAsia="SimSun" w:cs="Arial"/>
          <w:sz w:val="16"/>
          <w:szCs w:val="16"/>
          <w:lang w:eastAsia="zh-CN"/>
        </w:rPr>
        <w:t xml:space="preserve">Vir: IS OU e-MA2, MFERAC </w:t>
      </w:r>
    </w:p>
    <w:p w14:paraId="66EB2F0B" w14:textId="77777777" w:rsidR="007D0104" w:rsidRPr="00006EC3" w:rsidRDefault="007D0104"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 Razpoložljiva sredstva/pravice porabe EKP za obdobje 2021−2027 (EU del) – Program EKP 2021–2027.</w:t>
      </w:r>
    </w:p>
    <w:p w14:paraId="6778A8F0" w14:textId="77777777" w:rsidR="007D0104" w:rsidRPr="00006EC3" w:rsidRDefault="007D0104"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 xml:space="preserve">** Odločitve o podpori zajemajo vrednost vlog za posamezen projekt, program ali javni razpis/poziv, brez neupravičenih stroškov. </w:t>
      </w:r>
    </w:p>
    <w:p w14:paraId="1AF5E744" w14:textId="77777777" w:rsidR="007D0104" w:rsidRPr="00006EC3" w:rsidRDefault="007D0104"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 xml:space="preserve">*** Potrjene operacije pomenijo pogodbe o sofinanciranju oziroma odločitve o podpori, kadar je upravičenec neposredni proračunski uporabnik. </w:t>
      </w:r>
    </w:p>
    <w:p w14:paraId="3AF9E853" w14:textId="77777777" w:rsidR="007D0104" w:rsidRPr="00006EC3" w:rsidRDefault="007D0104" w:rsidP="00ED5676">
      <w:pPr>
        <w:suppressAutoHyphens w:val="0"/>
        <w:autoSpaceDN/>
        <w:spacing w:after="0" w:line="288" w:lineRule="auto"/>
        <w:contextualSpacing/>
        <w:jc w:val="both"/>
        <w:rPr>
          <w:rFonts w:eastAsia="SimSun" w:cs="Arial"/>
          <w:sz w:val="16"/>
          <w:szCs w:val="16"/>
          <w:lang w:eastAsia="zh-CN"/>
        </w:rPr>
        <w:sectPr w:rsidR="007D0104" w:rsidRPr="00006EC3" w:rsidSect="007D0104">
          <w:pgSz w:w="16838" w:h="11906" w:orient="landscape" w:code="9"/>
          <w:pgMar w:top="1418" w:right="1418" w:bottom="1418" w:left="1418" w:header="709" w:footer="709" w:gutter="0"/>
          <w:cols w:space="708"/>
          <w:docGrid w:linePitch="272"/>
        </w:sectPr>
      </w:pPr>
      <w:r w:rsidRPr="00006EC3">
        <w:rPr>
          <w:rFonts w:eastAsia="SimSun" w:cs="Arial"/>
          <w:sz w:val="16"/>
          <w:szCs w:val="16"/>
          <w:lang w:eastAsia="zh-CN"/>
        </w:rPr>
        <w:t xml:space="preserve">**** Izplačila iz državnega proračuna (vir: </w:t>
      </w:r>
      <w:proofErr w:type="spellStart"/>
      <w:r w:rsidRPr="00006EC3">
        <w:rPr>
          <w:rFonts w:eastAsia="SimSun" w:cs="Arial"/>
          <w:sz w:val="16"/>
          <w:szCs w:val="16"/>
          <w:lang w:eastAsia="zh-CN"/>
        </w:rPr>
        <w:t>MFeRAC</w:t>
      </w:r>
      <w:proofErr w:type="spellEnd"/>
      <w:r w:rsidRPr="00006EC3">
        <w:rPr>
          <w:rFonts w:eastAsia="SimSun" w:cs="Arial"/>
          <w:sz w:val="16"/>
          <w:szCs w:val="16"/>
          <w:lang w:eastAsia="zh-CN"/>
        </w:rPr>
        <w:t>, izpis na dan 6. 1. 2025 za obdobje do 31. 12. 2024).</w:t>
      </w:r>
    </w:p>
    <w:p w14:paraId="1F3DB1E5" w14:textId="6DD29B90" w:rsidR="007D0104" w:rsidRPr="0025033E" w:rsidRDefault="007D0104" w:rsidP="00ED5676">
      <w:pPr>
        <w:suppressAutoHyphens w:val="0"/>
        <w:autoSpaceDN/>
        <w:spacing w:after="0" w:line="288" w:lineRule="auto"/>
        <w:jc w:val="both"/>
        <w:rPr>
          <w:rFonts w:cs="Arial"/>
          <w:szCs w:val="20"/>
        </w:rPr>
      </w:pPr>
      <w:bookmarkStart w:id="395" w:name="_Hlk188878745"/>
      <w:bookmarkEnd w:id="394"/>
      <w:r w:rsidRPr="0025033E">
        <w:rPr>
          <w:rFonts w:cs="Arial"/>
          <w:szCs w:val="20"/>
        </w:rPr>
        <w:lastRenderedPageBreak/>
        <w:t xml:space="preserve">Od potrditve PEKP, ki se je pripravljal in usklajeval v letih 2021 in 2022, je preteklo že več kot 2 leti. V tem času so se temeljito spremenile geopolitične razmere v svetu, prav tako pa so se skozi izvajanje Programa EKP že pokazale prve vrzeli med načrtovanjem in izvedljivostjo posameznih ukrepov v razpoložljivem času. Trenutne analize izvajanja PEKP kažejo, da v primeru ne ukrepanja obstaja tveganje izgube dodeljenih sredstev. </w:t>
      </w:r>
    </w:p>
    <w:bookmarkEnd w:id="395"/>
    <w:p w14:paraId="1CDE5F4E" w14:textId="77777777" w:rsidR="007D0104" w:rsidRPr="0025033E" w:rsidRDefault="007D0104" w:rsidP="00ED5676">
      <w:pPr>
        <w:suppressAutoHyphens w:val="0"/>
        <w:autoSpaceDN/>
        <w:spacing w:after="0" w:line="288" w:lineRule="auto"/>
        <w:jc w:val="both"/>
        <w:rPr>
          <w:rFonts w:cs="Arial"/>
          <w:szCs w:val="20"/>
        </w:rPr>
      </w:pPr>
    </w:p>
    <w:p w14:paraId="19FB0742" w14:textId="77777777" w:rsidR="007D0104" w:rsidRPr="0025033E" w:rsidRDefault="007D0104" w:rsidP="00ED5676">
      <w:pPr>
        <w:suppressAutoHyphens w:val="0"/>
        <w:autoSpaceDN/>
        <w:spacing w:after="0" w:line="288" w:lineRule="auto"/>
        <w:jc w:val="both"/>
        <w:rPr>
          <w:rFonts w:cs="Arial"/>
          <w:szCs w:val="20"/>
        </w:rPr>
      </w:pPr>
      <w:r w:rsidRPr="0025033E">
        <w:rPr>
          <w:rFonts w:cs="Arial"/>
          <w:szCs w:val="20"/>
        </w:rPr>
        <w:t>EU je v letu 2024 sprejela regulatorni okvir za platformo STEP (</w:t>
      </w:r>
      <w:proofErr w:type="spellStart"/>
      <w:r w:rsidRPr="0025033E">
        <w:rPr>
          <w:rFonts w:cs="Arial"/>
          <w:szCs w:val="20"/>
        </w:rPr>
        <w:t>Strategic</w:t>
      </w:r>
      <w:proofErr w:type="spellEnd"/>
      <w:r w:rsidRPr="0025033E">
        <w:rPr>
          <w:rFonts w:cs="Arial"/>
          <w:szCs w:val="20"/>
        </w:rPr>
        <w:t xml:space="preserve"> Technologies </w:t>
      </w:r>
      <w:proofErr w:type="spellStart"/>
      <w:r w:rsidRPr="0025033E">
        <w:rPr>
          <w:rFonts w:cs="Arial"/>
          <w:szCs w:val="20"/>
        </w:rPr>
        <w:t>for</w:t>
      </w:r>
      <w:proofErr w:type="spellEnd"/>
      <w:r w:rsidRPr="0025033E">
        <w:rPr>
          <w:rFonts w:cs="Arial"/>
          <w:szCs w:val="20"/>
        </w:rPr>
        <w:t xml:space="preserve"> </w:t>
      </w:r>
      <w:proofErr w:type="spellStart"/>
      <w:r w:rsidRPr="0025033E">
        <w:rPr>
          <w:rFonts w:cs="Arial"/>
          <w:szCs w:val="20"/>
        </w:rPr>
        <w:t>Europe</w:t>
      </w:r>
      <w:proofErr w:type="spellEnd"/>
      <w:r w:rsidRPr="0025033E">
        <w:rPr>
          <w:rFonts w:cs="Arial"/>
          <w:szCs w:val="20"/>
        </w:rPr>
        <w:t xml:space="preserve"> Platform). V okviru tega se s spremembami Uredb EU omogoča financiranje ukrepov, ki bodo prispevali k zmanjšanju strateških odvisnosti Unije ter izkoriščanju priložnosti in doseganje ciljev zelenega in digitalnega prehoda ter s tem zagotavljanje suverenosti in strateške avtonomije Unije. </w:t>
      </w:r>
    </w:p>
    <w:p w14:paraId="4E52333C" w14:textId="77777777" w:rsidR="007D0104" w:rsidRPr="0025033E" w:rsidRDefault="007D0104" w:rsidP="00ED5676">
      <w:pPr>
        <w:suppressAutoHyphens w:val="0"/>
        <w:autoSpaceDN/>
        <w:spacing w:after="0" w:line="288" w:lineRule="auto"/>
        <w:jc w:val="both"/>
        <w:rPr>
          <w:rFonts w:cs="Arial"/>
          <w:szCs w:val="20"/>
        </w:rPr>
      </w:pPr>
    </w:p>
    <w:p w14:paraId="428470D8" w14:textId="77777777" w:rsidR="007D0104" w:rsidRPr="0025033E" w:rsidRDefault="007D0104" w:rsidP="00ED5676">
      <w:pPr>
        <w:suppressAutoHyphens w:val="0"/>
        <w:autoSpaceDN/>
        <w:spacing w:after="0" w:line="288" w:lineRule="auto"/>
        <w:jc w:val="both"/>
        <w:rPr>
          <w:rFonts w:cs="Arial"/>
          <w:szCs w:val="20"/>
        </w:rPr>
      </w:pPr>
      <w:r w:rsidRPr="0025033E">
        <w:rPr>
          <w:rFonts w:cs="Arial"/>
          <w:szCs w:val="20"/>
        </w:rPr>
        <w:t xml:space="preserve">Spremembe regulatornega okvira so v skladu z usmeritvami v Poročilu o konkurenčnosti EU, ki ga za Evropsko komisijo v septembru 2024 pripravil nekdanji direktor Evropske centralne banke Mario </w:t>
      </w:r>
      <w:proofErr w:type="spellStart"/>
      <w:r w:rsidRPr="0025033E">
        <w:rPr>
          <w:rFonts w:cs="Arial"/>
          <w:szCs w:val="20"/>
        </w:rPr>
        <w:t>Draghi</w:t>
      </w:r>
      <w:proofErr w:type="spellEnd"/>
      <w:r w:rsidRPr="0025033E">
        <w:rPr>
          <w:rFonts w:cs="Arial"/>
          <w:szCs w:val="20"/>
        </w:rPr>
        <w:t xml:space="preserve"> in pomen konkurenčnosti in zmanjšanje strateških odvisnosti EU od drugih, in bodo omogočile, da se več sredstev nameni ukrepom, ki bodo EU naredile konkurenčnejšo in bolj odporno na </w:t>
      </w:r>
      <w:proofErr w:type="spellStart"/>
      <w:r w:rsidRPr="0025033E">
        <w:rPr>
          <w:rFonts w:cs="Arial"/>
          <w:szCs w:val="20"/>
        </w:rPr>
        <w:t>okoljske</w:t>
      </w:r>
      <w:proofErr w:type="spellEnd"/>
      <w:r w:rsidRPr="0025033E">
        <w:rPr>
          <w:rFonts w:cs="Arial"/>
          <w:szCs w:val="20"/>
        </w:rPr>
        <w:t xml:space="preserve"> in gospodarske turbulence, ki nas čakajo v naslednjih letih, desetletjih.</w:t>
      </w:r>
    </w:p>
    <w:p w14:paraId="6DE9E575" w14:textId="77777777" w:rsidR="007D0104" w:rsidRPr="0025033E" w:rsidRDefault="007D0104" w:rsidP="00ED5676">
      <w:pPr>
        <w:suppressAutoHyphens w:val="0"/>
        <w:autoSpaceDN/>
        <w:spacing w:after="0" w:line="288" w:lineRule="auto"/>
        <w:jc w:val="both"/>
        <w:rPr>
          <w:rFonts w:cs="Arial"/>
          <w:szCs w:val="20"/>
        </w:rPr>
      </w:pPr>
    </w:p>
    <w:p w14:paraId="4114B549" w14:textId="216598C3" w:rsidR="007D0104" w:rsidRPr="0025033E" w:rsidRDefault="007D0104" w:rsidP="00ED5676">
      <w:pPr>
        <w:suppressAutoHyphens w:val="0"/>
        <w:autoSpaceDN/>
        <w:spacing w:after="0" w:line="288" w:lineRule="auto"/>
        <w:jc w:val="both"/>
        <w:rPr>
          <w:rFonts w:cs="Arial"/>
          <w:szCs w:val="20"/>
        </w:rPr>
      </w:pPr>
      <w:r w:rsidRPr="0025033E">
        <w:rPr>
          <w:rFonts w:cs="Arial"/>
          <w:szCs w:val="20"/>
        </w:rPr>
        <w:t xml:space="preserve">Iz pregleda po prednostnih nalogah oziroma vsebinah izdanih odločitev o podpori, predvsem pa podpisanih pogodb o sofinanciranju (potrjene operacije) je moč razbrati, da napredek pri koriščenju sredstev EKP predstavljajo predvsem </w:t>
      </w:r>
      <w:proofErr w:type="spellStart"/>
      <w:r w:rsidRPr="0025033E">
        <w:rPr>
          <w:rFonts w:cs="Arial"/>
          <w:szCs w:val="20"/>
        </w:rPr>
        <w:t>t.i</w:t>
      </w:r>
      <w:proofErr w:type="spellEnd"/>
      <w:r w:rsidRPr="0025033E">
        <w:rPr>
          <w:rFonts w:cs="Arial"/>
          <w:szCs w:val="20"/>
        </w:rPr>
        <w:t xml:space="preserve">. mehki ukrepi s področja znanja in spretnosti, medtem ko pri infrastrukturnih ukrepih še ni vidnega napredka. </w:t>
      </w:r>
    </w:p>
    <w:p w14:paraId="527B8E0E" w14:textId="77777777" w:rsidR="007D0104" w:rsidRPr="0025033E" w:rsidRDefault="007D0104" w:rsidP="00ED5676">
      <w:pPr>
        <w:suppressAutoHyphens w:val="0"/>
        <w:autoSpaceDN/>
        <w:spacing w:after="0" w:line="288" w:lineRule="auto"/>
        <w:jc w:val="both"/>
        <w:rPr>
          <w:rFonts w:cs="Arial"/>
          <w:szCs w:val="20"/>
        </w:rPr>
      </w:pPr>
    </w:p>
    <w:p w14:paraId="69059570" w14:textId="43A6DE92" w:rsidR="007D0104" w:rsidRPr="0025033E" w:rsidRDefault="007D0104" w:rsidP="00ED5676">
      <w:pPr>
        <w:suppressAutoHyphens w:val="0"/>
        <w:autoSpaceDN/>
        <w:spacing w:after="0" w:line="288" w:lineRule="auto"/>
        <w:jc w:val="both"/>
        <w:rPr>
          <w:rFonts w:cs="Arial"/>
          <w:szCs w:val="20"/>
        </w:rPr>
      </w:pPr>
      <w:r w:rsidRPr="0025033E">
        <w:rPr>
          <w:rFonts w:cs="Arial"/>
          <w:szCs w:val="20"/>
        </w:rPr>
        <w:t>Pri razmisleku o spremembi PEKP je izredno pomembna tudi časovna komponenta. Skladno s pravili izvajanja EKP mora namreč posamezna država članica črpati EU sredstva v dogovorjenih časovnih okvirih (pravilo prevzetih obveznosti oz. pravilo N+3).</w:t>
      </w:r>
    </w:p>
    <w:p w14:paraId="1642C82D" w14:textId="77777777" w:rsidR="007D0104" w:rsidRPr="0025033E" w:rsidRDefault="007D0104" w:rsidP="00ED5676">
      <w:pPr>
        <w:suppressAutoHyphens w:val="0"/>
        <w:autoSpaceDN/>
        <w:spacing w:after="0" w:line="288" w:lineRule="auto"/>
        <w:jc w:val="both"/>
        <w:rPr>
          <w:rFonts w:cs="Arial"/>
          <w:szCs w:val="20"/>
        </w:rPr>
      </w:pPr>
    </w:p>
    <w:p w14:paraId="1B061BB3" w14:textId="4B5AED53" w:rsidR="007D0104" w:rsidRPr="0025033E" w:rsidRDefault="007D0104" w:rsidP="00ED5676">
      <w:pPr>
        <w:suppressAutoHyphens w:val="0"/>
        <w:autoSpaceDN/>
        <w:spacing w:after="0" w:line="288" w:lineRule="auto"/>
        <w:jc w:val="both"/>
        <w:rPr>
          <w:rFonts w:cs="Arial"/>
          <w:szCs w:val="20"/>
        </w:rPr>
      </w:pPr>
      <w:r w:rsidRPr="0025033E">
        <w:rPr>
          <w:rFonts w:cs="Arial"/>
          <w:szCs w:val="20"/>
        </w:rPr>
        <w:t>Skladno s 105. členom Uredbe EU 2021/1060</w:t>
      </w:r>
      <w:r w:rsidR="002B6052" w:rsidRPr="0025033E">
        <w:rPr>
          <w:rStyle w:val="Sprotnaopomba-sklic"/>
          <w:rFonts w:cs="Arial"/>
          <w:szCs w:val="20"/>
        </w:rPr>
        <w:footnoteReference w:id="4"/>
      </w:r>
      <w:r w:rsidRPr="0025033E">
        <w:rPr>
          <w:rFonts w:cs="Arial"/>
          <w:szCs w:val="20"/>
        </w:rPr>
        <w:t xml:space="preserve"> prenehajo obveznosti EK do države članice, če do konca tretjega koledarskega leta, ki sledi letu proračunskih obveznosti za leta 2021 do 2026, ta znesek ni bil porabljen za </w:t>
      </w:r>
      <w:proofErr w:type="spellStart"/>
      <w:r w:rsidRPr="0025033E">
        <w:rPr>
          <w:rFonts w:cs="Arial"/>
          <w:szCs w:val="20"/>
        </w:rPr>
        <w:t>predfinanciranje</w:t>
      </w:r>
      <w:proofErr w:type="spellEnd"/>
      <w:r w:rsidRPr="0025033E">
        <w:rPr>
          <w:rFonts w:cs="Arial"/>
          <w:szCs w:val="20"/>
        </w:rPr>
        <w:t xml:space="preserve"> ali, če zanj ni bil predložen zahtevek za plačilo na EK. Navedeno pomeni, da mora Slovenija do konca leta 2025 poslati zahtevke za plačilo sredstev na EK (certificirati) v skupni višini, ki je bila Sloveniji s potrditvijo PEKP dodeljena za leto 2022 (596 mio EUR). V nasprotnem primeru država članica izgubi razliko dodeljenih sredstev. Od navedenega zneska se odštejejo prejeta predplačila (letna predplačila, prejeta predplačila iz naslova Uredbe STEP, Sklada za pravični prehod in FAST CARE). To pomeni, da moramo do konca leta 2025 izvesti aktivnosti po sklenjenih pogodbah, izplačati sredstva izvajalcem in le-ta potrditi (certificirati) EK v višini 408 mio EUR. Še večji izziv pa predstavlja leto 2026, ko bo treba porabiti sredstva v višini 600 </w:t>
      </w:r>
      <w:r w:rsidR="00624D8F" w:rsidRPr="0025033E">
        <w:rPr>
          <w:rFonts w:cs="Arial"/>
          <w:szCs w:val="20"/>
        </w:rPr>
        <w:t xml:space="preserve">mio </w:t>
      </w:r>
      <w:r w:rsidRPr="0025033E">
        <w:rPr>
          <w:rFonts w:cs="Arial"/>
          <w:szCs w:val="20"/>
        </w:rPr>
        <w:t xml:space="preserve">EUR. </w:t>
      </w:r>
    </w:p>
    <w:p w14:paraId="54616217" w14:textId="77777777" w:rsidR="007D0104" w:rsidRPr="0025033E" w:rsidRDefault="007D0104" w:rsidP="00ED5676">
      <w:pPr>
        <w:suppressAutoHyphens w:val="0"/>
        <w:autoSpaceDN/>
        <w:spacing w:after="0" w:line="288" w:lineRule="auto"/>
        <w:jc w:val="both"/>
        <w:rPr>
          <w:rFonts w:cs="Arial"/>
          <w:szCs w:val="20"/>
        </w:rPr>
      </w:pPr>
    </w:p>
    <w:p w14:paraId="36FCF1CF" w14:textId="77777777" w:rsidR="007D0104" w:rsidRPr="0025033E" w:rsidRDefault="007D0104" w:rsidP="00ED5676">
      <w:pPr>
        <w:suppressAutoHyphens w:val="0"/>
        <w:autoSpaceDN/>
        <w:spacing w:after="0" w:line="288" w:lineRule="auto"/>
        <w:jc w:val="both"/>
        <w:rPr>
          <w:rFonts w:cs="Arial"/>
          <w:szCs w:val="20"/>
        </w:rPr>
      </w:pPr>
      <w:bookmarkStart w:id="396" w:name="_Hlk188878877"/>
      <w:r w:rsidRPr="0025033E">
        <w:rPr>
          <w:rFonts w:cs="Arial"/>
          <w:szCs w:val="20"/>
        </w:rPr>
        <w:t xml:space="preserve">Podatki o certificiranju na polovici programskega obdobja jasno narekujejo potrebo po spremembi Programa, ki pri izvajanju močno odstopa od načrtovane dinamike po posameznih letih. </w:t>
      </w:r>
      <w:bookmarkEnd w:id="396"/>
      <w:r w:rsidRPr="0025033E">
        <w:rPr>
          <w:rFonts w:cs="Arial"/>
          <w:szCs w:val="20"/>
        </w:rPr>
        <w:t xml:space="preserve">  </w:t>
      </w:r>
    </w:p>
    <w:p w14:paraId="20D569CB" w14:textId="77777777" w:rsidR="007D0104" w:rsidRPr="0025033E" w:rsidRDefault="007D0104" w:rsidP="00ED5676">
      <w:pPr>
        <w:suppressAutoHyphens w:val="0"/>
        <w:autoSpaceDN/>
        <w:spacing w:after="0" w:line="288" w:lineRule="auto"/>
        <w:jc w:val="both"/>
        <w:rPr>
          <w:rFonts w:cs="Arial"/>
          <w:szCs w:val="20"/>
        </w:rPr>
      </w:pPr>
    </w:p>
    <w:p w14:paraId="3648512F" w14:textId="3F8CE258" w:rsidR="007D0104" w:rsidRPr="0025033E" w:rsidRDefault="007D0104" w:rsidP="00ED5676">
      <w:pPr>
        <w:suppressAutoHyphens w:val="0"/>
        <w:autoSpaceDN/>
        <w:spacing w:after="0" w:line="288" w:lineRule="auto"/>
        <w:jc w:val="both"/>
        <w:rPr>
          <w:rFonts w:cs="Arial"/>
          <w:szCs w:val="20"/>
        </w:rPr>
      </w:pPr>
      <w:r w:rsidRPr="0025033E">
        <w:rPr>
          <w:rFonts w:cs="Arial"/>
          <w:szCs w:val="20"/>
        </w:rPr>
        <w:lastRenderedPageBreak/>
        <w:t>Dodaten razlog za pristop k spremembi obstoječega PEKP pa predstavlja sprejem Uredbe STEP (Uredba (EU) 2024/795)</w:t>
      </w:r>
      <w:r w:rsidR="006269F4" w:rsidRPr="0025033E">
        <w:rPr>
          <w:rStyle w:val="Sprotnaopomba-sklic"/>
          <w:rFonts w:cs="Arial"/>
          <w:szCs w:val="20"/>
        </w:rPr>
        <w:footnoteReference w:id="5"/>
      </w:r>
      <w:r w:rsidRPr="0025033E">
        <w:rPr>
          <w:rFonts w:cs="Arial"/>
          <w:szCs w:val="20"/>
        </w:rPr>
        <w:t xml:space="preserve"> o vzpostavitvi platforme za strateške tehnologije</w:t>
      </w:r>
      <w:r w:rsidR="00B646EB">
        <w:rPr>
          <w:rFonts w:cs="Arial"/>
          <w:szCs w:val="20"/>
        </w:rPr>
        <w:t xml:space="preserve"> za Evropo</w:t>
      </w:r>
      <w:r w:rsidRPr="0025033E">
        <w:rPr>
          <w:rFonts w:cs="Arial"/>
          <w:szCs w:val="20"/>
        </w:rPr>
        <w:t>, katere cilj je uporaba obstoječih instrumentov financiranja z namenom pospešitve izvajanja in omogočitve mobilizacije višjih zneskov finančne podpore za zeleni in digitalni prehod.</w:t>
      </w:r>
    </w:p>
    <w:p w14:paraId="580CC1B6" w14:textId="45B7D1E1" w:rsidR="007D0104" w:rsidRPr="0025033E" w:rsidRDefault="007D0104" w:rsidP="00ED5676">
      <w:pPr>
        <w:suppressAutoHyphens w:val="0"/>
        <w:autoSpaceDN/>
        <w:spacing w:after="0" w:line="288" w:lineRule="auto"/>
        <w:jc w:val="both"/>
        <w:rPr>
          <w:rFonts w:cs="Arial"/>
          <w:szCs w:val="20"/>
        </w:rPr>
      </w:pPr>
      <w:r w:rsidRPr="0025033E">
        <w:rPr>
          <w:rFonts w:cs="Arial"/>
          <w:szCs w:val="20"/>
        </w:rPr>
        <w:t>EKP je največja enotna politika EU, ki se financira iz proračuna EU. Da bi spodbudila države članice za uporabo prednosti iz Uredbe STEP, je EK predlagala, da se v obstoječe programe uvede nov ali novi specifični cilji za vse glavne sklade - ESRR, KS in SPP. Predlaga, da se ti skladi odprejo na teh specifičnih ciljih za velika podjetja v manj razvitih regijah in regijah v prehodu ter v bolj razvitih regijah držav članic z BDP na prebivalca pod povprečjem EU, da se sprostijo večje naložbe na ciljnih področjih platforme STEP. Z zagotavljanjem finančnih spodbud v obliki višjega predhodnega financiranja in financiranja EU se je države članice s STEP uredbo spodbudilo, da svoje programe na novo pregledajo in upoštevajo nova pravila pri spremembah obstoječih programov. EK v okviru navedenih skladov predlaga tudi 30</w:t>
      </w:r>
      <w:r w:rsidR="00A3633E">
        <w:rPr>
          <w:rFonts w:cs="Arial"/>
          <w:szCs w:val="20"/>
        </w:rPr>
        <w:t xml:space="preserve"> %</w:t>
      </w:r>
      <w:r w:rsidRPr="0025033E">
        <w:rPr>
          <w:rFonts w:cs="Arial"/>
          <w:szCs w:val="20"/>
        </w:rPr>
        <w:t xml:space="preserve"> predhodno financiranje leta 2024 za spodbujanje uporabe in povečanje financiranja EU do 100 % za projekte platforme STEP.</w:t>
      </w:r>
    </w:p>
    <w:p w14:paraId="7C704BCA" w14:textId="77777777" w:rsidR="007D0104" w:rsidRPr="0025033E" w:rsidRDefault="007D0104" w:rsidP="00ED5676">
      <w:pPr>
        <w:suppressAutoHyphens w:val="0"/>
        <w:autoSpaceDN/>
        <w:spacing w:after="0" w:line="288" w:lineRule="auto"/>
        <w:jc w:val="both"/>
        <w:rPr>
          <w:rFonts w:cs="Arial"/>
          <w:szCs w:val="20"/>
        </w:rPr>
      </w:pPr>
    </w:p>
    <w:p w14:paraId="7B187B11" w14:textId="6DE0BE76" w:rsidR="007D0104" w:rsidRPr="0025033E" w:rsidRDefault="007D0104" w:rsidP="00ED5676">
      <w:pPr>
        <w:suppressAutoHyphens w:val="0"/>
        <w:autoSpaceDN/>
        <w:spacing w:after="0" w:line="288" w:lineRule="auto"/>
        <w:jc w:val="both"/>
        <w:rPr>
          <w:rFonts w:cs="Arial"/>
          <w:szCs w:val="20"/>
        </w:rPr>
      </w:pPr>
      <w:r w:rsidRPr="0025033E">
        <w:rPr>
          <w:rFonts w:cs="Arial"/>
          <w:szCs w:val="20"/>
        </w:rPr>
        <w:t xml:space="preserve">Vse možnosti, ki so na voljo v okviru Uredbe STEP, pa ni mogoče izkoristiti, v kolikor se ne spremeni PEKP. MKRR je za namen spremembe PEKP pripravilo vladno gradivo z izhodišči na način, da se prvotna načrtovana sredstva PEKP delno prenesejo na dva novo oblikovana specifična cilja v okviru Cilja politike 1 in Cilja politike 2, za vsebine, ki naslavljajo področja Uredbe STEP. </w:t>
      </w:r>
    </w:p>
    <w:p w14:paraId="75363096" w14:textId="77777777" w:rsidR="007D0104" w:rsidRPr="0025033E" w:rsidRDefault="007D0104" w:rsidP="00ED5676">
      <w:pPr>
        <w:suppressAutoHyphens w:val="0"/>
        <w:autoSpaceDN/>
        <w:spacing w:after="0" w:line="288" w:lineRule="auto"/>
        <w:jc w:val="both"/>
        <w:rPr>
          <w:rFonts w:cs="Arial"/>
          <w:szCs w:val="20"/>
        </w:rPr>
      </w:pPr>
    </w:p>
    <w:p w14:paraId="3AF2DC9C" w14:textId="409FCE9A" w:rsidR="007D0104" w:rsidRPr="0025033E" w:rsidRDefault="007D0104" w:rsidP="00ED5676">
      <w:pPr>
        <w:suppressAutoHyphens w:val="0"/>
        <w:autoSpaceDN/>
        <w:spacing w:after="0" w:line="288" w:lineRule="auto"/>
        <w:jc w:val="both"/>
        <w:rPr>
          <w:rFonts w:cs="Arial"/>
          <w:szCs w:val="20"/>
        </w:rPr>
      </w:pPr>
      <w:r w:rsidRPr="0025033E">
        <w:rPr>
          <w:rFonts w:cs="Arial"/>
          <w:szCs w:val="20"/>
        </w:rPr>
        <w:t>Z namenom ocene stanja absorpcije na področjih STEP je bila izvedena spletna anketa preko podjetij, ki so člani Strateških razvojno inovacijskih partnerstev (SRIP), ki je pokazala, da na področjih Uredbe STEP obstaja absorpcijski potencial tako v gospodarstvu kot tudi med drugimi RRI deležniki. Sprememba P</w:t>
      </w:r>
      <w:r w:rsidR="00F459E3">
        <w:rPr>
          <w:rFonts w:cs="Arial"/>
          <w:szCs w:val="20"/>
        </w:rPr>
        <w:t xml:space="preserve">EKP </w:t>
      </w:r>
      <w:r w:rsidRPr="0025033E">
        <w:rPr>
          <w:rFonts w:cs="Arial"/>
          <w:szCs w:val="20"/>
        </w:rPr>
        <w:t>bo na način, da se podpre področja STEP uredbe, doprinesla k usmeritvi programa k razvojnim ciljem EU, Slovenske strategije trajnostne pametne specializacije in večji konkurenčnosti RS in EU. Izvedba projektov bi pospešila koriščenje sredstev EKP in doprinesla k doseganju pravila N+3 v letih 2025 in 2026 kot tudi kasneje. Na podlagi prejetih informacij resorjev in podjetij bo OU pripravil predlog za spremembo PEKP z maksimalno možno višino alokacije, kar tudi omogoča prejem 30</w:t>
      </w:r>
      <w:r w:rsidR="008D72A2" w:rsidRPr="0025033E">
        <w:rPr>
          <w:rFonts w:cs="Arial"/>
          <w:szCs w:val="20"/>
        </w:rPr>
        <w:t xml:space="preserve"> </w:t>
      </w:r>
      <w:r w:rsidRPr="0025033E">
        <w:rPr>
          <w:rFonts w:cs="Arial"/>
          <w:szCs w:val="20"/>
        </w:rPr>
        <w:t xml:space="preserve">% predplačila s strani EK. </w:t>
      </w:r>
    </w:p>
    <w:p w14:paraId="120618BA" w14:textId="77777777" w:rsidR="007D0104" w:rsidRPr="0025033E" w:rsidRDefault="007D0104" w:rsidP="00ED5676">
      <w:pPr>
        <w:suppressAutoHyphens w:val="0"/>
        <w:autoSpaceDN/>
        <w:spacing w:after="0" w:line="288" w:lineRule="auto"/>
        <w:jc w:val="both"/>
        <w:rPr>
          <w:rFonts w:cs="Arial"/>
          <w:szCs w:val="20"/>
        </w:rPr>
      </w:pPr>
    </w:p>
    <w:p w14:paraId="0EEF5910" w14:textId="17ACF76E" w:rsidR="007D0104" w:rsidRPr="0025033E" w:rsidRDefault="007D0104" w:rsidP="00ED5676">
      <w:pPr>
        <w:suppressAutoHyphens w:val="0"/>
        <w:autoSpaceDN/>
        <w:spacing w:after="0" w:line="288" w:lineRule="auto"/>
        <w:jc w:val="both"/>
        <w:rPr>
          <w:rFonts w:cs="Arial"/>
          <w:szCs w:val="20"/>
        </w:rPr>
      </w:pPr>
      <w:bookmarkStart w:id="397" w:name="_Hlk188878916"/>
      <w:r w:rsidRPr="0025033E">
        <w:rPr>
          <w:rFonts w:cs="Arial"/>
          <w:szCs w:val="20"/>
        </w:rPr>
        <w:t>Pristop k spremembi PEKP:</w:t>
      </w:r>
    </w:p>
    <w:p w14:paraId="6E2C52E2" w14:textId="3CA5A53F" w:rsidR="008D72A2" w:rsidRPr="0025033E" w:rsidRDefault="007D0104" w:rsidP="009864BC">
      <w:pPr>
        <w:pStyle w:val="Odstavekseznama"/>
        <w:numPr>
          <w:ilvl w:val="0"/>
          <w:numId w:val="27"/>
        </w:numPr>
        <w:suppressAutoHyphens w:val="0"/>
        <w:autoSpaceDN/>
        <w:spacing w:after="0" w:line="288" w:lineRule="auto"/>
        <w:jc w:val="both"/>
        <w:rPr>
          <w:rFonts w:cs="Arial"/>
          <w:szCs w:val="20"/>
        </w:rPr>
      </w:pPr>
      <w:r w:rsidRPr="0025033E">
        <w:rPr>
          <w:rFonts w:cs="Arial"/>
          <w:szCs w:val="20"/>
        </w:rPr>
        <w:t>doda se nov specifični cilj na Cilju politike 1 - Konkurenčnejša in pametnejša Evropa s spodbujanjem inovativne in pametne gospodarske preobrazbe ter regionalne povezljivosti na področju IKT, in sicer Specifični cilj RSO1.6 »</w:t>
      </w:r>
      <w:r w:rsidR="00B646EB">
        <w:rPr>
          <w:rFonts w:cs="Arial"/>
          <w:szCs w:val="20"/>
        </w:rPr>
        <w:t>Razvoj ali proizvodnja kritičnih tehnologij</w:t>
      </w:r>
      <w:r w:rsidRPr="0025033E">
        <w:rPr>
          <w:rFonts w:cs="Arial"/>
          <w:szCs w:val="20"/>
        </w:rPr>
        <w:t xml:space="preserve">«, </w:t>
      </w:r>
    </w:p>
    <w:p w14:paraId="0181AEDB" w14:textId="5CC93D20" w:rsidR="007D0104" w:rsidRPr="0025033E" w:rsidRDefault="007D0104" w:rsidP="009864BC">
      <w:pPr>
        <w:pStyle w:val="Odstavekseznama"/>
        <w:numPr>
          <w:ilvl w:val="0"/>
          <w:numId w:val="27"/>
        </w:numPr>
        <w:suppressAutoHyphens w:val="0"/>
        <w:autoSpaceDN/>
        <w:spacing w:after="0" w:line="288" w:lineRule="auto"/>
        <w:jc w:val="both"/>
        <w:rPr>
          <w:rFonts w:cs="Arial"/>
          <w:szCs w:val="20"/>
        </w:rPr>
      </w:pPr>
      <w:r w:rsidRPr="0025033E">
        <w:rPr>
          <w:rFonts w:cs="Arial"/>
          <w:szCs w:val="20"/>
        </w:rPr>
        <w:t>izdela se vmesni pregled z oceno izvajanja PEKP ter identificira ukrepe, ki predstavljajo večje tveganje pri uresničevanju ciljev načrtovanih ciljev in kazalnikov.</w:t>
      </w:r>
    </w:p>
    <w:p w14:paraId="671DA8C0" w14:textId="77777777" w:rsidR="007D0104" w:rsidRPr="0025033E" w:rsidRDefault="007D0104" w:rsidP="00E237F0">
      <w:pPr>
        <w:suppressAutoHyphens w:val="0"/>
        <w:autoSpaceDN/>
        <w:spacing w:after="0" w:line="240" w:lineRule="auto"/>
        <w:jc w:val="both"/>
        <w:rPr>
          <w:rFonts w:cs="Arial"/>
          <w:szCs w:val="20"/>
        </w:rPr>
      </w:pPr>
    </w:p>
    <w:p w14:paraId="638CED12" w14:textId="29514562" w:rsidR="005439A8" w:rsidRPr="0025033E" w:rsidRDefault="007D0104" w:rsidP="00ED5676">
      <w:pPr>
        <w:suppressAutoHyphens w:val="0"/>
        <w:autoSpaceDN/>
        <w:spacing w:after="0" w:line="288" w:lineRule="auto"/>
        <w:contextualSpacing/>
        <w:jc w:val="both"/>
        <w:rPr>
          <w:rFonts w:cs="Arial"/>
          <w:szCs w:val="20"/>
        </w:rPr>
      </w:pPr>
      <w:r w:rsidRPr="0025033E">
        <w:rPr>
          <w:rFonts w:cs="Arial"/>
          <w:szCs w:val="20"/>
        </w:rPr>
        <w:t>Vlada Republike Slovenije se je s sklepom št. 54402-4/2022/17 z dne 24. 10. 2024 seznanila z Izhodišči za spremembo Programa evropske kohezijske politike v obdobju 2021–2027 v Sloveniji in naložila Ministrstvu za kohezijo in regionalni razvoj, da pripravi spremembo Programa evropske kohezijske politike v obdobju 2021–2027 z vključitvijo ukrepov platforme STEP in ga v sodelovanju s pristojnimi resorji tehnično uskladi z Evropsko komisijo in predloži Vladi Republike Slovenije v sprejem najkasneje do konca februarja 2025</w:t>
      </w:r>
      <w:bookmarkEnd w:id="387"/>
      <w:bookmarkEnd w:id="388"/>
      <w:r w:rsidR="00D06B5E" w:rsidRPr="0025033E">
        <w:rPr>
          <w:rFonts w:cs="Arial"/>
          <w:szCs w:val="20"/>
        </w:rPr>
        <w:t>.</w:t>
      </w:r>
    </w:p>
    <w:bookmarkEnd w:id="397"/>
    <w:p w14:paraId="6992BBDD" w14:textId="77777777" w:rsidR="00D06B5E" w:rsidRDefault="00D06B5E" w:rsidP="00ED5676">
      <w:pPr>
        <w:suppressAutoHyphens w:val="0"/>
        <w:autoSpaceDN/>
        <w:spacing w:after="0" w:line="288" w:lineRule="auto"/>
        <w:contextualSpacing/>
        <w:jc w:val="both"/>
        <w:rPr>
          <w:rFonts w:cs="Arial"/>
          <w:sz w:val="22"/>
          <w:szCs w:val="22"/>
        </w:rPr>
      </w:pPr>
    </w:p>
    <w:p w14:paraId="33E8A330" w14:textId="77777777" w:rsidR="00296EA2" w:rsidRDefault="00296EA2" w:rsidP="00ED5676">
      <w:pPr>
        <w:suppressAutoHyphens w:val="0"/>
        <w:autoSpaceDN/>
        <w:spacing w:after="0" w:line="288" w:lineRule="auto"/>
        <w:contextualSpacing/>
        <w:jc w:val="both"/>
        <w:rPr>
          <w:rFonts w:cs="Arial"/>
          <w:sz w:val="22"/>
          <w:szCs w:val="22"/>
        </w:rPr>
      </w:pPr>
    </w:p>
    <w:p w14:paraId="0AB86731" w14:textId="77777777" w:rsidR="00296EA2" w:rsidRPr="0025033E" w:rsidRDefault="00296EA2" w:rsidP="00ED5676">
      <w:pPr>
        <w:suppressAutoHyphens w:val="0"/>
        <w:autoSpaceDN/>
        <w:spacing w:after="0" w:line="288" w:lineRule="auto"/>
        <w:contextualSpacing/>
        <w:jc w:val="both"/>
        <w:rPr>
          <w:rFonts w:cs="Arial"/>
          <w:sz w:val="22"/>
          <w:szCs w:val="22"/>
        </w:rPr>
      </w:pPr>
    </w:p>
    <w:p w14:paraId="11D324D4" w14:textId="20588A95" w:rsidR="005439A8" w:rsidRPr="00924F77" w:rsidRDefault="0099175C" w:rsidP="6AAB5F61">
      <w:pPr>
        <w:pStyle w:val="Naslov2"/>
        <w:numPr>
          <w:ilvl w:val="1"/>
          <w:numId w:val="17"/>
        </w:numPr>
        <w:spacing w:before="0"/>
        <w:rPr>
          <w:rFonts w:cs="Arial"/>
        </w:rPr>
      </w:pPr>
      <w:bookmarkStart w:id="398" w:name="_Toc191460225"/>
      <w:r w:rsidRPr="00296EA2">
        <w:rPr>
          <w:rFonts w:cs="Arial"/>
        </w:rPr>
        <w:lastRenderedPageBreak/>
        <w:t>CELOSTNI TERITORIALNI RAZVOJ</w:t>
      </w:r>
      <w:bookmarkEnd w:id="398"/>
    </w:p>
    <w:p w14:paraId="51535362" w14:textId="77777777" w:rsidR="005439A8" w:rsidRPr="0025033E" w:rsidRDefault="005439A8" w:rsidP="00ED5676">
      <w:pPr>
        <w:spacing w:after="0"/>
        <w:jc w:val="both"/>
        <w:rPr>
          <w:rFonts w:cs="Arial"/>
          <w:sz w:val="22"/>
          <w:szCs w:val="22"/>
        </w:rPr>
      </w:pPr>
    </w:p>
    <w:p w14:paraId="3A52D89F" w14:textId="2C00FBF5" w:rsidR="00841D4F" w:rsidRDefault="00841D4F" w:rsidP="009864BC">
      <w:pPr>
        <w:pStyle w:val="Naslov3"/>
        <w:numPr>
          <w:ilvl w:val="2"/>
          <w:numId w:val="20"/>
        </w:numPr>
        <w:rPr>
          <w:rFonts w:cs="Arial"/>
        </w:rPr>
      </w:pPr>
      <w:bookmarkStart w:id="399" w:name="_Toc191460226"/>
      <w:r>
        <w:rPr>
          <w:rFonts w:cs="Arial"/>
        </w:rPr>
        <w:t>Lokalni razvoj, ki ga vodi skupnost (CLLD)</w:t>
      </w:r>
      <w:bookmarkEnd w:id="399"/>
    </w:p>
    <w:p w14:paraId="02926DE7" w14:textId="77777777" w:rsidR="00841D4F" w:rsidRDefault="00841D4F" w:rsidP="00841D4F">
      <w:pPr>
        <w:spacing w:after="0"/>
        <w:jc w:val="both"/>
        <w:rPr>
          <w:rFonts w:cs="Arial"/>
          <w:szCs w:val="20"/>
        </w:rPr>
      </w:pPr>
    </w:p>
    <w:p w14:paraId="721648E3" w14:textId="00D83C6A" w:rsidR="00841D4F" w:rsidRPr="00841D4F" w:rsidRDefault="00841D4F" w:rsidP="00841D4F">
      <w:pPr>
        <w:spacing w:after="0"/>
        <w:jc w:val="both"/>
        <w:rPr>
          <w:rFonts w:cs="Arial"/>
          <w:szCs w:val="20"/>
        </w:rPr>
      </w:pPr>
      <w:r w:rsidRPr="00841D4F">
        <w:rPr>
          <w:rFonts w:cs="Arial"/>
          <w:szCs w:val="20"/>
        </w:rPr>
        <w:t>Na območju države je v programskem obdobju 2014–2020 delovalo 37 lokalnih akcijskih skupin (LAS).</w:t>
      </w:r>
    </w:p>
    <w:p w14:paraId="5BF72E2A" w14:textId="77777777" w:rsidR="00841D4F" w:rsidRPr="00841D4F" w:rsidRDefault="00841D4F" w:rsidP="00841D4F">
      <w:pPr>
        <w:pStyle w:val="Odstavekseznama"/>
        <w:spacing w:after="0"/>
        <w:ind w:left="525"/>
        <w:jc w:val="both"/>
        <w:rPr>
          <w:rFonts w:cs="Arial"/>
          <w:szCs w:val="20"/>
        </w:rPr>
      </w:pPr>
    </w:p>
    <w:p w14:paraId="34B2EB48" w14:textId="77777777" w:rsidR="00841D4F" w:rsidRPr="00841D4F" w:rsidRDefault="00841D4F" w:rsidP="00841D4F">
      <w:pPr>
        <w:spacing w:after="0" w:line="276" w:lineRule="auto"/>
        <w:jc w:val="both"/>
        <w:rPr>
          <w:rFonts w:cs="Arial"/>
          <w:szCs w:val="20"/>
        </w:rPr>
      </w:pPr>
      <w:r w:rsidRPr="00841D4F">
        <w:rPr>
          <w:rFonts w:cs="Arial"/>
          <w:szCs w:val="20"/>
        </w:rPr>
        <w:t>Za obdobje 2021–2027 se je prav tako oblikovalo 37 lokalnih akcijskih skupin (LAS), ki so za območja, na katerih delujejo, že pripravile Strategije lokalnega razvoja (SLR), ki so bile s strani Medresorske delovne skupine za CLLD po 2020 pregledane, ocenjene in odobrene na podlagi izdanega Mnenja o izboru SLR in LAS, v novembru 2023.</w:t>
      </w:r>
    </w:p>
    <w:p w14:paraId="548967CA" w14:textId="77777777" w:rsidR="00841D4F" w:rsidRDefault="00841D4F" w:rsidP="00841D4F">
      <w:pPr>
        <w:spacing w:after="0" w:line="276" w:lineRule="auto"/>
        <w:jc w:val="both"/>
        <w:rPr>
          <w:rFonts w:cs="Arial"/>
          <w:szCs w:val="20"/>
        </w:rPr>
      </w:pPr>
    </w:p>
    <w:p w14:paraId="4EF903D2" w14:textId="460BFA2D" w:rsidR="00841D4F" w:rsidRPr="00841D4F" w:rsidRDefault="00841D4F" w:rsidP="00841D4F">
      <w:pPr>
        <w:spacing w:after="0" w:line="276" w:lineRule="auto"/>
        <w:jc w:val="both"/>
        <w:rPr>
          <w:rFonts w:cs="Arial"/>
          <w:szCs w:val="20"/>
        </w:rPr>
      </w:pPr>
      <w:r w:rsidRPr="00841D4F">
        <w:rPr>
          <w:rFonts w:cs="Arial"/>
          <w:szCs w:val="20"/>
        </w:rPr>
        <w:t>V januarju 2024 so bile izdane odločitve o podpori za potrditev vseh 37 Strategij lokalnega razvoja (SLR) in LAS. Na podlagi izdanih odločitev o podpori je do konca januarja 2024 Ministrstvo za kmetijstvo, gozdarstvo in prehrano izdalo vseh 37 odločb o potrditvi SLR in LAS. Do konca leta 2024 je vseh 37 LAS pripravilo osnutke javnih pozivov. Od tega je 18 LAS s strani PT MKRR prejelo pozitivno mnenje k objavi javnih pozivov na spletnih straneh LAS. Na LAS se izvajajo postopki izbora projektov, ki se bodo v 2025 pričeli izvajati.</w:t>
      </w:r>
    </w:p>
    <w:p w14:paraId="5FB50C9B" w14:textId="77777777" w:rsidR="00841D4F" w:rsidRPr="00841D4F" w:rsidRDefault="00841D4F" w:rsidP="00841D4F"/>
    <w:p w14:paraId="245E6499" w14:textId="15996F63" w:rsidR="00404987" w:rsidRPr="0025033E" w:rsidRDefault="00404987" w:rsidP="009864BC">
      <w:pPr>
        <w:pStyle w:val="Naslov3"/>
        <w:numPr>
          <w:ilvl w:val="2"/>
          <w:numId w:val="20"/>
        </w:numPr>
        <w:rPr>
          <w:rFonts w:cs="Arial"/>
        </w:rPr>
      </w:pPr>
      <w:bookmarkStart w:id="400" w:name="_Toc191460227"/>
      <w:r w:rsidRPr="0025033E">
        <w:rPr>
          <w:rFonts w:cs="Arial"/>
        </w:rPr>
        <w:t>Celostne teritorialne naložbe (CTN)</w:t>
      </w:r>
      <w:bookmarkEnd w:id="400"/>
    </w:p>
    <w:p w14:paraId="1B4FCCB1" w14:textId="77777777" w:rsidR="00404987" w:rsidRPr="0025033E" w:rsidRDefault="00404987" w:rsidP="00ED5676">
      <w:pPr>
        <w:spacing w:after="0"/>
        <w:jc w:val="both"/>
        <w:rPr>
          <w:rFonts w:cs="Arial"/>
        </w:rPr>
      </w:pPr>
    </w:p>
    <w:p w14:paraId="1D4AF4F8" w14:textId="4A23C90E" w:rsidR="00404987" w:rsidRPr="0025033E" w:rsidRDefault="00404987" w:rsidP="00ED5676">
      <w:pPr>
        <w:spacing w:after="0"/>
        <w:jc w:val="both"/>
        <w:rPr>
          <w:rFonts w:cs="Arial"/>
          <w:szCs w:val="20"/>
        </w:rPr>
      </w:pPr>
      <w:r w:rsidRPr="0025033E">
        <w:rPr>
          <w:rFonts w:cs="Arial"/>
          <w:szCs w:val="20"/>
        </w:rPr>
        <w:t xml:space="preserve">CTN je namenjen trajnostnemu razvoju mest, kjer so upravičenci mestne občine (12), ki morajo imeti sprejete Trajnostne urbane strategije iz katerih izhajajo predlogi za predvidene ukrepe. Za izvajanje CTN v obdobju </w:t>
      </w:r>
      <w:r w:rsidR="00427FC8" w:rsidRPr="0025033E">
        <w:rPr>
          <w:rFonts w:cs="Arial"/>
          <w:szCs w:val="20"/>
        </w:rPr>
        <w:t>2021–2027</w:t>
      </w:r>
      <w:r w:rsidRPr="0025033E">
        <w:rPr>
          <w:rFonts w:cs="Arial"/>
          <w:szCs w:val="20"/>
        </w:rPr>
        <w:t xml:space="preserve"> je namenjenih 127 mio EUR ESRR sredstev. Mehanizem CTN se izvaja na treh specifičnih ciljih in sicer: RSO 2.7 – zelene infrastrukture, RSO 2.8 – trajnostna mobilnost in RSO 5.1 – učinkovita raba prostora v urbanih območjih.</w:t>
      </w:r>
    </w:p>
    <w:p w14:paraId="5FA481DE" w14:textId="77777777" w:rsidR="00404987" w:rsidRPr="0025033E" w:rsidRDefault="00404987" w:rsidP="00ED5676">
      <w:pPr>
        <w:spacing w:after="0"/>
        <w:jc w:val="both"/>
        <w:rPr>
          <w:rFonts w:cs="Arial"/>
          <w:szCs w:val="20"/>
        </w:rPr>
      </w:pPr>
    </w:p>
    <w:p w14:paraId="45170F32" w14:textId="77777777" w:rsidR="00404987" w:rsidRDefault="00404987" w:rsidP="00ED5676">
      <w:pPr>
        <w:spacing w:after="0"/>
        <w:jc w:val="both"/>
        <w:rPr>
          <w:rFonts w:cs="Arial"/>
          <w:szCs w:val="20"/>
        </w:rPr>
      </w:pPr>
      <w:r w:rsidRPr="0025033E">
        <w:rPr>
          <w:rFonts w:cs="Arial"/>
          <w:szCs w:val="20"/>
        </w:rPr>
        <w:t>PT ZMOS je v oktobru in novembru 2023 objavil prva povabila za izbor operacij na vseh treh specifičnih ciljih. V januarju in februarju 2024 so bili objavljeni seznami izbranih operacij na vseh treh specifičnih ciljih. To pomeni, da so mestne občine začele s pripravo vlog za odločitev o podpori in jih posredujejo v obravnavo na PT MNVP oziroma PT MOPE. S strani OU sta bili izdani 2 odločitvi o podpori v skupni vrednosti 3,7 mio EUR sredstev ESRR.</w:t>
      </w:r>
    </w:p>
    <w:p w14:paraId="50F2D178" w14:textId="77777777" w:rsidR="00A32A8B" w:rsidRDefault="00A32A8B" w:rsidP="00ED5676">
      <w:pPr>
        <w:spacing w:after="0"/>
        <w:jc w:val="both"/>
        <w:rPr>
          <w:rFonts w:cs="Arial"/>
          <w:szCs w:val="20"/>
        </w:rPr>
      </w:pPr>
    </w:p>
    <w:p w14:paraId="0B9CD104" w14:textId="77777777" w:rsidR="00A32A8B" w:rsidRPr="00A32A8B" w:rsidRDefault="00A32A8B" w:rsidP="00A32A8B">
      <w:pPr>
        <w:pStyle w:val="Naslov3"/>
        <w:numPr>
          <w:ilvl w:val="2"/>
          <w:numId w:val="20"/>
        </w:numPr>
        <w:rPr>
          <w:rFonts w:cs="Arial"/>
          <w:bCs/>
          <w:szCs w:val="20"/>
        </w:rPr>
      </w:pPr>
      <w:bookmarkStart w:id="401" w:name="_Toc191460228"/>
      <w:r w:rsidRPr="00A32A8B">
        <w:rPr>
          <w:rFonts w:cs="Arial"/>
          <w:bCs/>
          <w:szCs w:val="20"/>
        </w:rPr>
        <w:t xml:space="preserve">Dogovor za </w:t>
      </w:r>
      <w:r w:rsidRPr="00A32A8B">
        <w:rPr>
          <w:rFonts w:cs="Arial"/>
          <w:bCs/>
        </w:rPr>
        <w:t>razvoj</w:t>
      </w:r>
      <w:r w:rsidRPr="00A32A8B">
        <w:rPr>
          <w:rFonts w:cs="Arial"/>
          <w:bCs/>
          <w:szCs w:val="20"/>
        </w:rPr>
        <w:t xml:space="preserve"> regij (DRR)</w:t>
      </w:r>
      <w:bookmarkEnd w:id="401"/>
    </w:p>
    <w:p w14:paraId="1A0B3D3A" w14:textId="77777777" w:rsidR="00A32A8B" w:rsidRPr="00A32A8B" w:rsidRDefault="00A32A8B" w:rsidP="00A32A8B">
      <w:pPr>
        <w:spacing w:after="0"/>
        <w:jc w:val="both"/>
        <w:rPr>
          <w:rFonts w:cs="Arial"/>
          <w:szCs w:val="20"/>
        </w:rPr>
      </w:pPr>
    </w:p>
    <w:p w14:paraId="3C38AB71" w14:textId="77777777" w:rsidR="00A32A8B" w:rsidRPr="00A32A8B" w:rsidRDefault="00A32A8B" w:rsidP="00A32A8B">
      <w:pPr>
        <w:spacing w:after="0"/>
        <w:jc w:val="both"/>
        <w:rPr>
          <w:rFonts w:cs="Arial"/>
          <w:szCs w:val="20"/>
        </w:rPr>
      </w:pPr>
      <w:r w:rsidRPr="00A32A8B">
        <w:rPr>
          <w:rFonts w:cs="Arial"/>
          <w:szCs w:val="20"/>
        </w:rPr>
        <w:t>Za programsko obdobje 2021–2027 je potrjenih vseh 12 Regionalnih razvojnih programov. Na tej podlagi je bilo junija 2023 objavljeno Povabilo razvojnim svetom regij za pripravo in podpis dogovorov za razvoj regij za programsko obdobje 2021−2027. Predmet povabila iz junija 2023 je bilo sofinanciranje projektov v okviru naslednjega cilja evropske kohezijske politike: »Prednostna naloga: 1. Inovacijska družba znanja, RSO1.3, Krepitev trajnostne rasti in konkurenčnosti malih in srednjih podjetij ter ustvarjanje delovnih mest v malih in srednjih podjetjih, med drugim s produktivnimi naložbami (ESRR)« – Podjetno nad izzive (PONI), v višini 18,47 mio EUR. Rok za posredovanje osnutkov dogovorov za razvoj regij je bil 30. 10. 2023. Dogovori za razvoj regij za zgoraj navedene vsebine so sklenjeni z vsemi 12 regijami.</w:t>
      </w:r>
    </w:p>
    <w:p w14:paraId="6515F1EE" w14:textId="77777777" w:rsidR="00A32A8B" w:rsidRPr="00A32A8B" w:rsidRDefault="00A32A8B" w:rsidP="00A32A8B">
      <w:pPr>
        <w:spacing w:after="0"/>
        <w:jc w:val="both"/>
        <w:rPr>
          <w:rFonts w:cs="Arial"/>
          <w:szCs w:val="20"/>
        </w:rPr>
      </w:pPr>
    </w:p>
    <w:p w14:paraId="15EF162C" w14:textId="77777777" w:rsidR="00A32A8B" w:rsidRPr="00A32A8B" w:rsidRDefault="00A32A8B" w:rsidP="00A32A8B">
      <w:pPr>
        <w:spacing w:after="0"/>
        <w:jc w:val="both"/>
        <w:rPr>
          <w:rFonts w:cs="Arial"/>
          <w:szCs w:val="20"/>
        </w:rPr>
      </w:pPr>
      <w:r w:rsidRPr="00A32A8B">
        <w:rPr>
          <w:rFonts w:cs="Arial"/>
          <w:szCs w:val="20"/>
        </w:rPr>
        <w:t xml:space="preserve">Povabilo razvojnim svetom regij za pripravo dogovorov za razvoj regij se je z objavo MKRR dne 29. 3. 2024 dopolnilo (dne 24. 6. 2024 so bile objavljene še nekatere spremembe te dopolnitve) z naslednjimi vsebinami: </w:t>
      </w:r>
    </w:p>
    <w:p w14:paraId="1032603E" w14:textId="77777777" w:rsidR="00A32A8B" w:rsidRPr="00A32A8B" w:rsidRDefault="00A32A8B" w:rsidP="00A32A8B">
      <w:pPr>
        <w:numPr>
          <w:ilvl w:val="0"/>
          <w:numId w:val="21"/>
        </w:numPr>
        <w:spacing w:after="0"/>
        <w:jc w:val="both"/>
        <w:rPr>
          <w:rFonts w:cs="Arial"/>
          <w:szCs w:val="20"/>
        </w:rPr>
      </w:pPr>
      <w:r w:rsidRPr="00A32A8B">
        <w:rPr>
          <w:rFonts w:cs="Arial"/>
          <w:szCs w:val="20"/>
        </w:rPr>
        <w:t xml:space="preserve">specifični cilj: RSO 1.3, Krepitev trajnostne rasti in konkurenčnosti malih in srednjih podjetij ter ustvarjanje delovnih mest v malih in srednjih podjetjih, med drugim s produktivnimi naložbami, sofinanciranje iz ESRR - Podjetniški inkubatorji, skupna vrednost 10 mio EUR; </w:t>
      </w:r>
    </w:p>
    <w:p w14:paraId="77A2DE39" w14:textId="77777777" w:rsidR="00A32A8B" w:rsidRPr="00A32A8B" w:rsidRDefault="00A32A8B" w:rsidP="00A32A8B">
      <w:pPr>
        <w:numPr>
          <w:ilvl w:val="0"/>
          <w:numId w:val="21"/>
        </w:numPr>
        <w:spacing w:after="0"/>
        <w:jc w:val="both"/>
        <w:rPr>
          <w:rFonts w:cs="Arial"/>
          <w:szCs w:val="20"/>
        </w:rPr>
      </w:pPr>
      <w:r w:rsidRPr="00A32A8B">
        <w:rPr>
          <w:rFonts w:cs="Arial"/>
          <w:szCs w:val="20"/>
        </w:rPr>
        <w:t>specifični cilj: RSO 2.5, Spodbujanje dostopa do vode in trajnostnega gospodarjenja z vodnimi viri, sofinanciranje iz KS - odprava neskladij v aglomeracijah s skupno obremenitvijo, enako ali večjo od 2.000 PE, skupna vrednost 217,11 mio EUR;</w:t>
      </w:r>
    </w:p>
    <w:p w14:paraId="3E341749" w14:textId="77777777" w:rsidR="00A32A8B" w:rsidRPr="00A32A8B" w:rsidRDefault="00A32A8B" w:rsidP="00A32A8B">
      <w:pPr>
        <w:numPr>
          <w:ilvl w:val="0"/>
          <w:numId w:val="21"/>
        </w:numPr>
        <w:spacing w:after="0"/>
        <w:jc w:val="both"/>
        <w:rPr>
          <w:rFonts w:cs="Arial"/>
          <w:szCs w:val="20"/>
        </w:rPr>
      </w:pPr>
      <w:r w:rsidRPr="00A32A8B">
        <w:rPr>
          <w:rFonts w:cs="Arial"/>
          <w:szCs w:val="20"/>
        </w:rPr>
        <w:lastRenderedPageBreak/>
        <w:t>specifični cilj: RSO 2.5, Spodbujanje trajnostnega gospodarjenja z vodnimi viri z urejanjem vodovodnih sistemov nad 10.000 prebivalcev, sofinanciranje iz KS, skupna vrednost 85 mio EUR;</w:t>
      </w:r>
    </w:p>
    <w:p w14:paraId="6F6E189E" w14:textId="77777777" w:rsidR="00A32A8B" w:rsidRPr="00A32A8B" w:rsidRDefault="00A32A8B" w:rsidP="00A32A8B">
      <w:pPr>
        <w:numPr>
          <w:ilvl w:val="0"/>
          <w:numId w:val="21"/>
        </w:numPr>
        <w:spacing w:after="0"/>
        <w:jc w:val="both"/>
        <w:rPr>
          <w:rFonts w:cs="Arial"/>
          <w:szCs w:val="20"/>
        </w:rPr>
      </w:pPr>
      <w:r w:rsidRPr="00A32A8B">
        <w:rPr>
          <w:rFonts w:cs="Arial"/>
          <w:szCs w:val="20"/>
        </w:rPr>
        <w:t>specifični cilj: RSO 2.7, Izboljšanje varstva in ohranjanja narave ter biotske raznovrstnosti in zelene infrastrukture, tudi v mestnem okolju in zmanjšanje vseh oblik onesnaževanja, sofinanciranje iz ESRR, skupna vrednost 39,73 mio EUR;</w:t>
      </w:r>
    </w:p>
    <w:p w14:paraId="6DB36214" w14:textId="77777777" w:rsidR="00A32A8B" w:rsidRPr="00A32A8B" w:rsidRDefault="00A32A8B" w:rsidP="00A32A8B">
      <w:pPr>
        <w:numPr>
          <w:ilvl w:val="0"/>
          <w:numId w:val="21"/>
        </w:numPr>
        <w:spacing w:after="0"/>
        <w:jc w:val="both"/>
        <w:rPr>
          <w:rFonts w:cs="Arial"/>
          <w:szCs w:val="20"/>
        </w:rPr>
      </w:pPr>
      <w:r w:rsidRPr="00A32A8B">
        <w:rPr>
          <w:rFonts w:cs="Arial"/>
          <w:szCs w:val="20"/>
        </w:rPr>
        <w:t xml:space="preserve">specifični cilj: RSO 3.2, Razvoj in krepitev trajnostne, pametne in </w:t>
      </w:r>
      <w:proofErr w:type="spellStart"/>
      <w:r w:rsidRPr="00A32A8B">
        <w:rPr>
          <w:rFonts w:cs="Arial"/>
          <w:szCs w:val="20"/>
        </w:rPr>
        <w:t>intermodalne</w:t>
      </w:r>
      <w:proofErr w:type="spellEnd"/>
      <w:r w:rsidRPr="00A32A8B">
        <w:rPr>
          <w:rFonts w:cs="Arial"/>
          <w:szCs w:val="20"/>
        </w:rPr>
        <w:t xml:space="preserve"> nacionalne, regionalne in lokalne mobilnosti, odporne proti podnebnim spremembam, vključno z boljšim dostopom do omrežja TEN-T in čezmejno mobilnostjo, sofinanciranje iz KS: </w:t>
      </w:r>
    </w:p>
    <w:p w14:paraId="15C67CB3" w14:textId="77777777" w:rsidR="00A32A8B" w:rsidRPr="00A32A8B" w:rsidRDefault="00A32A8B" w:rsidP="00A32A8B">
      <w:pPr>
        <w:numPr>
          <w:ilvl w:val="0"/>
          <w:numId w:val="22"/>
        </w:numPr>
        <w:spacing w:after="0"/>
        <w:jc w:val="both"/>
        <w:rPr>
          <w:rFonts w:cs="Arial"/>
          <w:szCs w:val="20"/>
        </w:rPr>
      </w:pPr>
      <w:r w:rsidRPr="00A32A8B">
        <w:rPr>
          <w:rFonts w:cs="Arial"/>
          <w:szCs w:val="20"/>
        </w:rPr>
        <w:t>spodbujanje trajnostne mobilnosti na horizontalni ravni, skupna vrednost 6,47 mio EUR,</w:t>
      </w:r>
    </w:p>
    <w:p w14:paraId="7AAA9400" w14:textId="77777777" w:rsidR="00A32A8B" w:rsidRPr="00A32A8B" w:rsidRDefault="00A32A8B" w:rsidP="00A32A8B">
      <w:pPr>
        <w:numPr>
          <w:ilvl w:val="0"/>
          <w:numId w:val="22"/>
        </w:numPr>
        <w:spacing w:after="0"/>
        <w:jc w:val="both"/>
        <w:rPr>
          <w:rFonts w:cs="Arial"/>
          <w:szCs w:val="20"/>
        </w:rPr>
      </w:pPr>
      <w:r w:rsidRPr="00A32A8B">
        <w:rPr>
          <w:rFonts w:cs="Arial"/>
          <w:szCs w:val="20"/>
        </w:rPr>
        <w:t>zagotavljanje povezljivosti kolesarske infrastrukture na državni ravni, skupna vrednost 81,76 mio EUR.</w:t>
      </w:r>
    </w:p>
    <w:p w14:paraId="7CFCADF2" w14:textId="77777777" w:rsidR="00A32A8B" w:rsidRPr="00A32A8B" w:rsidRDefault="00A32A8B" w:rsidP="00A32A8B">
      <w:pPr>
        <w:spacing w:after="0"/>
        <w:jc w:val="both"/>
        <w:rPr>
          <w:rFonts w:cs="Arial"/>
          <w:szCs w:val="20"/>
        </w:rPr>
      </w:pPr>
    </w:p>
    <w:p w14:paraId="04AA1720" w14:textId="77777777" w:rsidR="00A32A8B" w:rsidRPr="00A32A8B" w:rsidRDefault="00A32A8B" w:rsidP="00A32A8B">
      <w:pPr>
        <w:spacing w:after="0"/>
        <w:jc w:val="both"/>
        <w:rPr>
          <w:rFonts w:cs="Arial"/>
          <w:szCs w:val="20"/>
        </w:rPr>
      </w:pPr>
      <w:r w:rsidRPr="00A32A8B">
        <w:rPr>
          <w:rFonts w:cs="Arial"/>
          <w:szCs w:val="20"/>
        </w:rPr>
        <w:t xml:space="preserve">Dopolnitev povabila razvojnim svetom regij je bila pripravljena v sodelovanju še s pristojnimi tremi drugimi ministrstvi in sicer: MNVP, MOPE in MZI. </w:t>
      </w:r>
    </w:p>
    <w:p w14:paraId="0C45E3FF" w14:textId="77777777" w:rsidR="00A32A8B" w:rsidRPr="00A32A8B" w:rsidRDefault="00A32A8B" w:rsidP="00A32A8B">
      <w:pPr>
        <w:spacing w:after="0"/>
        <w:jc w:val="both"/>
        <w:rPr>
          <w:rFonts w:cs="Arial"/>
          <w:szCs w:val="20"/>
        </w:rPr>
      </w:pPr>
    </w:p>
    <w:p w14:paraId="7048580B" w14:textId="77777777" w:rsidR="00A32A8B" w:rsidRPr="00A32A8B" w:rsidRDefault="00A32A8B" w:rsidP="00A32A8B">
      <w:pPr>
        <w:spacing w:after="0"/>
        <w:jc w:val="both"/>
        <w:rPr>
          <w:rFonts w:cs="Arial"/>
          <w:szCs w:val="20"/>
        </w:rPr>
      </w:pPr>
      <w:r w:rsidRPr="00A32A8B">
        <w:rPr>
          <w:rFonts w:cs="Arial"/>
          <w:szCs w:val="20"/>
        </w:rPr>
        <w:t xml:space="preserve">Vse regije so do roka za posredovanje osnutkov dopolnitev dogovorov s strani regij za zgoraj navedene vsebine, ki je bil 30. 10. 2024 posredovale dopolnjene osnutke dogovorov. </w:t>
      </w:r>
    </w:p>
    <w:p w14:paraId="226696DC" w14:textId="77777777" w:rsidR="00A32A8B" w:rsidRPr="00A32A8B" w:rsidRDefault="00A32A8B" w:rsidP="00A32A8B">
      <w:pPr>
        <w:spacing w:after="0"/>
        <w:jc w:val="both"/>
        <w:rPr>
          <w:rFonts w:cs="Arial"/>
          <w:szCs w:val="20"/>
        </w:rPr>
      </w:pPr>
    </w:p>
    <w:p w14:paraId="54B628F2" w14:textId="77777777" w:rsidR="00A32A8B" w:rsidRPr="00A32A8B" w:rsidRDefault="00A32A8B" w:rsidP="00A32A8B">
      <w:pPr>
        <w:spacing w:after="0"/>
        <w:jc w:val="both"/>
        <w:rPr>
          <w:rFonts w:cs="Arial"/>
          <w:szCs w:val="20"/>
        </w:rPr>
      </w:pPr>
      <w:r w:rsidRPr="00A32A8B">
        <w:rPr>
          <w:rFonts w:cs="Arial"/>
          <w:szCs w:val="20"/>
        </w:rPr>
        <w:t>V nadaljnjem postopku so bili slednji predhodno pregledani s strani MKRR ter naknadno predloženi v pregled na pristojno ministrstvo (MGTŠ, MOPE, MZI, MNVP).</w:t>
      </w:r>
    </w:p>
    <w:p w14:paraId="4E34C7B7" w14:textId="77777777" w:rsidR="00A32A8B" w:rsidRPr="0025033E" w:rsidRDefault="00A32A8B" w:rsidP="00ED5676">
      <w:pPr>
        <w:spacing w:after="0"/>
        <w:jc w:val="both"/>
        <w:rPr>
          <w:rFonts w:cs="Arial"/>
          <w:szCs w:val="20"/>
        </w:rPr>
      </w:pPr>
    </w:p>
    <w:p w14:paraId="1B9CF7AA" w14:textId="539E4B8A" w:rsidR="00404987" w:rsidRPr="0025033E" w:rsidRDefault="0099175C" w:rsidP="00130F16">
      <w:pPr>
        <w:pStyle w:val="Naslov2"/>
        <w:numPr>
          <w:ilvl w:val="1"/>
          <w:numId w:val="17"/>
        </w:numPr>
        <w:spacing w:before="0"/>
      </w:pPr>
      <w:bookmarkStart w:id="402" w:name="_Toc191460229"/>
      <w:r w:rsidRPr="0025033E">
        <w:t>SKLAD ZA PRAVIČNI PREHOD (SPP)</w:t>
      </w:r>
      <w:bookmarkEnd w:id="402"/>
    </w:p>
    <w:p w14:paraId="14AC09B9" w14:textId="77777777" w:rsidR="00404987" w:rsidRPr="0025033E" w:rsidRDefault="00404987" w:rsidP="00ED5676">
      <w:pPr>
        <w:spacing w:after="0"/>
        <w:jc w:val="both"/>
        <w:rPr>
          <w:rFonts w:cs="Arial"/>
        </w:rPr>
      </w:pPr>
    </w:p>
    <w:p w14:paraId="1A4BC207" w14:textId="2F3ADFEC" w:rsidR="00404987" w:rsidRPr="00404987" w:rsidRDefault="00404987" w:rsidP="00ED5676">
      <w:pPr>
        <w:suppressAutoHyphens w:val="0"/>
        <w:autoSpaceDN/>
        <w:spacing w:after="0"/>
        <w:jc w:val="both"/>
        <w:rPr>
          <w:rFonts w:eastAsia="Calibri" w:cs="Arial"/>
          <w:szCs w:val="20"/>
        </w:rPr>
      </w:pPr>
      <w:r w:rsidRPr="00404987">
        <w:rPr>
          <w:rFonts w:eastAsia="Calibri" w:cs="Arial"/>
          <w:szCs w:val="20"/>
        </w:rPr>
        <w:t>Na pobudo in v sodelovanju z regijama sta bili v letu 2024 pripravljeni sprememba ONPP SAŠA in sprememba ONPP Zasavje za zagotavljanje sinergij s projekti financirani v okviru instrumenta posojil za javni sektor (3. steber Mehanizma za pravični prehod). Spremembo PEKP ter spremembi ONPP SAŠA in ONPP Zasavje je dne 22.</w:t>
      </w:r>
      <w:r w:rsidR="00427FC8" w:rsidRPr="0025033E">
        <w:rPr>
          <w:rFonts w:eastAsia="Calibri" w:cs="Arial"/>
          <w:szCs w:val="20"/>
        </w:rPr>
        <w:t xml:space="preserve"> </w:t>
      </w:r>
      <w:r w:rsidRPr="00404987">
        <w:rPr>
          <w:rFonts w:eastAsia="Calibri" w:cs="Arial"/>
          <w:szCs w:val="20"/>
        </w:rPr>
        <w:t>11.</w:t>
      </w:r>
      <w:r w:rsidR="00427FC8" w:rsidRPr="0025033E">
        <w:rPr>
          <w:rFonts w:eastAsia="Calibri" w:cs="Arial"/>
          <w:szCs w:val="20"/>
        </w:rPr>
        <w:t xml:space="preserve"> </w:t>
      </w:r>
      <w:r w:rsidRPr="00404987">
        <w:rPr>
          <w:rFonts w:eastAsia="Calibri" w:cs="Arial"/>
          <w:szCs w:val="20"/>
        </w:rPr>
        <w:t xml:space="preserve">2024 potrdila EK. </w:t>
      </w:r>
    </w:p>
    <w:p w14:paraId="675F53CB" w14:textId="77777777" w:rsidR="00404987" w:rsidRPr="00404987" w:rsidRDefault="00404987" w:rsidP="00ED5676">
      <w:pPr>
        <w:suppressAutoHyphens w:val="0"/>
        <w:autoSpaceDN/>
        <w:spacing w:after="0"/>
        <w:jc w:val="both"/>
        <w:rPr>
          <w:rFonts w:eastAsia="Calibri" w:cs="Arial"/>
          <w:szCs w:val="20"/>
        </w:rPr>
      </w:pPr>
    </w:p>
    <w:p w14:paraId="4F1E7700" w14:textId="6DB0D51C" w:rsidR="00404987" w:rsidRPr="00404987" w:rsidRDefault="00404987" w:rsidP="003E5733">
      <w:pPr>
        <w:suppressAutoHyphens w:val="0"/>
        <w:autoSpaceDN/>
        <w:spacing w:after="0"/>
        <w:jc w:val="both"/>
        <w:rPr>
          <w:rFonts w:eastAsia="Calibri" w:cs="Arial"/>
          <w:color w:val="4472C4"/>
          <w:szCs w:val="20"/>
        </w:rPr>
      </w:pPr>
      <w:r w:rsidRPr="00404987">
        <w:rPr>
          <w:rFonts w:eastAsia="Calibri" w:cs="Arial"/>
          <w:szCs w:val="20"/>
        </w:rPr>
        <w:t>Podatki o stanju izvajanja v celotnem obdobju kažejo, da izvajanje poteka počasneje od načrtovane dinamike, kljub temu pa je od 248 mio EUR v okviru Sklada za pravični prehod skupaj izdanih odločitev o podpori za 157,6 mio EUR (63 %).</w:t>
      </w:r>
      <w:r w:rsidRPr="00404987">
        <w:rPr>
          <w:rFonts w:cs="Arial"/>
          <w:szCs w:val="20"/>
        </w:rPr>
        <w:t xml:space="preserve"> </w:t>
      </w:r>
      <w:r w:rsidRPr="00404987">
        <w:rPr>
          <w:rFonts w:eastAsia="Calibri" w:cs="Arial"/>
          <w:szCs w:val="20"/>
        </w:rPr>
        <w:t>Izplačila iz proračuna RS so realizirana v skupni višini 9.033.857,658 mio EUR EU dela, kar predstavlja 4 % glede na pravice porabe.</w:t>
      </w:r>
    </w:p>
    <w:p w14:paraId="47EA6565" w14:textId="77777777" w:rsidR="003E5733" w:rsidRDefault="003E5733" w:rsidP="00ED5676">
      <w:pPr>
        <w:suppressAutoHyphens w:val="0"/>
        <w:autoSpaceDN/>
        <w:spacing w:after="0"/>
        <w:jc w:val="both"/>
        <w:rPr>
          <w:rFonts w:eastAsia="Calibri" w:cs="Arial"/>
          <w:szCs w:val="20"/>
        </w:rPr>
      </w:pPr>
    </w:p>
    <w:p w14:paraId="27CD332F" w14:textId="3CD74A2F" w:rsidR="007201F1" w:rsidRPr="007201F1" w:rsidRDefault="00404987" w:rsidP="007201F1">
      <w:pPr>
        <w:suppressAutoHyphens w:val="0"/>
        <w:autoSpaceDN/>
        <w:spacing w:after="0"/>
        <w:jc w:val="both"/>
        <w:rPr>
          <w:rFonts w:eastAsia="Calibri" w:cs="Arial"/>
          <w:szCs w:val="20"/>
        </w:rPr>
      </w:pPr>
      <w:r w:rsidRPr="007201F1">
        <w:rPr>
          <w:rFonts w:eastAsia="Calibri" w:cs="Arial"/>
          <w:szCs w:val="20"/>
        </w:rPr>
        <w:t xml:space="preserve">V letu 2023 in prvi polovici 2024 je bila izdana odločitev o podpori za operacijo strateškega pomena, Center za demonstracije in usposabljanje za </w:t>
      </w:r>
      <w:proofErr w:type="spellStart"/>
      <w:r w:rsidRPr="007201F1">
        <w:rPr>
          <w:rFonts w:eastAsia="Calibri" w:cs="Arial"/>
          <w:szCs w:val="20"/>
        </w:rPr>
        <w:t>brezogljične</w:t>
      </w:r>
      <w:proofErr w:type="spellEnd"/>
      <w:r w:rsidRPr="007201F1">
        <w:rPr>
          <w:rFonts w:eastAsia="Calibri" w:cs="Arial"/>
          <w:szCs w:val="20"/>
        </w:rPr>
        <w:t xml:space="preserve"> tehnologije (Center DUBT) ter objavljeni 4 </w:t>
      </w:r>
      <w:r w:rsidR="007201F1">
        <w:rPr>
          <w:rFonts w:eastAsia="Calibri" w:cs="Arial"/>
          <w:szCs w:val="20"/>
        </w:rPr>
        <w:t>javne razpise</w:t>
      </w:r>
      <w:r w:rsidRPr="007201F1">
        <w:rPr>
          <w:rFonts w:eastAsia="Calibri" w:cs="Arial"/>
          <w:szCs w:val="20"/>
        </w:rPr>
        <w:t>:</w:t>
      </w:r>
      <w:bookmarkStart w:id="403" w:name="_Hlk170891695"/>
      <w:r w:rsidR="003E5733" w:rsidRPr="007201F1">
        <w:rPr>
          <w:rFonts w:eastAsia="Calibri" w:cs="Arial"/>
          <w:szCs w:val="20"/>
        </w:rPr>
        <w:t xml:space="preserve"> </w:t>
      </w:r>
    </w:p>
    <w:p w14:paraId="254EE64A" w14:textId="70495E8F" w:rsidR="003E5733" w:rsidRPr="007201F1" w:rsidRDefault="00404987" w:rsidP="009864BC">
      <w:pPr>
        <w:pStyle w:val="Odstavekseznama"/>
        <w:numPr>
          <w:ilvl w:val="0"/>
          <w:numId w:val="31"/>
        </w:numPr>
        <w:suppressAutoHyphens w:val="0"/>
        <w:autoSpaceDN/>
        <w:spacing w:after="0"/>
        <w:jc w:val="both"/>
        <w:rPr>
          <w:rFonts w:eastAsia="Calibri" w:cs="Arial"/>
          <w:szCs w:val="20"/>
        </w:rPr>
      </w:pPr>
      <w:r w:rsidRPr="007201F1">
        <w:rPr>
          <w:rFonts w:eastAsia="Calibri" w:cs="Arial"/>
          <w:szCs w:val="20"/>
        </w:rPr>
        <w:t>JR za sofinanciranje projektov izgradnje ekonomsko – poslovne infrastrukture v Zasavski premogovni regiji</w:t>
      </w:r>
      <w:bookmarkStart w:id="404" w:name="_Hlk170891803"/>
      <w:bookmarkEnd w:id="403"/>
      <w:r w:rsidR="007201F1">
        <w:rPr>
          <w:rFonts w:eastAsia="Calibri" w:cs="Arial"/>
          <w:szCs w:val="20"/>
        </w:rPr>
        <w:t>;</w:t>
      </w:r>
    </w:p>
    <w:p w14:paraId="2C7CF2E1" w14:textId="6104BC00" w:rsidR="003E5733" w:rsidRDefault="00404987" w:rsidP="009864BC">
      <w:pPr>
        <w:pStyle w:val="Odstavekseznama"/>
        <w:numPr>
          <w:ilvl w:val="0"/>
          <w:numId w:val="31"/>
        </w:numPr>
        <w:suppressAutoHyphens w:val="0"/>
        <w:autoSpaceDN/>
        <w:spacing w:after="0"/>
        <w:jc w:val="both"/>
        <w:rPr>
          <w:rFonts w:eastAsia="Calibri" w:cs="Arial"/>
          <w:szCs w:val="20"/>
        </w:rPr>
      </w:pPr>
      <w:r w:rsidRPr="003E5733">
        <w:rPr>
          <w:rFonts w:eastAsia="Calibri" w:cs="Arial"/>
          <w:szCs w:val="20"/>
        </w:rPr>
        <w:t>JR za sofinanciranje projektov izgradnje ekonomsko poslovne infrastrukture (podjetniških inkubatorjev) v Zasavski in Savinjsko-Šaleški (SAŠA) premogovni regiji</w:t>
      </w:r>
      <w:bookmarkEnd w:id="404"/>
      <w:r w:rsidR="007201F1">
        <w:rPr>
          <w:rFonts w:eastAsia="Calibri" w:cs="Arial"/>
          <w:szCs w:val="20"/>
        </w:rPr>
        <w:t>;</w:t>
      </w:r>
    </w:p>
    <w:p w14:paraId="1C77CF8C" w14:textId="2D0A1F97" w:rsidR="003E5733" w:rsidRDefault="007201F1" w:rsidP="009864BC">
      <w:pPr>
        <w:pStyle w:val="Odstavekseznama"/>
        <w:numPr>
          <w:ilvl w:val="0"/>
          <w:numId w:val="31"/>
        </w:numPr>
        <w:suppressAutoHyphens w:val="0"/>
        <w:autoSpaceDN/>
        <w:spacing w:after="0"/>
        <w:jc w:val="both"/>
        <w:rPr>
          <w:rFonts w:eastAsia="Calibri" w:cs="Arial"/>
          <w:szCs w:val="20"/>
        </w:rPr>
      </w:pPr>
      <w:r>
        <w:rPr>
          <w:rFonts w:eastAsia="Calibri" w:cs="Arial"/>
          <w:szCs w:val="20"/>
        </w:rPr>
        <w:t>JR</w:t>
      </w:r>
      <w:r w:rsidR="00404987" w:rsidRPr="003E5733">
        <w:rPr>
          <w:rFonts w:eastAsia="Calibri" w:cs="Arial"/>
          <w:szCs w:val="20"/>
        </w:rPr>
        <w:t xml:space="preserve"> </w:t>
      </w:r>
      <w:bookmarkStart w:id="405" w:name="_Hlk187237867"/>
      <w:r w:rsidR="00404987" w:rsidRPr="003E5733">
        <w:rPr>
          <w:rFonts w:eastAsia="Calibri" w:cs="Arial"/>
          <w:szCs w:val="20"/>
        </w:rPr>
        <w:t>za spodbujanje investicij za gospodarsko prestrukturiranje v zasavski in Savinjsko-Šaleški premogovni regiji v okviru sklada za pravični prehod v obdobju 2024–2027</w:t>
      </w:r>
      <w:bookmarkEnd w:id="405"/>
      <w:r w:rsidR="00404987" w:rsidRPr="003E5733">
        <w:rPr>
          <w:rFonts w:eastAsia="Calibri" w:cs="Arial"/>
          <w:szCs w:val="20"/>
        </w:rPr>
        <w:t xml:space="preserve"> ter </w:t>
      </w:r>
    </w:p>
    <w:p w14:paraId="5EC81630" w14:textId="5B4151A6" w:rsidR="00404987" w:rsidRPr="003E5733" w:rsidRDefault="007201F1" w:rsidP="009864BC">
      <w:pPr>
        <w:pStyle w:val="Odstavekseznama"/>
        <w:numPr>
          <w:ilvl w:val="0"/>
          <w:numId w:val="31"/>
        </w:numPr>
        <w:suppressAutoHyphens w:val="0"/>
        <w:autoSpaceDN/>
        <w:spacing w:after="0"/>
        <w:jc w:val="both"/>
        <w:rPr>
          <w:rFonts w:eastAsia="Calibri" w:cs="Arial"/>
          <w:szCs w:val="20"/>
        </w:rPr>
      </w:pPr>
      <w:r>
        <w:rPr>
          <w:rFonts w:eastAsia="Calibri" w:cs="Arial"/>
          <w:szCs w:val="20"/>
        </w:rPr>
        <w:t>JR</w:t>
      </w:r>
      <w:r w:rsidR="00404987" w:rsidRPr="003E5733">
        <w:rPr>
          <w:rFonts w:eastAsia="Calibri" w:cs="Arial"/>
          <w:szCs w:val="20"/>
        </w:rPr>
        <w:t xml:space="preserve"> za sofinanciranje projektov izgradnje ekonomsko-poslovne infrastrukture Savinjsko-Šaleški (SAŠA) premogovni regiji v okviru Sklada za pravični prehod v obdobju 2023–2027.</w:t>
      </w:r>
    </w:p>
    <w:p w14:paraId="5C5FDB21" w14:textId="77777777" w:rsidR="00404987" w:rsidRPr="00404987" w:rsidRDefault="00404987" w:rsidP="00ED5676">
      <w:pPr>
        <w:suppressAutoHyphens w:val="0"/>
        <w:autoSpaceDN/>
        <w:spacing w:after="0"/>
        <w:jc w:val="both"/>
        <w:rPr>
          <w:rFonts w:eastAsia="Calibri" w:cs="Arial"/>
          <w:szCs w:val="20"/>
        </w:rPr>
      </w:pPr>
    </w:p>
    <w:p w14:paraId="3D080B73" w14:textId="43E90633" w:rsidR="00404987" w:rsidRDefault="00404987" w:rsidP="00ED5676">
      <w:pPr>
        <w:suppressAutoHyphens w:val="0"/>
        <w:autoSpaceDN/>
        <w:spacing w:after="0"/>
        <w:jc w:val="both"/>
        <w:rPr>
          <w:rFonts w:eastAsia="Calibri" w:cs="Arial"/>
          <w:szCs w:val="20"/>
        </w:rPr>
      </w:pPr>
      <w:r w:rsidRPr="00404987">
        <w:rPr>
          <w:rFonts w:eastAsia="Calibri" w:cs="Arial"/>
          <w:szCs w:val="20"/>
        </w:rPr>
        <w:t>V drugem polletju 2024 je bilo v okviru postopka izbora operacij na JR za spodbujanje investicij za gospodarsko prestrukturiranje v zasavski in Savinjsko-Šaleški premogovni regiji v okviru sklada za pravični prehod v obdobju 2024–2027 ugotovljeno veliko število oddanih vlog za kvalitetne investicijske projekte, s katerimi bi bilo mogoče hitreje gospodarsko prestrukturirati premogovni regiji, zato je bila sprejeta odločitev o povišanju razpisanih sredstev za 14.419.800 EUR. Izbor operacij bo zaključen v januarju 2025.</w:t>
      </w:r>
    </w:p>
    <w:p w14:paraId="5FC56CFC" w14:textId="77777777" w:rsidR="009D6990" w:rsidRPr="0025033E" w:rsidRDefault="009D6990" w:rsidP="00ED5676">
      <w:pPr>
        <w:suppressAutoHyphens w:val="0"/>
        <w:autoSpaceDN/>
        <w:spacing w:after="0"/>
        <w:jc w:val="both"/>
        <w:rPr>
          <w:rFonts w:eastAsia="Calibri" w:cs="Arial"/>
          <w:szCs w:val="20"/>
        </w:rPr>
      </w:pPr>
    </w:p>
    <w:p w14:paraId="78AC16B6" w14:textId="51AD036E" w:rsidR="00404987" w:rsidRPr="00404987" w:rsidRDefault="00404987" w:rsidP="00ED5676">
      <w:pPr>
        <w:suppressAutoHyphens w:val="0"/>
        <w:autoSpaceDN/>
        <w:spacing w:after="0"/>
        <w:jc w:val="both"/>
        <w:rPr>
          <w:rFonts w:eastAsia="Calibri" w:cs="Arial"/>
          <w:szCs w:val="20"/>
        </w:rPr>
      </w:pPr>
      <w:r w:rsidRPr="00404987">
        <w:rPr>
          <w:rFonts w:eastAsia="Calibri" w:cs="Arial"/>
          <w:szCs w:val="20"/>
        </w:rPr>
        <w:t xml:space="preserve">V okviru postopka izbora operacij na JR za sofinanciranje projektov izgradnje ekonomsko-poslovne infrastrukture (podjetniških inkubatorjev) v Zasavski in Savinjsko-Šaleški (SAŠA) premogovni regiji je bila </w:t>
      </w:r>
      <w:r w:rsidRPr="00404987">
        <w:rPr>
          <w:rFonts w:eastAsia="Calibri" w:cs="Arial"/>
          <w:szCs w:val="20"/>
        </w:rPr>
        <w:lastRenderedPageBreak/>
        <w:t>za Zasavje izbrana ena operacija, za Savinjsko-šaleško pa je bil javni razpis v tem delu preklican in se je zaključil brez izbora operacij, saj sta bili vlogi, ki sta prispeli na javni razpis pripravljeni tako, da glede na pogoje, cilje in merila javnega razpisa, rezultati operacij ne bi upravičevali načrtovanega vložka.</w:t>
      </w:r>
    </w:p>
    <w:p w14:paraId="7CF03F72" w14:textId="77777777" w:rsidR="00404987" w:rsidRPr="00404987" w:rsidRDefault="00404987" w:rsidP="00ED5676">
      <w:pPr>
        <w:suppressAutoHyphens w:val="0"/>
        <w:autoSpaceDN/>
        <w:spacing w:after="0"/>
        <w:jc w:val="both"/>
        <w:rPr>
          <w:rFonts w:eastAsia="Calibri" w:cs="Arial"/>
          <w:szCs w:val="20"/>
        </w:rPr>
      </w:pPr>
    </w:p>
    <w:p w14:paraId="02BDACF3" w14:textId="00EC5236" w:rsidR="00404987" w:rsidRPr="0025033E" w:rsidRDefault="00404987" w:rsidP="00ED5676">
      <w:pPr>
        <w:spacing w:after="0"/>
        <w:jc w:val="both"/>
        <w:rPr>
          <w:rFonts w:cs="Arial"/>
          <w:sz w:val="18"/>
          <w:szCs w:val="20"/>
        </w:rPr>
      </w:pPr>
      <w:r w:rsidRPr="0025033E">
        <w:rPr>
          <w:rFonts w:eastAsia="Calibri" w:cs="Arial"/>
          <w:szCs w:val="20"/>
        </w:rPr>
        <w:t>Ostali predvideni ukrepi so v usklajevanju in bodo predvidoma potrjeni v letu 2025</w:t>
      </w:r>
      <w:r w:rsidR="006269F4" w:rsidRPr="0025033E">
        <w:rPr>
          <w:rFonts w:eastAsia="Calibri" w:cs="Arial"/>
          <w:szCs w:val="20"/>
        </w:rPr>
        <w:t>.</w:t>
      </w:r>
    </w:p>
    <w:p w14:paraId="6E990C9B" w14:textId="77777777" w:rsidR="00404987" w:rsidRPr="0025033E" w:rsidRDefault="00404987" w:rsidP="00ED5676">
      <w:pPr>
        <w:spacing w:after="0"/>
        <w:jc w:val="both"/>
        <w:rPr>
          <w:rFonts w:cs="Arial"/>
        </w:rPr>
      </w:pPr>
    </w:p>
    <w:p w14:paraId="4483E2D0" w14:textId="33B03839" w:rsidR="00404987" w:rsidRPr="0025033E" w:rsidRDefault="0099175C" w:rsidP="00130F16">
      <w:pPr>
        <w:pStyle w:val="Naslov2"/>
        <w:numPr>
          <w:ilvl w:val="1"/>
          <w:numId w:val="17"/>
        </w:numPr>
        <w:spacing w:before="0"/>
        <w:rPr>
          <w:rFonts w:cs="Arial"/>
        </w:rPr>
      </w:pPr>
      <w:bookmarkStart w:id="406" w:name="_Toc191460230"/>
      <w:r w:rsidRPr="00130F16">
        <w:t>EVROPSKI SOCIALNI SKLAD PLUS (ESS+)</w:t>
      </w:r>
      <w:bookmarkEnd w:id="406"/>
    </w:p>
    <w:p w14:paraId="10D36726" w14:textId="77777777" w:rsidR="00404987" w:rsidRPr="0025033E" w:rsidRDefault="00404987" w:rsidP="00ED5676">
      <w:pPr>
        <w:spacing w:after="0"/>
        <w:jc w:val="both"/>
        <w:rPr>
          <w:rFonts w:cs="Arial"/>
        </w:rPr>
      </w:pPr>
    </w:p>
    <w:p w14:paraId="375EE049" w14:textId="77777777" w:rsidR="00404987" w:rsidRPr="0025033E" w:rsidRDefault="00404987" w:rsidP="00ED5676">
      <w:pPr>
        <w:suppressAutoHyphens w:val="0"/>
        <w:autoSpaceDN/>
        <w:spacing w:after="0" w:line="259" w:lineRule="auto"/>
        <w:jc w:val="both"/>
        <w:rPr>
          <w:rFonts w:eastAsia="Calibri" w:cs="Arial"/>
          <w:b/>
          <w:bCs/>
          <w:kern w:val="2"/>
          <w:szCs w:val="20"/>
          <w:lang w:eastAsia="en-US"/>
        </w:rPr>
      </w:pPr>
      <w:r w:rsidRPr="00404987">
        <w:rPr>
          <w:rFonts w:eastAsia="Calibri" w:cs="Arial"/>
          <w:b/>
          <w:bCs/>
          <w:kern w:val="2"/>
          <w:szCs w:val="20"/>
          <w:lang w:eastAsia="en-US"/>
        </w:rPr>
        <w:t>Znanja in spretnosti ter odzivni trg dela</w:t>
      </w:r>
    </w:p>
    <w:p w14:paraId="27504D73" w14:textId="77777777" w:rsidR="00404987" w:rsidRPr="00404987" w:rsidRDefault="00404987" w:rsidP="00ED5676">
      <w:pPr>
        <w:suppressAutoHyphens w:val="0"/>
        <w:autoSpaceDN/>
        <w:spacing w:after="0" w:line="259" w:lineRule="auto"/>
        <w:jc w:val="both"/>
        <w:rPr>
          <w:rFonts w:eastAsia="Calibri" w:cs="Arial"/>
          <w:b/>
          <w:bCs/>
          <w:kern w:val="2"/>
          <w:szCs w:val="20"/>
          <w:lang w:eastAsia="en-US"/>
        </w:rPr>
      </w:pPr>
    </w:p>
    <w:p w14:paraId="4DCF2556" w14:textId="343184FC" w:rsidR="00404987" w:rsidRPr="00404987" w:rsidRDefault="00404987" w:rsidP="00ED5676">
      <w:pPr>
        <w:suppressAutoHyphens w:val="0"/>
        <w:autoSpaceDN/>
        <w:spacing w:after="0" w:line="259" w:lineRule="auto"/>
        <w:jc w:val="both"/>
        <w:rPr>
          <w:rFonts w:eastAsia="Calibri" w:cs="Arial"/>
          <w:kern w:val="2"/>
          <w:szCs w:val="20"/>
          <w:lang w:eastAsia="en-US"/>
        </w:rPr>
      </w:pPr>
      <w:r w:rsidRPr="00404987">
        <w:rPr>
          <w:rFonts w:eastAsia="Calibri" w:cs="Arial"/>
          <w:kern w:val="2"/>
          <w:szCs w:val="20"/>
          <w:lang w:eastAsia="en-US"/>
        </w:rPr>
        <w:t xml:space="preserve">V tej perspektivi je eden izmed ključnih strateških ciljev modernizacija storitev in povezovanje institucij trga dela, kar vključuje krepitev mreže pisarn za delodajalce za podporo delodajalcem pri iskanju ustreznih kadrov ter posodobitev storitev v okviru institucij trga dela. Po odobreni operaciji Platforma trga dela oz. napovedovanja kompetenc, ki bo učinkovito povezovala delodajalce, iskalce zaposlitve in svetovalce ZRSZ, je OU v mesecu juliju potrdil še operacijo Razvoj in vzpostavitev novega storitvenega modela ZRSZ, s krepitvijo digitalnega poslovanja. Novi storitveni model bo omogočil inovativno uporabniško pot, ki bo posameznikom, veščim digitalnega poslovanja, omogočil dostop do spletnih storitev in ustrezne podpore. </w:t>
      </w:r>
      <w:r w:rsidR="003327AF">
        <w:rPr>
          <w:rFonts w:eastAsia="Calibri" w:cs="Arial"/>
          <w:kern w:val="2"/>
          <w:szCs w:val="20"/>
          <w:lang w:eastAsia="en-US"/>
        </w:rPr>
        <w:t>Za odzivni trg dela so nujni</w:t>
      </w:r>
      <w:r w:rsidR="003327AF" w:rsidRPr="00B10D4E">
        <w:rPr>
          <w:rFonts w:eastAsia="Calibri" w:cs="Arial"/>
          <w:kern w:val="2"/>
          <w:szCs w:val="20"/>
          <w:lang w:eastAsia="en-US"/>
        </w:rPr>
        <w:t xml:space="preserve"> programi aktivne politike zaposlovanja, z namenom hitrejšega dostopa do trga dela. </w:t>
      </w:r>
      <w:r w:rsidR="003327AF">
        <w:rPr>
          <w:rFonts w:eastAsia="Calibri" w:cs="Arial"/>
          <w:kern w:val="2"/>
          <w:szCs w:val="20"/>
          <w:lang w:eastAsia="en-US"/>
        </w:rPr>
        <w:t>V letu 2024 so se b</w:t>
      </w:r>
      <w:r w:rsidR="003327AF" w:rsidRPr="00B10D4E">
        <w:rPr>
          <w:rFonts w:eastAsia="Calibri" w:cs="Arial"/>
          <w:kern w:val="2"/>
          <w:szCs w:val="20"/>
          <w:lang w:eastAsia="en-US"/>
        </w:rPr>
        <w:t>rezposelne osebe vključ</w:t>
      </w:r>
      <w:r w:rsidR="003327AF">
        <w:rPr>
          <w:rFonts w:eastAsia="Calibri" w:cs="Arial"/>
          <w:kern w:val="2"/>
          <w:szCs w:val="20"/>
          <w:lang w:eastAsia="en-US"/>
        </w:rPr>
        <w:t>evale</w:t>
      </w:r>
      <w:r w:rsidR="003327AF" w:rsidRPr="00B10D4E">
        <w:rPr>
          <w:rFonts w:eastAsia="Calibri" w:cs="Arial"/>
          <w:kern w:val="2"/>
          <w:szCs w:val="20"/>
          <w:lang w:eastAsia="en-US"/>
        </w:rPr>
        <w:t xml:space="preserve"> v usposabljanja na konkretnih delovnih mestih</w:t>
      </w:r>
      <w:r w:rsidR="003327AF">
        <w:rPr>
          <w:rFonts w:eastAsia="Calibri" w:cs="Arial"/>
          <w:kern w:val="2"/>
          <w:szCs w:val="20"/>
          <w:lang w:eastAsia="en-US"/>
        </w:rPr>
        <w:t xml:space="preserve"> ter </w:t>
      </w:r>
      <w:r w:rsidR="003327AF" w:rsidRPr="00B10D4E">
        <w:rPr>
          <w:rFonts w:eastAsia="Calibri" w:cs="Arial"/>
          <w:kern w:val="2"/>
          <w:szCs w:val="20"/>
          <w:lang w:eastAsia="en-US"/>
        </w:rPr>
        <w:t xml:space="preserve">v različne oblike neformalnih usposabljanj in izobraževanj, za katera obstajajo potrebe na trgu dela. Več kot ena tretjina predstavljajo izobraževanja s področja digitalnih in zelenih spretnosti. To bo brezposelnim osebam omogočilo večjo konkurenčnost in usposobljenost. Z namenom povečanja zaposlenosti starejših, nizko izobraženih in dolgotrajno brezposelnih </w:t>
      </w:r>
      <w:r w:rsidR="003327AF">
        <w:rPr>
          <w:rFonts w:eastAsia="Calibri" w:cs="Arial"/>
          <w:kern w:val="2"/>
          <w:szCs w:val="20"/>
          <w:lang w:eastAsia="en-US"/>
        </w:rPr>
        <w:t xml:space="preserve">se od pomladi 2024 </w:t>
      </w:r>
      <w:r w:rsidR="003327AF" w:rsidRPr="00B10D4E">
        <w:rPr>
          <w:rFonts w:eastAsia="Calibri" w:cs="Arial"/>
          <w:kern w:val="2"/>
          <w:szCs w:val="20"/>
          <w:lang w:eastAsia="en-US"/>
        </w:rPr>
        <w:t>izvaja program »Zaposli.me+«. Z zaposlitvijo si osebe širijo svojo socialno mrežo, razvijajo delovne navade, pridobivajo nove kompetence ter s tem povečujejo možnosti za ohranitev zaposlenosti tudi po koncu pogodbenih obveznosti. Za brezposelne osebe, ki so dolgotrajno brezposelne, starejše od 50 let in nizko izobražene je ta program največkrat edina priložnost za zaposlitev, še posebej to velja za osebe, ki imajo vse tri lastnosti</w:t>
      </w:r>
      <w:r w:rsidR="003327AF">
        <w:rPr>
          <w:rFonts w:eastAsia="Calibri" w:cs="Arial"/>
          <w:kern w:val="2"/>
          <w:szCs w:val="20"/>
          <w:lang w:eastAsia="en-US"/>
        </w:rPr>
        <w:t xml:space="preserve">, saj so brez spodbud bolj podvržene tveganju revščine. </w:t>
      </w:r>
      <w:r w:rsidRPr="00404987">
        <w:rPr>
          <w:rFonts w:eastAsia="Calibri" w:cs="Arial"/>
          <w:kern w:val="2"/>
          <w:szCs w:val="20"/>
          <w:lang w:eastAsia="en-US"/>
        </w:rPr>
        <w:t xml:space="preserve">V okviru </w:t>
      </w:r>
      <w:r w:rsidR="00CD364F" w:rsidRPr="00404987">
        <w:rPr>
          <w:rFonts w:eastAsia="Calibri" w:cs="Arial"/>
          <w:kern w:val="2"/>
          <w:szCs w:val="20"/>
          <w:lang w:eastAsia="en-US"/>
        </w:rPr>
        <w:t>vseživlj</w:t>
      </w:r>
      <w:r w:rsidR="00CD364F">
        <w:rPr>
          <w:rFonts w:eastAsia="Calibri" w:cs="Arial"/>
          <w:kern w:val="2"/>
          <w:szCs w:val="20"/>
          <w:lang w:eastAsia="en-US"/>
        </w:rPr>
        <w:t>en</w:t>
      </w:r>
      <w:r w:rsidR="00CD364F" w:rsidRPr="00404987">
        <w:rPr>
          <w:rFonts w:eastAsia="Calibri" w:cs="Arial"/>
          <w:kern w:val="2"/>
          <w:szCs w:val="20"/>
          <w:lang w:eastAsia="en-US"/>
        </w:rPr>
        <w:t>jskega</w:t>
      </w:r>
      <w:r w:rsidRPr="00404987">
        <w:rPr>
          <w:rFonts w:eastAsia="Calibri" w:cs="Arial"/>
          <w:kern w:val="2"/>
          <w:szCs w:val="20"/>
          <w:lang w:eastAsia="en-US"/>
        </w:rPr>
        <w:t xml:space="preserve"> učenja, v Centru za izobraževanje v pravosodju, bo posodobljen model kompetenc, izvedena bo nadgradnja sistema merjenja razvitosti kompetenc in širitev nabora izobraževanj ob upoštevanju družbenega, gospodarskega in tehnološkega razvoja, zelenega prehoda in družbenih sprememb ter posledično celovito in dolgoročno izobraževanje ter usposabljanje zaposlenih v pravosodju ter drugih deležnikov, ki delujejo v pravosodnem sistemu. V sklopu izboljšanja kakovosti, vključenosti, učinkovitosti in ustreznosti sistemov izobraževanja in usposabljanja za potrebe trga dela, se bo vzpostavila Razvojna pisarna, z namenom izgradnje sistemskega okolja za razvoj kulturno-umetnostne vzgoje na nacionalni ravni.</w:t>
      </w:r>
      <w:r w:rsidRPr="00404987">
        <w:rPr>
          <w:rFonts w:eastAsia="Calibri" w:cs="Arial"/>
          <w:kern w:val="2"/>
          <w:sz w:val="18"/>
          <w:szCs w:val="18"/>
          <w:lang w:eastAsia="en-US"/>
        </w:rPr>
        <w:t xml:space="preserve"> </w:t>
      </w:r>
    </w:p>
    <w:p w14:paraId="1ED845C3" w14:textId="77777777" w:rsidR="00404987" w:rsidRPr="00404987" w:rsidRDefault="00404987" w:rsidP="00ED5676">
      <w:pPr>
        <w:suppressAutoHyphens w:val="0"/>
        <w:autoSpaceDN/>
        <w:spacing w:after="0" w:line="259" w:lineRule="auto"/>
        <w:jc w:val="both"/>
        <w:rPr>
          <w:rFonts w:eastAsia="Calibri" w:cs="Arial"/>
          <w:kern w:val="2"/>
          <w:szCs w:val="20"/>
          <w:lang w:eastAsia="en-US"/>
        </w:rPr>
      </w:pPr>
    </w:p>
    <w:p w14:paraId="112BF1D1" w14:textId="4EB8034D" w:rsidR="00404987" w:rsidRPr="0025033E" w:rsidRDefault="00404987" w:rsidP="00ED5676">
      <w:pPr>
        <w:suppressAutoHyphens w:val="0"/>
        <w:autoSpaceDN/>
        <w:spacing w:after="0" w:line="276" w:lineRule="auto"/>
        <w:jc w:val="both"/>
        <w:rPr>
          <w:rFonts w:eastAsia="Calibri" w:cs="Arial"/>
          <w:b/>
          <w:bCs/>
          <w:kern w:val="2"/>
          <w:szCs w:val="20"/>
          <w:lang w:eastAsia="en-US"/>
        </w:rPr>
      </w:pPr>
      <w:r w:rsidRPr="00404987">
        <w:rPr>
          <w:rFonts w:eastAsia="Calibri" w:cs="Arial"/>
          <w:b/>
          <w:bCs/>
          <w:kern w:val="2"/>
          <w:szCs w:val="20"/>
          <w:lang w:eastAsia="en-US"/>
        </w:rPr>
        <w:t xml:space="preserve">Dolgotrajna oskrba in zdravje ter socialna vključenost </w:t>
      </w:r>
    </w:p>
    <w:p w14:paraId="6189538B" w14:textId="77777777" w:rsidR="00D928C9" w:rsidRPr="00404987" w:rsidRDefault="00D928C9" w:rsidP="00ED5676">
      <w:pPr>
        <w:suppressAutoHyphens w:val="0"/>
        <w:autoSpaceDN/>
        <w:spacing w:after="0" w:line="276" w:lineRule="auto"/>
        <w:jc w:val="both"/>
        <w:rPr>
          <w:rFonts w:eastAsia="Calibri" w:cs="Arial"/>
          <w:b/>
          <w:bCs/>
          <w:kern w:val="2"/>
          <w:szCs w:val="20"/>
          <w:lang w:eastAsia="en-US"/>
        </w:rPr>
      </w:pPr>
    </w:p>
    <w:p w14:paraId="4F241C4F" w14:textId="102F9D01" w:rsidR="00404987" w:rsidRPr="00654311" w:rsidRDefault="00404987" w:rsidP="61CDDC81">
      <w:pPr>
        <w:spacing w:after="0"/>
        <w:jc w:val="both"/>
        <w:rPr>
          <w:rFonts w:eastAsia="Calibri" w:cs="Arial"/>
          <w:kern w:val="2"/>
          <w:lang w:eastAsia="en-US"/>
        </w:rPr>
      </w:pPr>
      <w:r w:rsidRPr="61CDDC81">
        <w:rPr>
          <w:rFonts w:eastAsia="Calibri" w:cs="Arial"/>
          <w:kern w:val="2"/>
          <w:lang w:eastAsia="en-US"/>
        </w:rPr>
        <w:t xml:space="preserve">Na podlagi sprejete Strategije za </w:t>
      </w:r>
      <w:proofErr w:type="spellStart"/>
      <w:r w:rsidRPr="61CDDC81">
        <w:rPr>
          <w:rFonts w:eastAsia="Calibri" w:cs="Arial"/>
          <w:kern w:val="2"/>
          <w:lang w:eastAsia="en-US"/>
        </w:rPr>
        <w:t>deinstitucionalizacijo</w:t>
      </w:r>
      <w:proofErr w:type="spellEnd"/>
      <w:r w:rsidRPr="61CDDC81">
        <w:rPr>
          <w:rFonts w:eastAsia="Calibri" w:cs="Arial"/>
          <w:kern w:val="2"/>
          <w:lang w:eastAsia="en-US"/>
        </w:rPr>
        <w:t xml:space="preserve"> 2024-2034, se je začela izvajati operacija Center za usmerjanje </w:t>
      </w:r>
      <w:proofErr w:type="spellStart"/>
      <w:r w:rsidRPr="61CDDC81">
        <w:rPr>
          <w:rFonts w:eastAsia="Calibri" w:cs="Arial"/>
          <w:kern w:val="2"/>
          <w:lang w:eastAsia="en-US"/>
        </w:rPr>
        <w:t>deinstitucionalizacije</w:t>
      </w:r>
      <w:proofErr w:type="spellEnd"/>
      <w:r w:rsidRPr="61CDDC81">
        <w:rPr>
          <w:rFonts w:eastAsia="Calibri" w:cs="Arial"/>
          <w:kern w:val="2"/>
          <w:lang w:eastAsia="en-US"/>
        </w:rPr>
        <w:t xml:space="preserve">, s katero se bodo izvedli ključni premiki v smeri preobrazbe institucij za ljudi z oviranostjo in se bo kot alternativo zagotovilo raznolike storitve v skupnosti, ki bodo omogočale oskrbo po meri posameznika, življenje v domačem okolju, in uresničevanje človekovih pravic ljudi z oviranostjo. V vsebinsko podporo digitalizaciji dolgotrajne oskrbe in področja socialnega varstva, se je ob vzpostavitvi centra, podrlo operacijo </w:t>
      </w:r>
      <w:proofErr w:type="spellStart"/>
      <w:r w:rsidRPr="61CDDC81">
        <w:rPr>
          <w:rFonts w:eastAsia="Calibri" w:cs="Arial"/>
          <w:kern w:val="2"/>
          <w:lang w:eastAsia="en-US"/>
        </w:rPr>
        <w:t>Digido</w:t>
      </w:r>
      <w:proofErr w:type="spellEnd"/>
      <w:r w:rsidRPr="61CDDC81">
        <w:rPr>
          <w:rFonts w:eastAsia="Calibri" w:cs="Arial"/>
          <w:kern w:val="2"/>
          <w:lang w:eastAsia="en-US"/>
        </w:rPr>
        <w:t xml:space="preserve">, ki bo nudila vsebinsko podporo pri razvoju informacijskega sistema za vstopne točke na Centrih za socialno delo v okviru enotnega </w:t>
      </w:r>
      <w:r w:rsidR="00CD364F" w:rsidRPr="61CDDC81">
        <w:rPr>
          <w:rFonts w:eastAsia="Calibri" w:cs="Arial"/>
          <w:kern w:val="2"/>
          <w:lang w:eastAsia="en-US"/>
        </w:rPr>
        <w:t>informacijskega</w:t>
      </w:r>
      <w:r w:rsidRPr="61CDDC81">
        <w:rPr>
          <w:rFonts w:eastAsia="Calibri" w:cs="Arial"/>
          <w:kern w:val="2"/>
          <w:lang w:eastAsia="en-US"/>
        </w:rPr>
        <w:t xml:space="preserve"> sistema.</w:t>
      </w:r>
      <w:r w:rsidR="009C77B4" w:rsidRPr="61CDDC81">
        <w:rPr>
          <w:rFonts w:eastAsia="Calibri" w:cs="Arial"/>
          <w:kern w:val="2"/>
          <w:lang w:eastAsia="en-US"/>
        </w:rPr>
        <w:t xml:space="preserve"> Z namenom spodbujanja socialnega vključevanja oseb, ki so izpostavljena tveganju revščine ali socialne izključenosti, se je podprlo tri operacije, Izvajanje izobraževanj za osebe na prestajanju zaporne kazni, Razvoj delovnih kompetenc in specializiranih programov za osebe, vključene v probacijo in Razvoj kompetenc zaprtih oseb.</w:t>
      </w:r>
      <w:r w:rsidR="00E80DCE" w:rsidRPr="61CDDC81">
        <w:rPr>
          <w:rFonts w:eastAsia="Calibri" w:cs="Arial"/>
          <w:kern w:val="2"/>
          <w:lang w:eastAsia="en-US"/>
        </w:rPr>
        <w:t xml:space="preserve"> Na področju zdravstva sta se začela izvajati dva projekta</w:t>
      </w:r>
      <w:r w:rsidR="00817D85" w:rsidRPr="61CDDC81">
        <w:rPr>
          <w:rFonts w:eastAsia="Calibri" w:cs="Arial"/>
          <w:kern w:val="2"/>
          <w:lang w:eastAsia="en-US"/>
        </w:rPr>
        <w:t xml:space="preserve">, ki bosta bistveno prispevala k doseganju ciljev na področju zdravstva. Prvi projekt, </w:t>
      </w:r>
      <w:r w:rsidR="00E80DCE" w:rsidRPr="61CDDC81">
        <w:rPr>
          <w:rFonts w:eastAsia="Calibri" w:cs="Arial"/>
          <w:kern w:val="2"/>
          <w:lang w:eastAsia="en-US"/>
        </w:rPr>
        <w:t>Nadgradnja</w:t>
      </w:r>
      <w:r w:rsidR="7DFCA199" w:rsidRPr="61CDDC81">
        <w:rPr>
          <w:rFonts w:eastAsia="Calibri" w:cs="Arial"/>
          <w:kern w:val="2"/>
          <w:lang w:eastAsia="en-US"/>
        </w:rPr>
        <w:t xml:space="preserve"> </w:t>
      </w:r>
      <w:r w:rsidR="00E80DCE" w:rsidRPr="61CDDC81">
        <w:rPr>
          <w:rFonts w:eastAsia="Calibri" w:cs="Arial"/>
          <w:kern w:val="2"/>
          <w:lang w:eastAsia="en-US"/>
        </w:rPr>
        <w:t>testiranja novih psihoaktivnih snovi in prepovedanih drog z vključitvijo v športu prepovedanih snovi in drugih snovi, ki izboljšujejo telesne sposobnosti in izgled – nadgradnja testiranja</w:t>
      </w:r>
      <w:r w:rsidR="00817D85" w:rsidRPr="61CDDC81">
        <w:rPr>
          <w:rFonts w:eastAsia="Calibri" w:cs="Arial"/>
          <w:kern w:val="2"/>
          <w:lang w:eastAsia="en-US"/>
        </w:rPr>
        <w:t xml:space="preserve">. Drugi projekt, </w:t>
      </w:r>
      <w:r w:rsidR="00E80DCE" w:rsidRPr="61CDDC81">
        <w:rPr>
          <w:rFonts w:eastAsia="Calibri" w:cs="Arial"/>
          <w:kern w:val="2"/>
          <w:lang w:eastAsia="en-US"/>
        </w:rPr>
        <w:t>Integrirana obravnava oseb s kronično-ledvičnimi obolenji</w:t>
      </w:r>
      <w:r w:rsidR="00817D85" w:rsidRPr="61CDDC81">
        <w:rPr>
          <w:rFonts w:eastAsia="Calibri" w:cs="Arial"/>
          <w:kern w:val="2"/>
          <w:lang w:eastAsia="en-US"/>
        </w:rPr>
        <w:t>, je usmerjen v</w:t>
      </w:r>
      <w:r w:rsidR="00E80DCE" w:rsidRPr="61CDDC81">
        <w:rPr>
          <w:rFonts w:eastAsia="Calibri" w:cs="Arial"/>
          <w:kern w:val="2"/>
          <w:lang w:eastAsia="en-US"/>
        </w:rPr>
        <w:t xml:space="preserve"> krepit</w:t>
      </w:r>
      <w:r w:rsidR="00817D85" w:rsidRPr="61CDDC81">
        <w:rPr>
          <w:rFonts w:eastAsia="Calibri" w:cs="Arial"/>
          <w:kern w:val="2"/>
          <w:lang w:eastAsia="en-US"/>
        </w:rPr>
        <w:t>ev</w:t>
      </w:r>
      <w:r w:rsidR="00E80DCE" w:rsidRPr="61CDDC81">
        <w:rPr>
          <w:rFonts w:eastAsia="Calibri" w:cs="Arial"/>
          <w:kern w:val="2"/>
          <w:lang w:eastAsia="en-US"/>
        </w:rPr>
        <w:t xml:space="preserve"> zdravstvene pismenosti in zmanjševan</w:t>
      </w:r>
      <w:r w:rsidR="00817D85" w:rsidRPr="61CDDC81">
        <w:rPr>
          <w:rFonts w:eastAsia="Calibri" w:cs="Arial"/>
          <w:kern w:val="2"/>
          <w:lang w:eastAsia="en-US"/>
        </w:rPr>
        <w:t>je</w:t>
      </w:r>
      <w:r w:rsidR="00E80DCE" w:rsidRPr="61CDDC81">
        <w:rPr>
          <w:rFonts w:eastAsia="Calibri" w:cs="Arial"/>
          <w:kern w:val="2"/>
          <w:lang w:eastAsia="en-US"/>
        </w:rPr>
        <w:t xml:space="preserve"> neenakosti v zdravju. </w:t>
      </w:r>
      <w:r w:rsidR="003327AF" w:rsidRPr="61CDDC81">
        <w:rPr>
          <w:rFonts w:eastAsia="Calibri" w:cs="Arial"/>
          <w:kern w:val="2"/>
          <w:lang w:eastAsia="en-US"/>
        </w:rPr>
        <w:t xml:space="preserve">V letu 2024 se je uspešno izvajal program Projektno učenje mlajših odraslih, ki </w:t>
      </w:r>
      <w:r w:rsidR="003327AF" w:rsidRPr="61CDDC81">
        <w:rPr>
          <w:rFonts w:eastAsia="Calibri" w:cs="Arial"/>
          <w:kern w:val="2"/>
          <w:lang w:eastAsia="en-US"/>
        </w:rPr>
        <w:lastRenderedPageBreak/>
        <w:t>daje mladim NEET, ki so opustili šolanje, novo priložnost, da razvijejo svoje interese, da pridobijo nova znanja in kompetence za prehod na trg dela. Prav tako mentorji mlade spodbujajo, da pridobijo ustrezno izobrazbo. Program se je promoviral tudi prek različnih projektov izvajalcev v lokalnih okoljih kot v tujini, kjer je prepoznan kot primer dobre prakse. Na drugi strani se brezposelne osebe, ki potrebujejo poglobljeno obravnavo, vključujejo v program Učne delavnice+, kjer v varnem delovnem okolju in s pomočjo usposobljenih mentorjev pridobivajo splošne in delovno specifične kompetence. Prav tako so se v letu 2024 začelo izvajati 19 projektov  socialne aktivacije za najbolj ranljive osebe, katere potrebujejo več motivacije in pomoči pri reševanju osebnih težav, pred vključitvijo na trg dela ter 16 projektov večgeneracijskih centrov, kjer se izvajajo različne aktivnosti, ki so namenjene preprečevanju socialne izključenosti, izboljšanju položaja najbolj ranljivih oseb ter medgeneracijskemu sodelovanju. Izvajal se je tudi projekt Vseslovenska akcija ozaveščanja o socialnem vključevanju invalidov, ki je namenjen ozaveščanju družbe, vključevanju invalidov ter izboljšanju dostopnosti storitev za invalide, ki med drugim ponuja EU kartico ugodnosti in izvaja terenske oglede dostopnosti za invalidne osebe. Aktivnosti projekta neposredno prispevajo k ciljem EU2030 za večjo enakopravnost invalidov in njihovo vključenost v družbo.</w:t>
      </w:r>
      <w:r w:rsidR="00E80DCE" w:rsidRPr="61CDDC81">
        <w:rPr>
          <w:rFonts w:eastAsia="Calibri" w:cs="Arial"/>
          <w:kern w:val="2"/>
          <w:lang w:eastAsia="en-US"/>
        </w:rPr>
        <w:t xml:space="preserve">  </w:t>
      </w:r>
    </w:p>
    <w:p w14:paraId="47D4AE35" w14:textId="77777777" w:rsidR="00A44063" w:rsidRPr="0025033E" w:rsidRDefault="00A44063" w:rsidP="00ED5676">
      <w:pPr>
        <w:spacing w:after="0"/>
        <w:jc w:val="both"/>
        <w:rPr>
          <w:rFonts w:cs="Arial"/>
        </w:rPr>
      </w:pPr>
    </w:p>
    <w:p w14:paraId="1EE9C490" w14:textId="12B2D838" w:rsidR="00A44063" w:rsidRPr="00130F16" w:rsidRDefault="0099175C" w:rsidP="00130F16">
      <w:pPr>
        <w:pStyle w:val="Naslov2"/>
        <w:numPr>
          <w:ilvl w:val="1"/>
          <w:numId w:val="17"/>
        </w:numPr>
        <w:spacing w:before="0"/>
      </w:pPr>
      <w:bookmarkStart w:id="407" w:name="_Toc191460231"/>
      <w:r w:rsidRPr="00130F16">
        <w:t>FINANČNI INŠTRUMENTI</w:t>
      </w:r>
      <w:bookmarkEnd w:id="407"/>
    </w:p>
    <w:p w14:paraId="1C641BE2" w14:textId="77777777" w:rsidR="00A44063" w:rsidRPr="0025033E" w:rsidRDefault="00A44063" w:rsidP="00ED5676">
      <w:pPr>
        <w:suppressAutoHyphens w:val="0"/>
        <w:autoSpaceDN/>
        <w:spacing w:after="0"/>
        <w:jc w:val="both"/>
        <w:rPr>
          <w:rFonts w:eastAsia="Calibri" w:cs="Arial"/>
          <w:sz w:val="22"/>
          <w:szCs w:val="22"/>
        </w:rPr>
      </w:pPr>
    </w:p>
    <w:p w14:paraId="317AEBCB" w14:textId="7E8B42DD" w:rsidR="00A44063" w:rsidRPr="00BA4E86" w:rsidRDefault="00A44063" w:rsidP="00ED5676">
      <w:pPr>
        <w:suppressAutoHyphens w:val="0"/>
        <w:autoSpaceDN/>
        <w:spacing w:after="0"/>
        <w:jc w:val="both"/>
        <w:rPr>
          <w:rFonts w:eastAsia="Calibri" w:cs="Arial"/>
          <w:szCs w:val="20"/>
        </w:rPr>
      </w:pPr>
      <w:r w:rsidRPr="00A44063">
        <w:rPr>
          <w:rFonts w:eastAsia="Calibri" w:cs="Arial"/>
          <w:szCs w:val="20"/>
        </w:rPr>
        <w:t>V PEKP v obdobju 2021–2027 so finančni instrumenti (v nadaljevanju: FI) predvideni v okviru povratnih in tudi nepovratnih sredstev sklada ESRR</w:t>
      </w:r>
      <w:r w:rsidR="00D8784B">
        <w:rPr>
          <w:rFonts w:eastAsia="Calibri" w:cs="Arial"/>
          <w:szCs w:val="20"/>
        </w:rPr>
        <w:t>, in sicer</w:t>
      </w:r>
      <w:r w:rsidRPr="00A44063">
        <w:rPr>
          <w:rFonts w:eastAsia="Calibri" w:cs="Arial"/>
          <w:szCs w:val="20"/>
        </w:rPr>
        <w:t xml:space="preserve"> v skupni vrednosti 1</w:t>
      </w:r>
      <w:r w:rsidR="00D8784B">
        <w:rPr>
          <w:rFonts w:eastAsia="Calibri" w:cs="Arial"/>
          <w:szCs w:val="20"/>
        </w:rPr>
        <w:t>32</w:t>
      </w:r>
      <w:r w:rsidRPr="00A44063">
        <w:rPr>
          <w:rFonts w:eastAsia="Calibri" w:cs="Arial"/>
          <w:szCs w:val="20"/>
        </w:rPr>
        <w:t xml:space="preserve"> mio EUR</w:t>
      </w:r>
      <w:r w:rsidR="00D8784B">
        <w:rPr>
          <w:rFonts w:eastAsia="Calibri" w:cs="Arial"/>
          <w:szCs w:val="20"/>
        </w:rPr>
        <w:t>, vendar OU v sklopu ukrepov za pospešitev koriščenja EKP sredstev predvid</w:t>
      </w:r>
      <w:r w:rsidR="00CA2901">
        <w:rPr>
          <w:rFonts w:eastAsia="Calibri" w:cs="Arial"/>
          <w:szCs w:val="20"/>
        </w:rPr>
        <w:t>eva</w:t>
      </w:r>
      <w:r w:rsidR="00D8784B">
        <w:rPr>
          <w:rFonts w:eastAsia="Calibri" w:cs="Arial"/>
          <w:szCs w:val="20"/>
        </w:rPr>
        <w:t xml:space="preserve"> povišanje do višine 190 mio EUR</w:t>
      </w:r>
      <w:r w:rsidRPr="00A44063">
        <w:rPr>
          <w:rFonts w:eastAsia="Calibri" w:cs="Arial"/>
          <w:szCs w:val="20"/>
        </w:rPr>
        <w:t xml:space="preserve">. Sredstva namenjena za FI so razdeljena na 5 specifičnih ciljev v okviru 3 prednostnih nalog na podlagi izvedene Predhodne ocene potreb trga in vrzeli financiranja na trgu za izvajanje finančnih instrumentov v programskem obdobju </w:t>
      </w:r>
      <w:r w:rsidR="00427FC8" w:rsidRPr="00BA4E86">
        <w:rPr>
          <w:rFonts w:eastAsia="Calibri" w:cs="Arial"/>
          <w:szCs w:val="20"/>
        </w:rPr>
        <w:t>2021–2027</w:t>
      </w:r>
      <w:r w:rsidRPr="00A44063">
        <w:rPr>
          <w:rFonts w:eastAsia="Calibri" w:cs="Arial"/>
          <w:szCs w:val="20"/>
        </w:rPr>
        <w:t xml:space="preserve"> (v nadaljevanju: Predhodna ocena):</w:t>
      </w:r>
    </w:p>
    <w:p w14:paraId="53B489D6" w14:textId="77777777" w:rsidR="00A44063" w:rsidRPr="00A44063" w:rsidRDefault="00A44063" w:rsidP="009864BC">
      <w:pPr>
        <w:numPr>
          <w:ilvl w:val="0"/>
          <w:numId w:val="23"/>
        </w:numPr>
        <w:suppressAutoHyphens w:val="0"/>
        <w:autoSpaceDN/>
        <w:spacing w:after="160" w:line="259" w:lineRule="auto"/>
        <w:contextualSpacing/>
        <w:jc w:val="both"/>
        <w:rPr>
          <w:rFonts w:cs="Arial"/>
          <w:b/>
          <w:bCs/>
          <w:szCs w:val="20"/>
        </w:rPr>
      </w:pPr>
      <w:r w:rsidRPr="00A44063">
        <w:rPr>
          <w:rFonts w:cs="Arial"/>
          <w:szCs w:val="20"/>
        </w:rPr>
        <w:t>specifični cilj RSO 1.1, Razvoj in izboljšanje raziskovalne in inovacijske zmogljivosti ter uvajanje naprednih tehnologij (ESRR)</w:t>
      </w:r>
      <w:r w:rsidRPr="00A44063">
        <w:rPr>
          <w:rFonts w:cs="Arial"/>
          <w:b/>
          <w:bCs/>
          <w:szCs w:val="20"/>
        </w:rPr>
        <w:t xml:space="preserve"> </w:t>
      </w:r>
      <w:r w:rsidRPr="00A44063">
        <w:rPr>
          <w:rFonts w:cs="Arial"/>
          <w:szCs w:val="20"/>
        </w:rPr>
        <w:t>–</w:t>
      </w:r>
      <w:r w:rsidRPr="00A44063">
        <w:rPr>
          <w:rFonts w:cs="Arial"/>
          <w:b/>
          <w:bCs/>
          <w:szCs w:val="20"/>
        </w:rPr>
        <w:t xml:space="preserve"> </w:t>
      </w:r>
      <w:r w:rsidRPr="00A44063">
        <w:rPr>
          <w:rFonts w:cs="Arial"/>
          <w:szCs w:val="20"/>
        </w:rPr>
        <w:t xml:space="preserve">FI se predvidevajo na področju krepitve vlaganj v raziskovalne razvojne in inovacijske projekte ter sodelovanje med raziskovalnimi organizacijami, gospodarstvom, upravo in ostalimi deležniki. </w:t>
      </w:r>
    </w:p>
    <w:p w14:paraId="5018AE55" w14:textId="366E32D0" w:rsidR="00A44063" w:rsidRPr="00A44063" w:rsidRDefault="00A44063" w:rsidP="009864BC">
      <w:pPr>
        <w:numPr>
          <w:ilvl w:val="0"/>
          <w:numId w:val="23"/>
        </w:numPr>
        <w:suppressAutoHyphens w:val="0"/>
        <w:autoSpaceDN/>
        <w:spacing w:after="160" w:line="259" w:lineRule="auto"/>
        <w:contextualSpacing/>
        <w:jc w:val="both"/>
        <w:rPr>
          <w:rFonts w:cs="Arial"/>
          <w:b/>
          <w:bCs/>
          <w:szCs w:val="20"/>
        </w:rPr>
      </w:pPr>
      <w:r w:rsidRPr="00A44063">
        <w:rPr>
          <w:rFonts w:cs="Arial"/>
          <w:szCs w:val="20"/>
        </w:rPr>
        <w:t xml:space="preserve">specifični cilj RSO 1.3, Krepitev trajnostne rasti in konkurenčnosti malih in srednjih podjetij ter ustvarjanje delovnih mest v malih in srednjih podjetjih, med drugim s produktivnimi naložbami (ESRR) – </w:t>
      </w:r>
      <w:r w:rsidR="005652B2">
        <w:rPr>
          <w:rFonts w:cs="Arial"/>
          <w:szCs w:val="20"/>
        </w:rPr>
        <w:t xml:space="preserve">z izvajanjem garancij (s subvencijo obrestne mere) se bo spodbujala rast in razvoj MSP z izvedbo investicijskih projektov (za njihovo konkurenčno uveljavljanje na trgu, izboljšan tržni položaj in širitev dejavnosti).  </w:t>
      </w:r>
    </w:p>
    <w:p w14:paraId="5DE4D9AE" w14:textId="239CB0FD" w:rsidR="00A44063" w:rsidRPr="00A44063" w:rsidRDefault="00A44063" w:rsidP="009864BC">
      <w:pPr>
        <w:numPr>
          <w:ilvl w:val="0"/>
          <w:numId w:val="23"/>
        </w:numPr>
        <w:suppressAutoHyphens w:val="0"/>
        <w:autoSpaceDN/>
        <w:spacing w:after="160" w:line="259" w:lineRule="auto"/>
        <w:contextualSpacing/>
        <w:jc w:val="both"/>
        <w:rPr>
          <w:rFonts w:eastAsia="Calibri" w:cs="Arial"/>
          <w:szCs w:val="20"/>
        </w:rPr>
      </w:pPr>
      <w:r w:rsidRPr="00A44063">
        <w:rPr>
          <w:rFonts w:cs="Arial"/>
          <w:szCs w:val="20"/>
        </w:rPr>
        <w:t xml:space="preserve">specifični cilj RSO 2.1, Spodbujanje energijske učinkovitosti in zmanjševanje emisij toplogrednih plinov – uporaba FI je predvidena pri energetski prenovi stavb </w:t>
      </w:r>
      <w:r w:rsidR="000B4A82">
        <w:rPr>
          <w:rFonts w:cs="Arial"/>
          <w:szCs w:val="20"/>
        </w:rPr>
        <w:t>poslovnih subjektov.</w:t>
      </w:r>
      <w:r w:rsidRPr="00A44063">
        <w:rPr>
          <w:rFonts w:cs="Arial"/>
          <w:szCs w:val="20"/>
        </w:rPr>
        <w:t xml:space="preserve"> </w:t>
      </w:r>
      <w:r w:rsidR="000B4A82">
        <w:rPr>
          <w:rFonts w:cs="Arial"/>
          <w:szCs w:val="20"/>
        </w:rPr>
        <w:t>P</w:t>
      </w:r>
      <w:r w:rsidRPr="00A44063">
        <w:rPr>
          <w:rFonts w:cs="Arial"/>
          <w:szCs w:val="20"/>
        </w:rPr>
        <w:t xml:space="preserve">redvidoma se bo izvajal v kombinaciji z nepovratnimi sredstvi v okviru ene operacije.  </w:t>
      </w:r>
    </w:p>
    <w:p w14:paraId="2F7FCA25" w14:textId="77777777" w:rsidR="00A44063" w:rsidRPr="00A44063" w:rsidRDefault="00A44063" w:rsidP="009864BC">
      <w:pPr>
        <w:numPr>
          <w:ilvl w:val="0"/>
          <w:numId w:val="23"/>
        </w:numPr>
        <w:suppressAutoHyphens w:val="0"/>
        <w:autoSpaceDN/>
        <w:spacing w:after="160" w:line="259" w:lineRule="auto"/>
        <w:contextualSpacing/>
        <w:jc w:val="both"/>
        <w:rPr>
          <w:rFonts w:cs="Arial"/>
          <w:b/>
          <w:bCs/>
          <w:szCs w:val="20"/>
        </w:rPr>
      </w:pPr>
      <w:r w:rsidRPr="00A44063">
        <w:rPr>
          <w:rFonts w:cs="Arial"/>
          <w:szCs w:val="20"/>
        </w:rPr>
        <w:t xml:space="preserve">specifični cilj RSO 2.6, Spodbujanje prehoda na krožno gospodarstvo, gospodarni z viri (ESSR) – uporaba FI se predvideva za spodbujanje krožnih inovacijskih procesov in učinkovite rabe virov v podjetjih. </w:t>
      </w:r>
    </w:p>
    <w:p w14:paraId="547AB06D" w14:textId="77777777" w:rsidR="00A44063" w:rsidRPr="00A44063" w:rsidRDefault="00A44063" w:rsidP="009864BC">
      <w:pPr>
        <w:numPr>
          <w:ilvl w:val="0"/>
          <w:numId w:val="23"/>
        </w:numPr>
        <w:suppressAutoHyphens w:val="0"/>
        <w:autoSpaceDN/>
        <w:spacing w:after="160" w:line="259" w:lineRule="auto"/>
        <w:contextualSpacing/>
        <w:jc w:val="both"/>
        <w:rPr>
          <w:rFonts w:cs="Arial"/>
          <w:b/>
          <w:bCs/>
          <w:szCs w:val="20"/>
        </w:rPr>
      </w:pPr>
      <w:r w:rsidRPr="00A44063">
        <w:rPr>
          <w:rFonts w:cs="Arial"/>
          <w:szCs w:val="20"/>
        </w:rPr>
        <w:t xml:space="preserve">specifični cilj RSO 5.1, Spodbujanje celostnega in vključujočega socialnega, gospodarskega in </w:t>
      </w:r>
      <w:proofErr w:type="spellStart"/>
      <w:r w:rsidRPr="00A44063">
        <w:rPr>
          <w:rFonts w:cs="Arial"/>
          <w:szCs w:val="20"/>
        </w:rPr>
        <w:t>okoljskega</w:t>
      </w:r>
      <w:proofErr w:type="spellEnd"/>
      <w:r w:rsidRPr="00A44063">
        <w:rPr>
          <w:rFonts w:cs="Arial"/>
          <w:szCs w:val="20"/>
        </w:rPr>
        <w:t xml:space="preserve"> razvoja, kulture in naravne dediščine, trajnostnega turizma in varnosti na mestnih območjih –</w:t>
      </w:r>
      <w:r w:rsidRPr="00A44063">
        <w:rPr>
          <w:rFonts w:cs="Arial"/>
          <w:b/>
          <w:bCs/>
          <w:szCs w:val="20"/>
        </w:rPr>
        <w:t xml:space="preserve"> </w:t>
      </w:r>
      <w:r w:rsidRPr="00A44063">
        <w:rPr>
          <w:rFonts w:cs="Arial"/>
          <w:szCs w:val="20"/>
        </w:rPr>
        <w:t>prispevati k povečanju kakovosti, raznolikosti in dostopnosti urbanih vsebin, krepitvi kakovosti življenja v mestu z oživljanjem razvrednotenih in premalo izkoriščenih območij v mestih in aktivaciji občanov ter druge zainteresirane javnosti.</w:t>
      </w:r>
    </w:p>
    <w:p w14:paraId="01CF2E47" w14:textId="77777777" w:rsidR="00A44063" w:rsidRPr="00A44063" w:rsidRDefault="00A44063" w:rsidP="00ED5676">
      <w:pPr>
        <w:suppressAutoHyphens w:val="0"/>
        <w:autoSpaceDN/>
        <w:contextualSpacing/>
        <w:jc w:val="both"/>
        <w:rPr>
          <w:rFonts w:eastAsia="Calibri" w:cs="Arial"/>
          <w:szCs w:val="20"/>
        </w:rPr>
      </w:pPr>
    </w:p>
    <w:p w14:paraId="042F03C2" w14:textId="77777777" w:rsidR="00A44063" w:rsidRPr="00A44063" w:rsidRDefault="00A44063" w:rsidP="00ED5676">
      <w:pPr>
        <w:suppressAutoHyphens w:val="0"/>
        <w:autoSpaceDE w:val="0"/>
        <w:adjustRightInd w:val="0"/>
        <w:spacing w:after="0" w:line="240" w:lineRule="auto"/>
        <w:jc w:val="both"/>
        <w:rPr>
          <w:rFonts w:cs="Arial"/>
          <w:szCs w:val="20"/>
        </w:rPr>
      </w:pPr>
      <w:r w:rsidRPr="00A44063">
        <w:rPr>
          <w:rFonts w:cs="Arial"/>
          <w:color w:val="000000"/>
          <w:szCs w:val="20"/>
        </w:rPr>
        <w:t xml:space="preserve">MKRR v vlogi OU bo v programskem obdobju 2021–2027 na nacionalni ravni izvajal FI s podelitvijo nalog v izvajanje. PT pristojno za izvajanje FI je ministrstvo pristojno za gospodarstvo, turizem in šport (MGTŠ). PT pristojno za izvajanje FI pri načrtovanju in izvajanju FI sodeluje pri </w:t>
      </w:r>
      <w:r w:rsidRPr="00A44063">
        <w:rPr>
          <w:rFonts w:cs="Arial"/>
          <w:szCs w:val="20"/>
        </w:rPr>
        <w:t xml:space="preserve">načrtovanju, izvajanju in spremljanju FI z sodelujočimi ministrstvi MOPE, MNVP in ZMOS, opredeljenimi v skladu z drugim odstavkom 27. členom Uredbe EKP. </w:t>
      </w:r>
    </w:p>
    <w:p w14:paraId="1AAFD22B" w14:textId="77777777" w:rsidR="00A44063" w:rsidRPr="00A44063" w:rsidRDefault="00A44063" w:rsidP="00ED5676">
      <w:pPr>
        <w:suppressAutoHyphens w:val="0"/>
        <w:autoSpaceDE w:val="0"/>
        <w:adjustRightInd w:val="0"/>
        <w:spacing w:after="0" w:line="240" w:lineRule="auto"/>
        <w:jc w:val="both"/>
        <w:rPr>
          <w:rFonts w:cs="Arial"/>
          <w:szCs w:val="20"/>
        </w:rPr>
      </w:pPr>
    </w:p>
    <w:p w14:paraId="661E77ED" w14:textId="0564A48F" w:rsidR="00A44063" w:rsidRPr="00A44063" w:rsidRDefault="00A44063" w:rsidP="00ED5676">
      <w:pPr>
        <w:suppressAutoHyphens w:val="0"/>
        <w:autoSpaceDE w:val="0"/>
        <w:adjustRightInd w:val="0"/>
        <w:spacing w:after="0" w:line="240" w:lineRule="auto"/>
        <w:jc w:val="both"/>
        <w:rPr>
          <w:rFonts w:cs="Arial"/>
          <w:szCs w:val="20"/>
        </w:rPr>
      </w:pPr>
      <w:r w:rsidRPr="00A44063">
        <w:rPr>
          <w:rFonts w:cs="Arial"/>
          <w:szCs w:val="20"/>
        </w:rPr>
        <w:t xml:space="preserve">V izvedeni Predhodni oceni je bila izmed treh možnih glavnih načinov izvajanja (struktura holdinškega sklada, struktura posebnega sklada in neposredno izvajanje s strani OU) predlagana struktura izvajanja FI preko holdinškega sklada. Dne 26. 6. 2024 je bilo sprejeto vladno gradivo Informacija o predlogu </w:t>
      </w:r>
      <w:r w:rsidRPr="00A44063">
        <w:rPr>
          <w:rFonts w:cs="Arial"/>
          <w:szCs w:val="20"/>
        </w:rPr>
        <w:lastRenderedPageBreak/>
        <w:t xml:space="preserve">strukture izvajanja finančnih instrumentov </w:t>
      </w:r>
      <w:r w:rsidR="00427FC8" w:rsidRPr="00BA4E86">
        <w:rPr>
          <w:rFonts w:cs="Arial"/>
          <w:szCs w:val="20"/>
        </w:rPr>
        <w:t>2021–2027</w:t>
      </w:r>
      <w:r w:rsidRPr="00A44063">
        <w:rPr>
          <w:rFonts w:cs="Arial"/>
          <w:szCs w:val="20"/>
        </w:rPr>
        <w:t xml:space="preserve"> preko enega holdinškega sklada. V skladu s četrtim odstavkom člena 59 Uredbe (EU) 2021/1060, ko telo ki ga izbere OU, izvaja holdinški sklad, lahko nadalje izbere druga telesa za izvajanje posebnih skladov. </w:t>
      </w:r>
    </w:p>
    <w:p w14:paraId="39EBB885" w14:textId="77777777" w:rsidR="00A44063" w:rsidRPr="00A44063" w:rsidRDefault="00A44063" w:rsidP="00ED5676">
      <w:pPr>
        <w:suppressAutoHyphens w:val="0"/>
        <w:autoSpaceDE w:val="0"/>
        <w:adjustRightInd w:val="0"/>
        <w:spacing w:after="0" w:line="240" w:lineRule="auto"/>
        <w:jc w:val="both"/>
        <w:rPr>
          <w:rFonts w:cs="Arial"/>
          <w:szCs w:val="20"/>
        </w:rPr>
      </w:pPr>
    </w:p>
    <w:p w14:paraId="23129A63" w14:textId="7E523FE0" w:rsidR="00A44063" w:rsidRPr="00A44063" w:rsidRDefault="00A44063" w:rsidP="00ED5676">
      <w:pPr>
        <w:suppressAutoHyphens w:val="0"/>
        <w:autoSpaceDE w:val="0"/>
        <w:adjustRightInd w:val="0"/>
        <w:spacing w:after="0" w:line="240" w:lineRule="auto"/>
        <w:jc w:val="both"/>
        <w:rPr>
          <w:rFonts w:cs="Arial"/>
          <w:szCs w:val="20"/>
        </w:rPr>
      </w:pPr>
      <w:r w:rsidRPr="00A44063">
        <w:rPr>
          <w:rFonts w:cs="Arial"/>
          <w:szCs w:val="20"/>
        </w:rPr>
        <w:t xml:space="preserve">Dne 12. 9. 2024 je bil na vladi sprejet dokument Ključni elementi finančnih instrumentov za obdobje </w:t>
      </w:r>
      <w:r w:rsidR="00427FC8" w:rsidRPr="00BA4E86">
        <w:rPr>
          <w:rFonts w:cs="Arial"/>
          <w:szCs w:val="20"/>
        </w:rPr>
        <w:t>2021–2027</w:t>
      </w:r>
      <w:r w:rsidRPr="00A44063">
        <w:rPr>
          <w:rFonts w:cs="Arial"/>
          <w:szCs w:val="20"/>
        </w:rPr>
        <w:t xml:space="preserve"> (KEFI verzija 1.0), ki predstavlja osnovo za postopke izbora upravljavca </w:t>
      </w:r>
      <w:r w:rsidR="00185BFA" w:rsidRPr="00BA4E86">
        <w:rPr>
          <w:rFonts w:cs="Arial"/>
          <w:szCs w:val="20"/>
        </w:rPr>
        <w:t>holdinškega</w:t>
      </w:r>
      <w:r w:rsidRPr="00A44063">
        <w:rPr>
          <w:rFonts w:cs="Arial"/>
          <w:szCs w:val="20"/>
        </w:rPr>
        <w:t xml:space="preserve"> sklada in podlago ter usmeritev za oblikovanje in izvajanje FI v Sloveniji. Dne 12. 9. 2024 je bil na vladi sprejet dokument Načrt izvajanja finančnih instrumentov v letih 2025 in 2026, ki predvideva dinamiko izplačil v teh dveh letih in je obvezna priloga proračuna RS. Dne 21.</w:t>
      </w:r>
      <w:r w:rsidR="00C8174F">
        <w:rPr>
          <w:rFonts w:cs="Arial"/>
          <w:szCs w:val="20"/>
        </w:rPr>
        <w:t xml:space="preserve"> </w:t>
      </w:r>
      <w:r w:rsidRPr="00A44063">
        <w:rPr>
          <w:rFonts w:cs="Arial"/>
          <w:szCs w:val="20"/>
        </w:rPr>
        <w:t>11.</w:t>
      </w:r>
      <w:r w:rsidR="00C8174F">
        <w:rPr>
          <w:rFonts w:cs="Arial"/>
          <w:szCs w:val="20"/>
        </w:rPr>
        <w:t xml:space="preserve"> </w:t>
      </w:r>
      <w:r w:rsidRPr="00A44063">
        <w:rPr>
          <w:rFonts w:cs="Arial"/>
          <w:szCs w:val="20"/>
        </w:rPr>
        <w:t xml:space="preserve">2024 je bil na vladi sprejet KEFI verzija 1.1, ki je vseboval spremembe v višini finančnih vzvodov, razširitev ciljne skupine in postopnost celovitih obnov na področju energetske učinkovitosti, prenos sredstev namenjenih za lastniško financiranje na garancije za MSP in prilagoditev vrednosti kazalnikov. </w:t>
      </w:r>
    </w:p>
    <w:p w14:paraId="1BB99A2A" w14:textId="77777777" w:rsidR="00A44063" w:rsidRPr="00A44063" w:rsidRDefault="00A44063" w:rsidP="00ED5676">
      <w:pPr>
        <w:suppressAutoHyphens w:val="0"/>
        <w:autoSpaceDE w:val="0"/>
        <w:adjustRightInd w:val="0"/>
        <w:spacing w:after="0" w:line="240" w:lineRule="auto"/>
        <w:jc w:val="both"/>
        <w:rPr>
          <w:rFonts w:cs="Arial"/>
          <w:szCs w:val="20"/>
        </w:rPr>
      </w:pPr>
    </w:p>
    <w:p w14:paraId="3A5BFAB3" w14:textId="62E8C404" w:rsidR="00A44063" w:rsidRPr="00A44063" w:rsidRDefault="00A44063" w:rsidP="00ED5676">
      <w:pPr>
        <w:suppressAutoHyphens w:val="0"/>
        <w:autoSpaceDE w:val="0"/>
        <w:adjustRightInd w:val="0"/>
        <w:spacing w:after="0" w:line="240" w:lineRule="auto"/>
        <w:jc w:val="both"/>
        <w:rPr>
          <w:rFonts w:cs="Arial"/>
          <w:szCs w:val="20"/>
        </w:rPr>
      </w:pPr>
      <w:r w:rsidRPr="00A44063">
        <w:rPr>
          <w:rFonts w:cs="Arial"/>
          <w:szCs w:val="20"/>
        </w:rPr>
        <w:t xml:space="preserve">V oktobru je bila predvidenemu upravljavcu </w:t>
      </w:r>
      <w:r w:rsidR="00185BFA" w:rsidRPr="00BA4E86">
        <w:rPr>
          <w:rFonts w:cs="Arial"/>
          <w:szCs w:val="20"/>
        </w:rPr>
        <w:t>holdinškega</w:t>
      </w:r>
      <w:r w:rsidRPr="00A44063">
        <w:rPr>
          <w:rFonts w:cs="Arial"/>
          <w:szCs w:val="20"/>
        </w:rPr>
        <w:t xml:space="preserve"> sklada – SID banki posredovan dopis s pozivom za predložitev gradiva za izbor upravljavca holdinškega sklada in pripravljen osnutek Sporazuma o financiranju. MGTŠ je skupaj s sodelujočima ministrstvoma pripravilo naložbeno strategijo, ki bo natančneje opredelila minimalne pogoje in določila cilje, ki jih bo moral holdinški sklad zasledovati. SID banka je posredovala vlogo za izbor upravljavca holdinškega sklada v decembru, na katero pa je MGTŠ odgovoril s pozivom na dopolnitev (predvsem v delu poslovno finančnega načrta in naložbene strategije). </w:t>
      </w:r>
    </w:p>
    <w:p w14:paraId="75AD7CC4" w14:textId="77777777" w:rsidR="00A44063" w:rsidRPr="00A44063" w:rsidRDefault="00A44063" w:rsidP="00ED5676">
      <w:pPr>
        <w:suppressAutoHyphens w:val="0"/>
        <w:autoSpaceDE w:val="0"/>
        <w:adjustRightInd w:val="0"/>
        <w:spacing w:after="0" w:line="240" w:lineRule="auto"/>
        <w:jc w:val="both"/>
        <w:rPr>
          <w:rFonts w:cs="Arial"/>
          <w:szCs w:val="20"/>
        </w:rPr>
      </w:pPr>
    </w:p>
    <w:p w14:paraId="1B985FF2" w14:textId="77777777" w:rsidR="00A44063" w:rsidRPr="00A44063" w:rsidRDefault="00A44063" w:rsidP="00ED5676">
      <w:pPr>
        <w:suppressAutoHyphens w:val="0"/>
        <w:autoSpaceDE w:val="0"/>
        <w:adjustRightInd w:val="0"/>
        <w:spacing w:after="0" w:line="240" w:lineRule="auto"/>
        <w:jc w:val="both"/>
        <w:rPr>
          <w:rFonts w:cs="Arial"/>
          <w:szCs w:val="20"/>
        </w:rPr>
      </w:pPr>
      <w:r w:rsidRPr="00A44063">
        <w:rPr>
          <w:rFonts w:cs="Arial"/>
          <w:szCs w:val="20"/>
        </w:rPr>
        <w:t xml:space="preserve">Predvideva se oblikovanje finančnih produktov: </w:t>
      </w:r>
    </w:p>
    <w:p w14:paraId="666C8582" w14:textId="7B8F56B6" w:rsidR="00185BFA" w:rsidRPr="00654311" w:rsidRDefault="00A44063" w:rsidP="009864BC">
      <w:pPr>
        <w:pStyle w:val="Odstavekseznama"/>
        <w:numPr>
          <w:ilvl w:val="0"/>
          <w:numId w:val="28"/>
        </w:numPr>
        <w:suppressAutoHyphens w:val="0"/>
        <w:autoSpaceDE w:val="0"/>
        <w:autoSpaceDN/>
        <w:adjustRightInd w:val="0"/>
        <w:spacing w:after="47" w:line="240" w:lineRule="auto"/>
        <w:jc w:val="both"/>
        <w:rPr>
          <w:rFonts w:cs="Arial"/>
          <w:szCs w:val="20"/>
        </w:rPr>
      </w:pPr>
      <w:r w:rsidRPr="00BA4E86">
        <w:rPr>
          <w:rFonts w:cs="Arial"/>
          <w:szCs w:val="20"/>
        </w:rPr>
        <w:t xml:space="preserve">Finančni </w:t>
      </w:r>
      <w:r w:rsidRPr="00654311">
        <w:rPr>
          <w:rFonts w:cs="Arial"/>
          <w:szCs w:val="20"/>
        </w:rPr>
        <w:t>instrument za RRI iz SC 1.1 vključujejo: posojila za RRI podjetjem vseh velikosti</w:t>
      </w:r>
      <w:r w:rsidR="00CD364F">
        <w:rPr>
          <w:rFonts w:cs="Arial"/>
          <w:szCs w:val="20"/>
        </w:rPr>
        <w:t>,</w:t>
      </w:r>
      <w:r w:rsidRPr="00654311">
        <w:rPr>
          <w:rFonts w:cs="Arial"/>
          <w:szCs w:val="20"/>
        </w:rPr>
        <w:t xml:space="preserve"> </w:t>
      </w:r>
    </w:p>
    <w:p w14:paraId="561C092E" w14:textId="77777777" w:rsidR="00185BFA" w:rsidRPr="00654311" w:rsidRDefault="00A44063" w:rsidP="009864BC">
      <w:pPr>
        <w:pStyle w:val="Odstavekseznama"/>
        <w:numPr>
          <w:ilvl w:val="0"/>
          <w:numId w:val="28"/>
        </w:numPr>
        <w:suppressAutoHyphens w:val="0"/>
        <w:autoSpaceDE w:val="0"/>
        <w:autoSpaceDN/>
        <w:adjustRightInd w:val="0"/>
        <w:spacing w:after="47" w:line="240" w:lineRule="auto"/>
        <w:jc w:val="both"/>
        <w:rPr>
          <w:rFonts w:cs="Arial"/>
          <w:szCs w:val="20"/>
        </w:rPr>
      </w:pPr>
      <w:r w:rsidRPr="00654311">
        <w:rPr>
          <w:rFonts w:cs="Arial"/>
          <w:szCs w:val="20"/>
        </w:rPr>
        <w:t xml:space="preserve">Finančni instrumenti za MSP iz SC 1.3 vključujejo: garancije za bančne kredite s subvencijo obrestne mere za financiranje MSP, </w:t>
      </w:r>
    </w:p>
    <w:p w14:paraId="6C9DC4D1" w14:textId="77777777" w:rsidR="00185BFA" w:rsidRPr="00654311" w:rsidRDefault="00A44063" w:rsidP="009864BC">
      <w:pPr>
        <w:pStyle w:val="Odstavekseznama"/>
        <w:numPr>
          <w:ilvl w:val="0"/>
          <w:numId w:val="28"/>
        </w:numPr>
        <w:suppressAutoHyphens w:val="0"/>
        <w:autoSpaceDE w:val="0"/>
        <w:autoSpaceDN/>
        <w:adjustRightInd w:val="0"/>
        <w:spacing w:after="47" w:line="240" w:lineRule="auto"/>
        <w:jc w:val="both"/>
        <w:rPr>
          <w:rFonts w:cs="Arial"/>
          <w:szCs w:val="20"/>
        </w:rPr>
      </w:pPr>
      <w:r w:rsidRPr="00654311">
        <w:rPr>
          <w:rFonts w:cs="Arial"/>
          <w:szCs w:val="20"/>
        </w:rPr>
        <w:t>Finančni instrumenti za energetsko učinkovitost iz SC 2.1 vključujejo: Posojila za energetsko učinkovitost s kombinacijo nepovratnih sredstev za poslovne subjekte,</w:t>
      </w:r>
    </w:p>
    <w:p w14:paraId="328A659D" w14:textId="5336F2E7" w:rsidR="00185BFA" w:rsidRPr="00654311" w:rsidRDefault="00A44063" w:rsidP="009864BC">
      <w:pPr>
        <w:pStyle w:val="Odstavekseznama"/>
        <w:numPr>
          <w:ilvl w:val="0"/>
          <w:numId w:val="28"/>
        </w:numPr>
        <w:suppressAutoHyphens w:val="0"/>
        <w:autoSpaceDE w:val="0"/>
        <w:autoSpaceDN/>
        <w:adjustRightInd w:val="0"/>
        <w:spacing w:after="47" w:line="240" w:lineRule="auto"/>
        <w:jc w:val="both"/>
        <w:rPr>
          <w:rFonts w:cs="Arial"/>
          <w:szCs w:val="20"/>
        </w:rPr>
      </w:pPr>
      <w:r w:rsidRPr="00654311">
        <w:rPr>
          <w:rFonts w:cs="Arial"/>
          <w:szCs w:val="20"/>
        </w:rPr>
        <w:t>Finančni instrumenti za krožno gospodarstvo iz SC 2.6 vključujejo: Posojila za prehod v krožno gospodarstvo s kombinacijo nepovratnih sredstev za podjetja</w:t>
      </w:r>
      <w:r w:rsidR="00CD364F">
        <w:rPr>
          <w:rFonts w:cs="Arial"/>
          <w:szCs w:val="20"/>
        </w:rPr>
        <w:t>,</w:t>
      </w:r>
      <w:r w:rsidRPr="00654311">
        <w:rPr>
          <w:rFonts w:cs="Arial"/>
          <w:szCs w:val="20"/>
        </w:rPr>
        <w:t xml:space="preserve"> </w:t>
      </w:r>
    </w:p>
    <w:p w14:paraId="092B7658" w14:textId="4409D006" w:rsidR="00A44063" w:rsidRPr="00BA4E86" w:rsidRDefault="00A44063" w:rsidP="009864BC">
      <w:pPr>
        <w:pStyle w:val="Odstavekseznama"/>
        <w:numPr>
          <w:ilvl w:val="0"/>
          <w:numId w:val="28"/>
        </w:numPr>
        <w:suppressAutoHyphens w:val="0"/>
        <w:autoSpaceDE w:val="0"/>
        <w:autoSpaceDN/>
        <w:adjustRightInd w:val="0"/>
        <w:spacing w:after="47" w:line="240" w:lineRule="auto"/>
        <w:jc w:val="both"/>
        <w:rPr>
          <w:rFonts w:cs="Arial"/>
          <w:szCs w:val="20"/>
        </w:rPr>
      </w:pPr>
      <w:r w:rsidRPr="00654311">
        <w:rPr>
          <w:rFonts w:cs="Arial"/>
          <w:szCs w:val="20"/>
        </w:rPr>
        <w:t>Finančni instrumenti za urbani razvoj za</w:t>
      </w:r>
      <w:r w:rsidR="00CD364F">
        <w:rPr>
          <w:rFonts w:cs="Arial"/>
          <w:szCs w:val="20"/>
        </w:rPr>
        <w:t xml:space="preserve"> </w:t>
      </w:r>
      <w:r w:rsidRPr="00654311">
        <w:rPr>
          <w:rFonts w:cs="Arial"/>
          <w:szCs w:val="20"/>
        </w:rPr>
        <w:t>SC 5.1 vključujejo:</w:t>
      </w:r>
      <w:r w:rsidRPr="00BA4E86">
        <w:rPr>
          <w:rFonts w:cs="Arial"/>
          <w:szCs w:val="20"/>
        </w:rPr>
        <w:t xml:space="preserve"> Posojila za urbani razvoj</w:t>
      </w:r>
      <w:r w:rsidR="00CD364F">
        <w:rPr>
          <w:rFonts w:cs="Arial"/>
          <w:szCs w:val="20"/>
        </w:rPr>
        <w:t>.</w:t>
      </w:r>
      <w:r w:rsidRPr="00BA4E86">
        <w:rPr>
          <w:rFonts w:cs="Arial"/>
          <w:szCs w:val="20"/>
        </w:rPr>
        <w:t xml:space="preserve"> </w:t>
      </w:r>
    </w:p>
    <w:p w14:paraId="6B4F8A31" w14:textId="77777777" w:rsidR="00A44063" w:rsidRPr="00BA4E86" w:rsidRDefault="00A44063" w:rsidP="00ED5676">
      <w:pPr>
        <w:spacing w:after="0"/>
        <w:jc w:val="both"/>
        <w:rPr>
          <w:rFonts w:cs="Arial"/>
          <w:szCs w:val="20"/>
        </w:rPr>
      </w:pPr>
    </w:p>
    <w:p w14:paraId="7817A877" w14:textId="20459ECA" w:rsidR="00A44063" w:rsidRPr="0030234B" w:rsidRDefault="0099175C" w:rsidP="0030234B">
      <w:pPr>
        <w:pStyle w:val="Naslov2"/>
        <w:numPr>
          <w:ilvl w:val="1"/>
          <w:numId w:val="17"/>
        </w:numPr>
        <w:spacing w:before="0"/>
      </w:pPr>
      <w:bookmarkStart w:id="408" w:name="_Toc191460232"/>
      <w:r w:rsidRPr="0030234B">
        <w:t>VKLJUČEVANJE NAČELA, DA SE ŠKODUJE BISTVENO (DNSH) IN NAČEL NOVEGA EVROPSKEGA BAUHAUSA (NEB) TER ZAGOTOVITEV PODNEBNE ODPORNOSTI INFRASTRUKTURE (CLIMATE PROOFING) V OBDOBJU 2021–2027</w:t>
      </w:r>
      <w:bookmarkEnd w:id="408"/>
    </w:p>
    <w:p w14:paraId="02FFC050" w14:textId="77777777" w:rsidR="00A44063" w:rsidRPr="0025033E" w:rsidRDefault="00A44063" w:rsidP="00ED5676">
      <w:pPr>
        <w:spacing w:after="0"/>
        <w:jc w:val="both"/>
        <w:rPr>
          <w:rFonts w:cs="Arial"/>
        </w:rPr>
      </w:pPr>
    </w:p>
    <w:p w14:paraId="71EA235B" w14:textId="77777777" w:rsidR="00A44063" w:rsidRPr="00BA4E86" w:rsidRDefault="00A44063" w:rsidP="00ED5676">
      <w:pPr>
        <w:suppressAutoHyphens w:val="0"/>
        <w:autoSpaceDN/>
        <w:spacing w:after="0"/>
        <w:jc w:val="both"/>
        <w:rPr>
          <w:rFonts w:cs="Arial"/>
          <w:szCs w:val="20"/>
        </w:rPr>
      </w:pPr>
      <w:r w:rsidRPr="00A44063">
        <w:rPr>
          <w:rFonts w:cs="Arial"/>
          <w:szCs w:val="20"/>
        </w:rPr>
        <w:t>Za namen vključevanja načela, da se ne škoduje bistveno, in zagotovitve odpornosti infrastrukture pri izvajanju PEKP je bilo izvedenih devet delavnic v letu 2023 in ena v letu 2024.</w:t>
      </w:r>
    </w:p>
    <w:p w14:paraId="06CE1EE1" w14:textId="77777777" w:rsidR="00A44063" w:rsidRPr="00A44063" w:rsidRDefault="00A44063" w:rsidP="00ED5676">
      <w:pPr>
        <w:suppressAutoHyphens w:val="0"/>
        <w:autoSpaceDN/>
        <w:spacing w:after="0"/>
        <w:jc w:val="both"/>
        <w:rPr>
          <w:rFonts w:cs="Arial"/>
          <w:szCs w:val="20"/>
        </w:rPr>
      </w:pPr>
    </w:p>
    <w:p w14:paraId="3E5B522B" w14:textId="77777777" w:rsidR="00A44063" w:rsidRDefault="00A44063" w:rsidP="00ED5676">
      <w:pPr>
        <w:suppressAutoHyphens w:val="0"/>
        <w:autoSpaceDN/>
        <w:spacing w:after="0"/>
        <w:jc w:val="both"/>
        <w:rPr>
          <w:rFonts w:cs="Arial"/>
          <w:szCs w:val="20"/>
        </w:rPr>
      </w:pPr>
      <w:r w:rsidRPr="00A44063">
        <w:rPr>
          <w:rFonts w:cs="Arial"/>
          <w:szCs w:val="20"/>
        </w:rPr>
        <w:t xml:space="preserve">Delavnica, ki je bila izvedena v letu 2024, je bila na temo DNSH. </w:t>
      </w:r>
    </w:p>
    <w:p w14:paraId="39EA01D0" w14:textId="77777777" w:rsidR="00CA2901" w:rsidRPr="00BA4E86" w:rsidRDefault="00CA2901" w:rsidP="00ED5676">
      <w:pPr>
        <w:suppressAutoHyphens w:val="0"/>
        <w:autoSpaceDN/>
        <w:spacing w:after="0"/>
        <w:jc w:val="both"/>
        <w:rPr>
          <w:rFonts w:cs="Arial"/>
          <w:szCs w:val="20"/>
        </w:rPr>
      </w:pPr>
    </w:p>
    <w:p w14:paraId="506C1C0E" w14:textId="77777777" w:rsidR="00A44063" w:rsidRPr="00BA4E86" w:rsidRDefault="00A44063" w:rsidP="00ED5676">
      <w:pPr>
        <w:suppressAutoHyphens w:val="0"/>
        <w:autoSpaceDN/>
        <w:spacing w:after="0"/>
        <w:jc w:val="both"/>
        <w:rPr>
          <w:rFonts w:cs="Arial"/>
          <w:szCs w:val="20"/>
        </w:rPr>
      </w:pPr>
      <w:r w:rsidRPr="00A44063">
        <w:rPr>
          <w:rFonts w:cs="Arial"/>
          <w:szCs w:val="20"/>
        </w:rPr>
        <w:t>Omenjene delavnice so bile izvedene v sodelovanju s strokovnjaki evropske pobude JASPERS in drugimi zunanjimi eksperti. Namenjene so bile predvsem krepitvi zmogljivosti na navedenih področjih izvajanja PEKP tako na ravni posredniških teles kot tudi na ravni upravičencev, pripravljavcev projektov.</w:t>
      </w:r>
    </w:p>
    <w:p w14:paraId="533A7AC2" w14:textId="77777777" w:rsidR="00D06B5E" w:rsidRPr="0025033E" w:rsidRDefault="00D06B5E" w:rsidP="00ED5676">
      <w:pPr>
        <w:suppressAutoHyphens w:val="0"/>
        <w:autoSpaceDN/>
        <w:spacing w:after="0"/>
        <w:jc w:val="both"/>
        <w:rPr>
          <w:rFonts w:cs="Arial"/>
          <w:sz w:val="22"/>
          <w:szCs w:val="22"/>
        </w:rPr>
      </w:pPr>
    </w:p>
    <w:p w14:paraId="73052766" w14:textId="418195D6" w:rsidR="00D06B5E" w:rsidRPr="00130F16" w:rsidRDefault="0099175C" w:rsidP="00130F16">
      <w:pPr>
        <w:pStyle w:val="Naslov2"/>
        <w:numPr>
          <w:ilvl w:val="1"/>
          <w:numId w:val="17"/>
        </w:numPr>
        <w:spacing w:before="0"/>
      </w:pPr>
      <w:bookmarkStart w:id="409" w:name="_Toc191460233"/>
      <w:r w:rsidRPr="00130F16">
        <w:t>PROMOCIJA IN OBVEŠČANJE JAVNOSTI</w:t>
      </w:r>
      <w:bookmarkEnd w:id="409"/>
    </w:p>
    <w:p w14:paraId="04FFF320" w14:textId="77777777" w:rsidR="00D928C9" w:rsidRPr="0025033E" w:rsidRDefault="00D928C9" w:rsidP="00ED5676">
      <w:pPr>
        <w:spacing w:after="0"/>
        <w:jc w:val="both"/>
        <w:rPr>
          <w:rFonts w:cs="Arial"/>
        </w:rPr>
      </w:pPr>
    </w:p>
    <w:p w14:paraId="076341CE" w14:textId="77777777" w:rsidR="00D928C9" w:rsidRPr="00D928C9" w:rsidRDefault="00D928C9" w:rsidP="00ED5676">
      <w:pPr>
        <w:suppressAutoHyphens w:val="0"/>
        <w:autoSpaceDN/>
        <w:spacing w:after="0" w:line="288" w:lineRule="auto"/>
        <w:jc w:val="both"/>
        <w:rPr>
          <w:rFonts w:cs="Arial"/>
          <w:szCs w:val="20"/>
        </w:rPr>
      </w:pPr>
      <w:r w:rsidRPr="00D928C9">
        <w:rPr>
          <w:rFonts w:cs="Arial"/>
          <w:szCs w:val="20"/>
        </w:rPr>
        <w:t>V obravnavanem obdobju smo nadaljevali z aktivnostmi seznanjanja ciljnih javnosti z vsebino PEKP, obveščali o načrtovanih sredstvih za posamezna področja in motivirali upravičence k pripravi projektov v tem okviru. Ker je organ upravljanja že izdal prve odločitve o podpori, posredniška in izvajalska telesa pa objavila prve razpise, smo preko sporočil za javnost, objav na spletnih straneh in družbenih omrežjih ter publikacije Vizija kohezija obveščali tudi o tem.</w:t>
      </w:r>
    </w:p>
    <w:p w14:paraId="600F1CA8" w14:textId="77777777" w:rsidR="00185BFA" w:rsidRDefault="00185BFA" w:rsidP="00ED5676">
      <w:pPr>
        <w:spacing w:after="0"/>
        <w:jc w:val="both"/>
        <w:rPr>
          <w:rFonts w:cs="Arial"/>
        </w:rPr>
      </w:pPr>
    </w:p>
    <w:p w14:paraId="7C194ADD" w14:textId="77777777" w:rsidR="0099175C" w:rsidRPr="0025033E" w:rsidRDefault="0099175C" w:rsidP="00ED5676">
      <w:pPr>
        <w:spacing w:after="0"/>
        <w:jc w:val="both"/>
        <w:rPr>
          <w:rFonts w:cs="Arial"/>
        </w:rPr>
      </w:pPr>
    </w:p>
    <w:p w14:paraId="20FFEEDE" w14:textId="5363BA95" w:rsidR="00A44063" w:rsidRPr="00130F16" w:rsidRDefault="0099175C" w:rsidP="00130F16">
      <w:pPr>
        <w:pStyle w:val="Naslov2"/>
        <w:numPr>
          <w:ilvl w:val="1"/>
          <w:numId w:val="17"/>
        </w:numPr>
        <w:spacing w:before="0"/>
      </w:pPr>
      <w:bookmarkStart w:id="410" w:name="_Toc191460234"/>
      <w:r>
        <w:lastRenderedPageBreak/>
        <w:t>I</w:t>
      </w:r>
      <w:r w:rsidRPr="00130F16">
        <w:t xml:space="preserve">NFORMACIJSKI SISTEM OU </w:t>
      </w:r>
      <w:r>
        <w:t>e</w:t>
      </w:r>
      <w:r w:rsidRPr="00130F16">
        <w:t>-MA2</w:t>
      </w:r>
      <w:bookmarkEnd w:id="410"/>
    </w:p>
    <w:p w14:paraId="3B0F0C92" w14:textId="77777777" w:rsidR="00476D26" w:rsidRPr="0025033E" w:rsidRDefault="00476D26" w:rsidP="00ED5676">
      <w:pPr>
        <w:spacing w:after="0"/>
        <w:jc w:val="both"/>
        <w:rPr>
          <w:rFonts w:cs="Arial"/>
        </w:rPr>
      </w:pPr>
    </w:p>
    <w:p w14:paraId="2D4A60E4" w14:textId="214608D1" w:rsidR="00476D26" w:rsidRPr="00BA4E86" w:rsidRDefault="00476D26" w:rsidP="00ED5676">
      <w:pPr>
        <w:spacing w:after="0"/>
        <w:jc w:val="both"/>
        <w:rPr>
          <w:rFonts w:cs="Arial"/>
          <w:szCs w:val="20"/>
        </w:rPr>
      </w:pPr>
      <w:r w:rsidRPr="00EA1958">
        <w:rPr>
          <w:rFonts w:cs="Arial"/>
          <w:szCs w:val="20"/>
        </w:rPr>
        <w:t>V mesecu</w:t>
      </w:r>
      <w:r w:rsidR="008705EE" w:rsidRPr="00EA1958">
        <w:rPr>
          <w:rFonts w:cs="Arial"/>
          <w:szCs w:val="20"/>
        </w:rPr>
        <w:t xml:space="preserve"> decembru</w:t>
      </w:r>
      <w:r w:rsidRPr="00EA1958">
        <w:rPr>
          <w:rFonts w:cs="Arial"/>
          <w:szCs w:val="20"/>
        </w:rPr>
        <w:t xml:space="preserve"> 2024 je bila v produkcijsko okolje prevzeta verzija 2.03.13. V IS e-MA2 je trenutno 435 operacij v statusu »V izvrševanju« ter 14 operacij v statusu »V Pripravi«. V drugi polovici polletnega obdobja 2024 je bilo v IS e-MA2 skupno vnesenih</w:t>
      </w:r>
      <w:r w:rsidRPr="00BA4E86">
        <w:rPr>
          <w:rFonts w:cs="Arial"/>
          <w:szCs w:val="20"/>
        </w:rPr>
        <w:t xml:space="preserve"> 1391 Zahtevkov za izplačilo (v nadaljevanju ZZI). </w:t>
      </w:r>
    </w:p>
    <w:p w14:paraId="3519A4E3" w14:textId="77777777" w:rsidR="00476D26" w:rsidRPr="00BA4E86" w:rsidRDefault="00476D26" w:rsidP="00ED5676">
      <w:pPr>
        <w:spacing w:after="0"/>
        <w:jc w:val="both"/>
        <w:rPr>
          <w:rFonts w:cs="Arial"/>
          <w:szCs w:val="20"/>
        </w:rPr>
      </w:pPr>
    </w:p>
    <w:p w14:paraId="0B2EC8BC" w14:textId="25E9D9B1" w:rsidR="00476D26" w:rsidRPr="00BA4E86" w:rsidRDefault="00476D26" w:rsidP="00ED5676">
      <w:pPr>
        <w:spacing w:after="0"/>
        <w:jc w:val="both"/>
        <w:rPr>
          <w:rFonts w:cs="Arial"/>
          <w:szCs w:val="20"/>
        </w:rPr>
      </w:pPr>
      <w:r w:rsidRPr="00BA4E86">
        <w:rPr>
          <w:rFonts w:cs="Arial"/>
          <w:szCs w:val="20"/>
        </w:rPr>
        <w:t xml:space="preserve">Od 1391 ZZI je 828 ZZI v statusu </w:t>
      </w:r>
      <w:r w:rsidR="00D27ECD">
        <w:rPr>
          <w:rFonts w:cs="Arial"/>
          <w:szCs w:val="20"/>
        </w:rPr>
        <w:t>»</w:t>
      </w:r>
      <w:r w:rsidRPr="00BA4E86">
        <w:rPr>
          <w:rFonts w:cs="Arial"/>
          <w:szCs w:val="20"/>
        </w:rPr>
        <w:t>Plačan</w:t>
      </w:r>
      <w:r w:rsidR="00D27ECD">
        <w:rPr>
          <w:rFonts w:cs="Arial"/>
          <w:szCs w:val="20"/>
        </w:rPr>
        <w:t>«</w:t>
      </w:r>
      <w:r w:rsidRPr="00BA4E86">
        <w:rPr>
          <w:rFonts w:cs="Arial"/>
          <w:szCs w:val="20"/>
        </w:rPr>
        <w:t>.</w:t>
      </w:r>
    </w:p>
    <w:p w14:paraId="25086A4D" w14:textId="77777777" w:rsidR="00476D26" w:rsidRPr="0025033E" w:rsidRDefault="00476D26" w:rsidP="00ED5676">
      <w:pPr>
        <w:spacing w:after="0"/>
        <w:jc w:val="both"/>
        <w:rPr>
          <w:rFonts w:cs="Arial"/>
          <w:sz w:val="22"/>
          <w:szCs w:val="22"/>
        </w:rPr>
      </w:pPr>
    </w:p>
    <w:p w14:paraId="43815F9D" w14:textId="44CA8C40" w:rsidR="00476D26" w:rsidRPr="009173C9" w:rsidRDefault="00476D26" w:rsidP="00ED5676">
      <w:pPr>
        <w:pStyle w:val="Napis"/>
        <w:keepNext/>
        <w:spacing w:after="0"/>
        <w:jc w:val="both"/>
        <w:rPr>
          <w:rFonts w:cs="Arial"/>
          <w:b w:val="0"/>
          <w:bCs w:val="0"/>
          <w:color w:val="auto"/>
        </w:rPr>
      </w:pPr>
      <w:bookmarkStart w:id="411" w:name="_Toc191386697"/>
      <w:r w:rsidRPr="009173C9">
        <w:rPr>
          <w:rFonts w:cs="Arial"/>
          <w:b w:val="0"/>
          <w:bCs w:val="0"/>
          <w:color w:val="auto"/>
        </w:rPr>
        <w:t xml:space="preserve">Tabela </w:t>
      </w:r>
      <w:r w:rsidRPr="009173C9">
        <w:rPr>
          <w:rFonts w:cs="Arial"/>
          <w:b w:val="0"/>
          <w:bCs w:val="0"/>
          <w:color w:val="auto"/>
        </w:rPr>
        <w:fldChar w:fldCharType="begin"/>
      </w:r>
      <w:r w:rsidRPr="009173C9">
        <w:rPr>
          <w:rFonts w:cs="Arial"/>
          <w:b w:val="0"/>
          <w:bCs w:val="0"/>
          <w:color w:val="auto"/>
        </w:rPr>
        <w:instrText xml:space="preserve"> SEQ Tabela \* ARABIC </w:instrText>
      </w:r>
      <w:r w:rsidRPr="009173C9">
        <w:rPr>
          <w:rFonts w:cs="Arial"/>
          <w:b w:val="0"/>
          <w:bCs w:val="0"/>
          <w:color w:val="auto"/>
        </w:rPr>
        <w:fldChar w:fldCharType="separate"/>
      </w:r>
      <w:r w:rsidRPr="009173C9">
        <w:rPr>
          <w:rFonts w:cs="Arial"/>
          <w:b w:val="0"/>
          <w:bCs w:val="0"/>
          <w:noProof/>
          <w:color w:val="auto"/>
        </w:rPr>
        <w:t>6</w:t>
      </w:r>
      <w:r w:rsidRPr="009173C9">
        <w:rPr>
          <w:rFonts w:cs="Arial"/>
          <w:b w:val="0"/>
          <w:bCs w:val="0"/>
          <w:color w:val="auto"/>
        </w:rPr>
        <w:fldChar w:fldCharType="end"/>
      </w:r>
      <w:r w:rsidRPr="009173C9">
        <w:rPr>
          <w:rFonts w:cs="Arial"/>
          <w:b w:val="0"/>
          <w:bCs w:val="0"/>
          <w:color w:val="auto"/>
        </w:rPr>
        <w:t>: Prikaz plačanih ZZI po resorjih</w:t>
      </w:r>
      <w:bookmarkEnd w:id="411"/>
    </w:p>
    <w:p w14:paraId="62143933" w14:textId="77777777" w:rsidR="009173C9" w:rsidRPr="009173C9" w:rsidRDefault="009173C9" w:rsidP="009173C9"/>
    <w:tbl>
      <w:tblPr>
        <w:tblStyle w:val="Tabelamrea1"/>
        <w:tblW w:w="9067" w:type="dxa"/>
        <w:tblLook w:val="04A0" w:firstRow="1" w:lastRow="0" w:firstColumn="1" w:lastColumn="0" w:noHBand="0" w:noVBand="1"/>
      </w:tblPr>
      <w:tblGrid>
        <w:gridCol w:w="2440"/>
        <w:gridCol w:w="2480"/>
        <w:gridCol w:w="4147"/>
      </w:tblGrid>
      <w:tr w:rsidR="00476D26" w:rsidRPr="00E4016A" w14:paraId="62A03E1A" w14:textId="77777777" w:rsidTr="00813DA2">
        <w:trPr>
          <w:trHeight w:val="300"/>
        </w:trPr>
        <w:tc>
          <w:tcPr>
            <w:tcW w:w="2440" w:type="dxa"/>
            <w:shd w:val="clear" w:color="auto" w:fill="DEEAF6" w:themeFill="accent5" w:themeFillTint="33"/>
            <w:noWrap/>
            <w:hideMark/>
          </w:tcPr>
          <w:p w14:paraId="26DED2A8" w14:textId="77777777" w:rsidR="00476D26" w:rsidRPr="00E4016A" w:rsidRDefault="00476D26" w:rsidP="00ED5676">
            <w:pPr>
              <w:suppressAutoHyphens w:val="0"/>
              <w:jc w:val="both"/>
              <w:rPr>
                <w:rFonts w:eastAsia="Calibri" w:cs="Arial"/>
                <w:b/>
                <w:bCs/>
                <w:szCs w:val="20"/>
              </w:rPr>
            </w:pPr>
            <w:r w:rsidRPr="00E4016A">
              <w:rPr>
                <w:rFonts w:eastAsia="Calibri" w:cs="Arial"/>
                <w:b/>
                <w:bCs/>
                <w:szCs w:val="20"/>
              </w:rPr>
              <w:t>Posredniško telo</w:t>
            </w:r>
          </w:p>
        </w:tc>
        <w:tc>
          <w:tcPr>
            <w:tcW w:w="2480" w:type="dxa"/>
            <w:shd w:val="clear" w:color="auto" w:fill="DEEAF6" w:themeFill="accent5" w:themeFillTint="33"/>
            <w:noWrap/>
            <w:hideMark/>
          </w:tcPr>
          <w:p w14:paraId="4D444D59" w14:textId="6F5C82CE" w:rsidR="00476D26" w:rsidRPr="00E4016A" w:rsidRDefault="00476D26" w:rsidP="00ED5676">
            <w:pPr>
              <w:suppressAutoHyphens w:val="0"/>
              <w:jc w:val="both"/>
              <w:rPr>
                <w:rFonts w:eastAsia="Calibri" w:cs="Arial"/>
                <w:b/>
                <w:bCs/>
                <w:szCs w:val="20"/>
              </w:rPr>
            </w:pPr>
            <w:r w:rsidRPr="00E4016A">
              <w:rPr>
                <w:rFonts w:eastAsia="Calibri" w:cs="Arial"/>
                <w:b/>
                <w:bCs/>
                <w:szCs w:val="20"/>
              </w:rPr>
              <w:t>ZZI Število</w:t>
            </w:r>
          </w:p>
        </w:tc>
        <w:tc>
          <w:tcPr>
            <w:tcW w:w="4147" w:type="dxa"/>
            <w:shd w:val="clear" w:color="auto" w:fill="DEEAF6" w:themeFill="accent5" w:themeFillTint="33"/>
            <w:noWrap/>
            <w:hideMark/>
          </w:tcPr>
          <w:p w14:paraId="505832C3" w14:textId="368905DA" w:rsidR="00476D26" w:rsidRPr="00E4016A" w:rsidRDefault="00476D26" w:rsidP="00ED5676">
            <w:pPr>
              <w:suppressAutoHyphens w:val="0"/>
              <w:jc w:val="both"/>
              <w:rPr>
                <w:rFonts w:eastAsia="Calibri" w:cs="Arial"/>
                <w:b/>
                <w:bCs/>
                <w:szCs w:val="20"/>
              </w:rPr>
            </w:pPr>
            <w:r w:rsidRPr="00E4016A">
              <w:rPr>
                <w:rFonts w:eastAsia="Calibri" w:cs="Arial"/>
                <w:b/>
                <w:bCs/>
                <w:szCs w:val="20"/>
              </w:rPr>
              <w:t>ZZI Znesek upravičen skupaj</w:t>
            </w:r>
          </w:p>
        </w:tc>
      </w:tr>
      <w:tr w:rsidR="00476D26" w:rsidRPr="00E4016A" w14:paraId="583FD6D6" w14:textId="77777777" w:rsidTr="00476D26">
        <w:trPr>
          <w:trHeight w:val="300"/>
        </w:trPr>
        <w:tc>
          <w:tcPr>
            <w:tcW w:w="2440" w:type="dxa"/>
            <w:noWrap/>
            <w:hideMark/>
          </w:tcPr>
          <w:p w14:paraId="387B4E6D" w14:textId="77777777" w:rsidR="00476D26" w:rsidRPr="00E4016A" w:rsidRDefault="00476D26" w:rsidP="00ED5676">
            <w:pPr>
              <w:suppressAutoHyphens w:val="0"/>
              <w:jc w:val="both"/>
              <w:rPr>
                <w:rFonts w:eastAsia="Calibri" w:cs="Arial"/>
                <w:szCs w:val="20"/>
              </w:rPr>
            </w:pPr>
            <w:r w:rsidRPr="00E4016A">
              <w:rPr>
                <w:rFonts w:eastAsia="Calibri" w:cs="Arial"/>
                <w:szCs w:val="20"/>
              </w:rPr>
              <w:t>MVI</w:t>
            </w:r>
          </w:p>
        </w:tc>
        <w:tc>
          <w:tcPr>
            <w:tcW w:w="2480" w:type="dxa"/>
            <w:noWrap/>
            <w:hideMark/>
          </w:tcPr>
          <w:p w14:paraId="6D7C8369" w14:textId="77777777" w:rsidR="00476D26" w:rsidRPr="00E4016A" w:rsidRDefault="00476D26" w:rsidP="00ED5676">
            <w:pPr>
              <w:suppressAutoHyphens w:val="0"/>
              <w:jc w:val="both"/>
              <w:rPr>
                <w:rFonts w:eastAsia="Calibri" w:cs="Arial"/>
                <w:szCs w:val="20"/>
              </w:rPr>
            </w:pPr>
            <w:r w:rsidRPr="00E4016A">
              <w:rPr>
                <w:rFonts w:eastAsia="Calibri" w:cs="Arial"/>
                <w:szCs w:val="20"/>
              </w:rPr>
              <w:t>110</w:t>
            </w:r>
          </w:p>
        </w:tc>
        <w:tc>
          <w:tcPr>
            <w:tcW w:w="4147" w:type="dxa"/>
            <w:noWrap/>
            <w:hideMark/>
          </w:tcPr>
          <w:p w14:paraId="5CCA4EDA" w14:textId="77777777" w:rsidR="00476D26" w:rsidRPr="00E4016A" w:rsidRDefault="00476D26" w:rsidP="00ED5676">
            <w:pPr>
              <w:suppressAutoHyphens w:val="0"/>
              <w:jc w:val="both"/>
              <w:rPr>
                <w:rFonts w:eastAsia="Calibri" w:cs="Arial"/>
                <w:szCs w:val="20"/>
              </w:rPr>
            </w:pPr>
            <w:r w:rsidRPr="00E4016A">
              <w:rPr>
                <w:rFonts w:eastAsia="Calibri" w:cs="Arial"/>
                <w:szCs w:val="20"/>
              </w:rPr>
              <w:t>7.608.525,46</w:t>
            </w:r>
          </w:p>
        </w:tc>
      </w:tr>
      <w:tr w:rsidR="00476D26" w:rsidRPr="00E4016A" w14:paraId="2807A362" w14:textId="77777777" w:rsidTr="00476D26">
        <w:trPr>
          <w:trHeight w:val="300"/>
        </w:trPr>
        <w:tc>
          <w:tcPr>
            <w:tcW w:w="2440" w:type="dxa"/>
            <w:noWrap/>
            <w:hideMark/>
          </w:tcPr>
          <w:p w14:paraId="2421C130" w14:textId="77777777" w:rsidR="00476D26" w:rsidRPr="00E4016A" w:rsidRDefault="00476D26" w:rsidP="00ED5676">
            <w:pPr>
              <w:suppressAutoHyphens w:val="0"/>
              <w:jc w:val="both"/>
              <w:rPr>
                <w:rFonts w:eastAsia="Calibri" w:cs="Arial"/>
                <w:szCs w:val="20"/>
              </w:rPr>
            </w:pPr>
            <w:r w:rsidRPr="00E4016A">
              <w:rPr>
                <w:rFonts w:eastAsia="Calibri" w:cs="Arial"/>
                <w:szCs w:val="20"/>
              </w:rPr>
              <w:t>MZI</w:t>
            </w:r>
          </w:p>
        </w:tc>
        <w:tc>
          <w:tcPr>
            <w:tcW w:w="2480" w:type="dxa"/>
            <w:noWrap/>
            <w:hideMark/>
          </w:tcPr>
          <w:p w14:paraId="3DFD0210" w14:textId="77777777" w:rsidR="00476D26" w:rsidRPr="00E4016A" w:rsidRDefault="00476D26" w:rsidP="00ED5676">
            <w:pPr>
              <w:suppressAutoHyphens w:val="0"/>
              <w:jc w:val="both"/>
              <w:rPr>
                <w:rFonts w:eastAsia="Calibri" w:cs="Arial"/>
                <w:szCs w:val="20"/>
              </w:rPr>
            </w:pPr>
            <w:r w:rsidRPr="00E4016A">
              <w:rPr>
                <w:rFonts w:eastAsia="Calibri" w:cs="Arial"/>
                <w:szCs w:val="20"/>
              </w:rPr>
              <w:t>61</w:t>
            </w:r>
          </w:p>
        </w:tc>
        <w:tc>
          <w:tcPr>
            <w:tcW w:w="4147" w:type="dxa"/>
            <w:noWrap/>
            <w:hideMark/>
          </w:tcPr>
          <w:p w14:paraId="2E44FF6C" w14:textId="77777777" w:rsidR="00476D26" w:rsidRPr="00E4016A" w:rsidRDefault="00476D26" w:rsidP="00ED5676">
            <w:pPr>
              <w:suppressAutoHyphens w:val="0"/>
              <w:jc w:val="both"/>
              <w:rPr>
                <w:rFonts w:eastAsia="Calibri" w:cs="Arial"/>
                <w:szCs w:val="20"/>
              </w:rPr>
            </w:pPr>
            <w:r w:rsidRPr="00E4016A">
              <w:rPr>
                <w:rFonts w:eastAsia="Calibri" w:cs="Arial"/>
                <w:szCs w:val="20"/>
              </w:rPr>
              <w:t>13.100.762,49</w:t>
            </w:r>
          </w:p>
        </w:tc>
      </w:tr>
      <w:tr w:rsidR="00476D26" w:rsidRPr="00E4016A" w14:paraId="37D1D868" w14:textId="77777777" w:rsidTr="00476D26">
        <w:trPr>
          <w:trHeight w:val="300"/>
        </w:trPr>
        <w:tc>
          <w:tcPr>
            <w:tcW w:w="2440" w:type="dxa"/>
            <w:noWrap/>
            <w:hideMark/>
          </w:tcPr>
          <w:p w14:paraId="4813B593" w14:textId="77777777" w:rsidR="00476D26" w:rsidRPr="00E4016A" w:rsidRDefault="00476D26" w:rsidP="00ED5676">
            <w:pPr>
              <w:suppressAutoHyphens w:val="0"/>
              <w:jc w:val="both"/>
              <w:rPr>
                <w:rFonts w:eastAsia="Calibri" w:cs="Arial"/>
                <w:szCs w:val="20"/>
              </w:rPr>
            </w:pPr>
            <w:r w:rsidRPr="00E4016A">
              <w:rPr>
                <w:rFonts w:eastAsia="Calibri" w:cs="Arial"/>
                <w:szCs w:val="20"/>
              </w:rPr>
              <w:t>MP</w:t>
            </w:r>
          </w:p>
        </w:tc>
        <w:tc>
          <w:tcPr>
            <w:tcW w:w="2480" w:type="dxa"/>
            <w:noWrap/>
            <w:hideMark/>
          </w:tcPr>
          <w:p w14:paraId="3729B37A" w14:textId="77777777" w:rsidR="00476D26" w:rsidRPr="00E4016A" w:rsidRDefault="00476D26" w:rsidP="00ED5676">
            <w:pPr>
              <w:suppressAutoHyphens w:val="0"/>
              <w:jc w:val="both"/>
              <w:rPr>
                <w:rFonts w:eastAsia="Calibri" w:cs="Arial"/>
                <w:szCs w:val="20"/>
              </w:rPr>
            </w:pPr>
            <w:r w:rsidRPr="00E4016A">
              <w:rPr>
                <w:rFonts w:eastAsia="Calibri" w:cs="Arial"/>
                <w:szCs w:val="20"/>
              </w:rPr>
              <w:t>9</w:t>
            </w:r>
          </w:p>
        </w:tc>
        <w:tc>
          <w:tcPr>
            <w:tcW w:w="4147" w:type="dxa"/>
            <w:noWrap/>
            <w:hideMark/>
          </w:tcPr>
          <w:p w14:paraId="55D71873" w14:textId="77777777" w:rsidR="00476D26" w:rsidRPr="00E4016A" w:rsidRDefault="00476D26" w:rsidP="00ED5676">
            <w:pPr>
              <w:suppressAutoHyphens w:val="0"/>
              <w:jc w:val="both"/>
              <w:rPr>
                <w:rFonts w:eastAsia="Calibri" w:cs="Arial"/>
                <w:szCs w:val="20"/>
              </w:rPr>
            </w:pPr>
            <w:r w:rsidRPr="00E4016A">
              <w:rPr>
                <w:rFonts w:eastAsia="Calibri" w:cs="Arial"/>
                <w:szCs w:val="20"/>
              </w:rPr>
              <w:t>49.267,97</w:t>
            </w:r>
          </w:p>
        </w:tc>
      </w:tr>
      <w:tr w:rsidR="00476D26" w:rsidRPr="00E4016A" w14:paraId="2990E3D4" w14:textId="77777777" w:rsidTr="00476D26">
        <w:trPr>
          <w:trHeight w:val="300"/>
        </w:trPr>
        <w:tc>
          <w:tcPr>
            <w:tcW w:w="2440" w:type="dxa"/>
            <w:noWrap/>
            <w:hideMark/>
          </w:tcPr>
          <w:p w14:paraId="0867E573" w14:textId="77777777" w:rsidR="00476D26" w:rsidRPr="00E4016A" w:rsidRDefault="00476D26" w:rsidP="00ED5676">
            <w:pPr>
              <w:suppressAutoHyphens w:val="0"/>
              <w:jc w:val="both"/>
              <w:rPr>
                <w:rFonts w:eastAsia="Calibri" w:cs="Arial"/>
                <w:szCs w:val="20"/>
              </w:rPr>
            </w:pPr>
            <w:r w:rsidRPr="00E4016A">
              <w:rPr>
                <w:rFonts w:eastAsia="Calibri" w:cs="Arial"/>
                <w:szCs w:val="20"/>
              </w:rPr>
              <w:t>MGTŠ</w:t>
            </w:r>
          </w:p>
        </w:tc>
        <w:tc>
          <w:tcPr>
            <w:tcW w:w="2480" w:type="dxa"/>
            <w:noWrap/>
            <w:hideMark/>
          </w:tcPr>
          <w:p w14:paraId="14DA3430" w14:textId="77777777" w:rsidR="00476D26" w:rsidRPr="00E4016A" w:rsidRDefault="00476D26" w:rsidP="00ED5676">
            <w:pPr>
              <w:suppressAutoHyphens w:val="0"/>
              <w:jc w:val="both"/>
              <w:rPr>
                <w:rFonts w:eastAsia="Calibri" w:cs="Arial"/>
                <w:szCs w:val="20"/>
              </w:rPr>
            </w:pPr>
            <w:r w:rsidRPr="00E4016A">
              <w:rPr>
                <w:rFonts w:eastAsia="Calibri" w:cs="Arial"/>
                <w:szCs w:val="20"/>
              </w:rPr>
              <w:t>76</w:t>
            </w:r>
          </w:p>
        </w:tc>
        <w:tc>
          <w:tcPr>
            <w:tcW w:w="4147" w:type="dxa"/>
            <w:noWrap/>
            <w:hideMark/>
          </w:tcPr>
          <w:p w14:paraId="1210CCE3" w14:textId="77777777" w:rsidR="00476D26" w:rsidRPr="00E4016A" w:rsidRDefault="00476D26" w:rsidP="00ED5676">
            <w:pPr>
              <w:suppressAutoHyphens w:val="0"/>
              <w:jc w:val="both"/>
              <w:rPr>
                <w:rFonts w:eastAsia="Calibri" w:cs="Arial"/>
                <w:szCs w:val="20"/>
              </w:rPr>
            </w:pPr>
            <w:r w:rsidRPr="00E4016A">
              <w:rPr>
                <w:rFonts w:eastAsia="Calibri" w:cs="Arial"/>
                <w:szCs w:val="20"/>
              </w:rPr>
              <w:t>4.519.293,06</w:t>
            </w:r>
          </w:p>
        </w:tc>
      </w:tr>
      <w:tr w:rsidR="00476D26" w:rsidRPr="00E4016A" w14:paraId="60A9A7AD" w14:textId="77777777" w:rsidTr="00476D26">
        <w:trPr>
          <w:trHeight w:val="300"/>
        </w:trPr>
        <w:tc>
          <w:tcPr>
            <w:tcW w:w="2440" w:type="dxa"/>
            <w:noWrap/>
            <w:hideMark/>
          </w:tcPr>
          <w:p w14:paraId="3680FACE" w14:textId="77777777" w:rsidR="00476D26" w:rsidRPr="00E4016A" w:rsidRDefault="00476D26" w:rsidP="00ED5676">
            <w:pPr>
              <w:suppressAutoHyphens w:val="0"/>
              <w:jc w:val="both"/>
              <w:rPr>
                <w:rFonts w:eastAsia="Calibri" w:cs="Arial"/>
                <w:szCs w:val="20"/>
              </w:rPr>
            </w:pPr>
            <w:r w:rsidRPr="00E4016A">
              <w:rPr>
                <w:rFonts w:eastAsia="Calibri" w:cs="Arial"/>
                <w:szCs w:val="20"/>
              </w:rPr>
              <w:t>MNVP</w:t>
            </w:r>
          </w:p>
        </w:tc>
        <w:tc>
          <w:tcPr>
            <w:tcW w:w="2480" w:type="dxa"/>
            <w:noWrap/>
            <w:hideMark/>
          </w:tcPr>
          <w:p w14:paraId="0D2292EC" w14:textId="77777777" w:rsidR="00476D26" w:rsidRPr="00E4016A" w:rsidRDefault="00476D26" w:rsidP="00ED5676">
            <w:pPr>
              <w:suppressAutoHyphens w:val="0"/>
              <w:jc w:val="both"/>
              <w:rPr>
                <w:rFonts w:eastAsia="Calibri" w:cs="Arial"/>
                <w:szCs w:val="20"/>
              </w:rPr>
            </w:pPr>
            <w:r w:rsidRPr="00E4016A">
              <w:rPr>
                <w:rFonts w:eastAsia="Calibri" w:cs="Arial"/>
                <w:szCs w:val="20"/>
              </w:rPr>
              <w:t>94</w:t>
            </w:r>
          </w:p>
        </w:tc>
        <w:tc>
          <w:tcPr>
            <w:tcW w:w="4147" w:type="dxa"/>
            <w:noWrap/>
            <w:hideMark/>
          </w:tcPr>
          <w:p w14:paraId="026B124C" w14:textId="77777777" w:rsidR="00476D26" w:rsidRPr="00E4016A" w:rsidRDefault="00476D26" w:rsidP="00ED5676">
            <w:pPr>
              <w:suppressAutoHyphens w:val="0"/>
              <w:jc w:val="both"/>
              <w:rPr>
                <w:rFonts w:eastAsia="Calibri" w:cs="Arial"/>
                <w:szCs w:val="20"/>
              </w:rPr>
            </w:pPr>
            <w:r w:rsidRPr="00E4016A">
              <w:rPr>
                <w:rFonts w:eastAsia="Calibri" w:cs="Arial"/>
                <w:szCs w:val="20"/>
              </w:rPr>
              <w:t>31.076.796,72</w:t>
            </w:r>
          </w:p>
        </w:tc>
      </w:tr>
      <w:tr w:rsidR="00476D26" w:rsidRPr="00E4016A" w14:paraId="0E1BB0A4" w14:textId="77777777" w:rsidTr="00476D26">
        <w:trPr>
          <w:trHeight w:val="300"/>
        </w:trPr>
        <w:tc>
          <w:tcPr>
            <w:tcW w:w="2440" w:type="dxa"/>
            <w:noWrap/>
            <w:hideMark/>
          </w:tcPr>
          <w:p w14:paraId="67928F49" w14:textId="77777777" w:rsidR="00476D26" w:rsidRPr="00E4016A" w:rsidRDefault="00476D26" w:rsidP="00ED5676">
            <w:pPr>
              <w:suppressAutoHyphens w:val="0"/>
              <w:jc w:val="both"/>
              <w:rPr>
                <w:rFonts w:eastAsia="Calibri" w:cs="Arial"/>
                <w:szCs w:val="20"/>
              </w:rPr>
            </w:pPr>
            <w:r w:rsidRPr="00E4016A">
              <w:rPr>
                <w:rFonts w:eastAsia="Calibri" w:cs="Arial"/>
                <w:szCs w:val="20"/>
              </w:rPr>
              <w:t>MDDSZ</w:t>
            </w:r>
          </w:p>
        </w:tc>
        <w:tc>
          <w:tcPr>
            <w:tcW w:w="2480" w:type="dxa"/>
            <w:noWrap/>
            <w:hideMark/>
          </w:tcPr>
          <w:p w14:paraId="7C8FC286" w14:textId="77777777" w:rsidR="00476D26" w:rsidRPr="00E4016A" w:rsidRDefault="00476D26" w:rsidP="00ED5676">
            <w:pPr>
              <w:suppressAutoHyphens w:val="0"/>
              <w:jc w:val="both"/>
              <w:rPr>
                <w:rFonts w:eastAsia="Calibri" w:cs="Arial"/>
                <w:szCs w:val="20"/>
              </w:rPr>
            </w:pPr>
            <w:r w:rsidRPr="00E4016A">
              <w:rPr>
                <w:rFonts w:eastAsia="Calibri" w:cs="Arial"/>
                <w:szCs w:val="20"/>
              </w:rPr>
              <w:t>230</w:t>
            </w:r>
          </w:p>
        </w:tc>
        <w:tc>
          <w:tcPr>
            <w:tcW w:w="4147" w:type="dxa"/>
            <w:noWrap/>
            <w:hideMark/>
          </w:tcPr>
          <w:p w14:paraId="32269B2C" w14:textId="77777777" w:rsidR="00476D26" w:rsidRPr="00E4016A" w:rsidRDefault="00476D26" w:rsidP="00ED5676">
            <w:pPr>
              <w:suppressAutoHyphens w:val="0"/>
              <w:jc w:val="both"/>
              <w:rPr>
                <w:rFonts w:eastAsia="Calibri" w:cs="Arial"/>
                <w:szCs w:val="20"/>
              </w:rPr>
            </w:pPr>
            <w:r w:rsidRPr="00E4016A">
              <w:rPr>
                <w:rFonts w:eastAsia="Calibri" w:cs="Arial"/>
                <w:szCs w:val="20"/>
              </w:rPr>
              <w:t>8.912.031,57</w:t>
            </w:r>
          </w:p>
        </w:tc>
      </w:tr>
      <w:tr w:rsidR="00476D26" w:rsidRPr="00E4016A" w14:paraId="03BBE843" w14:textId="77777777" w:rsidTr="00476D26">
        <w:trPr>
          <w:trHeight w:val="300"/>
        </w:trPr>
        <w:tc>
          <w:tcPr>
            <w:tcW w:w="2440" w:type="dxa"/>
            <w:noWrap/>
            <w:hideMark/>
          </w:tcPr>
          <w:p w14:paraId="57544C42" w14:textId="77777777" w:rsidR="00476D26" w:rsidRPr="00E4016A" w:rsidRDefault="00476D26" w:rsidP="00ED5676">
            <w:pPr>
              <w:suppressAutoHyphens w:val="0"/>
              <w:jc w:val="both"/>
              <w:rPr>
                <w:rFonts w:eastAsia="Calibri" w:cs="Arial"/>
                <w:szCs w:val="20"/>
              </w:rPr>
            </w:pPr>
            <w:r w:rsidRPr="00E4016A">
              <w:rPr>
                <w:rFonts w:eastAsia="Calibri" w:cs="Arial"/>
                <w:szCs w:val="20"/>
              </w:rPr>
              <w:t>MJU</w:t>
            </w:r>
          </w:p>
        </w:tc>
        <w:tc>
          <w:tcPr>
            <w:tcW w:w="2480" w:type="dxa"/>
            <w:noWrap/>
            <w:hideMark/>
          </w:tcPr>
          <w:p w14:paraId="57FE6128" w14:textId="77777777" w:rsidR="00476D26" w:rsidRPr="00E4016A" w:rsidRDefault="00476D26" w:rsidP="00ED5676">
            <w:pPr>
              <w:suppressAutoHyphens w:val="0"/>
              <w:jc w:val="both"/>
              <w:rPr>
                <w:rFonts w:eastAsia="Calibri" w:cs="Arial"/>
                <w:szCs w:val="20"/>
              </w:rPr>
            </w:pPr>
            <w:r w:rsidRPr="00E4016A">
              <w:rPr>
                <w:rFonts w:eastAsia="Calibri" w:cs="Arial"/>
                <w:szCs w:val="20"/>
              </w:rPr>
              <w:t>37</w:t>
            </w:r>
          </w:p>
        </w:tc>
        <w:tc>
          <w:tcPr>
            <w:tcW w:w="4147" w:type="dxa"/>
            <w:noWrap/>
            <w:hideMark/>
          </w:tcPr>
          <w:p w14:paraId="54E22BEC" w14:textId="77777777" w:rsidR="00476D26" w:rsidRPr="00E4016A" w:rsidRDefault="00476D26" w:rsidP="00ED5676">
            <w:pPr>
              <w:suppressAutoHyphens w:val="0"/>
              <w:jc w:val="both"/>
              <w:rPr>
                <w:rFonts w:eastAsia="Calibri" w:cs="Arial"/>
                <w:szCs w:val="20"/>
              </w:rPr>
            </w:pPr>
            <w:r w:rsidRPr="00E4016A">
              <w:rPr>
                <w:rFonts w:eastAsia="Calibri" w:cs="Arial"/>
                <w:szCs w:val="20"/>
              </w:rPr>
              <w:t>308.130,73</w:t>
            </w:r>
          </w:p>
        </w:tc>
      </w:tr>
      <w:tr w:rsidR="00476D26" w:rsidRPr="00E4016A" w14:paraId="402A2CCB" w14:textId="77777777" w:rsidTr="00476D26">
        <w:trPr>
          <w:trHeight w:val="300"/>
        </w:trPr>
        <w:tc>
          <w:tcPr>
            <w:tcW w:w="2440" w:type="dxa"/>
            <w:noWrap/>
            <w:hideMark/>
          </w:tcPr>
          <w:p w14:paraId="5AC9F88D" w14:textId="77777777" w:rsidR="00476D26" w:rsidRPr="00E4016A" w:rsidRDefault="00476D26" w:rsidP="00ED5676">
            <w:pPr>
              <w:suppressAutoHyphens w:val="0"/>
              <w:jc w:val="both"/>
              <w:rPr>
                <w:rFonts w:eastAsia="Calibri" w:cs="Arial"/>
                <w:szCs w:val="20"/>
              </w:rPr>
            </w:pPr>
            <w:r w:rsidRPr="00E4016A">
              <w:rPr>
                <w:rFonts w:eastAsia="Calibri" w:cs="Arial"/>
                <w:szCs w:val="20"/>
              </w:rPr>
              <w:t>MZ</w:t>
            </w:r>
          </w:p>
        </w:tc>
        <w:tc>
          <w:tcPr>
            <w:tcW w:w="2480" w:type="dxa"/>
            <w:noWrap/>
            <w:hideMark/>
          </w:tcPr>
          <w:p w14:paraId="11512B7E" w14:textId="77777777" w:rsidR="00476D26" w:rsidRPr="00E4016A" w:rsidRDefault="00476D26" w:rsidP="00ED5676">
            <w:pPr>
              <w:suppressAutoHyphens w:val="0"/>
              <w:jc w:val="both"/>
              <w:rPr>
                <w:rFonts w:eastAsia="Calibri" w:cs="Arial"/>
                <w:szCs w:val="20"/>
              </w:rPr>
            </w:pPr>
            <w:r w:rsidRPr="00E4016A">
              <w:rPr>
                <w:rFonts w:eastAsia="Calibri" w:cs="Arial"/>
                <w:szCs w:val="20"/>
              </w:rPr>
              <w:t>33</w:t>
            </w:r>
          </w:p>
        </w:tc>
        <w:tc>
          <w:tcPr>
            <w:tcW w:w="4147" w:type="dxa"/>
            <w:noWrap/>
            <w:hideMark/>
          </w:tcPr>
          <w:p w14:paraId="71FE3452" w14:textId="77777777" w:rsidR="00476D26" w:rsidRPr="00E4016A" w:rsidRDefault="00476D26" w:rsidP="00ED5676">
            <w:pPr>
              <w:suppressAutoHyphens w:val="0"/>
              <w:jc w:val="both"/>
              <w:rPr>
                <w:rFonts w:eastAsia="Calibri" w:cs="Arial"/>
                <w:szCs w:val="20"/>
              </w:rPr>
            </w:pPr>
            <w:r w:rsidRPr="00E4016A">
              <w:rPr>
                <w:rFonts w:eastAsia="Calibri" w:cs="Arial"/>
                <w:szCs w:val="20"/>
              </w:rPr>
              <w:t>156.781,65</w:t>
            </w:r>
          </w:p>
        </w:tc>
      </w:tr>
      <w:tr w:rsidR="00476D26" w:rsidRPr="00E4016A" w14:paraId="2343E75E" w14:textId="77777777" w:rsidTr="00476D26">
        <w:trPr>
          <w:trHeight w:val="300"/>
        </w:trPr>
        <w:tc>
          <w:tcPr>
            <w:tcW w:w="2440" w:type="dxa"/>
            <w:noWrap/>
            <w:hideMark/>
          </w:tcPr>
          <w:p w14:paraId="2D053D17" w14:textId="77777777" w:rsidR="00476D26" w:rsidRPr="00E4016A" w:rsidRDefault="00476D26" w:rsidP="00ED5676">
            <w:pPr>
              <w:suppressAutoHyphens w:val="0"/>
              <w:jc w:val="both"/>
              <w:rPr>
                <w:rFonts w:eastAsia="Calibri" w:cs="Arial"/>
                <w:szCs w:val="20"/>
              </w:rPr>
            </w:pPr>
            <w:r w:rsidRPr="00E4016A">
              <w:rPr>
                <w:rFonts w:eastAsia="Calibri" w:cs="Arial"/>
                <w:szCs w:val="20"/>
              </w:rPr>
              <w:t>MDP</w:t>
            </w:r>
          </w:p>
        </w:tc>
        <w:tc>
          <w:tcPr>
            <w:tcW w:w="2480" w:type="dxa"/>
            <w:noWrap/>
            <w:hideMark/>
          </w:tcPr>
          <w:p w14:paraId="3D0570ED" w14:textId="77777777" w:rsidR="00476D26" w:rsidRPr="00E4016A" w:rsidRDefault="00476D26" w:rsidP="00ED5676">
            <w:pPr>
              <w:suppressAutoHyphens w:val="0"/>
              <w:jc w:val="both"/>
              <w:rPr>
                <w:rFonts w:eastAsia="Calibri" w:cs="Arial"/>
                <w:szCs w:val="20"/>
              </w:rPr>
            </w:pPr>
            <w:r w:rsidRPr="00E4016A">
              <w:rPr>
                <w:rFonts w:eastAsia="Calibri" w:cs="Arial"/>
                <w:szCs w:val="20"/>
              </w:rPr>
              <w:t>27</w:t>
            </w:r>
          </w:p>
        </w:tc>
        <w:tc>
          <w:tcPr>
            <w:tcW w:w="4147" w:type="dxa"/>
            <w:noWrap/>
            <w:hideMark/>
          </w:tcPr>
          <w:p w14:paraId="14C9F836" w14:textId="77777777" w:rsidR="00476D26" w:rsidRPr="00E4016A" w:rsidRDefault="00476D26" w:rsidP="00ED5676">
            <w:pPr>
              <w:suppressAutoHyphens w:val="0"/>
              <w:jc w:val="both"/>
              <w:rPr>
                <w:rFonts w:eastAsia="Calibri" w:cs="Arial"/>
                <w:szCs w:val="20"/>
              </w:rPr>
            </w:pPr>
            <w:r w:rsidRPr="00E4016A">
              <w:rPr>
                <w:rFonts w:eastAsia="Calibri" w:cs="Arial"/>
                <w:szCs w:val="20"/>
              </w:rPr>
              <w:t>2.312.400,00</w:t>
            </w:r>
          </w:p>
        </w:tc>
      </w:tr>
      <w:tr w:rsidR="00476D26" w:rsidRPr="00E4016A" w14:paraId="63F51110" w14:textId="77777777" w:rsidTr="00476D26">
        <w:trPr>
          <w:trHeight w:val="300"/>
        </w:trPr>
        <w:tc>
          <w:tcPr>
            <w:tcW w:w="2440" w:type="dxa"/>
            <w:noWrap/>
            <w:hideMark/>
          </w:tcPr>
          <w:p w14:paraId="7F0FBA04" w14:textId="77777777" w:rsidR="00476D26" w:rsidRPr="00E4016A" w:rsidRDefault="00476D26" w:rsidP="00ED5676">
            <w:pPr>
              <w:suppressAutoHyphens w:val="0"/>
              <w:jc w:val="both"/>
              <w:rPr>
                <w:rFonts w:eastAsia="Calibri" w:cs="Arial"/>
                <w:szCs w:val="20"/>
              </w:rPr>
            </w:pPr>
            <w:r w:rsidRPr="00E4016A">
              <w:rPr>
                <w:rFonts w:eastAsia="Calibri" w:cs="Arial"/>
                <w:szCs w:val="20"/>
              </w:rPr>
              <w:t>MKRR</w:t>
            </w:r>
          </w:p>
        </w:tc>
        <w:tc>
          <w:tcPr>
            <w:tcW w:w="2480" w:type="dxa"/>
            <w:noWrap/>
            <w:hideMark/>
          </w:tcPr>
          <w:p w14:paraId="1960267D" w14:textId="77777777" w:rsidR="00476D26" w:rsidRPr="00E4016A" w:rsidRDefault="00476D26" w:rsidP="00ED5676">
            <w:pPr>
              <w:suppressAutoHyphens w:val="0"/>
              <w:jc w:val="both"/>
              <w:rPr>
                <w:rFonts w:eastAsia="Calibri" w:cs="Arial"/>
                <w:szCs w:val="20"/>
              </w:rPr>
            </w:pPr>
            <w:r w:rsidRPr="00E4016A">
              <w:rPr>
                <w:rFonts w:eastAsia="Calibri" w:cs="Arial"/>
                <w:szCs w:val="20"/>
              </w:rPr>
              <w:t>131</w:t>
            </w:r>
          </w:p>
        </w:tc>
        <w:tc>
          <w:tcPr>
            <w:tcW w:w="4147" w:type="dxa"/>
            <w:noWrap/>
            <w:hideMark/>
          </w:tcPr>
          <w:p w14:paraId="18B146C7" w14:textId="77777777" w:rsidR="00476D26" w:rsidRPr="00E4016A" w:rsidRDefault="00476D26" w:rsidP="00ED5676">
            <w:pPr>
              <w:suppressAutoHyphens w:val="0"/>
              <w:jc w:val="both"/>
              <w:rPr>
                <w:rFonts w:eastAsia="Calibri" w:cs="Arial"/>
                <w:szCs w:val="20"/>
              </w:rPr>
            </w:pPr>
            <w:r w:rsidRPr="00E4016A">
              <w:rPr>
                <w:rFonts w:eastAsia="Calibri" w:cs="Arial"/>
                <w:szCs w:val="20"/>
              </w:rPr>
              <w:t>6.002.655,19</w:t>
            </w:r>
          </w:p>
        </w:tc>
      </w:tr>
      <w:tr w:rsidR="00476D26" w:rsidRPr="00E4016A" w14:paraId="3C2C86CF" w14:textId="77777777" w:rsidTr="00476D26">
        <w:trPr>
          <w:trHeight w:val="300"/>
        </w:trPr>
        <w:tc>
          <w:tcPr>
            <w:tcW w:w="2440" w:type="dxa"/>
            <w:noWrap/>
            <w:hideMark/>
          </w:tcPr>
          <w:p w14:paraId="4B9C8BAC" w14:textId="77777777" w:rsidR="00476D26" w:rsidRPr="00E4016A" w:rsidRDefault="00476D26" w:rsidP="00ED5676">
            <w:pPr>
              <w:suppressAutoHyphens w:val="0"/>
              <w:jc w:val="both"/>
              <w:rPr>
                <w:rFonts w:eastAsia="Calibri" w:cs="Arial"/>
                <w:szCs w:val="20"/>
              </w:rPr>
            </w:pPr>
            <w:r w:rsidRPr="00E4016A">
              <w:rPr>
                <w:rFonts w:eastAsia="Calibri" w:cs="Arial"/>
                <w:szCs w:val="20"/>
              </w:rPr>
              <w:t>MSP</w:t>
            </w:r>
          </w:p>
        </w:tc>
        <w:tc>
          <w:tcPr>
            <w:tcW w:w="2480" w:type="dxa"/>
            <w:noWrap/>
            <w:hideMark/>
          </w:tcPr>
          <w:p w14:paraId="4FA71ECC" w14:textId="77777777" w:rsidR="00476D26" w:rsidRPr="00E4016A" w:rsidRDefault="00476D26" w:rsidP="00ED5676">
            <w:pPr>
              <w:suppressAutoHyphens w:val="0"/>
              <w:jc w:val="both"/>
              <w:rPr>
                <w:rFonts w:eastAsia="Calibri" w:cs="Arial"/>
                <w:szCs w:val="20"/>
              </w:rPr>
            </w:pPr>
            <w:r w:rsidRPr="00E4016A">
              <w:rPr>
                <w:rFonts w:eastAsia="Calibri" w:cs="Arial"/>
                <w:szCs w:val="20"/>
              </w:rPr>
              <w:t>2</w:t>
            </w:r>
          </w:p>
        </w:tc>
        <w:tc>
          <w:tcPr>
            <w:tcW w:w="4147" w:type="dxa"/>
            <w:noWrap/>
            <w:hideMark/>
          </w:tcPr>
          <w:p w14:paraId="595565BA" w14:textId="77777777" w:rsidR="00476D26" w:rsidRPr="00E4016A" w:rsidRDefault="00476D26" w:rsidP="00ED5676">
            <w:pPr>
              <w:suppressAutoHyphens w:val="0"/>
              <w:jc w:val="both"/>
              <w:rPr>
                <w:rFonts w:eastAsia="Calibri" w:cs="Arial"/>
                <w:szCs w:val="20"/>
              </w:rPr>
            </w:pPr>
            <w:r w:rsidRPr="00E4016A">
              <w:rPr>
                <w:rFonts w:eastAsia="Calibri" w:cs="Arial"/>
                <w:szCs w:val="20"/>
              </w:rPr>
              <w:t>135.806,94</w:t>
            </w:r>
          </w:p>
        </w:tc>
      </w:tr>
      <w:tr w:rsidR="00476D26" w:rsidRPr="00E4016A" w14:paraId="49264645" w14:textId="77777777" w:rsidTr="00476D26">
        <w:trPr>
          <w:trHeight w:val="300"/>
        </w:trPr>
        <w:tc>
          <w:tcPr>
            <w:tcW w:w="2440" w:type="dxa"/>
            <w:noWrap/>
            <w:hideMark/>
          </w:tcPr>
          <w:p w14:paraId="133C7ECE" w14:textId="77777777" w:rsidR="00476D26" w:rsidRPr="00E4016A" w:rsidRDefault="00476D26" w:rsidP="00ED5676">
            <w:pPr>
              <w:suppressAutoHyphens w:val="0"/>
              <w:jc w:val="both"/>
              <w:rPr>
                <w:rFonts w:eastAsia="Calibri" w:cs="Arial"/>
                <w:szCs w:val="20"/>
              </w:rPr>
            </w:pPr>
            <w:r w:rsidRPr="00E4016A">
              <w:rPr>
                <w:rFonts w:eastAsia="Calibri" w:cs="Arial"/>
                <w:szCs w:val="20"/>
              </w:rPr>
              <w:t>MOPE</w:t>
            </w:r>
          </w:p>
        </w:tc>
        <w:tc>
          <w:tcPr>
            <w:tcW w:w="2480" w:type="dxa"/>
            <w:noWrap/>
            <w:hideMark/>
          </w:tcPr>
          <w:p w14:paraId="12D962E1" w14:textId="77777777" w:rsidR="00476D26" w:rsidRPr="00E4016A" w:rsidRDefault="00476D26" w:rsidP="00ED5676">
            <w:pPr>
              <w:suppressAutoHyphens w:val="0"/>
              <w:jc w:val="both"/>
              <w:rPr>
                <w:rFonts w:eastAsia="Calibri" w:cs="Arial"/>
                <w:szCs w:val="20"/>
              </w:rPr>
            </w:pPr>
            <w:r w:rsidRPr="00E4016A">
              <w:rPr>
                <w:rFonts w:eastAsia="Calibri" w:cs="Arial"/>
                <w:szCs w:val="20"/>
              </w:rPr>
              <w:t>1</w:t>
            </w:r>
          </w:p>
        </w:tc>
        <w:tc>
          <w:tcPr>
            <w:tcW w:w="4147" w:type="dxa"/>
            <w:noWrap/>
            <w:hideMark/>
          </w:tcPr>
          <w:p w14:paraId="38B31480" w14:textId="77777777" w:rsidR="00476D26" w:rsidRPr="00E4016A" w:rsidRDefault="00476D26" w:rsidP="00ED5676">
            <w:pPr>
              <w:suppressAutoHyphens w:val="0"/>
              <w:jc w:val="both"/>
              <w:rPr>
                <w:rFonts w:eastAsia="Calibri" w:cs="Arial"/>
                <w:szCs w:val="20"/>
              </w:rPr>
            </w:pPr>
            <w:r w:rsidRPr="00E4016A">
              <w:rPr>
                <w:rFonts w:eastAsia="Calibri" w:cs="Arial"/>
                <w:szCs w:val="20"/>
              </w:rPr>
              <w:t>28.000,00</w:t>
            </w:r>
          </w:p>
        </w:tc>
      </w:tr>
      <w:tr w:rsidR="00476D26" w:rsidRPr="00E4016A" w14:paraId="06CB7DD7" w14:textId="77777777" w:rsidTr="00476D26">
        <w:trPr>
          <w:trHeight w:val="300"/>
        </w:trPr>
        <w:tc>
          <w:tcPr>
            <w:tcW w:w="2440" w:type="dxa"/>
            <w:noWrap/>
            <w:hideMark/>
          </w:tcPr>
          <w:p w14:paraId="5C62A1C0" w14:textId="77777777" w:rsidR="00476D26" w:rsidRPr="00E4016A" w:rsidRDefault="00476D26" w:rsidP="00ED5676">
            <w:pPr>
              <w:suppressAutoHyphens w:val="0"/>
              <w:jc w:val="both"/>
              <w:rPr>
                <w:rFonts w:eastAsia="Calibri" w:cs="Arial"/>
                <w:szCs w:val="20"/>
              </w:rPr>
            </w:pPr>
            <w:r w:rsidRPr="00E4016A">
              <w:rPr>
                <w:rFonts w:eastAsia="Calibri" w:cs="Arial"/>
                <w:szCs w:val="20"/>
              </w:rPr>
              <w:t>MVZI</w:t>
            </w:r>
          </w:p>
        </w:tc>
        <w:tc>
          <w:tcPr>
            <w:tcW w:w="2480" w:type="dxa"/>
            <w:noWrap/>
            <w:hideMark/>
          </w:tcPr>
          <w:p w14:paraId="4EE4370A" w14:textId="77777777" w:rsidR="00476D26" w:rsidRPr="00E4016A" w:rsidRDefault="00476D26" w:rsidP="00ED5676">
            <w:pPr>
              <w:suppressAutoHyphens w:val="0"/>
              <w:jc w:val="both"/>
              <w:rPr>
                <w:rFonts w:eastAsia="Calibri" w:cs="Arial"/>
                <w:szCs w:val="20"/>
              </w:rPr>
            </w:pPr>
            <w:r w:rsidRPr="00E4016A">
              <w:rPr>
                <w:rFonts w:eastAsia="Calibri" w:cs="Arial"/>
                <w:szCs w:val="20"/>
              </w:rPr>
              <w:t>17</w:t>
            </w:r>
          </w:p>
        </w:tc>
        <w:tc>
          <w:tcPr>
            <w:tcW w:w="4147" w:type="dxa"/>
            <w:noWrap/>
            <w:hideMark/>
          </w:tcPr>
          <w:p w14:paraId="242050E1" w14:textId="77777777" w:rsidR="00476D26" w:rsidRPr="00E4016A" w:rsidRDefault="00476D26" w:rsidP="00ED5676">
            <w:pPr>
              <w:suppressAutoHyphens w:val="0"/>
              <w:jc w:val="both"/>
              <w:rPr>
                <w:rFonts w:eastAsia="Calibri" w:cs="Arial"/>
                <w:szCs w:val="20"/>
              </w:rPr>
            </w:pPr>
            <w:r w:rsidRPr="00E4016A">
              <w:rPr>
                <w:rFonts w:eastAsia="Calibri" w:cs="Arial"/>
                <w:szCs w:val="20"/>
              </w:rPr>
              <w:t>3.444.074,04</w:t>
            </w:r>
          </w:p>
        </w:tc>
      </w:tr>
      <w:tr w:rsidR="00476D26" w:rsidRPr="00E4016A" w14:paraId="1D647998" w14:textId="77777777" w:rsidTr="00813DA2">
        <w:trPr>
          <w:trHeight w:val="300"/>
        </w:trPr>
        <w:tc>
          <w:tcPr>
            <w:tcW w:w="2440" w:type="dxa"/>
            <w:shd w:val="clear" w:color="auto" w:fill="DEEAF6" w:themeFill="accent5" w:themeFillTint="33"/>
            <w:noWrap/>
            <w:hideMark/>
          </w:tcPr>
          <w:p w14:paraId="47A75A20" w14:textId="4C869D4C" w:rsidR="00476D26" w:rsidRPr="00E4016A" w:rsidRDefault="00E94F09" w:rsidP="00ED5676">
            <w:pPr>
              <w:suppressAutoHyphens w:val="0"/>
              <w:jc w:val="both"/>
              <w:rPr>
                <w:rFonts w:eastAsia="Calibri" w:cs="Arial"/>
                <w:b/>
                <w:bCs/>
                <w:szCs w:val="20"/>
              </w:rPr>
            </w:pPr>
            <w:r w:rsidRPr="00E4016A">
              <w:rPr>
                <w:rFonts w:eastAsia="Calibri" w:cs="Arial"/>
                <w:b/>
                <w:bCs/>
                <w:szCs w:val="20"/>
              </w:rPr>
              <w:t>SKUPAJ</w:t>
            </w:r>
          </w:p>
        </w:tc>
        <w:tc>
          <w:tcPr>
            <w:tcW w:w="2480" w:type="dxa"/>
            <w:shd w:val="clear" w:color="auto" w:fill="DEEAF6" w:themeFill="accent5" w:themeFillTint="33"/>
            <w:noWrap/>
            <w:hideMark/>
          </w:tcPr>
          <w:p w14:paraId="7A39603A" w14:textId="77777777" w:rsidR="00476D26" w:rsidRPr="00E4016A" w:rsidRDefault="00476D26" w:rsidP="00ED5676">
            <w:pPr>
              <w:suppressAutoHyphens w:val="0"/>
              <w:jc w:val="both"/>
              <w:rPr>
                <w:rFonts w:eastAsia="Calibri" w:cs="Arial"/>
                <w:b/>
                <w:bCs/>
                <w:szCs w:val="20"/>
              </w:rPr>
            </w:pPr>
            <w:r w:rsidRPr="00E4016A">
              <w:rPr>
                <w:rFonts w:eastAsia="Calibri" w:cs="Arial"/>
                <w:b/>
                <w:bCs/>
                <w:szCs w:val="20"/>
              </w:rPr>
              <w:t>828</w:t>
            </w:r>
          </w:p>
        </w:tc>
        <w:tc>
          <w:tcPr>
            <w:tcW w:w="4147" w:type="dxa"/>
            <w:shd w:val="clear" w:color="auto" w:fill="DEEAF6" w:themeFill="accent5" w:themeFillTint="33"/>
            <w:noWrap/>
            <w:hideMark/>
          </w:tcPr>
          <w:p w14:paraId="062D92C6" w14:textId="77777777" w:rsidR="00476D26" w:rsidRPr="00E4016A" w:rsidRDefault="00476D26" w:rsidP="00ED5676">
            <w:pPr>
              <w:keepNext/>
              <w:suppressAutoHyphens w:val="0"/>
              <w:jc w:val="both"/>
              <w:rPr>
                <w:rFonts w:eastAsia="Calibri" w:cs="Arial"/>
                <w:b/>
                <w:bCs/>
                <w:szCs w:val="20"/>
              </w:rPr>
            </w:pPr>
            <w:r w:rsidRPr="00E4016A">
              <w:rPr>
                <w:rFonts w:eastAsia="Calibri" w:cs="Arial"/>
                <w:b/>
                <w:bCs/>
                <w:szCs w:val="20"/>
              </w:rPr>
              <w:t>77.654.525,82</w:t>
            </w:r>
          </w:p>
        </w:tc>
      </w:tr>
    </w:tbl>
    <w:p w14:paraId="6EDF8D87" w14:textId="5322FFE4" w:rsidR="00476D26" w:rsidRPr="0025033E" w:rsidRDefault="00476D26" w:rsidP="00ED5676">
      <w:pPr>
        <w:pStyle w:val="Napis"/>
        <w:spacing w:after="0"/>
        <w:jc w:val="both"/>
        <w:rPr>
          <w:rFonts w:cs="Arial"/>
          <w:b w:val="0"/>
          <w:bCs w:val="0"/>
          <w:color w:val="auto"/>
          <w:sz w:val="18"/>
          <w:szCs w:val="18"/>
        </w:rPr>
      </w:pPr>
      <w:r w:rsidRPr="0025033E">
        <w:rPr>
          <w:rFonts w:cs="Arial"/>
          <w:b w:val="0"/>
          <w:bCs w:val="0"/>
          <w:color w:val="auto"/>
          <w:sz w:val="18"/>
          <w:szCs w:val="18"/>
        </w:rPr>
        <w:t>Vir: IS e-MA2</w:t>
      </w:r>
    </w:p>
    <w:p w14:paraId="6B7FA0B9" w14:textId="77777777" w:rsidR="007E7643" w:rsidRPr="0025033E" w:rsidRDefault="007E7643" w:rsidP="00ED5676">
      <w:pPr>
        <w:spacing w:after="0"/>
        <w:jc w:val="both"/>
        <w:rPr>
          <w:rFonts w:cs="Arial"/>
        </w:rPr>
      </w:pPr>
    </w:p>
    <w:p w14:paraId="26793C1E" w14:textId="223CC373" w:rsidR="007E7643" w:rsidRPr="007E7643" w:rsidRDefault="007E7643" w:rsidP="00ED5676">
      <w:pPr>
        <w:suppressAutoHyphens w:val="0"/>
        <w:autoSpaceDN/>
        <w:spacing w:after="0"/>
        <w:jc w:val="both"/>
        <w:rPr>
          <w:rFonts w:eastAsia="Calibri" w:cs="Arial"/>
          <w:szCs w:val="20"/>
        </w:rPr>
      </w:pPr>
      <w:r w:rsidRPr="007E7643">
        <w:rPr>
          <w:rFonts w:eastAsia="Calibri" w:cs="Arial"/>
          <w:szCs w:val="20"/>
        </w:rPr>
        <w:t xml:space="preserve">Bistveni moduli IS e-MA2 so izdelani, nameščeni v produkcijsko okolje in so v uporabi. V zadnjem polletju sta bila vzpostavljena modul Spremljanje in poročanje in podpora finančnim instrumentov, kot zadnja ključna modula za delovanje sistema. Prav tako je bila v drugem polletju 2024 vzpostavljena izmenjava podatkov z IS e-CA, kar je ključno za vzpostavitev </w:t>
      </w:r>
      <w:r w:rsidR="00CA2901">
        <w:rPr>
          <w:rFonts w:eastAsia="Calibri" w:cs="Arial"/>
          <w:szCs w:val="20"/>
        </w:rPr>
        <w:t>koriščenja</w:t>
      </w:r>
      <w:r w:rsidRPr="007E7643">
        <w:rPr>
          <w:rFonts w:eastAsia="Calibri" w:cs="Arial"/>
          <w:szCs w:val="20"/>
        </w:rPr>
        <w:t xml:space="preserve"> EU sredstev kohezijske politike. Ob koncu leta 2024 je bilo certificiranih 463 Zahtevkov za izplačilo.</w:t>
      </w:r>
    </w:p>
    <w:p w14:paraId="140410A9" w14:textId="77777777" w:rsidR="007E7643" w:rsidRPr="007E7643" w:rsidRDefault="007E7643" w:rsidP="00ED5676">
      <w:pPr>
        <w:suppressAutoHyphens w:val="0"/>
        <w:autoSpaceDN/>
        <w:spacing w:after="0"/>
        <w:jc w:val="both"/>
        <w:rPr>
          <w:rFonts w:eastAsia="Calibri" w:cs="Arial"/>
          <w:szCs w:val="20"/>
        </w:rPr>
      </w:pPr>
    </w:p>
    <w:p w14:paraId="7AFFDAFD" w14:textId="1525FC38" w:rsidR="007E7643" w:rsidRPr="007E7643" w:rsidRDefault="007E7643" w:rsidP="00ED5676">
      <w:pPr>
        <w:suppressAutoHyphens w:val="0"/>
        <w:autoSpaceDN/>
        <w:spacing w:after="0"/>
        <w:jc w:val="both"/>
        <w:rPr>
          <w:rFonts w:eastAsia="Calibri" w:cs="Arial"/>
          <w:szCs w:val="20"/>
        </w:rPr>
      </w:pPr>
      <w:r w:rsidRPr="007E7643">
        <w:rPr>
          <w:rFonts w:eastAsia="Calibri" w:cs="Arial"/>
          <w:szCs w:val="20"/>
        </w:rPr>
        <w:t xml:space="preserve">Sistem se še vedno razvija, vendar v delih, ki trenutno za </w:t>
      </w:r>
      <w:r w:rsidR="00CA2901">
        <w:rPr>
          <w:rFonts w:eastAsia="Calibri" w:cs="Arial"/>
          <w:szCs w:val="20"/>
        </w:rPr>
        <w:t>koriščenje</w:t>
      </w:r>
      <w:r w:rsidRPr="007E7643">
        <w:rPr>
          <w:rFonts w:eastAsia="Calibri" w:cs="Arial"/>
          <w:szCs w:val="20"/>
        </w:rPr>
        <w:t xml:space="preserve"> niso ključnega pomena, so pa potrebni za popolno delovanje sistema, kot na primer Modul za vrednotenje, podpora zaključevanju operacij, sistemske korekcije in drugi.</w:t>
      </w:r>
    </w:p>
    <w:p w14:paraId="44811392" w14:textId="77777777" w:rsidR="007E7643" w:rsidRPr="007E7643" w:rsidRDefault="007E7643" w:rsidP="00ED5676">
      <w:pPr>
        <w:suppressAutoHyphens w:val="0"/>
        <w:autoSpaceDN/>
        <w:spacing w:after="0"/>
        <w:jc w:val="both"/>
        <w:rPr>
          <w:rFonts w:eastAsia="Calibri" w:cs="Arial"/>
          <w:szCs w:val="20"/>
        </w:rPr>
      </w:pPr>
    </w:p>
    <w:p w14:paraId="49C5819C" w14:textId="77777777" w:rsidR="00B05431" w:rsidRDefault="007E7643" w:rsidP="00ED5676">
      <w:pPr>
        <w:suppressAutoHyphens w:val="0"/>
        <w:autoSpaceDN/>
        <w:jc w:val="both"/>
        <w:rPr>
          <w:rFonts w:eastAsia="Calibri" w:cs="Arial"/>
          <w:szCs w:val="20"/>
        </w:rPr>
        <w:sectPr w:rsidR="00B05431" w:rsidSect="00A169E8">
          <w:pgSz w:w="11906" w:h="16838" w:code="9"/>
          <w:pgMar w:top="1418" w:right="1418" w:bottom="1418" w:left="1418" w:header="709" w:footer="709" w:gutter="0"/>
          <w:cols w:space="708"/>
          <w:docGrid w:linePitch="272"/>
        </w:sectPr>
      </w:pPr>
      <w:r w:rsidRPr="007E7643">
        <w:rPr>
          <w:rFonts w:eastAsia="Calibri" w:cs="Arial"/>
          <w:szCs w:val="20"/>
        </w:rPr>
        <w:t>Sistem ima ob koncu leta 2024 skupno 1291 uporabnikov, ki jim zagotavljamo stalno podporo pri uporabi sistema</w:t>
      </w:r>
      <w:r w:rsidR="00185BFA" w:rsidRPr="00BA4E86">
        <w:rPr>
          <w:rFonts w:eastAsia="Calibri" w:cs="Arial"/>
          <w:szCs w:val="20"/>
        </w:rPr>
        <w:t>.</w:t>
      </w:r>
    </w:p>
    <w:p w14:paraId="02F6C3A5" w14:textId="7D1D971D" w:rsidR="007E7643" w:rsidRPr="007E7643" w:rsidRDefault="007E7643" w:rsidP="0090150F">
      <w:pPr>
        <w:pStyle w:val="Naslov10"/>
        <w:spacing w:before="0" w:after="0"/>
      </w:pPr>
      <w:bookmarkStart w:id="412" w:name="_Toc188012429"/>
      <w:bookmarkStart w:id="413" w:name="_Toc188012449"/>
      <w:bookmarkStart w:id="414" w:name="_Toc18671928"/>
      <w:bookmarkStart w:id="415" w:name="_Toc191460235"/>
      <w:r w:rsidRPr="007E7643">
        <w:lastRenderedPageBreak/>
        <w:t>Priloga 1: P</w:t>
      </w:r>
      <w:r w:rsidR="00AA5D10">
        <w:t xml:space="preserve">oročilo o napredku pri pripravi tematskih omogočitvenih pogojev v obdobju </w:t>
      </w:r>
      <w:r w:rsidR="00AA5D10" w:rsidRPr="007E7643">
        <w:t>2021 – 2027</w:t>
      </w:r>
      <w:bookmarkEnd w:id="412"/>
      <w:bookmarkEnd w:id="413"/>
      <w:bookmarkEnd w:id="415"/>
      <w:r w:rsidR="00AA5D10" w:rsidRPr="007E7643">
        <w:t xml:space="preserve"> </w:t>
      </w:r>
    </w:p>
    <w:p w14:paraId="4FBC525A" w14:textId="77777777" w:rsidR="007E7643" w:rsidRPr="00E237F0" w:rsidRDefault="007E7643" w:rsidP="00ED5676">
      <w:pPr>
        <w:suppressAutoHyphens w:val="0"/>
        <w:autoSpaceDN/>
        <w:spacing w:after="0"/>
        <w:jc w:val="both"/>
        <w:rPr>
          <w:rFonts w:cs="Arial"/>
          <w:szCs w:val="20"/>
        </w:rPr>
      </w:pPr>
    </w:p>
    <w:p w14:paraId="06B0367F" w14:textId="77777777" w:rsidR="007E7643" w:rsidRPr="007E7643" w:rsidRDefault="007E7643" w:rsidP="00ED5676">
      <w:pPr>
        <w:suppressAutoHyphens w:val="0"/>
        <w:autoSpaceDN/>
        <w:jc w:val="both"/>
        <w:rPr>
          <w:rFonts w:cs="Arial"/>
          <w:bCs/>
          <w:szCs w:val="20"/>
        </w:rPr>
      </w:pPr>
      <w:r w:rsidRPr="007E7643">
        <w:rPr>
          <w:rFonts w:cs="Arial"/>
          <w:szCs w:val="20"/>
        </w:rPr>
        <w:t xml:space="preserve">S Sklepom Vlade RS številka 54402-7/2019/6 z dne 18. 7. 2019 Vlada RS </w:t>
      </w:r>
      <w:r w:rsidRPr="007E7643">
        <w:rPr>
          <w:rFonts w:cs="Arial"/>
          <w:bCs/>
          <w:szCs w:val="20"/>
        </w:rPr>
        <w:t xml:space="preserve">nalaga ministrstvom in vladnim službam, da v okviru Poročila o izvajanju evropske kohezijske politike 2014–2020, cilj naložbe za rast in delovna mesta poročajo o napredku pri pripravi programskih dokumentov in dokumentov za izpolnjevanje tematskih </w:t>
      </w:r>
      <w:proofErr w:type="spellStart"/>
      <w:r w:rsidRPr="007E7643">
        <w:rPr>
          <w:rFonts w:cs="Arial"/>
          <w:bCs/>
          <w:szCs w:val="20"/>
        </w:rPr>
        <w:t>omogočitvenih</w:t>
      </w:r>
      <w:proofErr w:type="spellEnd"/>
      <w:r w:rsidRPr="007E7643">
        <w:rPr>
          <w:rFonts w:cs="Arial"/>
          <w:bCs/>
          <w:szCs w:val="20"/>
        </w:rPr>
        <w:t xml:space="preserve"> pogojev.</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5"/>
        <w:gridCol w:w="1672"/>
        <w:gridCol w:w="4678"/>
        <w:gridCol w:w="1872"/>
        <w:gridCol w:w="1814"/>
      </w:tblGrid>
      <w:tr w:rsidR="007E7643" w:rsidRPr="00E4016A" w14:paraId="0B0334BF" w14:textId="77777777" w:rsidTr="00813DA2">
        <w:tc>
          <w:tcPr>
            <w:tcW w:w="4565" w:type="dxa"/>
            <w:shd w:val="clear" w:color="auto" w:fill="DEEAF6" w:themeFill="accent5" w:themeFillTint="33"/>
          </w:tcPr>
          <w:bookmarkEnd w:id="414"/>
          <w:p w14:paraId="52BCAE1F" w14:textId="77777777" w:rsidR="007E7643" w:rsidRPr="00E4016A" w:rsidRDefault="007E7643" w:rsidP="00ED5676">
            <w:pPr>
              <w:suppressAutoHyphens w:val="0"/>
              <w:autoSpaceDN/>
              <w:spacing w:after="0" w:line="260" w:lineRule="exact"/>
              <w:jc w:val="both"/>
              <w:rPr>
                <w:rFonts w:eastAsia="Calibri" w:cs="Arial"/>
                <w:b/>
                <w:szCs w:val="20"/>
              </w:rPr>
            </w:pPr>
            <w:r w:rsidRPr="00E4016A">
              <w:rPr>
                <w:rFonts w:eastAsia="Calibri" w:cs="Arial"/>
                <w:b/>
                <w:szCs w:val="20"/>
              </w:rPr>
              <w:t xml:space="preserve">OMOGOČITVENI </w:t>
            </w:r>
            <w:bookmarkStart w:id="416" w:name="_Toc90562334"/>
            <w:r w:rsidRPr="00E4016A">
              <w:rPr>
                <w:rFonts w:eastAsia="Calibri" w:cs="Arial"/>
                <w:b/>
                <w:szCs w:val="20"/>
              </w:rPr>
              <w:t>POGOJ</w:t>
            </w:r>
            <w:bookmarkEnd w:id="416"/>
          </w:p>
        </w:tc>
        <w:tc>
          <w:tcPr>
            <w:tcW w:w="1672" w:type="dxa"/>
            <w:shd w:val="clear" w:color="auto" w:fill="DEEAF6" w:themeFill="accent5" w:themeFillTint="33"/>
          </w:tcPr>
          <w:p w14:paraId="2B70AAE9" w14:textId="77777777" w:rsidR="007E7643" w:rsidRPr="00E4016A" w:rsidRDefault="007E7643" w:rsidP="00ED5676">
            <w:pPr>
              <w:suppressAutoHyphens w:val="0"/>
              <w:autoSpaceDN/>
              <w:spacing w:after="0" w:line="260" w:lineRule="exact"/>
              <w:jc w:val="both"/>
              <w:rPr>
                <w:rFonts w:eastAsia="Calibri" w:cs="Arial"/>
                <w:b/>
                <w:szCs w:val="20"/>
              </w:rPr>
            </w:pPr>
            <w:bookmarkStart w:id="417" w:name="_Toc90562335"/>
            <w:r w:rsidRPr="00E4016A">
              <w:rPr>
                <w:rFonts w:eastAsia="Calibri" w:cs="Arial"/>
                <w:b/>
                <w:szCs w:val="20"/>
              </w:rPr>
              <w:t>IZPOLNITEV OMOGOČITVENEGA POGOJA (OCENA NOSILCA)</w:t>
            </w:r>
            <w:bookmarkEnd w:id="417"/>
          </w:p>
        </w:tc>
        <w:tc>
          <w:tcPr>
            <w:tcW w:w="4678" w:type="dxa"/>
            <w:shd w:val="clear" w:color="auto" w:fill="DEEAF6" w:themeFill="accent5" w:themeFillTint="33"/>
          </w:tcPr>
          <w:p w14:paraId="1C5989B5" w14:textId="77777777" w:rsidR="007E7643" w:rsidRPr="00E4016A" w:rsidRDefault="007E7643" w:rsidP="00ED5676">
            <w:pPr>
              <w:suppressAutoHyphens w:val="0"/>
              <w:autoSpaceDN/>
              <w:spacing w:after="0" w:line="260" w:lineRule="exact"/>
              <w:jc w:val="both"/>
              <w:rPr>
                <w:rFonts w:eastAsia="Calibri" w:cs="Arial"/>
                <w:b/>
                <w:szCs w:val="20"/>
              </w:rPr>
            </w:pPr>
            <w:bookmarkStart w:id="418" w:name="_Toc90562336"/>
            <w:r w:rsidRPr="00E4016A">
              <w:rPr>
                <w:rFonts w:eastAsia="Calibri" w:cs="Arial"/>
                <w:b/>
                <w:szCs w:val="20"/>
              </w:rPr>
              <w:t>DOKUMENT/OPIS POTREBEN ZA IZPOLNITEV</w:t>
            </w:r>
            <w:bookmarkEnd w:id="418"/>
          </w:p>
        </w:tc>
        <w:tc>
          <w:tcPr>
            <w:tcW w:w="1872" w:type="dxa"/>
            <w:shd w:val="clear" w:color="auto" w:fill="DEEAF6" w:themeFill="accent5" w:themeFillTint="33"/>
          </w:tcPr>
          <w:p w14:paraId="3204AF29" w14:textId="77777777" w:rsidR="007E7643" w:rsidRPr="00E4016A" w:rsidRDefault="007E7643" w:rsidP="00ED5676">
            <w:pPr>
              <w:suppressAutoHyphens w:val="0"/>
              <w:autoSpaceDN/>
              <w:spacing w:after="0" w:line="260" w:lineRule="exact"/>
              <w:jc w:val="both"/>
              <w:rPr>
                <w:rFonts w:eastAsia="Calibri" w:cs="Arial"/>
                <w:b/>
                <w:szCs w:val="20"/>
              </w:rPr>
            </w:pPr>
            <w:bookmarkStart w:id="419" w:name="_Toc90562337"/>
            <w:r w:rsidRPr="00E4016A">
              <w:rPr>
                <w:rFonts w:eastAsia="Calibri" w:cs="Arial"/>
                <w:b/>
                <w:szCs w:val="20"/>
              </w:rPr>
              <w:t>NIVO SPREJEMA</w:t>
            </w:r>
            <w:bookmarkEnd w:id="419"/>
          </w:p>
        </w:tc>
        <w:tc>
          <w:tcPr>
            <w:tcW w:w="1814" w:type="dxa"/>
            <w:shd w:val="clear" w:color="auto" w:fill="DEEAF6" w:themeFill="accent5" w:themeFillTint="33"/>
          </w:tcPr>
          <w:p w14:paraId="78C07987" w14:textId="77777777" w:rsidR="007E7643" w:rsidRPr="00E4016A" w:rsidRDefault="007E7643" w:rsidP="00ED5676">
            <w:pPr>
              <w:suppressAutoHyphens w:val="0"/>
              <w:autoSpaceDN/>
              <w:spacing w:after="0" w:line="260" w:lineRule="exact"/>
              <w:jc w:val="both"/>
              <w:rPr>
                <w:rFonts w:eastAsia="Calibri" w:cs="Arial"/>
                <w:b/>
                <w:szCs w:val="20"/>
              </w:rPr>
            </w:pPr>
            <w:bookmarkStart w:id="420" w:name="_Toc90562338"/>
            <w:r w:rsidRPr="00E4016A">
              <w:rPr>
                <w:rFonts w:eastAsia="Calibri" w:cs="Arial"/>
                <w:b/>
                <w:szCs w:val="20"/>
              </w:rPr>
              <w:t>PRAVNA PODLAGA</w:t>
            </w:r>
            <w:bookmarkEnd w:id="420"/>
          </w:p>
        </w:tc>
      </w:tr>
      <w:tr w:rsidR="007E7643" w:rsidRPr="00E4016A" w14:paraId="3C543A93" w14:textId="77777777" w:rsidTr="00B04820">
        <w:tc>
          <w:tcPr>
            <w:tcW w:w="4565" w:type="dxa"/>
            <w:shd w:val="clear" w:color="auto" w:fill="auto"/>
          </w:tcPr>
          <w:p w14:paraId="150B2AE0" w14:textId="77777777" w:rsidR="007E7643" w:rsidRPr="00E4016A" w:rsidRDefault="007E7643" w:rsidP="00ED5676">
            <w:pPr>
              <w:suppressAutoHyphens w:val="0"/>
              <w:autoSpaceDN/>
              <w:spacing w:after="0" w:line="260" w:lineRule="exact"/>
              <w:jc w:val="both"/>
              <w:rPr>
                <w:rFonts w:cs="Arial"/>
                <w:szCs w:val="20"/>
              </w:rPr>
            </w:pPr>
            <w:bookmarkStart w:id="421" w:name="_Toc90562339"/>
            <w:r w:rsidRPr="00E4016A">
              <w:rPr>
                <w:rFonts w:cs="Arial"/>
                <w:szCs w:val="20"/>
              </w:rPr>
              <w:t>Učinkoviti mehanizmi spremljanja trga javnih naročil</w:t>
            </w:r>
            <w:bookmarkEnd w:id="421"/>
          </w:p>
        </w:tc>
        <w:tc>
          <w:tcPr>
            <w:tcW w:w="1672" w:type="dxa"/>
            <w:shd w:val="clear" w:color="auto" w:fill="auto"/>
          </w:tcPr>
          <w:p w14:paraId="6878A2A6" w14:textId="77777777" w:rsidR="007E7643" w:rsidRPr="00E4016A" w:rsidRDefault="007E7643" w:rsidP="00ED5676">
            <w:pPr>
              <w:suppressAutoHyphens w:val="0"/>
              <w:autoSpaceDN/>
              <w:spacing w:after="0" w:line="260" w:lineRule="exact"/>
              <w:jc w:val="both"/>
              <w:rPr>
                <w:rFonts w:cs="Arial"/>
                <w:szCs w:val="20"/>
              </w:rPr>
            </w:pPr>
            <w:bookmarkStart w:id="422" w:name="_Toc90562340"/>
            <w:r w:rsidRPr="00E4016A">
              <w:rPr>
                <w:rFonts w:cs="Arial"/>
                <w:szCs w:val="20"/>
              </w:rPr>
              <w:t>DA</w:t>
            </w:r>
            <w:bookmarkEnd w:id="422"/>
          </w:p>
        </w:tc>
        <w:tc>
          <w:tcPr>
            <w:tcW w:w="4678" w:type="dxa"/>
            <w:shd w:val="clear" w:color="auto" w:fill="auto"/>
          </w:tcPr>
          <w:p w14:paraId="77049AE2" w14:textId="77777777" w:rsidR="007E7643" w:rsidRPr="00E4016A" w:rsidRDefault="007E7643" w:rsidP="00ED5676">
            <w:pPr>
              <w:suppressAutoHyphens w:val="0"/>
              <w:autoSpaceDN/>
              <w:spacing w:after="0" w:line="260" w:lineRule="exact"/>
              <w:jc w:val="both"/>
              <w:rPr>
                <w:rFonts w:cs="Arial"/>
                <w:szCs w:val="20"/>
              </w:rPr>
            </w:pPr>
            <w:bookmarkStart w:id="423" w:name="_Toc90562341"/>
            <w:r w:rsidRPr="00E4016A">
              <w:rPr>
                <w:rFonts w:cs="Arial"/>
                <w:szCs w:val="20"/>
              </w:rPr>
              <w:t>Členi 106.-108. in 114. Zakona o javnem naročanju (Uradni list RS, št. </w:t>
            </w:r>
            <w:hyperlink r:id="rId28" w:tgtFrame="_blank" w:tooltip="Zakon o javnem naročanju (ZJN-3)" w:history="1">
              <w:r w:rsidRPr="00E4016A">
                <w:rPr>
                  <w:rFonts w:cs="Arial"/>
                  <w:szCs w:val="20"/>
                </w:rPr>
                <w:t>91/15</w:t>
              </w:r>
            </w:hyperlink>
            <w:r w:rsidRPr="00E4016A">
              <w:rPr>
                <w:rFonts w:cs="Arial"/>
                <w:szCs w:val="20"/>
              </w:rPr>
              <w:t> in </w:t>
            </w:r>
            <w:hyperlink r:id="rId29" w:tgtFrame="_blank" w:tooltip="Zakon o spremembah in dopolnitvah Zakona o javnem naročanju" w:history="1">
              <w:r w:rsidRPr="00E4016A">
                <w:rPr>
                  <w:rFonts w:cs="Arial"/>
                  <w:szCs w:val="20"/>
                </w:rPr>
                <w:t>14/18</w:t>
              </w:r>
            </w:hyperlink>
            <w:r w:rsidRPr="00E4016A">
              <w:rPr>
                <w:rFonts w:cs="Arial"/>
                <w:szCs w:val="20"/>
              </w:rPr>
              <w:t>)</w:t>
            </w:r>
            <w:bookmarkEnd w:id="423"/>
          </w:p>
        </w:tc>
        <w:tc>
          <w:tcPr>
            <w:tcW w:w="1872" w:type="dxa"/>
            <w:shd w:val="clear" w:color="auto" w:fill="auto"/>
          </w:tcPr>
          <w:p w14:paraId="06B6D57A" w14:textId="0DD3E3D4" w:rsidR="007E7643" w:rsidRPr="00E4016A" w:rsidRDefault="00CE10A1" w:rsidP="00ED5676">
            <w:pPr>
              <w:suppressAutoHyphens w:val="0"/>
              <w:autoSpaceDN/>
              <w:spacing w:after="0" w:line="260" w:lineRule="exact"/>
              <w:jc w:val="both"/>
              <w:rPr>
                <w:rFonts w:cs="Arial"/>
                <w:szCs w:val="20"/>
              </w:rPr>
            </w:pPr>
            <w:bookmarkStart w:id="424" w:name="_Toc90562342"/>
            <w:r>
              <w:rPr>
                <w:rFonts w:cs="Arial"/>
                <w:szCs w:val="20"/>
              </w:rPr>
              <w:t>V</w:t>
            </w:r>
            <w:r w:rsidR="007E7643" w:rsidRPr="00E4016A">
              <w:rPr>
                <w:rFonts w:cs="Arial"/>
                <w:szCs w:val="20"/>
              </w:rPr>
              <w:t>lada</w:t>
            </w:r>
            <w:bookmarkEnd w:id="424"/>
          </w:p>
        </w:tc>
        <w:tc>
          <w:tcPr>
            <w:tcW w:w="1814" w:type="dxa"/>
            <w:shd w:val="clear" w:color="auto" w:fill="auto"/>
          </w:tcPr>
          <w:p w14:paraId="2F286916" w14:textId="77777777" w:rsidR="007E7643" w:rsidRPr="00E4016A" w:rsidRDefault="007E7643" w:rsidP="00ED5676">
            <w:pPr>
              <w:suppressAutoHyphens w:val="0"/>
              <w:autoSpaceDN/>
              <w:spacing w:after="0" w:line="260" w:lineRule="exact"/>
              <w:jc w:val="both"/>
              <w:rPr>
                <w:rFonts w:cs="Arial"/>
                <w:szCs w:val="20"/>
              </w:rPr>
            </w:pPr>
            <w:bookmarkStart w:id="425" w:name="_Toc90562343"/>
            <w:r w:rsidRPr="00E4016A">
              <w:rPr>
                <w:rFonts w:cs="Arial"/>
                <w:szCs w:val="20"/>
              </w:rPr>
              <w:t>Priloga III Uredbe EU 2021/1060</w:t>
            </w:r>
            <w:bookmarkEnd w:id="425"/>
          </w:p>
        </w:tc>
      </w:tr>
      <w:tr w:rsidR="007E7643" w:rsidRPr="00E4016A" w14:paraId="4333EF6C" w14:textId="77777777" w:rsidTr="00B04820">
        <w:tc>
          <w:tcPr>
            <w:tcW w:w="4565" w:type="dxa"/>
            <w:shd w:val="clear" w:color="auto" w:fill="auto"/>
          </w:tcPr>
          <w:p w14:paraId="0657DB1E" w14:textId="77777777" w:rsidR="007E7643" w:rsidRPr="00E4016A" w:rsidRDefault="007E7643" w:rsidP="00ED5676">
            <w:pPr>
              <w:suppressAutoHyphens w:val="0"/>
              <w:autoSpaceDN/>
              <w:spacing w:after="0" w:line="260" w:lineRule="exact"/>
              <w:jc w:val="both"/>
              <w:rPr>
                <w:rFonts w:cs="Arial"/>
                <w:szCs w:val="20"/>
              </w:rPr>
            </w:pPr>
            <w:bookmarkStart w:id="426" w:name="_Toc90562344"/>
            <w:r w:rsidRPr="00E4016A">
              <w:rPr>
                <w:rFonts w:eastAsia="Calibri" w:cs="Arial"/>
                <w:szCs w:val="20"/>
              </w:rPr>
              <w:t xml:space="preserve">Orodja in zmogljivosti za </w:t>
            </w:r>
            <w:r w:rsidRPr="00E4016A">
              <w:rPr>
                <w:rFonts w:cs="Arial"/>
                <w:szCs w:val="20"/>
              </w:rPr>
              <w:t>učinkovito</w:t>
            </w:r>
            <w:r w:rsidRPr="00E4016A">
              <w:rPr>
                <w:rFonts w:eastAsia="Calibri" w:cs="Arial"/>
                <w:szCs w:val="20"/>
              </w:rPr>
              <w:t xml:space="preserve"> uporabo pravil o državni pomoči</w:t>
            </w:r>
            <w:bookmarkEnd w:id="426"/>
          </w:p>
        </w:tc>
        <w:tc>
          <w:tcPr>
            <w:tcW w:w="1672" w:type="dxa"/>
            <w:shd w:val="clear" w:color="auto" w:fill="auto"/>
          </w:tcPr>
          <w:p w14:paraId="737DCCD6" w14:textId="77777777" w:rsidR="007E7643" w:rsidRPr="00E4016A" w:rsidRDefault="007E7643" w:rsidP="00ED5676">
            <w:pPr>
              <w:suppressAutoHyphens w:val="0"/>
              <w:autoSpaceDN/>
              <w:spacing w:after="0" w:line="260" w:lineRule="exact"/>
              <w:jc w:val="both"/>
              <w:rPr>
                <w:rFonts w:cs="Arial"/>
                <w:szCs w:val="20"/>
              </w:rPr>
            </w:pPr>
            <w:bookmarkStart w:id="427" w:name="_Toc90562345"/>
            <w:r w:rsidRPr="00E4016A">
              <w:rPr>
                <w:rFonts w:cs="Arial"/>
                <w:szCs w:val="20"/>
              </w:rPr>
              <w:t>DA</w:t>
            </w:r>
            <w:bookmarkEnd w:id="427"/>
          </w:p>
        </w:tc>
        <w:tc>
          <w:tcPr>
            <w:tcW w:w="4678" w:type="dxa"/>
            <w:shd w:val="clear" w:color="auto" w:fill="auto"/>
          </w:tcPr>
          <w:p w14:paraId="3C281DC3" w14:textId="77777777" w:rsidR="007E7643" w:rsidRPr="00E4016A" w:rsidRDefault="007E7643" w:rsidP="00ED5676">
            <w:pPr>
              <w:suppressAutoHyphens w:val="0"/>
              <w:autoSpaceDN/>
              <w:spacing w:after="0" w:line="260" w:lineRule="exact"/>
              <w:jc w:val="both"/>
              <w:rPr>
                <w:rFonts w:cs="Arial"/>
                <w:szCs w:val="20"/>
              </w:rPr>
            </w:pPr>
            <w:bookmarkStart w:id="428" w:name="_Toc90562346"/>
            <w:r w:rsidRPr="00E4016A">
              <w:rPr>
                <w:rFonts w:cs="Arial"/>
                <w:szCs w:val="20"/>
              </w:rPr>
              <w:t>Zakon o spremljanju državnih pomoči, vodenje evidence poslovnih subjektov s strani AJPES</w:t>
            </w:r>
            <w:bookmarkEnd w:id="428"/>
          </w:p>
        </w:tc>
        <w:tc>
          <w:tcPr>
            <w:tcW w:w="1872" w:type="dxa"/>
            <w:shd w:val="clear" w:color="auto" w:fill="auto"/>
          </w:tcPr>
          <w:p w14:paraId="6A0A8A98" w14:textId="3B02E6D5" w:rsidR="007E7643" w:rsidRPr="00E4016A" w:rsidRDefault="00CE10A1" w:rsidP="00ED5676">
            <w:pPr>
              <w:suppressAutoHyphens w:val="0"/>
              <w:autoSpaceDN/>
              <w:spacing w:after="0" w:line="260" w:lineRule="exact"/>
              <w:jc w:val="both"/>
              <w:rPr>
                <w:rFonts w:cs="Arial"/>
                <w:szCs w:val="20"/>
              </w:rPr>
            </w:pPr>
            <w:bookmarkStart w:id="429" w:name="_Toc90562347"/>
            <w:r>
              <w:rPr>
                <w:rFonts w:cs="Arial"/>
                <w:szCs w:val="20"/>
              </w:rPr>
              <w:t>V</w:t>
            </w:r>
            <w:r w:rsidR="007E7643" w:rsidRPr="00E4016A">
              <w:rPr>
                <w:rFonts w:cs="Arial"/>
                <w:szCs w:val="20"/>
              </w:rPr>
              <w:t>lada</w:t>
            </w:r>
            <w:bookmarkEnd w:id="429"/>
          </w:p>
        </w:tc>
        <w:tc>
          <w:tcPr>
            <w:tcW w:w="1814" w:type="dxa"/>
            <w:shd w:val="clear" w:color="auto" w:fill="auto"/>
          </w:tcPr>
          <w:p w14:paraId="3173D15F" w14:textId="77777777" w:rsidR="007E7643" w:rsidRPr="00E4016A" w:rsidRDefault="007E7643" w:rsidP="00ED5676">
            <w:pPr>
              <w:suppressAutoHyphens w:val="0"/>
              <w:autoSpaceDN/>
              <w:spacing w:after="0" w:line="260" w:lineRule="exact"/>
              <w:jc w:val="both"/>
              <w:rPr>
                <w:rFonts w:cs="Arial"/>
                <w:szCs w:val="20"/>
              </w:rPr>
            </w:pPr>
            <w:bookmarkStart w:id="430" w:name="_Toc90562348"/>
            <w:r w:rsidRPr="00E4016A">
              <w:rPr>
                <w:rFonts w:cs="Arial"/>
                <w:szCs w:val="20"/>
              </w:rPr>
              <w:t>Priloga III Uredbe EU 2021/1060</w:t>
            </w:r>
            <w:bookmarkEnd w:id="430"/>
          </w:p>
        </w:tc>
      </w:tr>
      <w:tr w:rsidR="007E7643" w:rsidRPr="00E4016A" w14:paraId="02F38C3F" w14:textId="77777777" w:rsidTr="00B04820">
        <w:tc>
          <w:tcPr>
            <w:tcW w:w="4565" w:type="dxa"/>
            <w:shd w:val="clear" w:color="auto" w:fill="auto"/>
          </w:tcPr>
          <w:p w14:paraId="3A74C7C5" w14:textId="77777777" w:rsidR="007E7643" w:rsidRPr="00E4016A" w:rsidRDefault="007E7643" w:rsidP="00ED5676">
            <w:pPr>
              <w:suppressAutoHyphens w:val="0"/>
              <w:autoSpaceDN/>
              <w:spacing w:after="0" w:line="260" w:lineRule="exact"/>
              <w:jc w:val="both"/>
              <w:rPr>
                <w:rFonts w:cs="Arial"/>
                <w:szCs w:val="20"/>
              </w:rPr>
            </w:pPr>
            <w:bookmarkStart w:id="431" w:name="_Toc90562349"/>
            <w:r w:rsidRPr="00E4016A">
              <w:rPr>
                <w:rFonts w:eastAsia="Calibri" w:cs="Arial"/>
                <w:szCs w:val="20"/>
              </w:rPr>
              <w:t>Dejanska uporaba in izvajanje Listine o temeljnih pravicah</w:t>
            </w:r>
            <w:bookmarkEnd w:id="431"/>
          </w:p>
        </w:tc>
        <w:tc>
          <w:tcPr>
            <w:tcW w:w="1672" w:type="dxa"/>
            <w:shd w:val="clear" w:color="auto" w:fill="auto"/>
          </w:tcPr>
          <w:p w14:paraId="2D20999F"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DA</w:t>
            </w:r>
          </w:p>
        </w:tc>
        <w:tc>
          <w:tcPr>
            <w:tcW w:w="4678" w:type="dxa"/>
            <w:shd w:val="clear" w:color="auto" w:fill="auto"/>
          </w:tcPr>
          <w:p w14:paraId="56B2466C" w14:textId="77777777" w:rsidR="007E7643" w:rsidRPr="00E4016A" w:rsidRDefault="007E7643" w:rsidP="00ED5676">
            <w:pPr>
              <w:suppressAutoHyphens w:val="0"/>
              <w:autoSpaceDN/>
              <w:spacing w:after="0" w:line="260" w:lineRule="exact"/>
              <w:jc w:val="both"/>
              <w:rPr>
                <w:rFonts w:cs="Arial"/>
                <w:szCs w:val="20"/>
              </w:rPr>
            </w:pPr>
            <w:bookmarkStart w:id="432" w:name="_Toc90562351"/>
            <w:r w:rsidRPr="00E4016A">
              <w:rPr>
                <w:rFonts w:cs="Arial"/>
                <w:szCs w:val="20"/>
              </w:rPr>
              <w:t>Vzpostavitev mehanizmov za zagotavljanje skladnosti programov z Listino EU v programskih dokumentih in poročanje odboru za spremljanje</w:t>
            </w:r>
            <w:bookmarkEnd w:id="432"/>
            <w:r w:rsidRPr="00E4016A">
              <w:rPr>
                <w:rFonts w:cs="Arial"/>
                <w:szCs w:val="20"/>
              </w:rPr>
              <w:t xml:space="preserve"> (vključitev v uredbo, priprava Postopkovnika za zagotovitev izpolnitve horizontalnih </w:t>
            </w:r>
            <w:proofErr w:type="spellStart"/>
            <w:r w:rsidRPr="00E4016A">
              <w:rPr>
                <w:rFonts w:cs="Arial"/>
                <w:szCs w:val="20"/>
              </w:rPr>
              <w:t>omogočitvenih</w:t>
            </w:r>
            <w:proofErr w:type="spellEnd"/>
            <w:r w:rsidRPr="00E4016A">
              <w:rPr>
                <w:rFonts w:cs="Arial"/>
                <w:szCs w:val="20"/>
              </w:rPr>
              <w:t xml:space="preserve"> pogojev »Dejanska uporaba in izvajanje Listine Evropske unije o temeljnih pravicah« in »Izvajanje in uporaba Konvencije Združenih narodov o pravicah invalidov v skladu s Sklepom Sveta 2010/48/ES« idr.)</w:t>
            </w:r>
          </w:p>
        </w:tc>
        <w:tc>
          <w:tcPr>
            <w:tcW w:w="1872" w:type="dxa"/>
            <w:shd w:val="clear" w:color="auto" w:fill="auto"/>
          </w:tcPr>
          <w:p w14:paraId="10447906"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MKRR</w:t>
            </w:r>
          </w:p>
          <w:p w14:paraId="2DE3A237" w14:textId="77777777"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10D2D2F4" w14:textId="77777777" w:rsidR="007E7643" w:rsidRPr="00E4016A" w:rsidRDefault="007E7643" w:rsidP="00ED5676">
            <w:pPr>
              <w:suppressAutoHyphens w:val="0"/>
              <w:autoSpaceDN/>
              <w:spacing w:after="0" w:line="260" w:lineRule="exact"/>
              <w:jc w:val="both"/>
              <w:rPr>
                <w:rFonts w:cs="Arial"/>
                <w:szCs w:val="20"/>
              </w:rPr>
            </w:pPr>
            <w:bookmarkStart w:id="433" w:name="_Toc90562354"/>
            <w:r w:rsidRPr="00E4016A">
              <w:rPr>
                <w:rFonts w:cs="Arial"/>
                <w:szCs w:val="20"/>
              </w:rPr>
              <w:t>Priloga III Uredbe EU 2021/1060</w:t>
            </w:r>
            <w:bookmarkEnd w:id="433"/>
          </w:p>
        </w:tc>
      </w:tr>
      <w:tr w:rsidR="007E7643" w:rsidRPr="00E4016A" w14:paraId="451E40A0" w14:textId="77777777" w:rsidTr="00B04820">
        <w:tc>
          <w:tcPr>
            <w:tcW w:w="4565" w:type="dxa"/>
            <w:shd w:val="clear" w:color="auto" w:fill="auto"/>
          </w:tcPr>
          <w:p w14:paraId="545809CD" w14:textId="77777777" w:rsidR="007E7643" w:rsidRPr="00E4016A" w:rsidRDefault="007E7643" w:rsidP="00ED5676">
            <w:pPr>
              <w:suppressAutoHyphens w:val="0"/>
              <w:autoSpaceDN/>
              <w:spacing w:after="0" w:line="260" w:lineRule="exact"/>
              <w:jc w:val="both"/>
              <w:rPr>
                <w:rFonts w:cs="Arial"/>
                <w:szCs w:val="20"/>
              </w:rPr>
            </w:pPr>
            <w:bookmarkStart w:id="434" w:name="_Toc90562355"/>
            <w:r w:rsidRPr="00E4016A">
              <w:rPr>
                <w:rFonts w:eastAsia="Calibri" w:cs="Arial"/>
                <w:szCs w:val="20"/>
              </w:rPr>
              <w:t>Izvajanje in uporaba Konvencije Združenih narodov o pravicah invalidov v skladu s Sklepom Sveta 2010/48/ES</w:t>
            </w:r>
            <w:bookmarkEnd w:id="434"/>
          </w:p>
        </w:tc>
        <w:tc>
          <w:tcPr>
            <w:tcW w:w="1672" w:type="dxa"/>
            <w:shd w:val="clear" w:color="auto" w:fill="auto"/>
          </w:tcPr>
          <w:p w14:paraId="507CF12A" w14:textId="77777777" w:rsidR="007E7643" w:rsidRPr="00E4016A" w:rsidRDefault="007E7643" w:rsidP="00ED5676">
            <w:pPr>
              <w:suppressAutoHyphens w:val="0"/>
              <w:autoSpaceDN/>
              <w:spacing w:after="0" w:line="260" w:lineRule="exact"/>
              <w:jc w:val="both"/>
              <w:rPr>
                <w:rFonts w:cs="Arial"/>
                <w:szCs w:val="20"/>
              </w:rPr>
            </w:pPr>
            <w:bookmarkStart w:id="435" w:name="_Toc90562356"/>
            <w:r w:rsidRPr="00E4016A">
              <w:rPr>
                <w:rFonts w:cs="Arial"/>
                <w:szCs w:val="20"/>
              </w:rPr>
              <w:t>DA</w:t>
            </w:r>
            <w:bookmarkEnd w:id="435"/>
          </w:p>
        </w:tc>
        <w:tc>
          <w:tcPr>
            <w:tcW w:w="4678" w:type="dxa"/>
            <w:shd w:val="clear" w:color="auto" w:fill="auto"/>
          </w:tcPr>
          <w:p w14:paraId="07D6D744" w14:textId="5F72C57A" w:rsidR="007E7643" w:rsidRPr="00E4016A" w:rsidRDefault="007E7643" w:rsidP="008B2089">
            <w:pPr>
              <w:suppressAutoHyphens w:val="0"/>
              <w:autoSpaceDN/>
              <w:spacing w:after="0" w:line="260" w:lineRule="exact"/>
              <w:jc w:val="both"/>
              <w:rPr>
                <w:rFonts w:cs="Arial"/>
                <w:szCs w:val="20"/>
              </w:rPr>
            </w:pPr>
            <w:bookmarkStart w:id="436" w:name="_Toc90562357"/>
            <w:r w:rsidRPr="00E4016A">
              <w:rPr>
                <w:rFonts w:cs="Arial"/>
                <w:szCs w:val="20"/>
              </w:rPr>
              <w:t>Akcijski program za invalide 2022–2030</w:t>
            </w:r>
            <w:bookmarkEnd w:id="436"/>
            <w:r w:rsidR="008B2089">
              <w:rPr>
                <w:rFonts w:cs="Arial"/>
                <w:szCs w:val="20"/>
              </w:rPr>
              <w:t xml:space="preserve">, </w:t>
            </w:r>
            <w:r w:rsidRPr="00E4016A">
              <w:rPr>
                <w:rFonts w:cs="Arial"/>
                <w:szCs w:val="20"/>
              </w:rPr>
              <w:t xml:space="preserve">Postopkovnik za zagotovitev izpolnitve horizontalnih </w:t>
            </w:r>
            <w:proofErr w:type="spellStart"/>
            <w:r w:rsidRPr="00E4016A">
              <w:rPr>
                <w:rFonts w:cs="Arial"/>
                <w:szCs w:val="20"/>
              </w:rPr>
              <w:t>omogočitvenih</w:t>
            </w:r>
            <w:proofErr w:type="spellEnd"/>
            <w:r w:rsidRPr="00E4016A">
              <w:rPr>
                <w:rFonts w:cs="Arial"/>
                <w:szCs w:val="20"/>
              </w:rPr>
              <w:t xml:space="preserve"> pogojev »Dejanska uporaba in izvajanje Listine Evropske unije o temeljnih pravicah« in »Izvajanje in uporaba Konvencije Združenih narodov o pravicah invalidov v skladu s Sklepom Sveta 2010/48/ES«</w:t>
            </w:r>
          </w:p>
        </w:tc>
        <w:tc>
          <w:tcPr>
            <w:tcW w:w="1872" w:type="dxa"/>
            <w:shd w:val="clear" w:color="auto" w:fill="auto"/>
          </w:tcPr>
          <w:p w14:paraId="580D028D" w14:textId="77777777" w:rsidR="007E7643" w:rsidRPr="00E4016A" w:rsidRDefault="007E7643" w:rsidP="00ED5676">
            <w:pPr>
              <w:suppressAutoHyphens w:val="0"/>
              <w:autoSpaceDN/>
              <w:spacing w:after="0" w:line="260" w:lineRule="exact"/>
              <w:jc w:val="both"/>
              <w:rPr>
                <w:rFonts w:cs="Arial"/>
                <w:szCs w:val="20"/>
              </w:rPr>
            </w:pPr>
            <w:bookmarkStart w:id="437" w:name="_Toc90562358"/>
            <w:r w:rsidRPr="00E4016A">
              <w:rPr>
                <w:rFonts w:cs="Arial"/>
                <w:szCs w:val="20"/>
              </w:rPr>
              <w:t>Vlada</w:t>
            </w:r>
            <w:bookmarkEnd w:id="437"/>
          </w:p>
          <w:p w14:paraId="0627B391"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MKRR</w:t>
            </w:r>
          </w:p>
        </w:tc>
        <w:tc>
          <w:tcPr>
            <w:tcW w:w="1814" w:type="dxa"/>
            <w:shd w:val="clear" w:color="auto" w:fill="auto"/>
          </w:tcPr>
          <w:p w14:paraId="3C207B12" w14:textId="77777777" w:rsidR="007E7643" w:rsidRPr="00E4016A" w:rsidRDefault="007E7643" w:rsidP="00ED5676">
            <w:pPr>
              <w:suppressAutoHyphens w:val="0"/>
              <w:autoSpaceDN/>
              <w:spacing w:after="0" w:line="260" w:lineRule="exact"/>
              <w:jc w:val="both"/>
              <w:rPr>
                <w:rFonts w:cs="Arial"/>
                <w:szCs w:val="20"/>
              </w:rPr>
            </w:pPr>
            <w:bookmarkStart w:id="438" w:name="_Toc90562359"/>
            <w:r w:rsidRPr="00E4016A">
              <w:rPr>
                <w:rFonts w:cs="Arial"/>
                <w:szCs w:val="20"/>
              </w:rPr>
              <w:t>Priloga III Uredbe EU 2021/1060</w:t>
            </w:r>
            <w:bookmarkEnd w:id="438"/>
          </w:p>
        </w:tc>
      </w:tr>
      <w:tr w:rsidR="007E7643" w:rsidRPr="00E4016A" w14:paraId="198743FC" w14:textId="77777777" w:rsidTr="00B04820">
        <w:tc>
          <w:tcPr>
            <w:tcW w:w="4565" w:type="dxa"/>
            <w:shd w:val="clear" w:color="auto" w:fill="auto"/>
          </w:tcPr>
          <w:p w14:paraId="34A200DC" w14:textId="77777777" w:rsidR="007E7643" w:rsidRPr="00E4016A" w:rsidRDefault="007E7643" w:rsidP="00ED5676">
            <w:pPr>
              <w:suppressAutoHyphens w:val="0"/>
              <w:autoSpaceDN/>
              <w:spacing w:after="0" w:line="260" w:lineRule="exact"/>
              <w:jc w:val="both"/>
              <w:rPr>
                <w:rFonts w:eastAsia="Calibri" w:cs="Arial"/>
                <w:szCs w:val="20"/>
              </w:rPr>
            </w:pPr>
            <w:r w:rsidRPr="00E4016A">
              <w:rPr>
                <w:rFonts w:eastAsia="Calibri" w:cs="Arial"/>
                <w:szCs w:val="20"/>
              </w:rPr>
              <w:t>1.1 Dobro upravljanje nacionalne ali regionalne strategije pametne specializacije</w:t>
            </w:r>
          </w:p>
        </w:tc>
        <w:tc>
          <w:tcPr>
            <w:tcW w:w="1672" w:type="dxa"/>
            <w:shd w:val="clear" w:color="auto" w:fill="auto"/>
          </w:tcPr>
          <w:p w14:paraId="4607BD61" w14:textId="77777777" w:rsidR="007E7643" w:rsidRPr="00E4016A" w:rsidRDefault="007E7643" w:rsidP="00ED5676">
            <w:pPr>
              <w:suppressAutoHyphens w:val="0"/>
              <w:autoSpaceDN/>
              <w:spacing w:after="0" w:line="260" w:lineRule="exact"/>
              <w:jc w:val="both"/>
              <w:rPr>
                <w:rFonts w:cs="Arial"/>
                <w:szCs w:val="20"/>
              </w:rPr>
            </w:pPr>
            <w:bookmarkStart w:id="439" w:name="_Toc90562360"/>
            <w:r w:rsidRPr="00E4016A">
              <w:rPr>
                <w:rFonts w:cs="Arial"/>
                <w:szCs w:val="20"/>
              </w:rPr>
              <w:t>DA</w:t>
            </w:r>
            <w:bookmarkEnd w:id="439"/>
          </w:p>
        </w:tc>
        <w:tc>
          <w:tcPr>
            <w:tcW w:w="4678" w:type="dxa"/>
            <w:shd w:val="clear" w:color="auto" w:fill="auto"/>
          </w:tcPr>
          <w:p w14:paraId="31F91AB1" w14:textId="77777777" w:rsidR="007E7643" w:rsidRPr="00E4016A" w:rsidRDefault="007E7643" w:rsidP="00ED5676">
            <w:pPr>
              <w:suppressAutoHyphens w:val="0"/>
              <w:autoSpaceDN/>
              <w:spacing w:after="0" w:line="260" w:lineRule="exact"/>
              <w:jc w:val="both"/>
              <w:rPr>
                <w:rFonts w:cs="Arial"/>
                <w:szCs w:val="20"/>
              </w:rPr>
            </w:pPr>
            <w:bookmarkStart w:id="440" w:name="_Toc90562361"/>
            <w:r w:rsidRPr="00E4016A">
              <w:rPr>
                <w:rFonts w:cs="Arial"/>
                <w:szCs w:val="20"/>
              </w:rPr>
              <w:t>Strategija pametne specializacije</w:t>
            </w:r>
            <w:bookmarkEnd w:id="440"/>
            <w:r w:rsidRPr="00E4016A">
              <w:rPr>
                <w:rFonts w:cs="Arial"/>
                <w:szCs w:val="20"/>
              </w:rPr>
              <w:t xml:space="preserve"> </w:t>
            </w:r>
          </w:p>
        </w:tc>
        <w:tc>
          <w:tcPr>
            <w:tcW w:w="1872" w:type="dxa"/>
            <w:shd w:val="clear" w:color="auto" w:fill="auto"/>
          </w:tcPr>
          <w:p w14:paraId="3C81B3B8"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 xml:space="preserve">ožja skupina državnih sekretarjev </w:t>
            </w:r>
            <w:r w:rsidRPr="00E4016A">
              <w:rPr>
                <w:rFonts w:cs="Arial"/>
                <w:szCs w:val="20"/>
              </w:rPr>
              <w:lastRenderedPageBreak/>
              <w:t>pristojnih za kohezijsko politiko, znanost, inovacije, gospodarstvo in digitalno preobrazbo</w:t>
            </w:r>
          </w:p>
          <w:p w14:paraId="56D87541" w14:textId="77777777"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49172F88" w14:textId="77777777" w:rsidR="007E7643" w:rsidRPr="00E4016A" w:rsidRDefault="007E7643" w:rsidP="00ED5676">
            <w:pPr>
              <w:suppressAutoHyphens w:val="0"/>
              <w:autoSpaceDN/>
              <w:spacing w:after="0" w:line="260" w:lineRule="exact"/>
              <w:jc w:val="both"/>
              <w:rPr>
                <w:rFonts w:cs="Arial"/>
                <w:szCs w:val="20"/>
              </w:rPr>
            </w:pPr>
            <w:bookmarkStart w:id="441" w:name="_Toc90562364"/>
            <w:r w:rsidRPr="00E4016A">
              <w:rPr>
                <w:rFonts w:cs="Arial"/>
                <w:szCs w:val="20"/>
              </w:rPr>
              <w:lastRenderedPageBreak/>
              <w:t>Priloga IV Uredbe EU 2021/1060</w:t>
            </w:r>
            <w:bookmarkEnd w:id="441"/>
          </w:p>
        </w:tc>
      </w:tr>
      <w:tr w:rsidR="007E7643" w:rsidRPr="00E4016A" w14:paraId="3E4B7F1C" w14:textId="77777777" w:rsidTr="00B04820">
        <w:tc>
          <w:tcPr>
            <w:tcW w:w="4565" w:type="dxa"/>
            <w:shd w:val="clear" w:color="auto" w:fill="auto"/>
          </w:tcPr>
          <w:p w14:paraId="7547CA46" w14:textId="77777777" w:rsidR="007E7643" w:rsidRPr="00E4016A" w:rsidRDefault="007E7643" w:rsidP="00ED5676">
            <w:pPr>
              <w:suppressAutoHyphens w:val="0"/>
              <w:autoSpaceDN/>
              <w:spacing w:after="0" w:line="260" w:lineRule="exact"/>
              <w:jc w:val="both"/>
              <w:rPr>
                <w:rFonts w:cs="Arial"/>
                <w:szCs w:val="20"/>
              </w:rPr>
            </w:pPr>
            <w:bookmarkStart w:id="442" w:name="_Toc90562365"/>
            <w:r w:rsidRPr="00E4016A">
              <w:rPr>
                <w:rFonts w:cs="Arial"/>
                <w:szCs w:val="20"/>
              </w:rPr>
              <w:t>1.2 Nacionalni ali regionalni načrt za širokopasovna omrežja</w:t>
            </w:r>
            <w:bookmarkEnd w:id="442"/>
          </w:p>
        </w:tc>
        <w:tc>
          <w:tcPr>
            <w:tcW w:w="1672" w:type="dxa"/>
            <w:shd w:val="clear" w:color="auto" w:fill="auto"/>
          </w:tcPr>
          <w:p w14:paraId="5E27D451"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DA</w:t>
            </w:r>
          </w:p>
        </w:tc>
        <w:tc>
          <w:tcPr>
            <w:tcW w:w="4678" w:type="dxa"/>
            <w:shd w:val="clear" w:color="auto" w:fill="auto"/>
          </w:tcPr>
          <w:p w14:paraId="39090F0D"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 xml:space="preserve">Načrt razvoja </w:t>
            </w:r>
            <w:proofErr w:type="spellStart"/>
            <w:r w:rsidRPr="00E4016A">
              <w:rPr>
                <w:rFonts w:cs="Arial"/>
                <w:szCs w:val="20"/>
              </w:rPr>
              <w:t>gigabitne</w:t>
            </w:r>
            <w:proofErr w:type="spellEnd"/>
            <w:r w:rsidRPr="00E4016A">
              <w:rPr>
                <w:rFonts w:cs="Arial"/>
                <w:szCs w:val="20"/>
              </w:rPr>
              <w:t xml:space="preserve"> infrastrukture do leta 2030</w:t>
            </w:r>
          </w:p>
        </w:tc>
        <w:tc>
          <w:tcPr>
            <w:tcW w:w="1872" w:type="dxa"/>
            <w:shd w:val="clear" w:color="auto" w:fill="auto"/>
          </w:tcPr>
          <w:p w14:paraId="2B934795" w14:textId="41ABFE2D" w:rsidR="007E7643" w:rsidRPr="00E4016A" w:rsidRDefault="00CE10A1" w:rsidP="00ED5676">
            <w:pPr>
              <w:suppressAutoHyphens w:val="0"/>
              <w:autoSpaceDN/>
              <w:spacing w:after="0" w:line="260" w:lineRule="exact"/>
              <w:jc w:val="both"/>
              <w:rPr>
                <w:rFonts w:cs="Arial"/>
                <w:szCs w:val="20"/>
              </w:rPr>
            </w:pPr>
            <w:bookmarkStart w:id="443" w:name="_Toc90562368"/>
            <w:r>
              <w:rPr>
                <w:rFonts w:cs="Arial"/>
                <w:szCs w:val="20"/>
              </w:rPr>
              <w:t>V</w:t>
            </w:r>
            <w:r w:rsidR="007E7643" w:rsidRPr="00E4016A">
              <w:rPr>
                <w:rFonts w:cs="Arial"/>
                <w:szCs w:val="20"/>
              </w:rPr>
              <w:t>lada</w:t>
            </w:r>
            <w:bookmarkEnd w:id="443"/>
          </w:p>
          <w:p w14:paraId="4C2DDB25" w14:textId="77777777"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163D073D" w14:textId="77777777" w:rsidR="007E7643" w:rsidRPr="00E4016A" w:rsidRDefault="007E7643" w:rsidP="00ED5676">
            <w:pPr>
              <w:suppressAutoHyphens w:val="0"/>
              <w:autoSpaceDN/>
              <w:spacing w:after="0" w:line="260" w:lineRule="exact"/>
              <w:jc w:val="both"/>
              <w:rPr>
                <w:rFonts w:cs="Arial"/>
                <w:szCs w:val="20"/>
              </w:rPr>
            </w:pPr>
            <w:bookmarkStart w:id="444" w:name="_Toc90562370"/>
            <w:r w:rsidRPr="00E4016A">
              <w:rPr>
                <w:rFonts w:cs="Arial"/>
                <w:szCs w:val="20"/>
              </w:rPr>
              <w:t>Priloga IV Uredbe EU 2021/1060</w:t>
            </w:r>
            <w:bookmarkEnd w:id="444"/>
          </w:p>
        </w:tc>
      </w:tr>
      <w:tr w:rsidR="007E7643" w:rsidRPr="00E4016A" w14:paraId="17F517EE" w14:textId="77777777" w:rsidTr="00B04820">
        <w:tc>
          <w:tcPr>
            <w:tcW w:w="4565" w:type="dxa"/>
            <w:shd w:val="clear" w:color="auto" w:fill="auto"/>
          </w:tcPr>
          <w:p w14:paraId="5DF9844E" w14:textId="082315B4" w:rsidR="007E7643" w:rsidRPr="00E4016A" w:rsidRDefault="007E7643" w:rsidP="00B04820">
            <w:pPr>
              <w:suppressAutoHyphens w:val="0"/>
              <w:autoSpaceDN/>
              <w:spacing w:after="0" w:line="260" w:lineRule="exact"/>
              <w:jc w:val="both"/>
              <w:rPr>
                <w:rFonts w:cs="Arial"/>
                <w:szCs w:val="20"/>
              </w:rPr>
            </w:pPr>
            <w:bookmarkStart w:id="445" w:name="_Toc90562371"/>
            <w:r w:rsidRPr="00E4016A">
              <w:rPr>
                <w:rFonts w:cs="Arial"/>
                <w:szCs w:val="20"/>
              </w:rPr>
              <w:t>2.1 Strateški okvir politike za podporo prenove za večjo</w:t>
            </w:r>
            <w:bookmarkEnd w:id="445"/>
            <w:r w:rsidR="00B04820">
              <w:rPr>
                <w:rFonts w:cs="Arial"/>
                <w:szCs w:val="20"/>
              </w:rPr>
              <w:t xml:space="preserve"> </w:t>
            </w:r>
            <w:bookmarkStart w:id="446" w:name="_Toc90562372"/>
            <w:r w:rsidRPr="00E4016A">
              <w:rPr>
                <w:rFonts w:cs="Arial"/>
                <w:szCs w:val="20"/>
              </w:rPr>
              <w:t xml:space="preserve">energetsko učinkovitost stanovanjskih in </w:t>
            </w:r>
            <w:proofErr w:type="spellStart"/>
            <w:r w:rsidRPr="00E4016A">
              <w:rPr>
                <w:rFonts w:cs="Arial"/>
                <w:szCs w:val="20"/>
              </w:rPr>
              <w:t>nestanovanjskih</w:t>
            </w:r>
            <w:proofErr w:type="spellEnd"/>
            <w:r w:rsidRPr="00E4016A">
              <w:rPr>
                <w:rFonts w:cs="Arial"/>
                <w:szCs w:val="20"/>
              </w:rPr>
              <w:t xml:space="preserve"> stavb</w:t>
            </w:r>
            <w:bookmarkEnd w:id="446"/>
          </w:p>
        </w:tc>
        <w:tc>
          <w:tcPr>
            <w:tcW w:w="1672" w:type="dxa"/>
            <w:shd w:val="clear" w:color="auto" w:fill="auto"/>
          </w:tcPr>
          <w:p w14:paraId="48558DE9"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DA</w:t>
            </w:r>
          </w:p>
        </w:tc>
        <w:tc>
          <w:tcPr>
            <w:tcW w:w="4678" w:type="dxa"/>
            <w:shd w:val="clear" w:color="auto" w:fill="auto"/>
          </w:tcPr>
          <w:p w14:paraId="1531FADD" w14:textId="77777777" w:rsidR="007E7643" w:rsidRPr="00E4016A" w:rsidRDefault="007E7643" w:rsidP="00ED5676">
            <w:pPr>
              <w:suppressAutoHyphens w:val="0"/>
              <w:autoSpaceDN/>
              <w:spacing w:after="0" w:line="260" w:lineRule="exact"/>
              <w:jc w:val="both"/>
              <w:rPr>
                <w:rFonts w:cs="Arial"/>
                <w:szCs w:val="20"/>
              </w:rPr>
            </w:pPr>
            <w:bookmarkStart w:id="447" w:name="_Toc90562374"/>
            <w:r w:rsidRPr="00E4016A">
              <w:rPr>
                <w:rFonts w:cs="Arial"/>
                <w:szCs w:val="20"/>
              </w:rPr>
              <w:t>Dolgoročna strategija energetske prenove stavb do leta 2050</w:t>
            </w:r>
            <w:bookmarkEnd w:id="447"/>
          </w:p>
        </w:tc>
        <w:tc>
          <w:tcPr>
            <w:tcW w:w="1872" w:type="dxa"/>
            <w:shd w:val="clear" w:color="auto" w:fill="auto"/>
          </w:tcPr>
          <w:p w14:paraId="0860A896"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3971B43F" w14:textId="6583B26B"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5A1CA50F" w14:textId="77777777" w:rsidR="007E7643" w:rsidRPr="00E4016A" w:rsidRDefault="007E7643" w:rsidP="00ED5676">
            <w:pPr>
              <w:suppressAutoHyphens w:val="0"/>
              <w:autoSpaceDN/>
              <w:spacing w:after="0" w:line="260" w:lineRule="exact"/>
              <w:jc w:val="both"/>
              <w:rPr>
                <w:rFonts w:cs="Arial"/>
                <w:szCs w:val="20"/>
              </w:rPr>
            </w:pPr>
            <w:bookmarkStart w:id="448" w:name="_Toc90562376"/>
            <w:r w:rsidRPr="00E4016A">
              <w:rPr>
                <w:rFonts w:cs="Arial"/>
                <w:szCs w:val="20"/>
              </w:rPr>
              <w:t>Priloga IV Uredbe EU 2021/1060</w:t>
            </w:r>
            <w:bookmarkEnd w:id="448"/>
          </w:p>
        </w:tc>
      </w:tr>
      <w:tr w:rsidR="007E7643" w:rsidRPr="00E4016A" w14:paraId="6C4FC595" w14:textId="77777777" w:rsidTr="00B04820">
        <w:tc>
          <w:tcPr>
            <w:tcW w:w="4565" w:type="dxa"/>
            <w:shd w:val="clear" w:color="auto" w:fill="auto"/>
          </w:tcPr>
          <w:p w14:paraId="30A3B305" w14:textId="77777777" w:rsidR="007E7643" w:rsidRPr="00E4016A" w:rsidRDefault="007E7643" w:rsidP="00ED5676">
            <w:pPr>
              <w:suppressAutoHyphens w:val="0"/>
              <w:autoSpaceDN/>
              <w:spacing w:after="0" w:line="260" w:lineRule="exact"/>
              <w:jc w:val="both"/>
              <w:rPr>
                <w:rFonts w:eastAsia="Calibri" w:cs="Arial"/>
                <w:szCs w:val="20"/>
              </w:rPr>
            </w:pPr>
            <w:r w:rsidRPr="00E4016A">
              <w:rPr>
                <w:rFonts w:eastAsia="Calibri" w:cs="Arial"/>
                <w:szCs w:val="20"/>
              </w:rPr>
              <w:t>2.2 Upravljanje Energetskega sektorja</w:t>
            </w:r>
          </w:p>
        </w:tc>
        <w:tc>
          <w:tcPr>
            <w:tcW w:w="1672" w:type="dxa"/>
            <w:shd w:val="clear" w:color="auto" w:fill="auto"/>
          </w:tcPr>
          <w:p w14:paraId="13178B14" w14:textId="77777777" w:rsidR="007E7643" w:rsidRPr="00E4016A" w:rsidRDefault="007E7643" w:rsidP="00ED5676">
            <w:pPr>
              <w:suppressAutoHyphens w:val="0"/>
              <w:autoSpaceDN/>
              <w:spacing w:after="0" w:line="260" w:lineRule="exact"/>
              <w:jc w:val="both"/>
              <w:rPr>
                <w:rFonts w:cs="Arial"/>
                <w:szCs w:val="20"/>
              </w:rPr>
            </w:pPr>
            <w:bookmarkStart w:id="449" w:name="_Toc90562377"/>
            <w:r w:rsidRPr="00E4016A">
              <w:rPr>
                <w:rFonts w:cs="Arial"/>
                <w:szCs w:val="20"/>
              </w:rPr>
              <w:t>DA</w:t>
            </w:r>
            <w:bookmarkEnd w:id="449"/>
          </w:p>
        </w:tc>
        <w:tc>
          <w:tcPr>
            <w:tcW w:w="4678" w:type="dxa"/>
            <w:shd w:val="clear" w:color="auto" w:fill="auto"/>
          </w:tcPr>
          <w:p w14:paraId="093F43F4" w14:textId="77777777" w:rsidR="007E7643" w:rsidRPr="00E4016A" w:rsidRDefault="007E7643" w:rsidP="00ED5676">
            <w:pPr>
              <w:suppressAutoHyphens w:val="0"/>
              <w:autoSpaceDN/>
              <w:spacing w:after="0" w:line="260" w:lineRule="exact"/>
              <w:jc w:val="both"/>
              <w:rPr>
                <w:rFonts w:cs="Arial"/>
                <w:szCs w:val="20"/>
              </w:rPr>
            </w:pPr>
            <w:bookmarkStart w:id="450" w:name="_Toc90562378"/>
            <w:r w:rsidRPr="00E4016A">
              <w:rPr>
                <w:rFonts w:cs="Arial"/>
                <w:szCs w:val="20"/>
              </w:rPr>
              <w:t>Celovit nacionalni energetski in podnebni načrt</w:t>
            </w:r>
            <w:bookmarkEnd w:id="450"/>
          </w:p>
        </w:tc>
        <w:tc>
          <w:tcPr>
            <w:tcW w:w="1872" w:type="dxa"/>
            <w:shd w:val="clear" w:color="auto" w:fill="auto"/>
          </w:tcPr>
          <w:p w14:paraId="79A14519"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5B1E9845" w14:textId="7F3043AD"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3FC4647C" w14:textId="77777777" w:rsidR="007E7643" w:rsidRPr="00E4016A" w:rsidRDefault="007E7643" w:rsidP="00ED5676">
            <w:pPr>
              <w:suppressAutoHyphens w:val="0"/>
              <w:autoSpaceDN/>
              <w:spacing w:after="0" w:line="260" w:lineRule="exact"/>
              <w:jc w:val="both"/>
              <w:rPr>
                <w:rFonts w:cs="Arial"/>
                <w:szCs w:val="20"/>
              </w:rPr>
            </w:pPr>
            <w:bookmarkStart w:id="451" w:name="_Toc90562380"/>
            <w:r w:rsidRPr="00E4016A">
              <w:rPr>
                <w:rFonts w:cs="Arial"/>
                <w:szCs w:val="20"/>
              </w:rPr>
              <w:t>Priloga IV Uredbe EU 2021/1060</w:t>
            </w:r>
            <w:bookmarkEnd w:id="451"/>
          </w:p>
        </w:tc>
      </w:tr>
      <w:tr w:rsidR="007E7643" w:rsidRPr="00E4016A" w14:paraId="0E141496" w14:textId="77777777" w:rsidTr="00B04820">
        <w:tc>
          <w:tcPr>
            <w:tcW w:w="4565" w:type="dxa"/>
            <w:shd w:val="clear" w:color="auto" w:fill="auto"/>
          </w:tcPr>
          <w:p w14:paraId="4B5BCB7B" w14:textId="77777777" w:rsidR="007E7643" w:rsidRPr="00E4016A" w:rsidRDefault="007E7643" w:rsidP="00ED5676">
            <w:pPr>
              <w:suppressAutoHyphens w:val="0"/>
              <w:autoSpaceDN/>
              <w:spacing w:after="0" w:line="260" w:lineRule="exact"/>
              <w:jc w:val="both"/>
              <w:rPr>
                <w:rFonts w:cs="Arial"/>
                <w:szCs w:val="20"/>
              </w:rPr>
            </w:pPr>
            <w:bookmarkStart w:id="452" w:name="_Toc90562381"/>
            <w:r w:rsidRPr="00E4016A">
              <w:rPr>
                <w:rFonts w:cs="Arial"/>
                <w:szCs w:val="20"/>
              </w:rPr>
              <w:t>2.3 Učinkovito spodbujanje uporabe energije iz obnovljivih virov v vseh sektorjih in v vsej Uniji</w:t>
            </w:r>
            <w:bookmarkEnd w:id="452"/>
          </w:p>
        </w:tc>
        <w:tc>
          <w:tcPr>
            <w:tcW w:w="1672" w:type="dxa"/>
            <w:shd w:val="clear" w:color="auto" w:fill="auto"/>
          </w:tcPr>
          <w:p w14:paraId="1B9A0C52" w14:textId="77777777" w:rsidR="007E7643" w:rsidRPr="00E4016A" w:rsidRDefault="007E7643" w:rsidP="00ED5676">
            <w:pPr>
              <w:suppressAutoHyphens w:val="0"/>
              <w:autoSpaceDN/>
              <w:spacing w:after="0" w:line="260" w:lineRule="exact"/>
              <w:jc w:val="both"/>
              <w:rPr>
                <w:rFonts w:cs="Arial"/>
                <w:szCs w:val="20"/>
              </w:rPr>
            </w:pPr>
            <w:bookmarkStart w:id="453" w:name="_Toc90562382"/>
            <w:r w:rsidRPr="00E4016A">
              <w:rPr>
                <w:rFonts w:cs="Arial"/>
                <w:szCs w:val="20"/>
              </w:rPr>
              <w:t>DA</w:t>
            </w:r>
            <w:bookmarkEnd w:id="453"/>
          </w:p>
        </w:tc>
        <w:tc>
          <w:tcPr>
            <w:tcW w:w="4678" w:type="dxa"/>
            <w:shd w:val="clear" w:color="auto" w:fill="auto"/>
          </w:tcPr>
          <w:p w14:paraId="7FD76912" w14:textId="77777777" w:rsidR="007E7643" w:rsidRPr="00E4016A" w:rsidRDefault="007E7643" w:rsidP="00ED5676">
            <w:pPr>
              <w:suppressAutoHyphens w:val="0"/>
              <w:autoSpaceDN/>
              <w:spacing w:after="0" w:line="260" w:lineRule="exact"/>
              <w:jc w:val="both"/>
              <w:rPr>
                <w:rFonts w:cs="Arial"/>
                <w:szCs w:val="20"/>
              </w:rPr>
            </w:pPr>
            <w:bookmarkStart w:id="454" w:name="_Toc90562383"/>
            <w:r w:rsidRPr="00E4016A">
              <w:rPr>
                <w:rFonts w:cs="Arial"/>
                <w:szCs w:val="20"/>
              </w:rPr>
              <w:t>Merila upoštevana pri pripravi Celovitega nacionalnega energetskega in podnebnega načrta</w:t>
            </w:r>
            <w:bookmarkEnd w:id="454"/>
          </w:p>
        </w:tc>
        <w:tc>
          <w:tcPr>
            <w:tcW w:w="1872" w:type="dxa"/>
            <w:shd w:val="clear" w:color="auto" w:fill="auto"/>
          </w:tcPr>
          <w:p w14:paraId="73403E7E"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05E6DC17" w14:textId="3AE4B6A9"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04961E46" w14:textId="77777777" w:rsidR="007E7643" w:rsidRPr="00E4016A" w:rsidRDefault="007E7643" w:rsidP="00ED5676">
            <w:pPr>
              <w:suppressAutoHyphens w:val="0"/>
              <w:autoSpaceDN/>
              <w:spacing w:after="0" w:line="260" w:lineRule="exact"/>
              <w:jc w:val="both"/>
              <w:rPr>
                <w:rFonts w:cs="Arial"/>
                <w:szCs w:val="20"/>
              </w:rPr>
            </w:pPr>
            <w:bookmarkStart w:id="455" w:name="_Toc90562385"/>
            <w:r w:rsidRPr="00E4016A">
              <w:rPr>
                <w:rFonts w:cs="Arial"/>
                <w:szCs w:val="20"/>
              </w:rPr>
              <w:t>Priloga IV Uredbe EU 2021/1060</w:t>
            </w:r>
            <w:bookmarkEnd w:id="455"/>
          </w:p>
        </w:tc>
      </w:tr>
      <w:tr w:rsidR="007E7643" w:rsidRPr="00E4016A" w14:paraId="2BB0EA02" w14:textId="77777777" w:rsidTr="00B04820">
        <w:tc>
          <w:tcPr>
            <w:tcW w:w="4565" w:type="dxa"/>
            <w:shd w:val="clear" w:color="auto" w:fill="auto"/>
          </w:tcPr>
          <w:p w14:paraId="336677F7" w14:textId="77777777" w:rsidR="007E7643" w:rsidRPr="00E4016A" w:rsidRDefault="007E7643" w:rsidP="00ED5676">
            <w:pPr>
              <w:suppressAutoHyphens w:val="0"/>
              <w:autoSpaceDN/>
              <w:spacing w:after="0" w:line="260" w:lineRule="exact"/>
              <w:jc w:val="both"/>
              <w:rPr>
                <w:rFonts w:cs="Arial"/>
                <w:szCs w:val="20"/>
              </w:rPr>
            </w:pPr>
            <w:bookmarkStart w:id="456" w:name="_Toc90562386"/>
            <w:r w:rsidRPr="00E4016A">
              <w:rPr>
                <w:rFonts w:cs="Arial"/>
                <w:szCs w:val="20"/>
              </w:rPr>
              <w:t>2.4 Učinkovit okvir za obvladovanje tveganja nesreč</w:t>
            </w:r>
            <w:bookmarkEnd w:id="456"/>
          </w:p>
        </w:tc>
        <w:tc>
          <w:tcPr>
            <w:tcW w:w="1672" w:type="dxa"/>
            <w:shd w:val="clear" w:color="auto" w:fill="auto"/>
          </w:tcPr>
          <w:p w14:paraId="7D14FE6B" w14:textId="77777777" w:rsidR="007E7643" w:rsidRPr="00E4016A" w:rsidRDefault="007E7643" w:rsidP="00ED5676">
            <w:pPr>
              <w:suppressAutoHyphens w:val="0"/>
              <w:autoSpaceDN/>
              <w:spacing w:after="0" w:line="260" w:lineRule="exact"/>
              <w:jc w:val="both"/>
              <w:rPr>
                <w:rFonts w:cs="Arial"/>
                <w:szCs w:val="20"/>
              </w:rPr>
            </w:pPr>
            <w:bookmarkStart w:id="457" w:name="_Toc90562387"/>
            <w:r w:rsidRPr="00E4016A">
              <w:rPr>
                <w:rFonts w:cs="Arial"/>
                <w:szCs w:val="20"/>
              </w:rPr>
              <w:t>DA</w:t>
            </w:r>
            <w:bookmarkEnd w:id="457"/>
          </w:p>
        </w:tc>
        <w:tc>
          <w:tcPr>
            <w:tcW w:w="4678" w:type="dxa"/>
            <w:shd w:val="clear" w:color="auto" w:fill="auto"/>
          </w:tcPr>
          <w:p w14:paraId="297137D9" w14:textId="77777777" w:rsidR="007E7643" w:rsidRPr="00E4016A" w:rsidRDefault="007E7643" w:rsidP="00ED5676">
            <w:pPr>
              <w:suppressAutoHyphens w:val="0"/>
              <w:autoSpaceDN/>
              <w:spacing w:after="0" w:line="260" w:lineRule="exact"/>
              <w:jc w:val="both"/>
              <w:rPr>
                <w:rFonts w:cs="Arial"/>
                <w:szCs w:val="20"/>
              </w:rPr>
            </w:pPr>
            <w:bookmarkStart w:id="458" w:name="_Toc90562388"/>
            <w:r w:rsidRPr="00E4016A">
              <w:rPr>
                <w:rFonts w:cs="Arial"/>
                <w:szCs w:val="20"/>
              </w:rPr>
              <w:t>Resolucija o nacionalnem programu varstva pred naravnimi in drugimi nesrečami 2016–2022, sledila bo 2022–2028/2030, Državna ocena tveganj</w:t>
            </w:r>
            <w:bookmarkEnd w:id="458"/>
          </w:p>
        </w:tc>
        <w:tc>
          <w:tcPr>
            <w:tcW w:w="1872" w:type="dxa"/>
            <w:shd w:val="clear" w:color="auto" w:fill="auto"/>
          </w:tcPr>
          <w:p w14:paraId="5DDC9992"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777845BD" w14:textId="02AA6475"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5C184F8E" w14:textId="77777777" w:rsidR="007E7643" w:rsidRPr="00E4016A" w:rsidRDefault="007E7643" w:rsidP="00ED5676">
            <w:pPr>
              <w:suppressAutoHyphens w:val="0"/>
              <w:autoSpaceDN/>
              <w:spacing w:after="0" w:line="260" w:lineRule="exact"/>
              <w:jc w:val="both"/>
              <w:rPr>
                <w:rFonts w:cs="Arial"/>
                <w:szCs w:val="20"/>
              </w:rPr>
            </w:pPr>
            <w:bookmarkStart w:id="459" w:name="_Toc90562390"/>
            <w:r w:rsidRPr="00E4016A">
              <w:rPr>
                <w:rFonts w:cs="Arial"/>
                <w:szCs w:val="20"/>
              </w:rPr>
              <w:t>Priloga IV Uredbe EU 2021/1060</w:t>
            </w:r>
            <w:bookmarkEnd w:id="459"/>
          </w:p>
        </w:tc>
      </w:tr>
      <w:tr w:rsidR="007E7643" w:rsidRPr="00E4016A" w14:paraId="4CA98360" w14:textId="77777777" w:rsidTr="00B04820">
        <w:trPr>
          <w:trHeight w:val="541"/>
        </w:trPr>
        <w:tc>
          <w:tcPr>
            <w:tcW w:w="4565" w:type="dxa"/>
            <w:shd w:val="clear" w:color="auto" w:fill="auto"/>
          </w:tcPr>
          <w:p w14:paraId="3D0E0606" w14:textId="77777777" w:rsidR="007E7643" w:rsidRPr="00E4016A" w:rsidRDefault="007E7643" w:rsidP="00ED5676">
            <w:pPr>
              <w:suppressAutoHyphens w:val="0"/>
              <w:autoSpaceDN/>
              <w:spacing w:after="0" w:line="260" w:lineRule="exact"/>
              <w:jc w:val="both"/>
              <w:rPr>
                <w:rFonts w:cs="Arial"/>
                <w:szCs w:val="20"/>
              </w:rPr>
            </w:pPr>
            <w:bookmarkStart w:id="460" w:name="_Toc90562391"/>
            <w:r w:rsidRPr="00E4016A">
              <w:rPr>
                <w:rFonts w:cs="Arial"/>
                <w:szCs w:val="20"/>
              </w:rPr>
              <w:t>2.5 Posodobljeno načrtovanje potrebnih naložb v vodnem sektorju in sektorju odpadne vode</w:t>
            </w:r>
            <w:bookmarkEnd w:id="460"/>
          </w:p>
        </w:tc>
        <w:tc>
          <w:tcPr>
            <w:tcW w:w="1672" w:type="dxa"/>
            <w:shd w:val="clear" w:color="auto" w:fill="auto"/>
          </w:tcPr>
          <w:p w14:paraId="5E09EFF7" w14:textId="77777777" w:rsidR="007E7643" w:rsidRPr="00E4016A" w:rsidRDefault="007E7643" w:rsidP="00ED5676">
            <w:pPr>
              <w:suppressAutoHyphens w:val="0"/>
              <w:autoSpaceDN/>
              <w:spacing w:after="0" w:line="260" w:lineRule="exact"/>
              <w:jc w:val="both"/>
              <w:rPr>
                <w:rFonts w:cs="Arial"/>
                <w:szCs w:val="20"/>
              </w:rPr>
            </w:pPr>
            <w:bookmarkStart w:id="461" w:name="_Toc90562392"/>
            <w:r w:rsidRPr="00E4016A">
              <w:rPr>
                <w:rFonts w:cs="Arial"/>
                <w:szCs w:val="20"/>
              </w:rPr>
              <w:t>NE</w:t>
            </w:r>
            <w:bookmarkEnd w:id="461"/>
          </w:p>
        </w:tc>
        <w:tc>
          <w:tcPr>
            <w:tcW w:w="4678" w:type="dxa"/>
            <w:shd w:val="clear" w:color="auto" w:fill="auto"/>
          </w:tcPr>
          <w:p w14:paraId="3E47C420"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Prenos direktive št. 2020/2184 v nacionalni pravni red. Rok za prenos je bil 13. 1. 2023</w:t>
            </w:r>
          </w:p>
        </w:tc>
        <w:tc>
          <w:tcPr>
            <w:tcW w:w="1872" w:type="dxa"/>
            <w:shd w:val="clear" w:color="auto" w:fill="auto"/>
          </w:tcPr>
          <w:p w14:paraId="54C7F0F4"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623BE0F5" w14:textId="72FC514D"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2E31EEF9" w14:textId="77777777" w:rsidR="007E7643" w:rsidRPr="00E4016A" w:rsidRDefault="007E7643" w:rsidP="00ED5676">
            <w:pPr>
              <w:suppressAutoHyphens w:val="0"/>
              <w:autoSpaceDN/>
              <w:spacing w:after="0" w:line="260" w:lineRule="exact"/>
              <w:jc w:val="both"/>
              <w:rPr>
                <w:rFonts w:cs="Arial"/>
                <w:szCs w:val="20"/>
              </w:rPr>
            </w:pPr>
            <w:bookmarkStart w:id="462" w:name="_Toc90562395"/>
            <w:r w:rsidRPr="00E4016A">
              <w:rPr>
                <w:rFonts w:cs="Arial"/>
                <w:szCs w:val="20"/>
              </w:rPr>
              <w:t>Priloga IV Uredbe EU 2021/1060</w:t>
            </w:r>
            <w:bookmarkEnd w:id="462"/>
          </w:p>
        </w:tc>
      </w:tr>
      <w:tr w:rsidR="007E7643" w:rsidRPr="00E4016A" w14:paraId="20AF0B66" w14:textId="77777777" w:rsidTr="00B04820">
        <w:tc>
          <w:tcPr>
            <w:tcW w:w="4565" w:type="dxa"/>
            <w:shd w:val="clear" w:color="auto" w:fill="auto"/>
          </w:tcPr>
          <w:p w14:paraId="1E21C734" w14:textId="77777777" w:rsidR="007E7643" w:rsidRPr="00E4016A" w:rsidRDefault="007E7643" w:rsidP="00ED5676">
            <w:pPr>
              <w:suppressAutoHyphens w:val="0"/>
              <w:autoSpaceDN/>
              <w:spacing w:after="0" w:line="260" w:lineRule="exact"/>
              <w:jc w:val="both"/>
              <w:rPr>
                <w:rFonts w:cs="Arial"/>
                <w:szCs w:val="20"/>
              </w:rPr>
            </w:pPr>
            <w:bookmarkStart w:id="463" w:name="_Toc90562396"/>
            <w:r w:rsidRPr="00E4016A">
              <w:rPr>
                <w:rFonts w:cs="Arial"/>
                <w:szCs w:val="20"/>
              </w:rPr>
              <w:t>2.6 Posodobljeno načrtovanje ravnanja z odpadki</w:t>
            </w:r>
            <w:bookmarkEnd w:id="463"/>
          </w:p>
        </w:tc>
        <w:tc>
          <w:tcPr>
            <w:tcW w:w="1672" w:type="dxa"/>
            <w:shd w:val="clear" w:color="auto" w:fill="auto"/>
          </w:tcPr>
          <w:p w14:paraId="10E3DAC1" w14:textId="77777777" w:rsidR="007E7643" w:rsidRPr="00E4016A" w:rsidRDefault="007E7643" w:rsidP="00ED5676">
            <w:pPr>
              <w:suppressAutoHyphens w:val="0"/>
              <w:autoSpaceDN/>
              <w:spacing w:after="0" w:line="260" w:lineRule="exact"/>
              <w:jc w:val="both"/>
              <w:rPr>
                <w:rFonts w:cs="Arial"/>
                <w:szCs w:val="20"/>
              </w:rPr>
            </w:pPr>
            <w:bookmarkStart w:id="464" w:name="_Toc90562397"/>
            <w:r w:rsidRPr="00E4016A">
              <w:rPr>
                <w:rFonts w:cs="Arial"/>
                <w:szCs w:val="20"/>
              </w:rPr>
              <w:t>DA</w:t>
            </w:r>
            <w:bookmarkEnd w:id="464"/>
          </w:p>
        </w:tc>
        <w:tc>
          <w:tcPr>
            <w:tcW w:w="4678" w:type="dxa"/>
            <w:shd w:val="clear" w:color="auto" w:fill="auto"/>
          </w:tcPr>
          <w:p w14:paraId="104BCED2" w14:textId="77777777" w:rsidR="007E7643" w:rsidRPr="00E4016A" w:rsidRDefault="007E7643" w:rsidP="00ED5676">
            <w:pPr>
              <w:suppressAutoHyphens w:val="0"/>
              <w:autoSpaceDN/>
              <w:spacing w:after="0" w:line="260" w:lineRule="exact"/>
              <w:jc w:val="both"/>
              <w:rPr>
                <w:rFonts w:cs="Arial"/>
                <w:szCs w:val="20"/>
              </w:rPr>
            </w:pPr>
            <w:bookmarkStart w:id="465" w:name="_Toc90562398"/>
            <w:r w:rsidRPr="00E4016A">
              <w:rPr>
                <w:rFonts w:cs="Arial"/>
                <w:szCs w:val="20"/>
              </w:rPr>
              <w:t>Program ravnanja z odpadki in program preprečevanja odpadkov Republike Slovenije (2022)</w:t>
            </w:r>
            <w:bookmarkEnd w:id="465"/>
          </w:p>
        </w:tc>
        <w:tc>
          <w:tcPr>
            <w:tcW w:w="1872" w:type="dxa"/>
            <w:shd w:val="clear" w:color="auto" w:fill="auto"/>
          </w:tcPr>
          <w:p w14:paraId="1573B5C2"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7D944979" w14:textId="77777777"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3CD3B40C" w14:textId="77777777" w:rsidR="007E7643" w:rsidRPr="00E4016A" w:rsidRDefault="007E7643" w:rsidP="00ED5676">
            <w:pPr>
              <w:suppressAutoHyphens w:val="0"/>
              <w:autoSpaceDN/>
              <w:spacing w:after="0" w:line="260" w:lineRule="exact"/>
              <w:jc w:val="both"/>
              <w:rPr>
                <w:rFonts w:cs="Arial"/>
                <w:szCs w:val="20"/>
              </w:rPr>
            </w:pPr>
            <w:bookmarkStart w:id="466" w:name="_Toc90562401"/>
            <w:r w:rsidRPr="00E4016A">
              <w:rPr>
                <w:rFonts w:cs="Arial"/>
                <w:szCs w:val="20"/>
              </w:rPr>
              <w:t>Priloga IV Uredbe EU 2021/1060</w:t>
            </w:r>
            <w:bookmarkEnd w:id="466"/>
          </w:p>
        </w:tc>
      </w:tr>
      <w:tr w:rsidR="007E7643" w:rsidRPr="00E4016A" w14:paraId="088D66BC" w14:textId="77777777" w:rsidTr="00B04820">
        <w:tc>
          <w:tcPr>
            <w:tcW w:w="4565" w:type="dxa"/>
            <w:shd w:val="clear" w:color="auto" w:fill="auto"/>
          </w:tcPr>
          <w:p w14:paraId="76551621" w14:textId="77777777" w:rsidR="007E7643" w:rsidRPr="00E4016A" w:rsidRDefault="007E7643" w:rsidP="00ED5676">
            <w:pPr>
              <w:suppressAutoHyphens w:val="0"/>
              <w:autoSpaceDN/>
              <w:spacing w:after="0" w:line="260" w:lineRule="exact"/>
              <w:jc w:val="both"/>
              <w:rPr>
                <w:rFonts w:cs="Arial"/>
                <w:szCs w:val="20"/>
              </w:rPr>
            </w:pPr>
            <w:bookmarkStart w:id="467" w:name="_Toc90562402"/>
            <w:r w:rsidRPr="00E4016A">
              <w:rPr>
                <w:rFonts w:cs="Arial"/>
                <w:szCs w:val="20"/>
              </w:rPr>
              <w:t>2.7 Prednostni okvir ukrepanja za potrebne ohranitvene ukrepe, ki vključujejo sofinanciranje Unije</w:t>
            </w:r>
            <w:bookmarkEnd w:id="467"/>
          </w:p>
        </w:tc>
        <w:tc>
          <w:tcPr>
            <w:tcW w:w="1672" w:type="dxa"/>
            <w:shd w:val="clear" w:color="auto" w:fill="auto"/>
          </w:tcPr>
          <w:p w14:paraId="393ED42B" w14:textId="77777777" w:rsidR="007E7643" w:rsidRPr="00E4016A" w:rsidRDefault="007E7643" w:rsidP="00ED5676">
            <w:pPr>
              <w:suppressAutoHyphens w:val="0"/>
              <w:autoSpaceDN/>
              <w:spacing w:after="0" w:line="260" w:lineRule="exact"/>
              <w:jc w:val="both"/>
              <w:rPr>
                <w:rFonts w:cs="Arial"/>
                <w:szCs w:val="20"/>
              </w:rPr>
            </w:pPr>
            <w:bookmarkStart w:id="468" w:name="_Toc90562403"/>
            <w:r w:rsidRPr="00E4016A">
              <w:rPr>
                <w:rFonts w:cs="Arial"/>
                <w:szCs w:val="20"/>
              </w:rPr>
              <w:t>DA</w:t>
            </w:r>
            <w:bookmarkEnd w:id="468"/>
          </w:p>
        </w:tc>
        <w:tc>
          <w:tcPr>
            <w:tcW w:w="4678" w:type="dxa"/>
            <w:shd w:val="clear" w:color="auto" w:fill="auto"/>
          </w:tcPr>
          <w:p w14:paraId="3A5E49EB" w14:textId="77777777" w:rsidR="007E7643" w:rsidRPr="00E4016A" w:rsidRDefault="007E7643" w:rsidP="00ED5676">
            <w:pPr>
              <w:suppressAutoHyphens w:val="0"/>
              <w:autoSpaceDN/>
              <w:spacing w:after="0" w:line="260" w:lineRule="exact"/>
              <w:jc w:val="both"/>
              <w:rPr>
                <w:rFonts w:cs="Arial"/>
                <w:szCs w:val="20"/>
              </w:rPr>
            </w:pPr>
            <w:bookmarkStart w:id="469" w:name="_Toc90562404"/>
            <w:r w:rsidRPr="00E4016A">
              <w:rPr>
                <w:rFonts w:cs="Arial"/>
                <w:szCs w:val="20"/>
              </w:rPr>
              <w:t>Prednostni okvir ukrepanja za Slovenijo je bil poslan Evropski komisiji</w:t>
            </w:r>
            <w:bookmarkEnd w:id="469"/>
          </w:p>
        </w:tc>
        <w:tc>
          <w:tcPr>
            <w:tcW w:w="1872" w:type="dxa"/>
            <w:shd w:val="clear" w:color="auto" w:fill="auto"/>
          </w:tcPr>
          <w:p w14:paraId="13108349"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013A729E" w14:textId="77777777"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3A4BC9E7" w14:textId="77777777" w:rsidR="007E7643" w:rsidRPr="00E4016A" w:rsidRDefault="007E7643" w:rsidP="00ED5676">
            <w:pPr>
              <w:suppressAutoHyphens w:val="0"/>
              <w:autoSpaceDN/>
              <w:spacing w:after="0" w:line="260" w:lineRule="exact"/>
              <w:jc w:val="both"/>
              <w:rPr>
                <w:rFonts w:cs="Arial"/>
                <w:szCs w:val="20"/>
              </w:rPr>
            </w:pPr>
            <w:bookmarkStart w:id="470" w:name="_Toc90562407"/>
            <w:r w:rsidRPr="00E4016A">
              <w:rPr>
                <w:rFonts w:cs="Arial"/>
                <w:szCs w:val="20"/>
              </w:rPr>
              <w:t>Priloga IV Uredbe EU 2021/1060</w:t>
            </w:r>
            <w:bookmarkEnd w:id="470"/>
          </w:p>
        </w:tc>
      </w:tr>
      <w:tr w:rsidR="007E7643" w:rsidRPr="00E4016A" w14:paraId="4B152677" w14:textId="77777777" w:rsidTr="00B04820">
        <w:tc>
          <w:tcPr>
            <w:tcW w:w="4565" w:type="dxa"/>
            <w:shd w:val="clear" w:color="auto" w:fill="auto"/>
          </w:tcPr>
          <w:p w14:paraId="33AAE1A3" w14:textId="77777777" w:rsidR="007E7643" w:rsidRPr="00E4016A" w:rsidRDefault="007E7643" w:rsidP="00ED5676">
            <w:pPr>
              <w:suppressAutoHyphens w:val="0"/>
              <w:autoSpaceDN/>
              <w:spacing w:after="0" w:line="260" w:lineRule="exact"/>
              <w:jc w:val="both"/>
              <w:rPr>
                <w:rFonts w:cs="Arial"/>
                <w:szCs w:val="20"/>
              </w:rPr>
            </w:pPr>
            <w:bookmarkStart w:id="471" w:name="_Toc90562408"/>
            <w:r w:rsidRPr="00E4016A">
              <w:rPr>
                <w:rFonts w:cs="Arial"/>
                <w:szCs w:val="20"/>
              </w:rPr>
              <w:t>3.1 Celovito načrtovanje prometa na ustrezni ravni</w:t>
            </w:r>
            <w:bookmarkEnd w:id="471"/>
          </w:p>
        </w:tc>
        <w:tc>
          <w:tcPr>
            <w:tcW w:w="1672" w:type="dxa"/>
            <w:shd w:val="clear" w:color="auto" w:fill="auto"/>
          </w:tcPr>
          <w:p w14:paraId="3D9EEB8E" w14:textId="77777777" w:rsidR="007E7643" w:rsidRPr="00E4016A" w:rsidRDefault="007E7643" w:rsidP="00ED5676">
            <w:pPr>
              <w:suppressAutoHyphens w:val="0"/>
              <w:autoSpaceDN/>
              <w:spacing w:after="0" w:line="260" w:lineRule="exact"/>
              <w:jc w:val="both"/>
              <w:rPr>
                <w:rFonts w:cs="Arial"/>
                <w:szCs w:val="20"/>
              </w:rPr>
            </w:pPr>
            <w:bookmarkStart w:id="472" w:name="_Toc90562409"/>
            <w:r w:rsidRPr="00E4016A">
              <w:rPr>
                <w:rFonts w:cs="Arial"/>
                <w:szCs w:val="20"/>
              </w:rPr>
              <w:t>DA</w:t>
            </w:r>
            <w:bookmarkEnd w:id="472"/>
          </w:p>
        </w:tc>
        <w:tc>
          <w:tcPr>
            <w:tcW w:w="4678" w:type="dxa"/>
            <w:shd w:val="clear" w:color="auto" w:fill="auto"/>
          </w:tcPr>
          <w:p w14:paraId="14BF690D" w14:textId="77777777" w:rsidR="007E7643" w:rsidRPr="00E4016A" w:rsidRDefault="007E7643" w:rsidP="00ED5676">
            <w:pPr>
              <w:suppressAutoHyphens w:val="0"/>
              <w:autoSpaceDN/>
              <w:spacing w:after="0" w:line="260" w:lineRule="exact"/>
              <w:jc w:val="both"/>
              <w:rPr>
                <w:rFonts w:cs="Arial"/>
                <w:szCs w:val="20"/>
              </w:rPr>
            </w:pPr>
            <w:bookmarkStart w:id="473" w:name="_Toc90562410"/>
            <w:r w:rsidRPr="00E4016A">
              <w:rPr>
                <w:rFonts w:cs="Arial"/>
                <w:szCs w:val="20"/>
              </w:rPr>
              <w:t>Strategija razvoja prometa v RS do leta 2030</w:t>
            </w:r>
            <w:bookmarkEnd w:id="473"/>
          </w:p>
        </w:tc>
        <w:tc>
          <w:tcPr>
            <w:tcW w:w="1872" w:type="dxa"/>
            <w:shd w:val="clear" w:color="auto" w:fill="auto"/>
          </w:tcPr>
          <w:p w14:paraId="5A0261CF"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0E2DCF9F" w14:textId="7B8936A5"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0E82CD93" w14:textId="77777777" w:rsidR="007E7643" w:rsidRPr="00E4016A" w:rsidRDefault="007E7643" w:rsidP="00ED5676">
            <w:pPr>
              <w:suppressAutoHyphens w:val="0"/>
              <w:autoSpaceDN/>
              <w:spacing w:after="0" w:line="260" w:lineRule="exact"/>
              <w:jc w:val="both"/>
              <w:rPr>
                <w:rFonts w:cs="Arial"/>
                <w:szCs w:val="20"/>
              </w:rPr>
            </w:pPr>
            <w:bookmarkStart w:id="474" w:name="_Toc90562412"/>
            <w:r w:rsidRPr="00E4016A">
              <w:rPr>
                <w:rFonts w:cs="Arial"/>
                <w:szCs w:val="20"/>
              </w:rPr>
              <w:t>Priloga IV Uredbe EU 2021/1060</w:t>
            </w:r>
            <w:bookmarkEnd w:id="474"/>
          </w:p>
        </w:tc>
      </w:tr>
      <w:tr w:rsidR="007E7643" w:rsidRPr="00E4016A" w14:paraId="59B4F776" w14:textId="77777777" w:rsidTr="00B04820">
        <w:tc>
          <w:tcPr>
            <w:tcW w:w="4565" w:type="dxa"/>
            <w:shd w:val="clear" w:color="auto" w:fill="auto"/>
          </w:tcPr>
          <w:p w14:paraId="05718790" w14:textId="77777777" w:rsidR="007E7643" w:rsidRPr="00E4016A" w:rsidRDefault="007E7643" w:rsidP="00ED5676">
            <w:pPr>
              <w:suppressAutoHyphens w:val="0"/>
              <w:autoSpaceDN/>
              <w:spacing w:after="0" w:line="260" w:lineRule="exact"/>
              <w:jc w:val="both"/>
              <w:rPr>
                <w:rFonts w:eastAsia="Calibri" w:cs="Arial"/>
                <w:szCs w:val="20"/>
              </w:rPr>
            </w:pPr>
            <w:r w:rsidRPr="00E4016A">
              <w:rPr>
                <w:rFonts w:eastAsia="Calibri" w:cs="Arial"/>
                <w:szCs w:val="20"/>
              </w:rPr>
              <w:t>4.1 Strateški okvir politike za aktivne politike trga dela</w:t>
            </w:r>
          </w:p>
        </w:tc>
        <w:tc>
          <w:tcPr>
            <w:tcW w:w="1672" w:type="dxa"/>
            <w:shd w:val="clear" w:color="auto" w:fill="auto"/>
          </w:tcPr>
          <w:p w14:paraId="6F6A5B1A" w14:textId="77777777" w:rsidR="007E7643" w:rsidRPr="00E4016A" w:rsidRDefault="007E7643" w:rsidP="00ED5676">
            <w:pPr>
              <w:suppressAutoHyphens w:val="0"/>
              <w:autoSpaceDN/>
              <w:spacing w:after="0" w:line="260" w:lineRule="exact"/>
              <w:jc w:val="both"/>
              <w:rPr>
                <w:rFonts w:cs="Arial"/>
                <w:szCs w:val="20"/>
              </w:rPr>
            </w:pPr>
            <w:bookmarkStart w:id="475" w:name="_Toc90562413"/>
            <w:r w:rsidRPr="00E4016A">
              <w:rPr>
                <w:rFonts w:cs="Arial"/>
                <w:szCs w:val="20"/>
              </w:rPr>
              <w:t>DA</w:t>
            </w:r>
            <w:bookmarkEnd w:id="475"/>
          </w:p>
        </w:tc>
        <w:tc>
          <w:tcPr>
            <w:tcW w:w="4678" w:type="dxa"/>
            <w:shd w:val="clear" w:color="auto" w:fill="auto"/>
          </w:tcPr>
          <w:p w14:paraId="5E35F2B3" w14:textId="77777777" w:rsidR="007E7643" w:rsidRPr="00E4016A" w:rsidRDefault="007E7643" w:rsidP="00ED5676">
            <w:pPr>
              <w:suppressAutoHyphens w:val="0"/>
              <w:autoSpaceDN/>
              <w:spacing w:after="0" w:line="260" w:lineRule="exact"/>
              <w:jc w:val="both"/>
              <w:rPr>
                <w:rFonts w:cs="Arial"/>
                <w:szCs w:val="20"/>
              </w:rPr>
            </w:pPr>
            <w:bookmarkStart w:id="476" w:name="_Toc90562414"/>
            <w:r w:rsidRPr="00E4016A">
              <w:rPr>
                <w:rFonts w:cs="Arial"/>
                <w:szCs w:val="20"/>
              </w:rPr>
              <w:t>Smernice za izvajanje ukrepov aktivne politike zaposlovanja 2021-202</w:t>
            </w:r>
            <w:bookmarkEnd w:id="476"/>
            <w:r w:rsidRPr="00E4016A">
              <w:rPr>
                <w:rFonts w:cs="Arial"/>
                <w:szCs w:val="20"/>
              </w:rPr>
              <w:t>5</w:t>
            </w:r>
          </w:p>
        </w:tc>
        <w:tc>
          <w:tcPr>
            <w:tcW w:w="1872" w:type="dxa"/>
            <w:shd w:val="clear" w:color="auto" w:fill="auto"/>
          </w:tcPr>
          <w:p w14:paraId="4AD56ED2"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56AC996A" w14:textId="286F246F"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36864FED" w14:textId="77777777" w:rsidR="007E7643" w:rsidRPr="00E4016A" w:rsidRDefault="007E7643" w:rsidP="00ED5676">
            <w:pPr>
              <w:suppressAutoHyphens w:val="0"/>
              <w:autoSpaceDN/>
              <w:spacing w:after="0" w:line="260" w:lineRule="exact"/>
              <w:jc w:val="both"/>
              <w:rPr>
                <w:rFonts w:cs="Arial"/>
                <w:szCs w:val="20"/>
              </w:rPr>
            </w:pPr>
            <w:bookmarkStart w:id="477" w:name="_Toc90562416"/>
            <w:r w:rsidRPr="00E4016A">
              <w:rPr>
                <w:rFonts w:cs="Arial"/>
                <w:szCs w:val="20"/>
              </w:rPr>
              <w:t>Priloga IV Uredbe EU 2021/1060</w:t>
            </w:r>
            <w:bookmarkEnd w:id="477"/>
          </w:p>
        </w:tc>
      </w:tr>
      <w:tr w:rsidR="007E7643" w:rsidRPr="00E4016A" w14:paraId="0EF42E84" w14:textId="77777777" w:rsidTr="00B04820">
        <w:tc>
          <w:tcPr>
            <w:tcW w:w="4565" w:type="dxa"/>
            <w:shd w:val="clear" w:color="auto" w:fill="auto"/>
          </w:tcPr>
          <w:p w14:paraId="0E8644D5" w14:textId="77777777" w:rsidR="007E7643" w:rsidRPr="00E4016A" w:rsidRDefault="007E7643" w:rsidP="00ED5676">
            <w:pPr>
              <w:suppressAutoHyphens w:val="0"/>
              <w:autoSpaceDN/>
              <w:spacing w:after="0" w:line="260" w:lineRule="exact"/>
              <w:jc w:val="both"/>
              <w:rPr>
                <w:rFonts w:cs="Arial"/>
                <w:szCs w:val="20"/>
              </w:rPr>
            </w:pPr>
            <w:bookmarkStart w:id="478" w:name="_Toc90562423"/>
            <w:r w:rsidRPr="00E4016A">
              <w:rPr>
                <w:rFonts w:cs="Arial"/>
                <w:szCs w:val="20"/>
              </w:rPr>
              <w:t>4.3 Strateški okvir politike za sistem izobraževanja in usposabljanja na vseh ravneh</w:t>
            </w:r>
            <w:bookmarkEnd w:id="478"/>
          </w:p>
        </w:tc>
        <w:tc>
          <w:tcPr>
            <w:tcW w:w="1672" w:type="dxa"/>
            <w:shd w:val="clear" w:color="auto" w:fill="auto"/>
          </w:tcPr>
          <w:p w14:paraId="500B667C" w14:textId="77777777" w:rsidR="007E7643" w:rsidRPr="00E4016A" w:rsidRDefault="007E7643" w:rsidP="00ED5676">
            <w:pPr>
              <w:suppressAutoHyphens w:val="0"/>
              <w:autoSpaceDN/>
              <w:spacing w:after="0" w:line="260" w:lineRule="exact"/>
              <w:jc w:val="both"/>
              <w:rPr>
                <w:rFonts w:cs="Arial"/>
                <w:szCs w:val="20"/>
              </w:rPr>
            </w:pPr>
            <w:bookmarkStart w:id="479" w:name="_Toc90562424"/>
            <w:r w:rsidRPr="00E4016A">
              <w:rPr>
                <w:rFonts w:cs="Arial"/>
                <w:szCs w:val="20"/>
              </w:rPr>
              <w:t>DA</w:t>
            </w:r>
            <w:bookmarkEnd w:id="479"/>
          </w:p>
        </w:tc>
        <w:tc>
          <w:tcPr>
            <w:tcW w:w="4678" w:type="dxa"/>
            <w:shd w:val="clear" w:color="auto" w:fill="auto"/>
          </w:tcPr>
          <w:p w14:paraId="2DBC0701" w14:textId="3F8FCF8C" w:rsidR="007E7643" w:rsidRPr="00E4016A" w:rsidRDefault="007E7643" w:rsidP="00ED5676">
            <w:pPr>
              <w:suppressAutoHyphens w:val="0"/>
              <w:autoSpaceDN/>
              <w:spacing w:after="0" w:line="260" w:lineRule="exact"/>
              <w:jc w:val="both"/>
              <w:rPr>
                <w:rFonts w:cs="Arial"/>
                <w:szCs w:val="20"/>
              </w:rPr>
            </w:pPr>
            <w:bookmarkStart w:id="480" w:name="_Toc90562425"/>
            <w:r w:rsidRPr="00E4016A">
              <w:rPr>
                <w:rFonts w:cs="Arial"/>
                <w:szCs w:val="20"/>
              </w:rPr>
              <w:t>Strategija Zavoda RS za zaposlovanje do 2025</w:t>
            </w:r>
            <w:r w:rsidR="008B2089">
              <w:rPr>
                <w:rFonts w:cs="Arial"/>
                <w:szCs w:val="20"/>
              </w:rPr>
              <w:t xml:space="preserve">, </w:t>
            </w:r>
            <w:r w:rsidRPr="00E4016A">
              <w:rPr>
                <w:rFonts w:cs="Arial"/>
                <w:szCs w:val="20"/>
              </w:rPr>
              <w:t>Zakon o organizaciji in financiranju vzgoje in izobraževanja</w:t>
            </w:r>
            <w:r w:rsidR="008B2089">
              <w:rPr>
                <w:rFonts w:cs="Arial"/>
                <w:szCs w:val="20"/>
              </w:rPr>
              <w:t xml:space="preserve">, </w:t>
            </w:r>
            <w:r w:rsidRPr="00E4016A">
              <w:rPr>
                <w:rFonts w:cs="Arial"/>
                <w:szCs w:val="20"/>
              </w:rPr>
              <w:t>Sklep o ustanovitvi Centra RS za mobilnost in evropske programe izobraževanja in usposabljanja (CMEPIUS)</w:t>
            </w:r>
            <w:r w:rsidR="008B2089">
              <w:rPr>
                <w:rFonts w:cs="Arial"/>
                <w:szCs w:val="20"/>
              </w:rPr>
              <w:t>,</w:t>
            </w:r>
          </w:p>
          <w:p w14:paraId="0B90D848" w14:textId="53E920F5" w:rsidR="007E7643" w:rsidRPr="00E4016A" w:rsidRDefault="007E7643" w:rsidP="008B2089">
            <w:pPr>
              <w:suppressAutoHyphens w:val="0"/>
              <w:autoSpaceDN/>
              <w:spacing w:after="0" w:line="260" w:lineRule="exact"/>
              <w:jc w:val="both"/>
              <w:rPr>
                <w:rFonts w:cs="Arial"/>
                <w:szCs w:val="20"/>
              </w:rPr>
            </w:pPr>
            <w:r w:rsidRPr="00E4016A">
              <w:rPr>
                <w:rFonts w:cs="Arial"/>
                <w:szCs w:val="20"/>
              </w:rPr>
              <w:lastRenderedPageBreak/>
              <w:t>Zakon o višjem strokovnem izobraževanju</w:t>
            </w:r>
            <w:r w:rsidR="008B2089">
              <w:rPr>
                <w:rFonts w:cs="Arial"/>
                <w:szCs w:val="20"/>
              </w:rPr>
              <w:t xml:space="preserve">, </w:t>
            </w:r>
            <w:r w:rsidRPr="00E4016A">
              <w:rPr>
                <w:rFonts w:cs="Arial"/>
                <w:szCs w:val="20"/>
              </w:rPr>
              <w:t>Strategija višjega strokovnega izobraževanja 20–30</w:t>
            </w:r>
            <w:r w:rsidR="008B2089">
              <w:rPr>
                <w:rFonts w:cs="Arial"/>
                <w:szCs w:val="20"/>
              </w:rPr>
              <w:t xml:space="preserve">, </w:t>
            </w:r>
            <w:r w:rsidRPr="00E4016A">
              <w:rPr>
                <w:rFonts w:cs="Arial"/>
                <w:szCs w:val="20"/>
              </w:rPr>
              <w:t>Zakon o visokem šolstvu</w:t>
            </w:r>
            <w:r w:rsidR="008B2089">
              <w:rPr>
                <w:rFonts w:cs="Arial"/>
                <w:szCs w:val="20"/>
              </w:rPr>
              <w:t xml:space="preserve">, </w:t>
            </w:r>
            <w:bookmarkStart w:id="481" w:name="_Hlk156403289"/>
            <w:r w:rsidRPr="00E4016A">
              <w:rPr>
                <w:rFonts w:cs="Arial"/>
                <w:szCs w:val="20"/>
              </w:rPr>
              <w:t>Resolucija o nacionalnem programu visokega šolstva do 2030</w:t>
            </w:r>
            <w:r w:rsidR="008B2089">
              <w:rPr>
                <w:rFonts w:cs="Arial"/>
                <w:szCs w:val="20"/>
              </w:rPr>
              <w:t>,</w:t>
            </w:r>
            <w:r w:rsidRPr="00E4016A">
              <w:rPr>
                <w:rFonts w:cs="Arial"/>
                <w:szCs w:val="20"/>
              </w:rPr>
              <w:t xml:space="preserve"> </w:t>
            </w:r>
            <w:bookmarkEnd w:id="481"/>
            <w:r w:rsidRPr="00E4016A">
              <w:rPr>
                <w:rFonts w:cs="Arial"/>
                <w:szCs w:val="20"/>
              </w:rPr>
              <w:t>Zakon o izobraževanju odraslih</w:t>
            </w:r>
            <w:r w:rsidR="008B2089">
              <w:rPr>
                <w:rFonts w:cs="Arial"/>
                <w:szCs w:val="20"/>
              </w:rPr>
              <w:t xml:space="preserve">, </w:t>
            </w:r>
            <w:r w:rsidRPr="00E4016A">
              <w:rPr>
                <w:rFonts w:cs="Arial"/>
                <w:szCs w:val="20"/>
              </w:rPr>
              <w:t>Resolucija o nacionalnem programu izobraževanja odraslih v Republiki Sloveniji za obdobje 2022–2030</w:t>
            </w:r>
            <w:r w:rsidR="008B2089">
              <w:rPr>
                <w:rFonts w:cs="Arial"/>
                <w:szCs w:val="20"/>
              </w:rPr>
              <w:t xml:space="preserve">, </w:t>
            </w:r>
            <w:r w:rsidRPr="00E4016A">
              <w:rPr>
                <w:rFonts w:cs="Arial"/>
                <w:szCs w:val="20"/>
              </w:rPr>
              <w:t>Zakon o vrednotenju in priznavanju izobraževanja</w:t>
            </w:r>
            <w:r w:rsidR="008B2089">
              <w:rPr>
                <w:rFonts w:cs="Arial"/>
                <w:szCs w:val="20"/>
              </w:rPr>
              <w:t xml:space="preserve">, </w:t>
            </w:r>
            <w:r w:rsidRPr="00E4016A">
              <w:rPr>
                <w:rFonts w:cs="Arial"/>
                <w:szCs w:val="20"/>
              </w:rPr>
              <w:t>Zakon o slovenskem ogrodju kvalifikacij</w:t>
            </w:r>
            <w:r w:rsidR="008B2089">
              <w:rPr>
                <w:rFonts w:cs="Arial"/>
                <w:szCs w:val="20"/>
              </w:rPr>
              <w:t xml:space="preserve">, </w:t>
            </w:r>
            <w:r w:rsidRPr="00E4016A">
              <w:rPr>
                <w:rFonts w:cs="Arial"/>
                <w:szCs w:val="20"/>
              </w:rPr>
              <w:t>Zakon o postopku priznavanja poklicnih kvalifikacij za opravljanje reguliranih poklicev</w:t>
            </w:r>
            <w:bookmarkEnd w:id="480"/>
          </w:p>
        </w:tc>
        <w:tc>
          <w:tcPr>
            <w:tcW w:w="1872" w:type="dxa"/>
            <w:shd w:val="clear" w:color="auto" w:fill="auto"/>
          </w:tcPr>
          <w:p w14:paraId="7909467A" w14:textId="77777777" w:rsidR="00CE10A1" w:rsidRPr="00E4016A" w:rsidRDefault="00CE10A1" w:rsidP="00CE10A1">
            <w:pPr>
              <w:suppressAutoHyphens w:val="0"/>
              <w:autoSpaceDN/>
              <w:spacing w:after="0" w:line="260" w:lineRule="exact"/>
              <w:jc w:val="both"/>
              <w:rPr>
                <w:rFonts w:cs="Arial"/>
                <w:szCs w:val="20"/>
              </w:rPr>
            </w:pPr>
            <w:r>
              <w:rPr>
                <w:rFonts w:cs="Arial"/>
                <w:szCs w:val="20"/>
              </w:rPr>
              <w:lastRenderedPageBreak/>
              <w:t>V</w:t>
            </w:r>
            <w:r w:rsidRPr="00E4016A">
              <w:rPr>
                <w:rFonts w:cs="Arial"/>
                <w:szCs w:val="20"/>
              </w:rPr>
              <w:t>lada</w:t>
            </w:r>
          </w:p>
          <w:p w14:paraId="1E75369C" w14:textId="77777777"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11BCB18D" w14:textId="77777777" w:rsidR="007E7643" w:rsidRPr="00E4016A" w:rsidRDefault="007E7643" w:rsidP="00ED5676">
            <w:pPr>
              <w:suppressAutoHyphens w:val="0"/>
              <w:autoSpaceDN/>
              <w:spacing w:after="0" w:line="260" w:lineRule="exact"/>
              <w:jc w:val="both"/>
              <w:rPr>
                <w:rFonts w:cs="Arial"/>
                <w:szCs w:val="20"/>
              </w:rPr>
            </w:pPr>
            <w:bookmarkStart w:id="482" w:name="_Toc90562428"/>
            <w:r w:rsidRPr="00E4016A">
              <w:rPr>
                <w:rFonts w:cs="Arial"/>
                <w:szCs w:val="20"/>
              </w:rPr>
              <w:t>Priloga IV Uredbe EU 2021/1060</w:t>
            </w:r>
            <w:bookmarkEnd w:id="482"/>
          </w:p>
        </w:tc>
      </w:tr>
      <w:tr w:rsidR="007E7643" w:rsidRPr="00E4016A" w14:paraId="7C4B7D6D" w14:textId="77777777" w:rsidTr="00B04820">
        <w:tc>
          <w:tcPr>
            <w:tcW w:w="4565" w:type="dxa"/>
            <w:shd w:val="clear" w:color="auto" w:fill="auto"/>
          </w:tcPr>
          <w:p w14:paraId="48A92B96" w14:textId="77777777" w:rsidR="007E7643" w:rsidRPr="00E4016A" w:rsidRDefault="007E7643" w:rsidP="00ED5676">
            <w:pPr>
              <w:suppressAutoHyphens w:val="0"/>
              <w:autoSpaceDN/>
              <w:spacing w:after="0" w:line="260" w:lineRule="exact"/>
              <w:jc w:val="both"/>
              <w:rPr>
                <w:rFonts w:cs="Arial"/>
                <w:szCs w:val="20"/>
              </w:rPr>
            </w:pPr>
            <w:bookmarkStart w:id="483" w:name="_Toc90562429"/>
            <w:r w:rsidRPr="00E4016A">
              <w:rPr>
                <w:rFonts w:cs="Arial"/>
                <w:szCs w:val="20"/>
              </w:rPr>
              <w:t>4.4 Nacionalni strateški okvir politike za socialno vključenost in</w:t>
            </w:r>
            <w:bookmarkEnd w:id="483"/>
          </w:p>
          <w:p w14:paraId="1CF9E4B9" w14:textId="77777777" w:rsidR="007E7643" w:rsidRPr="00E4016A" w:rsidRDefault="007E7643" w:rsidP="00ED5676">
            <w:pPr>
              <w:suppressAutoHyphens w:val="0"/>
              <w:autoSpaceDN/>
              <w:spacing w:after="0" w:line="260" w:lineRule="exact"/>
              <w:jc w:val="both"/>
              <w:rPr>
                <w:rFonts w:cs="Arial"/>
                <w:szCs w:val="20"/>
              </w:rPr>
            </w:pPr>
            <w:bookmarkStart w:id="484" w:name="_Toc90562430"/>
            <w:r w:rsidRPr="00E4016A">
              <w:rPr>
                <w:rFonts w:cs="Arial"/>
                <w:szCs w:val="20"/>
              </w:rPr>
              <w:t>Zmanjševanje revščine</w:t>
            </w:r>
            <w:bookmarkEnd w:id="484"/>
          </w:p>
        </w:tc>
        <w:tc>
          <w:tcPr>
            <w:tcW w:w="1672" w:type="dxa"/>
            <w:shd w:val="clear" w:color="auto" w:fill="auto"/>
          </w:tcPr>
          <w:p w14:paraId="39C84EC5" w14:textId="77777777" w:rsidR="007E7643" w:rsidRPr="00E4016A" w:rsidRDefault="007E7643" w:rsidP="00ED5676">
            <w:pPr>
              <w:suppressAutoHyphens w:val="0"/>
              <w:autoSpaceDN/>
              <w:spacing w:after="0" w:line="260" w:lineRule="exact"/>
              <w:jc w:val="both"/>
              <w:rPr>
                <w:rFonts w:cs="Arial"/>
                <w:szCs w:val="20"/>
              </w:rPr>
            </w:pPr>
            <w:bookmarkStart w:id="485" w:name="_Toc90562431"/>
            <w:r w:rsidRPr="00E4016A">
              <w:rPr>
                <w:rFonts w:cs="Arial"/>
                <w:szCs w:val="20"/>
              </w:rPr>
              <w:t>DA</w:t>
            </w:r>
            <w:bookmarkEnd w:id="485"/>
          </w:p>
        </w:tc>
        <w:tc>
          <w:tcPr>
            <w:tcW w:w="4678" w:type="dxa"/>
            <w:shd w:val="clear" w:color="auto" w:fill="auto"/>
          </w:tcPr>
          <w:p w14:paraId="5482B2EF" w14:textId="77777777" w:rsidR="007E7643" w:rsidRPr="00E4016A" w:rsidRDefault="007E7643" w:rsidP="00ED5676">
            <w:pPr>
              <w:suppressAutoHyphens w:val="0"/>
              <w:autoSpaceDN/>
              <w:spacing w:after="0" w:line="260" w:lineRule="exact"/>
              <w:jc w:val="both"/>
              <w:rPr>
                <w:rFonts w:cs="Arial"/>
                <w:szCs w:val="20"/>
              </w:rPr>
            </w:pPr>
            <w:bookmarkStart w:id="486" w:name="_Toc90562432"/>
            <w:r w:rsidRPr="00E4016A">
              <w:rPr>
                <w:rFonts w:cs="Arial"/>
                <w:szCs w:val="20"/>
              </w:rPr>
              <w:t xml:space="preserve">Resolucija o nacionalnem programu socialnega varstva za obdobje 2021 do 2030 (ReNPSV21-30) </w:t>
            </w:r>
          </w:p>
          <w:p w14:paraId="35174CB9"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Zakon o socialnem varstvu</w:t>
            </w:r>
            <w:bookmarkEnd w:id="486"/>
          </w:p>
        </w:tc>
        <w:tc>
          <w:tcPr>
            <w:tcW w:w="1872" w:type="dxa"/>
            <w:shd w:val="clear" w:color="auto" w:fill="auto"/>
          </w:tcPr>
          <w:p w14:paraId="33F07231"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59E71D23" w14:textId="73E1AE81"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1255AFF1" w14:textId="77777777" w:rsidR="007E7643" w:rsidRPr="00E4016A" w:rsidRDefault="007E7643" w:rsidP="00ED5676">
            <w:pPr>
              <w:suppressAutoHyphens w:val="0"/>
              <w:autoSpaceDN/>
              <w:spacing w:after="0" w:line="260" w:lineRule="exact"/>
              <w:jc w:val="both"/>
              <w:rPr>
                <w:rFonts w:cs="Arial"/>
                <w:szCs w:val="20"/>
              </w:rPr>
            </w:pPr>
            <w:bookmarkStart w:id="487" w:name="_Toc90562434"/>
            <w:r w:rsidRPr="00E4016A">
              <w:rPr>
                <w:rFonts w:cs="Arial"/>
                <w:szCs w:val="20"/>
              </w:rPr>
              <w:t>Priloga IV Uredbe EU 2021/1060</w:t>
            </w:r>
            <w:bookmarkEnd w:id="487"/>
          </w:p>
        </w:tc>
      </w:tr>
      <w:tr w:rsidR="007E7643" w:rsidRPr="00E4016A" w14:paraId="45138656" w14:textId="77777777" w:rsidTr="00B04820">
        <w:tc>
          <w:tcPr>
            <w:tcW w:w="4565" w:type="dxa"/>
            <w:shd w:val="clear" w:color="auto" w:fill="auto"/>
          </w:tcPr>
          <w:p w14:paraId="7717A65F" w14:textId="77777777" w:rsidR="007E7643" w:rsidRPr="00E4016A" w:rsidRDefault="007E7643" w:rsidP="00ED5676">
            <w:pPr>
              <w:suppressAutoHyphens w:val="0"/>
              <w:autoSpaceDN/>
              <w:spacing w:after="0" w:line="260" w:lineRule="exact"/>
              <w:jc w:val="both"/>
              <w:rPr>
                <w:rFonts w:cs="Arial"/>
                <w:szCs w:val="20"/>
              </w:rPr>
            </w:pPr>
            <w:bookmarkStart w:id="488" w:name="_Toc90562441"/>
            <w:r w:rsidRPr="00E4016A">
              <w:rPr>
                <w:rFonts w:cs="Arial"/>
                <w:szCs w:val="20"/>
              </w:rPr>
              <w:t>4.6 Strateški okvir politike za zdravstveno varstvo in dolgotrajno</w:t>
            </w:r>
            <w:bookmarkEnd w:id="488"/>
          </w:p>
          <w:p w14:paraId="61567A61" w14:textId="77777777" w:rsidR="007E7643" w:rsidRPr="00E4016A" w:rsidRDefault="007E7643" w:rsidP="00ED5676">
            <w:pPr>
              <w:suppressAutoHyphens w:val="0"/>
              <w:autoSpaceDN/>
              <w:spacing w:after="0" w:line="260" w:lineRule="exact"/>
              <w:jc w:val="both"/>
              <w:rPr>
                <w:rFonts w:cs="Arial"/>
                <w:szCs w:val="20"/>
              </w:rPr>
            </w:pPr>
            <w:bookmarkStart w:id="489" w:name="_Toc90562442"/>
            <w:r w:rsidRPr="00E4016A">
              <w:rPr>
                <w:rFonts w:cs="Arial"/>
                <w:szCs w:val="20"/>
              </w:rPr>
              <w:t>oskrbo</w:t>
            </w:r>
            <w:bookmarkEnd w:id="489"/>
          </w:p>
        </w:tc>
        <w:tc>
          <w:tcPr>
            <w:tcW w:w="1672" w:type="dxa"/>
            <w:shd w:val="clear" w:color="auto" w:fill="auto"/>
          </w:tcPr>
          <w:p w14:paraId="4DA1BC6B"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DA</w:t>
            </w:r>
          </w:p>
        </w:tc>
        <w:tc>
          <w:tcPr>
            <w:tcW w:w="4678" w:type="dxa"/>
            <w:shd w:val="clear" w:color="auto" w:fill="auto"/>
          </w:tcPr>
          <w:p w14:paraId="615C06DC" w14:textId="11DDB411" w:rsidR="007E7643" w:rsidRPr="00E4016A" w:rsidRDefault="007E7643" w:rsidP="006D4A31">
            <w:pPr>
              <w:suppressAutoHyphens w:val="0"/>
              <w:autoSpaceDN/>
              <w:spacing w:after="0" w:line="260" w:lineRule="exact"/>
              <w:jc w:val="both"/>
              <w:rPr>
                <w:rFonts w:cs="Arial"/>
                <w:szCs w:val="20"/>
              </w:rPr>
            </w:pPr>
            <w:bookmarkStart w:id="490" w:name="_Toc90562444"/>
            <w:proofErr w:type="spellStart"/>
            <w:r w:rsidRPr="00E4016A">
              <w:rPr>
                <w:rFonts w:cs="Arial"/>
                <w:szCs w:val="20"/>
              </w:rPr>
              <w:t>Mapiranje</w:t>
            </w:r>
            <w:proofErr w:type="spellEnd"/>
            <w:r w:rsidRPr="00E4016A">
              <w:rPr>
                <w:rFonts w:cs="Arial"/>
                <w:szCs w:val="20"/>
              </w:rPr>
              <w:t xml:space="preserve"> potreb po zdravstvenem varstvu in dolgotrajni oskrbi</w:t>
            </w:r>
            <w:bookmarkEnd w:id="490"/>
            <w:r w:rsidR="006D4A31">
              <w:rPr>
                <w:rFonts w:cs="Arial"/>
                <w:szCs w:val="20"/>
              </w:rPr>
              <w:t xml:space="preserve">, </w:t>
            </w:r>
            <w:r w:rsidRPr="00E4016A">
              <w:rPr>
                <w:rFonts w:cs="Arial"/>
                <w:szCs w:val="20"/>
              </w:rPr>
              <w:t>Resolucija o nacionalnem planu zdravstvenega varstva 2016–2025 »Skupaj za družbo zdravja« (ReNPZV16–25)</w:t>
            </w:r>
          </w:p>
        </w:tc>
        <w:tc>
          <w:tcPr>
            <w:tcW w:w="1872" w:type="dxa"/>
            <w:shd w:val="clear" w:color="auto" w:fill="auto"/>
          </w:tcPr>
          <w:p w14:paraId="228018DD"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MZ</w:t>
            </w:r>
          </w:p>
          <w:p w14:paraId="2746A230" w14:textId="77777777" w:rsidR="007E7643" w:rsidRPr="00E4016A" w:rsidRDefault="007E7643" w:rsidP="00ED5676">
            <w:pPr>
              <w:suppressAutoHyphens w:val="0"/>
              <w:autoSpaceDN/>
              <w:spacing w:after="0" w:line="260" w:lineRule="exact"/>
              <w:jc w:val="both"/>
              <w:rPr>
                <w:rFonts w:cs="Arial"/>
                <w:szCs w:val="20"/>
              </w:rPr>
            </w:pPr>
          </w:p>
        </w:tc>
        <w:tc>
          <w:tcPr>
            <w:tcW w:w="1814" w:type="dxa"/>
            <w:shd w:val="clear" w:color="auto" w:fill="auto"/>
          </w:tcPr>
          <w:p w14:paraId="5BC8E55A" w14:textId="77777777" w:rsidR="007E7643" w:rsidRPr="00E4016A" w:rsidRDefault="007E7643" w:rsidP="00ED5676">
            <w:pPr>
              <w:suppressAutoHyphens w:val="0"/>
              <w:autoSpaceDN/>
              <w:spacing w:after="0" w:line="260" w:lineRule="exact"/>
              <w:jc w:val="both"/>
              <w:rPr>
                <w:rFonts w:cs="Arial"/>
                <w:szCs w:val="20"/>
              </w:rPr>
            </w:pPr>
            <w:bookmarkStart w:id="491" w:name="_Toc90562447"/>
            <w:r w:rsidRPr="00E4016A">
              <w:rPr>
                <w:rFonts w:cs="Arial"/>
                <w:szCs w:val="20"/>
              </w:rPr>
              <w:t>Priloga IV Uredbe EU 2021/1060</w:t>
            </w:r>
            <w:bookmarkEnd w:id="491"/>
          </w:p>
        </w:tc>
      </w:tr>
    </w:tbl>
    <w:p w14:paraId="075CF10D" w14:textId="77777777" w:rsidR="005439A8" w:rsidRPr="0025033E" w:rsidRDefault="005439A8" w:rsidP="00ED5676">
      <w:pPr>
        <w:suppressAutoHyphens w:val="0"/>
        <w:autoSpaceDN/>
        <w:spacing w:after="0" w:line="288" w:lineRule="auto"/>
        <w:contextualSpacing/>
        <w:jc w:val="both"/>
        <w:rPr>
          <w:rFonts w:cs="Arial"/>
        </w:rPr>
      </w:pPr>
    </w:p>
    <w:p w14:paraId="22036EAB" w14:textId="77777777" w:rsidR="007E7643" w:rsidRPr="0025033E" w:rsidRDefault="007E7643" w:rsidP="00ED5676">
      <w:pPr>
        <w:suppressAutoHyphens w:val="0"/>
        <w:autoSpaceDN/>
        <w:spacing w:after="0" w:line="288" w:lineRule="auto"/>
        <w:contextualSpacing/>
        <w:jc w:val="both"/>
        <w:rPr>
          <w:rFonts w:cs="Arial"/>
        </w:rPr>
      </w:pPr>
    </w:p>
    <w:p w14:paraId="08797C3A" w14:textId="698AC34C" w:rsidR="00F67672" w:rsidRPr="0025033E" w:rsidRDefault="00F67672" w:rsidP="00ED5676">
      <w:pPr>
        <w:suppressAutoHyphens w:val="0"/>
        <w:autoSpaceDN/>
        <w:spacing w:after="0" w:line="288" w:lineRule="auto"/>
        <w:contextualSpacing/>
        <w:jc w:val="both"/>
        <w:rPr>
          <w:rFonts w:cs="Arial"/>
        </w:rPr>
        <w:sectPr w:rsidR="00F67672" w:rsidRPr="0025033E" w:rsidSect="007E7643">
          <w:pgSz w:w="16838" w:h="11906" w:orient="landscape" w:code="9"/>
          <w:pgMar w:top="1418" w:right="1418" w:bottom="1418" w:left="1418" w:header="709" w:footer="709" w:gutter="0"/>
          <w:cols w:space="708"/>
          <w:docGrid w:linePitch="272"/>
        </w:sectPr>
      </w:pPr>
    </w:p>
    <w:p w14:paraId="42AA5831" w14:textId="75735DF0" w:rsidR="00F67672" w:rsidRPr="0025033E" w:rsidRDefault="00F67672" w:rsidP="0090150F">
      <w:pPr>
        <w:pStyle w:val="Naslov10"/>
        <w:spacing w:before="0" w:after="0"/>
      </w:pPr>
      <w:bookmarkStart w:id="492" w:name="_Toc483200699"/>
      <w:bookmarkStart w:id="493" w:name="_Toc992327526"/>
      <w:bookmarkStart w:id="494" w:name="_Toc558666468"/>
      <w:bookmarkStart w:id="495" w:name="_Toc1129379649"/>
      <w:bookmarkStart w:id="496" w:name="_Toc1917210782"/>
      <w:bookmarkStart w:id="497" w:name="_Toc1402291676"/>
      <w:bookmarkStart w:id="498" w:name="_Toc2075459666"/>
      <w:bookmarkStart w:id="499" w:name="_Toc629547759"/>
      <w:bookmarkStart w:id="500" w:name="_Toc1674433546"/>
      <w:bookmarkStart w:id="501" w:name="_Toc1092262572"/>
      <w:bookmarkStart w:id="502" w:name="_Toc67568015"/>
      <w:bookmarkStart w:id="503" w:name="_Toc1166196741"/>
      <w:bookmarkStart w:id="504" w:name="_Toc1446911897"/>
      <w:bookmarkStart w:id="505" w:name="_Toc1081217534"/>
      <w:bookmarkStart w:id="506" w:name="_Toc2020697827"/>
      <w:bookmarkStart w:id="507" w:name="_Toc213429122"/>
      <w:bookmarkStart w:id="508" w:name="_Toc1163159985"/>
      <w:bookmarkStart w:id="509" w:name="_Toc1867797674"/>
      <w:bookmarkStart w:id="510" w:name="_Toc1414718130"/>
      <w:bookmarkStart w:id="511" w:name="_Toc532177894"/>
      <w:bookmarkStart w:id="512" w:name="_Toc1803886811"/>
      <w:bookmarkStart w:id="513" w:name="_Toc1588926618"/>
      <w:bookmarkStart w:id="514" w:name="_Toc1616674518"/>
      <w:bookmarkStart w:id="515" w:name="_Toc1859139338"/>
      <w:bookmarkStart w:id="516" w:name="_Toc1435764630"/>
      <w:bookmarkStart w:id="517" w:name="_Toc656789022"/>
      <w:bookmarkStart w:id="518" w:name="_Toc1220185664"/>
      <w:bookmarkStart w:id="519" w:name="_Toc1176405093"/>
      <w:bookmarkStart w:id="520" w:name="_Toc1962756901"/>
      <w:bookmarkStart w:id="521" w:name="_Toc226417246"/>
      <w:bookmarkStart w:id="522" w:name="_Toc936226626"/>
      <w:bookmarkStart w:id="523" w:name="_Toc1879879910"/>
      <w:bookmarkStart w:id="524" w:name="_Toc426286846"/>
      <w:bookmarkStart w:id="525" w:name="_Toc889371534"/>
      <w:bookmarkStart w:id="526" w:name="_Toc1356227399"/>
      <w:bookmarkStart w:id="527" w:name="_Toc1660990863"/>
      <w:bookmarkStart w:id="528" w:name="_Toc1912396357"/>
      <w:bookmarkStart w:id="529" w:name="_Toc1170976111"/>
      <w:bookmarkStart w:id="530" w:name="_Toc1634498363"/>
      <w:bookmarkStart w:id="531" w:name="_Toc581575054"/>
      <w:bookmarkStart w:id="532" w:name="_Toc917823700"/>
      <w:bookmarkStart w:id="533" w:name="_Toc159265385"/>
      <w:bookmarkStart w:id="534" w:name="_Toc861069936"/>
      <w:bookmarkStart w:id="535" w:name="_Toc2011400607"/>
      <w:bookmarkStart w:id="536" w:name="_Toc1942347147"/>
      <w:bookmarkStart w:id="537" w:name="_Toc1406762450"/>
      <w:bookmarkStart w:id="538" w:name="_Toc1140379280"/>
      <w:bookmarkStart w:id="539" w:name="_Toc1639870379"/>
      <w:bookmarkStart w:id="540" w:name="_Toc1597809771"/>
      <w:bookmarkStart w:id="541" w:name="_Toc1685716958"/>
      <w:bookmarkStart w:id="542" w:name="_Toc196511884"/>
      <w:bookmarkStart w:id="543" w:name="_Toc1936694494"/>
      <w:bookmarkStart w:id="544" w:name="_Toc1574146662"/>
      <w:bookmarkStart w:id="545" w:name="_Toc1129831446"/>
      <w:bookmarkStart w:id="546" w:name="_Toc1741894510"/>
      <w:bookmarkStart w:id="547" w:name="_Toc377732785"/>
      <w:bookmarkStart w:id="548" w:name="_Toc2041876144"/>
      <w:bookmarkStart w:id="549" w:name="_Toc1513357487"/>
      <w:bookmarkStart w:id="550" w:name="_Toc1619591610"/>
      <w:bookmarkStart w:id="551" w:name="_Toc987773308"/>
      <w:bookmarkStart w:id="552" w:name="_Toc1112454248"/>
      <w:bookmarkStart w:id="553" w:name="_Toc1812173805"/>
      <w:bookmarkStart w:id="554" w:name="_Toc2077046464"/>
      <w:bookmarkStart w:id="555" w:name="_Toc810108022"/>
      <w:bookmarkStart w:id="556" w:name="_Toc2020546367"/>
      <w:bookmarkStart w:id="557" w:name="_Toc1940276474"/>
      <w:bookmarkStart w:id="558" w:name="_Toc1868861024"/>
      <w:bookmarkStart w:id="559" w:name="_Toc489616350"/>
      <w:bookmarkStart w:id="560" w:name="_Toc551942452"/>
      <w:bookmarkStart w:id="561" w:name="_Toc223948813"/>
      <w:bookmarkStart w:id="562" w:name="_Toc456246805"/>
      <w:bookmarkStart w:id="563" w:name="_Toc2007998336"/>
      <w:bookmarkStart w:id="564" w:name="_Toc500956488"/>
      <w:bookmarkStart w:id="565" w:name="_Toc1057856267"/>
      <w:bookmarkStart w:id="566" w:name="_Toc142653681"/>
      <w:bookmarkStart w:id="567" w:name="_Toc1723989828"/>
      <w:bookmarkStart w:id="568" w:name="_Toc42908209"/>
      <w:bookmarkStart w:id="569" w:name="_Toc707922051"/>
      <w:bookmarkStart w:id="570" w:name="_Toc195359091"/>
      <w:bookmarkStart w:id="571" w:name="_Toc179269874"/>
      <w:bookmarkStart w:id="572" w:name="_Toc1226508027"/>
      <w:bookmarkStart w:id="573" w:name="_Toc1978316846"/>
      <w:bookmarkStart w:id="574" w:name="_Toc1754665238"/>
      <w:bookmarkStart w:id="575" w:name="_Toc1561367098"/>
      <w:bookmarkStart w:id="576" w:name="_Toc187739373"/>
      <w:bookmarkStart w:id="577" w:name="_Toc187740120"/>
      <w:bookmarkStart w:id="578" w:name="_Toc191460236"/>
      <w:r w:rsidRPr="0025033E">
        <w:lastRenderedPageBreak/>
        <w:t>Priloga 2</w:t>
      </w:r>
      <w:r w:rsidR="006F3F90" w:rsidRPr="0025033E">
        <w:t>:</w:t>
      </w:r>
      <w:r w:rsidRPr="0025033E">
        <w:t xml:space="preserve"> I</w:t>
      </w:r>
      <w:r w:rsidR="00AA5D10">
        <w:t xml:space="preserve">nformacija o </w:t>
      </w:r>
      <w:r w:rsidR="005E68A4">
        <w:t>analizi</w:t>
      </w:r>
      <w:r w:rsidR="00AA5D10">
        <w:t xml:space="preserve"> absorpcije in RRI potencialov slovenskega gospodarstva skladno z uredbo STEP</w:t>
      </w:r>
      <w:bookmarkEnd w:id="578"/>
      <w:r w:rsidR="00AA5D10">
        <w:t xml:space="preserve"> </w:t>
      </w:r>
    </w:p>
    <w:p w14:paraId="297E5A91" w14:textId="77777777" w:rsidR="00F67672" w:rsidRPr="00F67672" w:rsidRDefault="00F67672" w:rsidP="00ED5676">
      <w:pPr>
        <w:suppressAutoHyphens w:val="0"/>
        <w:autoSpaceDN/>
        <w:spacing w:after="0" w:line="320" w:lineRule="atLeast"/>
        <w:jc w:val="both"/>
        <w:rPr>
          <w:rFonts w:cs="Arial"/>
          <w:color w:val="000000"/>
          <w:szCs w:val="20"/>
        </w:rPr>
      </w:pPr>
    </w:p>
    <w:p w14:paraId="6F6544F0" w14:textId="77777777" w:rsidR="00F67672" w:rsidRPr="0025033E" w:rsidRDefault="00F67672" w:rsidP="003327AF">
      <w:pPr>
        <w:suppressAutoHyphens w:val="0"/>
        <w:autoSpaceDN/>
        <w:spacing w:after="0" w:line="240" w:lineRule="auto"/>
        <w:jc w:val="both"/>
        <w:rPr>
          <w:rFonts w:cs="Arial"/>
          <w:szCs w:val="20"/>
        </w:rPr>
      </w:pPr>
      <w:r w:rsidRPr="00F67672">
        <w:rPr>
          <w:rFonts w:cs="Arial"/>
          <w:color w:val="000000"/>
          <w:szCs w:val="20"/>
        </w:rPr>
        <w:t>Koordinatorjem</w:t>
      </w:r>
      <w:r w:rsidRPr="00F67672">
        <w:rPr>
          <w:rFonts w:cs="Arial"/>
          <w:szCs w:val="20"/>
        </w:rPr>
        <w:t xml:space="preserve"> Strateških razvojno inovacijskih partnerstev (SRIP) je MKRR/S5 9. avgusta 2024 naslovil prošnjo, da člani njihovih partnerstev (preko 900 gospodarskih in raziskovalnih organizacij) izpolnijo spletni vprašalnik o lastnih RRI potencialih. </w:t>
      </w:r>
    </w:p>
    <w:p w14:paraId="51672971" w14:textId="77777777" w:rsidR="00F67672" w:rsidRPr="00F67672" w:rsidRDefault="00F67672" w:rsidP="003327AF">
      <w:pPr>
        <w:suppressAutoHyphens w:val="0"/>
        <w:autoSpaceDN/>
        <w:spacing w:after="0" w:line="240" w:lineRule="auto"/>
        <w:jc w:val="both"/>
        <w:rPr>
          <w:rFonts w:cs="Arial"/>
          <w:szCs w:val="20"/>
        </w:rPr>
      </w:pPr>
    </w:p>
    <w:p w14:paraId="1B12AA58" w14:textId="2B3A628D" w:rsidR="00F67672" w:rsidRPr="0025033E" w:rsidRDefault="00F67672" w:rsidP="003327AF">
      <w:pPr>
        <w:suppressAutoHyphens w:val="0"/>
        <w:autoSpaceDN/>
        <w:spacing w:after="0" w:line="240" w:lineRule="auto"/>
        <w:jc w:val="both"/>
        <w:rPr>
          <w:rFonts w:cs="Arial"/>
          <w:szCs w:val="20"/>
        </w:rPr>
      </w:pPr>
      <w:r w:rsidRPr="00F67672">
        <w:rPr>
          <w:rFonts w:cs="Arial"/>
          <w:szCs w:val="20"/>
        </w:rPr>
        <w:t xml:space="preserve">Namen vprašalnika je bil preveriti gospodarski potencial razvoja in proizvodnje kritičnih tehnologij ter krepitve evropskih verig vrednosti v povezavi z Uredbo STEP, ki je podlaga za reprogramiranje obstoječega Programa Evropske kohezijske politike v Sloveniji. </w:t>
      </w:r>
      <w:proofErr w:type="spellStart"/>
      <w:r w:rsidRPr="00F67672">
        <w:rPr>
          <w:rFonts w:cs="Arial"/>
          <w:szCs w:val="20"/>
        </w:rPr>
        <w:t>Mapiranje</w:t>
      </w:r>
      <w:proofErr w:type="spellEnd"/>
      <w:r w:rsidRPr="00F67672">
        <w:rPr>
          <w:rFonts w:cs="Arial"/>
          <w:szCs w:val="20"/>
        </w:rPr>
        <w:t xml:space="preserve"> stanja tehnologij na podlagi realnih podatkov iz gospodarstva je namreč ključno za strateško osredotočanje slovenskega gospodarstva. Osredotočanje mora potekati z neposredno udeležbo akterjev javnih in zasebnih RRI organizacij v sodelovanju s podjetji. </w:t>
      </w:r>
    </w:p>
    <w:p w14:paraId="6FC6E26F" w14:textId="77777777" w:rsidR="00F67672" w:rsidRPr="00F67672" w:rsidRDefault="00F67672" w:rsidP="003327AF">
      <w:pPr>
        <w:suppressAutoHyphens w:val="0"/>
        <w:autoSpaceDN/>
        <w:spacing w:after="0" w:line="240" w:lineRule="auto"/>
        <w:jc w:val="both"/>
        <w:rPr>
          <w:rFonts w:cs="Arial"/>
          <w:szCs w:val="20"/>
        </w:rPr>
      </w:pPr>
    </w:p>
    <w:p w14:paraId="65F40999" w14:textId="7BD57AF1" w:rsidR="00BA4E86" w:rsidRPr="0025033E" w:rsidRDefault="00F67672" w:rsidP="003327AF">
      <w:pPr>
        <w:suppressAutoHyphens w:val="0"/>
        <w:autoSpaceDN/>
        <w:spacing w:after="0" w:line="240" w:lineRule="auto"/>
        <w:jc w:val="both"/>
        <w:rPr>
          <w:rFonts w:cs="Arial"/>
          <w:szCs w:val="20"/>
        </w:rPr>
      </w:pPr>
      <w:r w:rsidRPr="00F67672">
        <w:rPr>
          <w:rFonts w:cs="Arial"/>
          <w:szCs w:val="20"/>
        </w:rPr>
        <w:t xml:space="preserve">V ozir je potrebno vzeti, da gre za </w:t>
      </w:r>
      <w:r w:rsidRPr="00F67672">
        <w:rPr>
          <w:rFonts w:cs="Arial"/>
          <w:b/>
          <w:bCs/>
          <w:szCs w:val="20"/>
        </w:rPr>
        <w:t xml:space="preserve">oceno </w:t>
      </w:r>
      <w:proofErr w:type="spellStart"/>
      <w:r w:rsidRPr="00F67672">
        <w:rPr>
          <w:rFonts w:cs="Arial"/>
          <w:szCs w:val="20"/>
        </w:rPr>
        <w:t>absorbcijskega</w:t>
      </w:r>
      <w:proofErr w:type="spellEnd"/>
      <w:r w:rsidRPr="00F67672">
        <w:rPr>
          <w:rFonts w:cs="Arial"/>
          <w:szCs w:val="20"/>
        </w:rPr>
        <w:t xml:space="preserve"> potenciala na področjih STEP uredbe, saj so bili podatki pridobljeni na primerljivem vzorcu poslovnih subjektov. Omejitve, pridržki in s tem faktorji tveganja pri ocenah vrednosti, so:</w:t>
      </w:r>
    </w:p>
    <w:p w14:paraId="2BCB07CB" w14:textId="77777777" w:rsidR="00F67672" w:rsidRPr="00F67672" w:rsidRDefault="00F67672" w:rsidP="003327AF">
      <w:pPr>
        <w:numPr>
          <w:ilvl w:val="0"/>
          <w:numId w:val="24"/>
        </w:numPr>
        <w:suppressAutoHyphens w:val="0"/>
        <w:autoSpaceDN/>
        <w:spacing w:after="160" w:line="240" w:lineRule="auto"/>
        <w:contextualSpacing/>
        <w:jc w:val="both"/>
        <w:rPr>
          <w:rFonts w:cs="Arial"/>
          <w:szCs w:val="20"/>
        </w:rPr>
      </w:pPr>
      <w:r w:rsidRPr="00F67672">
        <w:rPr>
          <w:rFonts w:cs="Arial"/>
          <w:szCs w:val="20"/>
        </w:rPr>
        <w:t>Relativno majhen, a reprezentativen</w:t>
      </w:r>
      <w:r w:rsidRPr="00F67672">
        <w:rPr>
          <w:rFonts w:eastAsia="SimSun" w:cs="Arial"/>
          <w:szCs w:val="20"/>
          <w:vertAlign w:val="superscript"/>
        </w:rPr>
        <w:footnoteReference w:id="6"/>
      </w:r>
      <w:r w:rsidRPr="00F67672">
        <w:rPr>
          <w:rFonts w:cs="Arial"/>
          <w:szCs w:val="20"/>
        </w:rPr>
        <w:t xml:space="preserve"> vzorec naslovljenih podjetij (preko 900). </w:t>
      </w:r>
    </w:p>
    <w:p w14:paraId="26F6BB9B" w14:textId="77777777" w:rsidR="00F67672" w:rsidRPr="00F67672" w:rsidRDefault="00F67672" w:rsidP="003327AF">
      <w:pPr>
        <w:numPr>
          <w:ilvl w:val="0"/>
          <w:numId w:val="24"/>
        </w:numPr>
        <w:suppressAutoHyphens w:val="0"/>
        <w:autoSpaceDN/>
        <w:spacing w:after="160" w:line="240" w:lineRule="auto"/>
        <w:contextualSpacing/>
        <w:jc w:val="both"/>
        <w:rPr>
          <w:rFonts w:cs="Arial"/>
          <w:szCs w:val="20"/>
        </w:rPr>
      </w:pPr>
      <w:r w:rsidRPr="00F67672">
        <w:rPr>
          <w:rFonts w:cs="Arial"/>
          <w:szCs w:val="20"/>
        </w:rPr>
        <w:t>Izvedba ankete v avgustu – časi dopustov in posledično verjetno manjši odziv, kot bi lahko bil, ča bi se anketa izvedla izven obdobja dopustov.</w:t>
      </w:r>
    </w:p>
    <w:p w14:paraId="62880060" w14:textId="6CAC5F9F" w:rsidR="00F67672" w:rsidRPr="00F67672" w:rsidRDefault="00F67672" w:rsidP="003327AF">
      <w:pPr>
        <w:numPr>
          <w:ilvl w:val="0"/>
          <w:numId w:val="24"/>
        </w:numPr>
        <w:suppressAutoHyphens w:val="0"/>
        <w:autoSpaceDN/>
        <w:spacing w:after="160" w:line="240" w:lineRule="auto"/>
        <w:contextualSpacing/>
        <w:jc w:val="both"/>
        <w:rPr>
          <w:rFonts w:cs="Arial"/>
          <w:szCs w:val="20"/>
        </w:rPr>
      </w:pPr>
      <w:r w:rsidRPr="00F67672">
        <w:rPr>
          <w:rFonts w:cs="Arial"/>
          <w:szCs w:val="20"/>
        </w:rPr>
        <w:t>Relativno nov zakonodajni okvir (STEP) in posledično manjše zavedanje za priložnosti, ki sledijo.</w:t>
      </w:r>
    </w:p>
    <w:p w14:paraId="16833F44" w14:textId="77777777" w:rsidR="00F67672" w:rsidRPr="00F67672" w:rsidRDefault="00F67672" w:rsidP="003327AF">
      <w:pPr>
        <w:numPr>
          <w:ilvl w:val="0"/>
          <w:numId w:val="24"/>
        </w:numPr>
        <w:suppressAutoHyphens w:val="0"/>
        <w:autoSpaceDN/>
        <w:spacing w:after="0" w:line="240" w:lineRule="auto"/>
        <w:contextualSpacing/>
        <w:jc w:val="both"/>
        <w:rPr>
          <w:rFonts w:cs="Arial"/>
          <w:szCs w:val="20"/>
        </w:rPr>
      </w:pPr>
      <w:r w:rsidRPr="00F67672">
        <w:rPr>
          <w:rFonts w:cs="Arial"/>
          <w:szCs w:val="20"/>
        </w:rPr>
        <w:t xml:space="preserve">Zaradi kratkih rokov je zastavljena namenoma poenostavljena metoda vprašalnika (nismo zahtevali navedbe vseh članov konzorcija, niti stopnje pripravljenosti produkta po TRL lestvici ipd.). </w:t>
      </w:r>
    </w:p>
    <w:p w14:paraId="441EC5C1" w14:textId="77777777" w:rsidR="00F67672" w:rsidRPr="00F67672" w:rsidRDefault="00F67672" w:rsidP="003327AF">
      <w:pPr>
        <w:suppressAutoHyphens w:val="0"/>
        <w:autoSpaceDN/>
        <w:spacing w:after="0" w:line="240" w:lineRule="auto"/>
        <w:jc w:val="both"/>
        <w:rPr>
          <w:rFonts w:cs="Arial"/>
          <w:szCs w:val="20"/>
        </w:rPr>
      </w:pPr>
    </w:p>
    <w:p w14:paraId="6B9563D6" w14:textId="77777777" w:rsidR="00F67672" w:rsidRPr="00F67672" w:rsidRDefault="00F67672" w:rsidP="003327AF">
      <w:pPr>
        <w:suppressAutoHyphens w:val="0"/>
        <w:autoSpaceDN/>
        <w:spacing w:after="0" w:line="240" w:lineRule="auto"/>
        <w:jc w:val="both"/>
        <w:rPr>
          <w:rFonts w:cs="Arial"/>
          <w:szCs w:val="20"/>
        </w:rPr>
      </w:pPr>
      <w:r w:rsidRPr="00F67672">
        <w:rPr>
          <w:rFonts w:cs="Arial"/>
          <w:szCs w:val="20"/>
        </w:rPr>
        <w:t>Podrobneje pridržke pri razumevanju rezultatov ankete navajamo v nadaljevanju.</w:t>
      </w:r>
    </w:p>
    <w:p w14:paraId="5D240A11" w14:textId="77777777" w:rsidR="00F67672" w:rsidRPr="00F67672" w:rsidRDefault="00F67672" w:rsidP="003327AF">
      <w:pPr>
        <w:suppressAutoHyphens w:val="0"/>
        <w:autoSpaceDN/>
        <w:spacing w:after="0" w:line="240" w:lineRule="auto"/>
        <w:jc w:val="both"/>
        <w:rPr>
          <w:rFonts w:cs="Arial"/>
          <w:szCs w:val="20"/>
        </w:rPr>
      </w:pPr>
    </w:p>
    <w:p w14:paraId="4AA31BCC" w14:textId="77777777" w:rsidR="00F67672" w:rsidRPr="0025033E" w:rsidRDefault="00F67672" w:rsidP="003327AF">
      <w:pPr>
        <w:suppressAutoHyphens w:val="0"/>
        <w:autoSpaceDN/>
        <w:spacing w:after="0" w:line="240" w:lineRule="auto"/>
        <w:jc w:val="both"/>
        <w:rPr>
          <w:rFonts w:cs="Arial"/>
          <w:b/>
          <w:bCs/>
          <w:szCs w:val="20"/>
        </w:rPr>
      </w:pPr>
      <w:r w:rsidRPr="00F67672">
        <w:rPr>
          <w:rFonts w:cs="Arial"/>
          <w:b/>
          <w:bCs/>
          <w:szCs w:val="20"/>
        </w:rPr>
        <w:t>Osnovna statistika</w:t>
      </w:r>
    </w:p>
    <w:p w14:paraId="47E17D4C" w14:textId="77777777" w:rsidR="00F67672" w:rsidRPr="00F67672" w:rsidRDefault="00F67672" w:rsidP="003327AF">
      <w:pPr>
        <w:suppressAutoHyphens w:val="0"/>
        <w:autoSpaceDN/>
        <w:spacing w:after="0" w:line="240" w:lineRule="auto"/>
        <w:jc w:val="both"/>
        <w:rPr>
          <w:rFonts w:cs="Arial"/>
          <w:b/>
          <w:bCs/>
          <w:szCs w:val="20"/>
        </w:rPr>
      </w:pPr>
    </w:p>
    <w:p w14:paraId="6E6E30FB" w14:textId="3545BD1C" w:rsidR="00F67672" w:rsidRPr="0025033E" w:rsidRDefault="00F67672" w:rsidP="003327AF">
      <w:pPr>
        <w:suppressAutoHyphens w:val="0"/>
        <w:autoSpaceDN/>
        <w:spacing w:after="0" w:line="240" w:lineRule="auto"/>
        <w:jc w:val="both"/>
        <w:rPr>
          <w:rFonts w:cs="Arial"/>
          <w:szCs w:val="20"/>
        </w:rPr>
      </w:pPr>
      <w:r w:rsidRPr="00F67672">
        <w:rPr>
          <w:rFonts w:cs="Arial"/>
          <w:szCs w:val="20"/>
        </w:rPr>
        <w:t>Do 4. 9. 2024 smo prejeli 63 odgovorov od članov vseh SRIP</w:t>
      </w:r>
      <w:r w:rsidR="00477AE0">
        <w:rPr>
          <w:rFonts w:cs="Arial"/>
          <w:szCs w:val="20"/>
        </w:rPr>
        <w:t>-</w:t>
      </w:r>
      <w:r w:rsidRPr="00F67672">
        <w:rPr>
          <w:rFonts w:cs="Arial"/>
          <w:szCs w:val="20"/>
        </w:rPr>
        <w:t>ov. Pri treh odgovorih ni bila navedena ocenjena vrednost projektnega predloga, zato so bili ti odgovori izpuščeni v nadaljnji kvantitativni analizi.</w:t>
      </w:r>
    </w:p>
    <w:p w14:paraId="25701084" w14:textId="77777777" w:rsidR="00185BFA" w:rsidRPr="00F67672" w:rsidRDefault="00185BFA" w:rsidP="003327AF">
      <w:pPr>
        <w:suppressAutoHyphens w:val="0"/>
        <w:autoSpaceDN/>
        <w:spacing w:after="0" w:line="240" w:lineRule="auto"/>
        <w:jc w:val="both"/>
        <w:rPr>
          <w:rFonts w:cs="Arial"/>
          <w:szCs w:val="20"/>
        </w:rPr>
      </w:pPr>
    </w:p>
    <w:p w14:paraId="065912FF" w14:textId="77777777" w:rsidR="00ED5676" w:rsidRDefault="00F67672" w:rsidP="003327AF">
      <w:pPr>
        <w:suppressAutoHyphens w:val="0"/>
        <w:autoSpaceDN/>
        <w:spacing w:after="0" w:line="240" w:lineRule="auto"/>
        <w:jc w:val="both"/>
        <w:rPr>
          <w:rFonts w:cs="Arial"/>
          <w:szCs w:val="20"/>
        </w:rPr>
      </w:pPr>
      <w:r w:rsidRPr="00F67672">
        <w:rPr>
          <w:rFonts w:cs="Arial"/>
          <w:szCs w:val="20"/>
        </w:rPr>
        <w:t xml:space="preserve">Skupna ocenjena vrednost </w:t>
      </w:r>
      <w:r w:rsidRPr="00F67672">
        <w:rPr>
          <w:rFonts w:cs="Arial"/>
          <w:b/>
          <w:bCs/>
          <w:szCs w:val="20"/>
        </w:rPr>
        <w:t>preostalih 60 projektnih predlogov znaša 228.327.915 EUR</w:t>
      </w:r>
      <w:r w:rsidRPr="00F67672">
        <w:rPr>
          <w:rFonts w:cs="Arial"/>
          <w:szCs w:val="20"/>
        </w:rPr>
        <w:t>. Povprečna ocenjena vrednost projektov znaša 3.805.465 EUR, so pa med njihovimi vrednostmi velike razlike – najnižja ocenjena vrednost projekta znaša 25.000 EUR, najvišja pa 45 mio EUR. Mediana (srednja vrednost, od katere ima polovica projektnih predlogov nižjo vrednost ocenjeno vrednost projekta in polovica višjo) znaša 1.750.000 EUR. Pri čemer je pomembno izpostaviti:</w:t>
      </w:r>
    </w:p>
    <w:p w14:paraId="5B9E3948" w14:textId="4C7A2E8F" w:rsidR="00F67672" w:rsidRPr="00ED5676" w:rsidRDefault="00F67672" w:rsidP="003327AF">
      <w:pPr>
        <w:pStyle w:val="Odstavekseznama"/>
        <w:numPr>
          <w:ilvl w:val="0"/>
          <w:numId w:val="30"/>
        </w:numPr>
        <w:suppressAutoHyphens w:val="0"/>
        <w:autoSpaceDN/>
        <w:spacing w:after="0" w:line="240" w:lineRule="auto"/>
        <w:jc w:val="both"/>
        <w:rPr>
          <w:rFonts w:cs="Arial"/>
          <w:szCs w:val="20"/>
        </w:rPr>
      </w:pPr>
      <w:r w:rsidRPr="00ED5676">
        <w:rPr>
          <w:rFonts w:cs="Arial"/>
          <w:szCs w:val="20"/>
        </w:rPr>
        <w:t>38 projektnih predlogov so sporočile gospodarske družbe, 21 raziskovalne organizacije, enega pa drugi razvojni deležnik.</w:t>
      </w:r>
    </w:p>
    <w:p w14:paraId="60086F3F" w14:textId="2BDD38B2" w:rsidR="00F67672" w:rsidRPr="00F67672" w:rsidRDefault="00F67672" w:rsidP="003327AF">
      <w:pPr>
        <w:numPr>
          <w:ilvl w:val="0"/>
          <w:numId w:val="25"/>
        </w:numPr>
        <w:suppressAutoHyphens w:val="0"/>
        <w:autoSpaceDN/>
        <w:spacing w:after="0" w:line="240" w:lineRule="auto"/>
        <w:ind w:left="714" w:hanging="357"/>
        <w:jc w:val="both"/>
        <w:rPr>
          <w:rFonts w:cs="Arial"/>
          <w:szCs w:val="20"/>
        </w:rPr>
      </w:pPr>
      <w:r w:rsidRPr="00F67672">
        <w:rPr>
          <w:rFonts w:cs="Arial"/>
          <w:szCs w:val="20"/>
        </w:rPr>
        <w:t xml:space="preserve">50 projektnih predlogov (203 mio EUR) prinaša na notranji trg EU inovativen, nastajajoč in najsodobnejši element z velikim gospodarskim potencialom, 10 projektnih predlogov (25 </w:t>
      </w:r>
      <w:r w:rsidR="00185BFA" w:rsidRPr="0025033E">
        <w:rPr>
          <w:rFonts w:cs="Arial"/>
          <w:szCs w:val="20"/>
        </w:rPr>
        <w:t xml:space="preserve">mio </w:t>
      </w:r>
      <w:r w:rsidRPr="00F67672">
        <w:rPr>
          <w:rFonts w:cs="Arial"/>
          <w:szCs w:val="20"/>
        </w:rPr>
        <w:t>EUR) pa prispeva k zmanjšanju ali preprečevanju strateških odvisnosti EU.</w:t>
      </w:r>
    </w:p>
    <w:p w14:paraId="3EA0B9E6" w14:textId="77777777" w:rsidR="00F67672" w:rsidRPr="00F67672" w:rsidRDefault="00F67672" w:rsidP="003327AF">
      <w:pPr>
        <w:numPr>
          <w:ilvl w:val="0"/>
          <w:numId w:val="25"/>
        </w:numPr>
        <w:suppressAutoHyphens w:val="0"/>
        <w:autoSpaceDN/>
        <w:spacing w:after="0" w:line="240" w:lineRule="auto"/>
        <w:ind w:left="714" w:hanging="357"/>
        <w:jc w:val="both"/>
        <w:rPr>
          <w:rFonts w:cs="Arial"/>
          <w:szCs w:val="20"/>
        </w:rPr>
      </w:pPr>
      <w:r w:rsidRPr="00F67672">
        <w:rPr>
          <w:rFonts w:cs="Arial"/>
          <w:szCs w:val="20"/>
        </w:rPr>
        <w:t xml:space="preserve">50 projektnih predlogov (186 mio EUR) prispeva k podpiranju razvoja ali proizvodnje kritičnih tehnologij po vsej Uniji ali zaščita in okrepitev njihovih vrednostnih verig, </w:t>
      </w:r>
    </w:p>
    <w:p w14:paraId="3708899E" w14:textId="6FCFCA50" w:rsidR="00F67672" w:rsidRDefault="00F67672" w:rsidP="003327AF">
      <w:pPr>
        <w:numPr>
          <w:ilvl w:val="0"/>
          <w:numId w:val="25"/>
        </w:numPr>
        <w:suppressAutoHyphens w:val="0"/>
        <w:autoSpaceDN/>
        <w:spacing w:after="0" w:line="240" w:lineRule="auto"/>
        <w:ind w:left="714" w:hanging="357"/>
        <w:jc w:val="both"/>
        <w:rPr>
          <w:rFonts w:cs="Arial"/>
          <w:szCs w:val="20"/>
        </w:rPr>
      </w:pPr>
      <w:r w:rsidRPr="00F67672">
        <w:rPr>
          <w:rFonts w:cs="Arial"/>
          <w:szCs w:val="20"/>
        </w:rPr>
        <w:t>5 projektnih predlogov (28 mio EUR) prispeva zgolj k cilju obravnavanja pomanjkanja delovne sile in spretnosti, ki so ključnega pomena za vse vrste kakovostnih delovnih mest, v podporo ostalim zgoraj navedenim ciljem predlogov, 5 projektnih predlogov (14 mio EUR) pa k vsem ciljem platforme STEP.</w:t>
      </w:r>
    </w:p>
    <w:p w14:paraId="4AE840C1" w14:textId="77777777" w:rsidR="003327AF" w:rsidRPr="0025033E" w:rsidRDefault="003327AF" w:rsidP="003327AF">
      <w:pPr>
        <w:suppressAutoHyphens w:val="0"/>
        <w:autoSpaceDN/>
        <w:spacing w:after="0" w:line="240" w:lineRule="auto"/>
        <w:jc w:val="both"/>
        <w:rPr>
          <w:rFonts w:cs="Arial"/>
          <w:szCs w:val="20"/>
        </w:rPr>
      </w:pPr>
    </w:p>
    <w:p w14:paraId="5D943CCD" w14:textId="77777777" w:rsidR="00F67672" w:rsidRPr="00F67672" w:rsidRDefault="00F67672" w:rsidP="003327AF">
      <w:pPr>
        <w:suppressAutoHyphens w:val="0"/>
        <w:autoSpaceDN/>
        <w:spacing w:after="0" w:line="240" w:lineRule="auto"/>
        <w:jc w:val="both"/>
        <w:rPr>
          <w:rFonts w:cs="Arial"/>
          <w:szCs w:val="20"/>
        </w:rPr>
      </w:pPr>
      <w:r w:rsidRPr="00F67672">
        <w:rPr>
          <w:rFonts w:cs="Arial"/>
          <w:szCs w:val="20"/>
        </w:rPr>
        <w:t>Od projektnih predlogov, ki podpirajo prvi cilj ali oba cilja (ne pa samo drugega) platforme STEP, jih je:</w:t>
      </w:r>
    </w:p>
    <w:p w14:paraId="1AED6C7A" w14:textId="77777777" w:rsidR="00F67672" w:rsidRPr="00F67672" w:rsidRDefault="00F67672" w:rsidP="003327AF">
      <w:pPr>
        <w:numPr>
          <w:ilvl w:val="0"/>
          <w:numId w:val="25"/>
        </w:numPr>
        <w:suppressAutoHyphens w:val="0"/>
        <w:autoSpaceDN/>
        <w:spacing w:after="0" w:line="240" w:lineRule="auto"/>
        <w:ind w:left="714" w:hanging="357"/>
        <w:jc w:val="both"/>
        <w:rPr>
          <w:rFonts w:cs="Arial"/>
          <w:szCs w:val="20"/>
        </w:rPr>
      </w:pPr>
      <w:r w:rsidRPr="00F67672">
        <w:rPr>
          <w:rFonts w:cs="Arial"/>
          <w:szCs w:val="20"/>
        </w:rPr>
        <w:t xml:space="preserve">38 (160 mio EUR) povezano s podporo razvoju kritičnih tehnologij (TRL 6–9), </w:t>
      </w:r>
    </w:p>
    <w:p w14:paraId="21673C4B" w14:textId="60D4C7B9" w:rsidR="00F67672" w:rsidRPr="00F67672" w:rsidRDefault="00F67672" w:rsidP="003327AF">
      <w:pPr>
        <w:numPr>
          <w:ilvl w:val="0"/>
          <w:numId w:val="25"/>
        </w:numPr>
        <w:suppressAutoHyphens w:val="0"/>
        <w:autoSpaceDN/>
        <w:spacing w:after="0" w:line="240" w:lineRule="auto"/>
        <w:ind w:left="714" w:hanging="357"/>
        <w:jc w:val="both"/>
        <w:rPr>
          <w:rFonts w:cs="Arial"/>
          <w:szCs w:val="20"/>
        </w:rPr>
      </w:pPr>
      <w:r w:rsidRPr="00F67672">
        <w:rPr>
          <w:rFonts w:cs="Arial"/>
          <w:szCs w:val="20"/>
        </w:rPr>
        <w:t xml:space="preserve">10 projektnih predlogov (11 mio EUR) je povezano s podporo proizvodnji kritičnih tehnologij, </w:t>
      </w:r>
    </w:p>
    <w:p w14:paraId="1080D706" w14:textId="77777777" w:rsidR="00F67672" w:rsidRPr="00F67672" w:rsidRDefault="00F67672" w:rsidP="003327AF">
      <w:pPr>
        <w:numPr>
          <w:ilvl w:val="0"/>
          <w:numId w:val="25"/>
        </w:numPr>
        <w:suppressAutoHyphens w:val="0"/>
        <w:autoSpaceDN/>
        <w:spacing w:after="0" w:line="240" w:lineRule="auto"/>
        <w:ind w:left="714" w:hanging="357"/>
        <w:jc w:val="both"/>
        <w:rPr>
          <w:rFonts w:cs="Arial"/>
          <w:szCs w:val="20"/>
        </w:rPr>
      </w:pPr>
      <w:r w:rsidRPr="00F67672">
        <w:rPr>
          <w:rFonts w:cs="Arial"/>
          <w:szCs w:val="20"/>
        </w:rPr>
        <w:t>7 projektnih predlogov (29 mio EUR) pa je povezano z zaščito ali okrepitvijo verig vrednosti kritičnih tehnologij,</w:t>
      </w:r>
    </w:p>
    <w:p w14:paraId="39C5C97C" w14:textId="77777777" w:rsidR="00F67672" w:rsidRPr="00F67672" w:rsidRDefault="00F67672" w:rsidP="003327AF">
      <w:pPr>
        <w:numPr>
          <w:ilvl w:val="0"/>
          <w:numId w:val="25"/>
        </w:numPr>
        <w:suppressAutoHyphens w:val="0"/>
        <w:autoSpaceDN/>
        <w:spacing w:after="0" w:line="240" w:lineRule="auto"/>
        <w:ind w:left="714" w:hanging="357"/>
        <w:jc w:val="both"/>
        <w:rPr>
          <w:rFonts w:cs="Arial"/>
          <w:szCs w:val="20"/>
        </w:rPr>
      </w:pPr>
      <w:r w:rsidRPr="00F67672">
        <w:rPr>
          <w:rFonts w:cs="Arial"/>
          <w:szCs w:val="20"/>
        </w:rPr>
        <w:t xml:space="preserve">28 projektnih predlogov (113 </w:t>
      </w:r>
      <w:bookmarkStart w:id="579" w:name="_Hlk188013735"/>
      <w:r w:rsidRPr="00F67672">
        <w:rPr>
          <w:rFonts w:cs="Arial"/>
          <w:szCs w:val="20"/>
        </w:rPr>
        <w:t>mio EUR</w:t>
      </w:r>
      <w:bookmarkEnd w:id="579"/>
      <w:r w:rsidRPr="00F67672">
        <w:rPr>
          <w:rFonts w:cs="Arial"/>
          <w:szCs w:val="20"/>
        </w:rPr>
        <w:t xml:space="preserve">) se nanaša na digitalne tehnologije in </w:t>
      </w:r>
      <w:proofErr w:type="spellStart"/>
      <w:r w:rsidRPr="00F67672">
        <w:rPr>
          <w:rFonts w:cs="Arial"/>
          <w:szCs w:val="20"/>
        </w:rPr>
        <w:t>globokotehnološke</w:t>
      </w:r>
      <w:proofErr w:type="spellEnd"/>
      <w:r w:rsidRPr="00F67672">
        <w:rPr>
          <w:rFonts w:cs="Arial"/>
          <w:szCs w:val="20"/>
        </w:rPr>
        <w:t xml:space="preserve"> inovacije, </w:t>
      </w:r>
    </w:p>
    <w:p w14:paraId="73CF7EBF" w14:textId="77777777" w:rsidR="00F67672" w:rsidRPr="00F67672" w:rsidRDefault="00F67672" w:rsidP="003327AF">
      <w:pPr>
        <w:numPr>
          <w:ilvl w:val="0"/>
          <w:numId w:val="25"/>
        </w:numPr>
        <w:suppressAutoHyphens w:val="0"/>
        <w:autoSpaceDN/>
        <w:spacing w:after="0" w:line="240" w:lineRule="auto"/>
        <w:ind w:left="714" w:hanging="357"/>
        <w:jc w:val="both"/>
        <w:rPr>
          <w:rFonts w:cs="Arial"/>
          <w:szCs w:val="20"/>
        </w:rPr>
      </w:pPr>
      <w:r w:rsidRPr="00F67672">
        <w:rPr>
          <w:rFonts w:cs="Arial"/>
          <w:szCs w:val="20"/>
        </w:rPr>
        <w:t xml:space="preserve">21 projektnih predlogov (82 mio EUR) na čiste in z viri gospodarne tehnologije, </w:t>
      </w:r>
    </w:p>
    <w:p w14:paraId="7A3E6A62" w14:textId="77777777" w:rsidR="00F67672" w:rsidRPr="0025033E" w:rsidRDefault="00F67672" w:rsidP="003327AF">
      <w:pPr>
        <w:numPr>
          <w:ilvl w:val="0"/>
          <w:numId w:val="26"/>
        </w:numPr>
        <w:suppressAutoHyphens w:val="0"/>
        <w:autoSpaceDN/>
        <w:spacing w:after="0" w:line="240" w:lineRule="auto"/>
        <w:contextualSpacing/>
        <w:jc w:val="both"/>
        <w:rPr>
          <w:rFonts w:cs="Arial"/>
          <w:szCs w:val="20"/>
        </w:rPr>
      </w:pPr>
      <w:r w:rsidRPr="00F67672">
        <w:rPr>
          <w:rFonts w:cs="Arial"/>
          <w:szCs w:val="20"/>
        </w:rPr>
        <w:t>11 (33 mio EUR) pa na biotehnologije.</w:t>
      </w:r>
    </w:p>
    <w:p w14:paraId="2529871E" w14:textId="77777777" w:rsidR="00F67672" w:rsidRPr="00F67672" w:rsidRDefault="00F67672" w:rsidP="003327AF">
      <w:pPr>
        <w:suppressAutoHyphens w:val="0"/>
        <w:autoSpaceDN/>
        <w:spacing w:after="0" w:line="240" w:lineRule="auto"/>
        <w:contextualSpacing/>
        <w:jc w:val="both"/>
        <w:rPr>
          <w:rFonts w:cs="Arial"/>
          <w:szCs w:val="20"/>
        </w:rPr>
      </w:pPr>
    </w:p>
    <w:p w14:paraId="47841B53" w14:textId="77777777" w:rsidR="00F67672" w:rsidRDefault="00F67672" w:rsidP="003327AF">
      <w:pPr>
        <w:suppressAutoHyphens w:val="0"/>
        <w:autoSpaceDN/>
        <w:spacing w:after="0" w:line="240" w:lineRule="auto"/>
        <w:jc w:val="both"/>
        <w:rPr>
          <w:rFonts w:cs="Arial"/>
          <w:szCs w:val="20"/>
        </w:rPr>
      </w:pPr>
      <w:r w:rsidRPr="00F67672">
        <w:rPr>
          <w:rFonts w:cs="Arial"/>
          <w:szCs w:val="20"/>
        </w:rPr>
        <w:lastRenderedPageBreak/>
        <w:t>Člani SRIP-ov načrtujejo, da bodo 49 projektov (202 mio EUR) izvajali v konzorciju partnerjev, 11 projektov (26 mio EUR) pa nameravajo izvajati samostojno.</w:t>
      </w:r>
    </w:p>
    <w:p w14:paraId="47BEEEE3" w14:textId="77777777" w:rsidR="00477AE0" w:rsidRPr="00F67672" w:rsidRDefault="00477AE0" w:rsidP="003327AF">
      <w:pPr>
        <w:suppressAutoHyphens w:val="0"/>
        <w:autoSpaceDN/>
        <w:spacing w:after="0" w:line="240" w:lineRule="auto"/>
        <w:jc w:val="both"/>
        <w:rPr>
          <w:rFonts w:cs="Arial"/>
          <w:szCs w:val="20"/>
        </w:rPr>
      </w:pPr>
    </w:p>
    <w:p w14:paraId="32192462" w14:textId="77777777" w:rsidR="00F67672" w:rsidRPr="00F67672" w:rsidRDefault="00F67672" w:rsidP="003327AF">
      <w:pPr>
        <w:suppressAutoHyphens w:val="0"/>
        <w:autoSpaceDN/>
        <w:spacing w:after="0" w:line="240" w:lineRule="auto"/>
        <w:jc w:val="both"/>
        <w:rPr>
          <w:rFonts w:cs="Arial"/>
          <w:szCs w:val="20"/>
        </w:rPr>
      </w:pPr>
      <w:r w:rsidRPr="00F67672">
        <w:rPr>
          <w:rFonts w:cs="Arial"/>
          <w:szCs w:val="20"/>
        </w:rPr>
        <w:t xml:space="preserve">Projektni predlogi so v različnih razvojnih fazah: </w:t>
      </w:r>
    </w:p>
    <w:p w14:paraId="0995864B" w14:textId="77777777" w:rsidR="00F67672" w:rsidRPr="00F67672" w:rsidRDefault="00F67672" w:rsidP="003327AF">
      <w:pPr>
        <w:numPr>
          <w:ilvl w:val="0"/>
          <w:numId w:val="26"/>
        </w:numPr>
        <w:suppressAutoHyphens w:val="0"/>
        <w:autoSpaceDN/>
        <w:spacing w:after="0" w:line="240" w:lineRule="auto"/>
        <w:contextualSpacing/>
        <w:jc w:val="both"/>
        <w:rPr>
          <w:rFonts w:cs="Arial"/>
          <w:szCs w:val="20"/>
        </w:rPr>
      </w:pPr>
      <w:r w:rsidRPr="00F67672">
        <w:rPr>
          <w:rFonts w:cs="Arial"/>
          <w:szCs w:val="20"/>
        </w:rPr>
        <w:t xml:space="preserve">27 projektnih predlogov (40 mio EUR) je v idejni zasnovi, </w:t>
      </w:r>
    </w:p>
    <w:p w14:paraId="484D91AF" w14:textId="77777777" w:rsidR="00F67672" w:rsidRPr="00F67672" w:rsidRDefault="00F67672" w:rsidP="003327AF">
      <w:pPr>
        <w:numPr>
          <w:ilvl w:val="0"/>
          <w:numId w:val="26"/>
        </w:numPr>
        <w:suppressAutoHyphens w:val="0"/>
        <w:autoSpaceDN/>
        <w:spacing w:line="240" w:lineRule="auto"/>
        <w:contextualSpacing/>
        <w:jc w:val="both"/>
        <w:rPr>
          <w:rFonts w:cs="Arial"/>
          <w:szCs w:val="20"/>
        </w:rPr>
      </w:pPr>
      <w:r w:rsidRPr="00F67672">
        <w:rPr>
          <w:rFonts w:cs="Arial"/>
          <w:szCs w:val="20"/>
        </w:rPr>
        <w:t xml:space="preserve">13 projektnih predlogov (94 mio EUR) je vsebinsko, tehnično in finančno opredeljenih, </w:t>
      </w:r>
    </w:p>
    <w:p w14:paraId="62DAC761" w14:textId="77777777" w:rsidR="00F67672" w:rsidRPr="00F67672" w:rsidRDefault="00F67672" w:rsidP="003327AF">
      <w:pPr>
        <w:numPr>
          <w:ilvl w:val="0"/>
          <w:numId w:val="26"/>
        </w:numPr>
        <w:suppressAutoHyphens w:val="0"/>
        <w:autoSpaceDN/>
        <w:spacing w:line="240" w:lineRule="auto"/>
        <w:contextualSpacing/>
        <w:jc w:val="both"/>
        <w:rPr>
          <w:rFonts w:cs="Arial"/>
          <w:szCs w:val="20"/>
        </w:rPr>
      </w:pPr>
      <w:r w:rsidRPr="00F67672">
        <w:rPr>
          <w:rFonts w:cs="Arial"/>
          <w:szCs w:val="20"/>
        </w:rPr>
        <w:t xml:space="preserve">pri 12 projektnih predlogih (47 mio EUR) je vzpostavljen tudi konzorcij partnerjev, </w:t>
      </w:r>
    </w:p>
    <w:p w14:paraId="7E1FC826" w14:textId="77777777" w:rsidR="00F67672" w:rsidRPr="00F67672" w:rsidRDefault="00F67672" w:rsidP="003327AF">
      <w:pPr>
        <w:numPr>
          <w:ilvl w:val="0"/>
          <w:numId w:val="26"/>
        </w:numPr>
        <w:suppressAutoHyphens w:val="0"/>
        <w:autoSpaceDN/>
        <w:spacing w:line="240" w:lineRule="auto"/>
        <w:contextualSpacing/>
        <w:jc w:val="both"/>
        <w:rPr>
          <w:rFonts w:cs="Arial"/>
          <w:szCs w:val="20"/>
        </w:rPr>
      </w:pPr>
      <w:r w:rsidRPr="00F67672">
        <w:rPr>
          <w:rFonts w:cs="Arial"/>
          <w:szCs w:val="20"/>
        </w:rPr>
        <w:t>pri 4 projektnih predlogih (17 mio EUR) so izdelane tudi potrebne študije in analize,</w:t>
      </w:r>
    </w:p>
    <w:p w14:paraId="244E59EF" w14:textId="77777777" w:rsidR="00F67672" w:rsidRPr="00F67672" w:rsidRDefault="00F67672" w:rsidP="003327AF">
      <w:pPr>
        <w:numPr>
          <w:ilvl w:val="0"/>
          <w:numId w:val="26"/>
        </w:numPr>
        <w:suppressAutoHyphens w:val="0"/>
        <w:autoSpaceDN/>
        <w:spacing w:after="0" w:line="240" w:lineRule="auto"/>
        <w:contextualSpacing/>
        <w:jc w:val="both"/>
        <w:rPr>
          <w:rFonts w:cs="Arial"/>
          <w:szCs w:val="20"/>
        </w:rPr>
      </w:pPr>
      <w:r w:rsidRPr="00F67672">
        <w:rPr>
          <w:rFonts w:cs="Arial"/>
          <w:szCs w:val="20"/>
        </w:rPr>
        <w:t>4 projektni predlogi (30 mio EUR) pa so že pripravljeni na izvedbo.</w:t>
      </w:r>
    </w:p>
    <w:p w14:paraId="2AE84A11" w14:textId="77777777" w:rsidR="00F67672" w:rsidRPr="0025033E" w:rsidRDefault="00F67672" w:rsidP="003327AF">
      <w:pPr>
        <w:suppressAutoHyphens w:val="0"/>
        <w:autoSpaceDN/>
        <w:spacing w:after="0" w:line="240" w:lineRule="auto"/>
        <w:jc w:val="both"/>
        <w:rPr>
          <w:rFonts w:cs="Arial"/>
          <w:szCs w:val="20"/>
        </w:rPr>
      </w:pPr>
    </w:p>
    <w:p w14:paraId="6CDCF0AD" w14:textId="17E79914" w:rsidR="00F67672" w:rsidRPr="00F67672" w:rsidRDefault="00F67672" w:rsidP="003327AF">
      <w:pPr>
        <w:suppressAutoHyphens w:val="0"/>
        <w:autoSpaceDN/>
        <w:spacing w:line="240" w:lineRule="auto"/>
        <w:jc w:val="both"/>
        <w:rPr>
          <w:rFonts w:cs="Arial"/>
          <w:szCs w:val="20"/>
        </w:rPr>
      </w:pPr>
      <w:r w:rsidRPr="00F67672">
        <w:rPr>
          <w:rFonts w:cs="Arial"/>
          <w:szCs w:val="20"/>
        </w:rPr>
        <w:t>Člani SRIP-ov so navedli 30 različnih občin, kjer se bodo njihovi projekti pretežno izvajali (možno je bilo navesti več občin). Največ, 29 projektov, je načrtovanih za izvajanje v Ljubljani, 8 v Mariboru in največ po trije projekti v drugih občinah.</w:t>
      </w:r>
    </w:p>
    <w:p w14:paraId="730A084B" w14:textId="77777777" w:rsidR="00F67672" w:rsidRPr="00F67672" w:rsidRDefault="00F67672" w:rsidP="003327AF">
      <w:pPr>
        <w:suppressAutoHyphens w:val="0"/>
        <w:autoSpaceDN/>
        <w:spacing w:after="0" w:line="240" w:lineRule="auto"/>
        <w:jc w:val="both"/>
        <w:rPr>
          <w:rFonts w:cs="Arial"/>
          <w:sz w:val="22"/>
          <w:szCs w:val="22"/>
        </w:rPr>
      </w:pPr>
    </w:p>
    <w:p w14:paraId="62ED115E" w14:textId="77777777" w:rsidR="00F67672" w:rsidRPr="0025033E" w:rsidRDefault="00F67672" w:rsidP="003327AF">
      <w:pPr>
        <w:suppressAutoHyphens w:val="0"/>
        <w:autoSpaceDN/>
        <w:spacing w:after="0" w:line="240" w:lineRule="auto"/>
        <w:jc w:val="both"/>
        <w:rPr>
          <w:rFonts w:cs="Arial"/>
          <w:b/>
          <w:bCs/>
          <w:sz w:val="22"/>
          <w:szCs w:val="22"/>
        </w:rPr>
      </w:pPr>
      <w:bookmarkStart w:id="580" w:name="_Hlk188263820"/>
      <w:r w:rsidRPr="00F67672">
        <w:rPr>
          <w:rFonts w:cs="Arial"/>
          <w:b/>
          <w:bCs/>
          <w:sz w:val="22"/>
          <w:szCs w:val="22"/>
        </w:rPr>
        <w:t>Časovna dinamika izvajanja projektnih predlogov</w:t>
      </w:r>
    </w:p>
    <w:bookmarkEnd w:id="580"/>
    <w:p w14:paraId="6DD6C836" w14:textId="77777777" w:rsidR="00F67672" w:rsidRPr="00F67672" w:rsidRDefault="00F67672" w:rsidP="003327AF">
      <w:pPr>
        <w:suppressAutoHyphens w:val="0"/>
        <w:autoSpaceDN/>
        <w:spacing w:after="0" w:line="240" w:lineRule="auto"/>
        <w:jc w:val="both"/>
        <w:rPr>
          <w:rFonts w:cs="Arial"/>
          <w:b/>
          <w:bCs/>
          <w:sz w:val="22"/>
          <w:szCs w:val="22"/>
        </w:rPr>
      </w:pPr>
    </w:p>
    <w:p w14:paraId="3BC0212F" w14:textId="087A81F6" w:rsidR="00F67672" w:rsidRPr="00F67672" w:rsidRDefault="00F67672" w:rsidP="003327AF">
      <w:pPr>
        <w:suppressAutoHyphens w:val="0"/>
        <w:autoSpaceDN/>
        <w:spacing w:after="0" w:line="240" w:lineRule="auto"/>
        <w:jc w:val="both"/>
        <w:rPr>
          <w:rFonts w:cs="Arial"/>
          <w:szCs w:val="20"/>
        </w:rPr>
      </w:pPr>
      <w:r w:rsidRPr="00F67672">
        <w:rPr>
          <w:rFonts w:cs="Arial"/>
          <w:szCs w:val="20"/>
        </w:rPr>
        <w:t>Velika večina projektnih predlogov (45) bi se po navedbah članov SRIP lahko pričela v letu 2025 (od tega 29 v Q1, 12 v Q2, 2 v Q3 in 2 v Q4), šest pa celo že v letošnjem letu. Sedem projektnih predlogov bi se po navedbah predlagateljev lahko pričelo v prvi polovici leta 2026, en pa v 2027. Naša ocena je, da so - upoštevajoč zbrane podatke o stopnji pripravljenosti projektov – te ocene preveč optimistične. V vsakem primeru bodo izvedben</w:t>
      </w:r>
      <w:r w:rsidR="00FF1068">
        <w:rPr>
          <w:rFonts w:cs="Arial"/>
          <w:szCs w:val="20"/>
        </w:rPr>
        <w:t>e</w:t>
      </w:r>
      <w:r w:rsidRPr="00F67672">
        <w:rPr>
          <w:rFonts w:cs="Arial"/>
          <w:szCs w:val="20"/>
        </w:rPr>
        <w:t xml:space="preserve"> aktivnosti možne šele po sprejemu sprememb Programa EKP.</w:t>
      </w:r>
    </w:p>
    <w:p w14:paraId="4EA82ACA" w14:textId="77777777" w:rsidR="009173C9" w:rsidRDefault="009173C9" w:rsidP="003327AF">
      <w:pPr>
        <w:suppressAutoHyphens w:val="0"/>
        <w:autoSpaceDN/>
        <w:spacing w:after="0" w:line="240" w:lineRule="auto"/>
        <w:jc w:val="both"/>
        <w:rPr>
          <w:rFonts w:cs="Arial"/>
          <w:noProof/>
          <w:szCs w:val="20"/>
        </w:rPr>
      </w:pPr>
    </w:p>
    <w:p w14:paraId="54C5E057" w14:textId="175A4355" w:rsidR="00F67672" w:rsidRPr="00F67672" w:rsidRDefault="00F67672" w:rsidP="003327AF">
      <w:pPr>
        <w:suppressAutoHyphens w:val="0"/>
        <w:autoSpaceDN/>
        <w:spacing w:after="0" w:line="240" w:lineRule="auto"/>
        <w:jc w:val="both"/>
        <w:rPr>
          <w:rFonts w:cs="Arial"/>
          <w:szCs w:val="20"/>
        </w:rPr>
      </w:pPr>
      <w:r w:rsidRPr="00F67672">
        <w:rPr>
          <w:rFonts w:cs="Arial"/>
          <w:szCs w:val="20"/>
        </w:rPr>
        <w:t>Največ projektnih predlogov, 27, bo trajalo 36 mesecev, 25 projektov 30 mesecev ali manj, šest pa 42 ali 48 mesecev. Dva projektna predloga bosta trajala 60 mesecev, eden od njiju naj bi se končal do konca leta 2029, drugi pa do konca leta 2031.</w:t>
      </w:r>
    </w:p>
    <w:p w14:paraId="463C4265" w14:textId="7CD5D31D" w:rsidR="00F67672" w:rsidRPr="00F67672" w:rsidRDefault="009173C9" w:rsidP="003327AF">
      <w:pPr>
        <w:suppressAutoHyphens w:val="0"/>
        <w:autoSpaceDN/>
        <w:spacing w:after="0" w:line="240" w:lineRule="auto"/>
        <w:jc w:val="both"/>
        <w:rPr>
          <w:rFonts w:cs="Arial"/>
          <w:sz w:val="22"/>
          <w:szCs w:val="22"/>
        </w:rPr>
      </w:pPr>
      <w:r w:rsidRPr="00F67672">
        <w:rPr>
          <w:rFonts w:cs="Arial"/>
          <w:noProof/>
          <w:szCs w:val="20"/>
        </w:rPr>
        <w:drawing>
          <wp:anchor distT="0" distB="0" distL="114300" distR="114300" simplePos="0" relativeHeight="251658244" behindDoc="1" locked="0" layoutInCell="1" allowOverlap="1" wp14:anchorId="0E6115CF" wp14:editId="6F8E377F">
            <wp:simplePos x="0" y="0"/>
            <wp:positionH relativeFrom="column">
              <wp:posOffset>39370</wp:posOffset>
            </wp:positionH>
            <wp:positionV relativeFrom="paragraph">
              <wp:posOffset>597675</wp:posOffset>
            </wp:positionV>
            <wp:extent cx="6123305" cy="2933700"/>
            <wp:effectExtent l="0" t="0" r="0" b="0"/>
            <wp:wrapTight wrapText="bothSides">
              <wp:wrapPolygon edited="0">
                <wp:start x="0" y="0"/>
                <wp:lineTo x="0" y="21460"/>
                <wp:lineTo x="21504" y="21460"/>
                <wp:lineTo x="21504" y="0"/>
                <wp:lineTo x="0" y="0"/>
              </wp:wrapPolygon>
            </wp:wrapTight>
            <wp:docPr id="105782632"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2632" name="Slika 1">
                      <a:extLst>
                        <a:ext uri="{C183D7F6-B498-43B3-948B-1728B52AA6E4}">
                          <adec:decorative xmlns:adec="http://schemas.microsoft.com/office/drawing/2017/decorative" val="1"/>
                        </a:ext>
                      </a:extLst>
                    </pic:cNvPr>
                    <pic:cNvPicPr/>
                  </pic:nvPicPr>
                  <pic:blipFill>
                    <a:blip r:embed="rId30">
                      <a:extLst>
                        <a:ext uri="{28A0092B-C50C-407E-A947-70E740481C1C}">
                          <a14:useLocalDpi xmlns:a14="http://schemas.microsoft.com/office/drawing/2010/main" val="0"/>
                        </a:ext>
                      </a:extLst>
                    </a:blip>
                    <a:stretch>
                      <a:fillRect/>
                    </a:stretch>
                  </pic:blipFill>
                  <pic:spPr>
                    <a:xfrm>
                      <a:off x="0" y="0"/>
                      <a:ext cx="6123305" cy="2933700"/>
                    </a:xfrm>
                    <a:prstGeom prst="rect">
                      <a:avLst/>
                    </a:prstGeom>
                  </pic:spPr>
                </pic:pic>
              </a:graphicData>
            </a:graphic>
            <wp14:sizeRelH relativeFrom="page">
              <wp14:pctWidth>0</wp14:pctWidth>
            </wp14:sizeRelH>
            <wp14:sizeRelV relativeFrom="page">
              <wp14:pctHeight>0</wp14:pctHeight>
            </wp14:sizeRelV>
          </wp:anchor>
        </w:drawing>
      </w:r>
      <w:r w:rsidR="005C0526">
        <w:rPr>
          <w:noProof/>
        </w:rPr>
        <mc:AlternateContent>
          <mc:Choice Requires="wps">
            <w:drawing>
              <wp:anchor distT="0" distB="0" distL="114300" distR="114300" simplePos="0" relativeHeight="251658246" behindDoc="1" locked="0" layoutInCell="1" allowOverlap="1" wp14:anchorId="1C35F5E0" wp14:editId="5F87489C">
                <wp:simplePos x="0" y="0"/>
                <wp:positionH relativeFrom="column">
                  <wp:posOffset>48895</wp:posOffset>
                </wp:positionH>
                <wp:positionV relativeFrom="paragraph">
                  <wp:posOffset>255270</wp:posOffset>
                </wp:positionV>
                <wp:extent cx="6123305" cy="176530"/>
                <wp:effectExtent l="0" t="0" r="0" b="0"/>
                <wp:wrapTight wrapText="bothSides">
                  <wp:wrapPolygon edited="0">
                    <wp:start x="0" y="0"/>
                    <wp:lineTo x="0" y="18647"/>
                    <wp:lineTo x="21504" y="18647"/>
                    <wp:lineTo x="21504" y="0"/>
                    <wp:lineTo x="0" y="0"/>
                  </wp:wrapPolygon>
                </wp:wrapTight>
                <wp:docPr id="1409442470" name="Polje z besedilo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23305" cy="176530"/>
                        </a:xfrm>
                        <a:prstGeom prst="rect">
                          <a:avLst/>
                        </a:prstGeom>
                        <a:solidFill>
                          <a:prstClr val="white"/>
                        </a:solidFill>
                        <a:ln>
                          <a:noFill/>
                        </a:ln>
                      </wps:spPr>
                      <wps:txbx>
                        <w:txbxContent>
                          <w:p w14:paraId="65BA19EE" w14:textId="47AC02D8" w:rsidR="005C0526" w:rsidRPr="005C0526" w:rsidRDefault="005C0526" w:rsidP="009173C9">
                            <w:pPr>
                              <w:pStyle w:val="Napis"/>
                              <w:spacing w:after="0"/>
                              <w:jc w:val="both"/>
                              <w:rPr>
                                <w:rFonts w:cs="Arial"/>
                                <w:b w:val="0"/>
                                <w:bCs w:val="0"/>
                                <w:noProof/>
                                <w:color w:val="auto"/>
                              </w:rPr>
                            </w:pPr>
                            <w:bookmarkStart w:id="581" w:name="_Toc188878574"/>
                            <w:r w:rsidRPr="005C0526">
                              <w:rPr>
                                <w:b w:val="0"/>
                                <w:bCs w:val="0"/>
                                <w:color w:val="auto"/>
                              </w:rPr>
                              <w:t xml:space="preserve">Slika </w:t>
                            </w:r>
                            <w:r w:rsidRPr="005C0526">
                              <w:rPr>
                                <w:b w:val="0"/>
                                <w:bCs w:val="0"/>
                                <w:color w:val="auto"/>
                              </w:rPr>
                              <w:fldChar w:fldCharType="begin"/>
                            </w:r>
                            <w:r w:rsidRPr="005C0526">
                              <w:rPr>
                                <w:b w:val="0"/>
                                <w:bCs w:val="0"/>
                                <w:color w:val="auto"/>
                              </w:rPr>
                              <w:instrText xml:space="preserve"> SEQ Slika \* ARABIC </w:instrText>
                            </w:r>
                            <w:r w:rsidRPr="005C0526">
                              <w:rPr>
                                <w:b w:val="0"/>
                                <w:bCs w:val="0"/>
                                <w:color w:val="auto"/>
                              </w:rPr>
                              <w:fldChar w:fldCharType="separate"/>
                            </w:r>
                            <w:r w:rsidRPr="005C0526">
                              <w:rPr>
                                <w:b w:val="0"/>
                                <w:bCs w:val="0"/>
                                <w:noProof/>
                                <w:color w:val="auto"/>
                              </w:rPr>
                              <w:t>1</w:t>
                            </w:r>
                            <w:r w:rsidRPr="005C0526">
                              <w:rPr>
                                <w:b w:val="0"/>
                                <w:bCs w:val="0"/>
                                <w:color w:val="auto"/>
                              </w:rPr>
                              <w:fldChar w:fldCharType="end"/>
                            </w:r>
                            <w:r w:rsidRPr="005C0526">
                              <w:rPr>
                                <w:b w:val="0"/>
                                <w:bCs w:val="0"/>
                                <w:color w:val="auto"/>
                              </w:rPr>
                              <w:t>: Časovna dinamika izvajanja projektnih predlogov</w:t>
                            </w:r>
                            <w:bookmarkEnd w:id="58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35F5E0" id="_x0000_s1027" type="#_x0000_t202" alt="&quot;&quot;" style="position:absolute;left:0;text-align:left;margin-left:3.85pt;margin-top:20.1pt;width:482.15pt;height:13.9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" stroked="f">
                <v:textbox inset="0,0,0,0">
                  <w:txbxContent>
                    <w:p w14:paraId="65BA19EE" w14:textId="47AC02D8" w:rsidR="005C0526" w:rsidRPr="005C0526" w:rsidRDefault="005C0526" w:rsidP="009173C9">
                      <w:pPr>
                        <w:pStyle w:val="Napis"/>
                        <w:spacing w:after="0"/>
                        <w:jc w:val="both"/>
                        <w:rPr>
                          <w:rFonts w:cs="Arial"/>
                          <w:b w:val="0"/>
                          <w:bCs w:val="0"/>
                          <w:noProof/>
                          <w:color w:val="auto"/>
                        </w:rPr>
                      </w:pPr>
                      <w:bookmarkStart w:id="582" w:name="_Toc188878574"/>
                      <w:r w:rsidRPr="005C0526">
                        <w:rPr>
                          <w:b w:val="0"/>
                          <w:bCs w:val="0"/>
                          <w:color w:val="auto"/>
                        </w:rPr>
                        <w:t xml:space="preserve">Slika </w:t>
                      </w:r>
                      <w:r w:rsidRPr="005C0526">
                        <w:rPr>
                          <w:b w:val="0"/>
                          <w:bCs w:val="0"/>
                          <w:color w:val="auto"/>
                        </w:rPr>
                        <w:fldChar w:fldCharType="begin"/>
                      </w:r>
                      <w:r w:rsidRPr="005C0526">
                        <w:rPr>
                          <w:b w:val="0"/>
                          <w:bCs w:val="0"/>
                          <w:color w:val="auto"/>
                        </w:rPr>
                        <w:instrText xml:space="preserve"> SEQ Slika \* ARABIC </w:instrText>
                      </w:r>
                      <w:r w:rsidRPr="005C0526">
                        <w:rPr>
                          <w:b w:val="0"/>
                          <w:bCs w:val="0"/>
                          <w:color w:val="auto"/>
                        </w:rPr>
                        <w:fldChar w:fldCharType="separate"/>
                      </w:r>
                      <w:r w:rsidRPr="005C0526">
                        <w:rPr>
                          <w:b w:val="0"/>
                          <w:bCs w:val="0"/>
                          <w:noProof/>
                          <w:color w:val="auto"/>
                        </w:rPr>
                        <w:t>1</w:t>
                      </w:r>
                      <w:r w:rsidRPr="005C0526">
                        <w:rPr>
                          <w:b w:val="0"/>
                          <w:bCs w:val="0"/>
                          <w:color w:val="auto"/>
                        </w:rPr>
                        <w:fldChar w:fldCharType="end"/>
                      </w:r>
                      <w:r w:rsidRPr="005C0526">
                        <w:rPr>
                          <w:b w:val="0"/>
                          <w:bCs w:val="0"/>
                          <w:color w:val="auto"/>
                        </w:rPr>
                        <w:t>: Časovna dinamika izvajanja projektnih predlogov</w:t>
                      </w:r>
                      <w:bookmarkEnd w:id="582"/>
                    </w:p>
                  </w:txbxContent>
                </v:textbox>
                <w10:wrap type="tight"/>
              </v:shape>
            </w:pict>
          </mc:Fallback>
        </mc:AlternateContent>
      </w:r>
      <w:r w:rsidR="00DA0D74" w:rsidRPr="0025033E">
        <w:rPr>
          <w:rFonts w:cs="Arial"/>
          <w:noProof/>
        </w:rPr>
        <mc:AlternateContent>
          <mc:Choice Requires="wps">
            <w:drawing>
              <wp:anchor distT="0" distB="0" distL="114300" distR="114300" simplePos="0" relativeHeight="251658245" behindDoc="1" locked="0" layoutInCell="1" allowOverlap="1" wp14:anchorId="04D0A41A" wp14:editId="63F97B76">
                <wp:simplePos x="0" y="0"/>
                <wp:positionH relativeFrom="column">
                  <wp:posOffset>45085</wp:posOffset>
                </wp:positionH>
                <wp:positionV relativeFrom="paragraph">
                  <wp:posOffset>3370831</wp:posOffset>
                </wp:positionV>
                <wp:extent cx="6123305" cy="635"/>
                <wp:effectExtent l="0" t="0" r="0" b="0"/>
                <wp:wrapTight wrapText="bothSides">
                  <wp:wrapPolygon edited="0">
                    <wp:start x="0" y="0"/>
                    <wp:lineTo x="0" y="21600"/>
                    <wp:lineTo x="21600" y="21600"/>
                    <wp:lineTo x="21600" y="0"/>
                  </wp:wrapPolygon>
                </wp:wrapTight>
                <wp:docPr id="1259990437" name="Polje z besedilo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23305" cy="635"/>
                        </a:xfrm>
                        <a:prstGeom prst="rect">
                          <a:avLst/>
                        </a:prstGeom>
                        <a:solidFill>
                          <a:prstClr val="white"/>
                        </a:solidFill>
                        <a:ln>
                          <a:noFill/>
                        </a:ln>
                      </wps:spPr>
                      <wps:txbx>
                        <w:txbxContent>
                          <w:p w14:paraId="6DEE8FDE" w14:textId="0A5C10FA" w:rsidR="00DA0D74" w:rsidRPr="005E68A4" w:rsidRDefault="00DA0D74" w:rsidP="00DA0D74">
                            <w:pPr>
                              <w:pStyle w:val="Napis"/>
                              <w:spacing w:after="0"/>
                              <w:rPr>
                                <w:rFonts w:cs="Arial"/>
                                <w:b w:val="0"/>
                                <w:bCs w:val="0"/>
                                <w:noProof/>
                              </w:rPr>
                            </w:pPr>
                            <w:r w:rsidRPr="005E68A4">
                              <w:rPr>
                                <w:b w:val="0"/>
                                <w:bCs w:val="0"/>
                              </w:rPr>
                              <w:t>Vir:</w:t>
                            </w:r>
                            <w:r w:rsidR="005E68A4">
                              <w:rPr>
                                <w:b w:val="0"/>
                                <w:bCs w:val="0"/>
                              </w:rPr>
                              <w:t xml:space="preserve"> MKRR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4D0A41A" id="_x0000_s1028" type="#_x0000_t202" alt="&quot;&quot;" style="position:absolute;left:0;text-align:left;margin-left:3.55pt;margin-top:265.4pt;width:482.15pt;height:.05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" stroked="f">
                <v:textbox style="mso-fit-shape-to-text:t" inset="0,0,0,0">
                  <w:txbxContent>
                    <w:p w14:paraId="6DEE8FDE" w14:textId="0A5C10FA" w:rsidR="00DA0D74" w:rsidRPr="005E68A4" w:rsidRDefault="00DA0D74" w:rsidP="00DA0D74">
                      <w:pPr>
                        <w:pStyle w:val="Napis"/>
                        <w:spacing w:after="0"/>
                        <w:rPr>
                          <w:rFonts w:cs="Arial"/>
                          <w:b w:val="0"/>
                          <w:bCs w:val="0"/>
                          <w:noProof/>
                        </w:rPr>
                      </w:pPr>
                      <w:r w:rsidRPr="005E68A4">
                        <w:rPr>
                          <w:b w:val="0"/>
                          <w:bCs w:val="0"/>
                        </w:rPr>
                        <w:t>Vir:</w:t>
                      </w:r>
                      <w:r w:rsidR="005E68A4">
                        <w:rPr>
                          <w:b w:val="0"/>
                          <w:bCs w:val="0"/>
                        </w:rPr>
                        <w:t xml:space="preserve"> MKRR</w:t>
                      </w:r>
                    </w:p>
                  </w:txbxContent>
                </v:textbox>
                <w10:wrap type="tight"/>
              </v:shape>
            </w:pict>
          </mc:Fallback>
        </mc:AlternateContent>
      </w:r>
    </w:p>
    <w:p w14:paraId="10CBFFE6" w14:textId="02BF09E3" w:rsidR="00F67672" w:rsidRPr="00F67672" w:rsidRDefault="00F67672" w:rsidP="003327AF">
      <w:pPr>
        <w:suppressAutoHyphens w:val="0"/>
        <w:autoSpaceDN/>
        <w:spacing w:after="0" w:line="240" w:lineRule="auto"/>
        <w:jc w:val="both"/>
        <w:rPr>
          <w:rFonts w:cs="Arial"/>
          <w:b/>
          <w:bCs/>
          <w:sz w:val="22"/>
          <w:szCs w:val="22"/>
        </w:rPr>
      </w:pPr>
    </w:p>
    <w:p w14:paraId="7D24E0E9" w14:textId="09040AC9" w:rsidR="00F67672" w:rsidRPr="0025033E" w:rsidRDefault="00F67672" w:rsidP="003327AF">
      <w:pPr>
        <w:suppressAutoHyphens w:val="0"/>
        <w:autoSpaceDN/>
        <w:spacing w:after="0" w:line="240" w:lineRule="auto"/>
        <w:jc w:val="both"/>
        <w:rPr>
          <w:rFonts w:cs="Arial"/>
          <w:b/>
          <w:bCs/>
          <w:sz w:val="22"/>
          <w:szCs w:val="22"/>
        </w:rPr>
      </w:pPr>
      <w:r w:rsidRPr="00F67672">
        <w:rPr>
          <w:rFonts w:cs="Arial"/>
          <w:b/>
          <w:bCs/>
          <w:sz w:val="22"/>
          <w:szCs w:val="22"/>
        </w:rPr>
        <w:t>Ocena pripravljenosti projektov</w:t>
      </w:r>
    </w:p>
    <w:p w14:paraId="5F9303E3" w14:textId="28FBA753" w:rsidR="00F67672" w:rsidRPr="00F67672" w:rsidRDefault="00F67672" w:rsidP="003327AF">
      <w:pPr>
        <w:suppressAutoHyphens w:val="0"/>
        <w:autoSpaceDN/>
        <w:spacing w:after="0" w:line="240" w:lineRule="auto"/>
        <w:jc w:val="both"/>
        <w:rPr>
          <w:rFonts w:cs="Arial"/>
          <w:b/>
          <w:bCs/>
          <w:sz w:val="22"/>
          <w:szCs w:val="22"/>
        </w:rPr>
      </w:pPr>
    </w:p>
    <w:p w14:paraId="0AD539FE" w14:textId="42D3C5E7" w:rsidR="00F67672" w:rsidRPr="0025033E" w:rsidRDefault="00F67672" w:rsidP="003327AF">
      <w:pPr>
        <w:suppressAutoHyphens w:val="0"/>
        <w:autoSpaceDN/>
        <w:spacing w:after="0" w:line="240" w:lineRule="auto"/>
        <w:jc w:val="both"/>
        <w:rPr>
          <w:rFonts w:cs="Arial"/>
          <w:szCs w:val="20"/>
        </w:rPr>
      </w:pPr>
      <w:r w:rsidRPr="00F67672">
        <w:rPr>
          <w:rFonts w:cs="Arial"/>
          <w:szCs w:val="20"/>
        </w:rPr>
        <w:t>Od šestih projektnih predlogov, ki bi se po navedbi izpolnjevalcev vprašalnika lahko pričeli že v letu 2024, sta dva v skupni ocenjeni vrednosti 1,5 mio EUR še v idejni zasnovi, en (3 mio EUR) zgolj vsebinsko, tehnično in finančno opredeljen, a brez vzpostavljenega konzorcija partnerjev, trije (7,6 mio EUR) pa so opredeljeni, z vzpostavljenim konzorcijem partnerjev in eden od teh treh tudi z izdelanimi potrebnimi študijami in analizami. Noben projekt, ki naj bi se začel izvajati že v letu 2024, ni pripravljen na izvedbo.</w:t>
      </w:r>
    </w:p>
    <w:p w14:paraId="6DC9D88F" w14:textId="77777777" w:rsidR="00F67672" w:rsidRPr="00F67672" w:rsidRDefault="00F67672" w:rsidP="003327AF">
      <w:pPr>
        <w:suppressAutoHyphens w:val="0"/>
        <w:autoSpaceDN/>
        <w:spacing w:after="0" w:line="240" w:lineRule="auto"/>
        <w:jc w:val="both"/>
        <w:rPr>
          <w:rFonts w:cs="Arial"/>
          <w:szCs w:val="20"/>
        </w:rPr>
      </w:pPr>
    </w:p>
    <w:p w14:paraId="311E75C1" w14:textId="77777777" w:rsidR="00F67672" w:rsidRPr="0025033E" w:rsidRDefault="00F67672" w:rsidP="003327AF">
      <w:pPr>
        <w:suppressAutoHyphens w:val="0"/>
        <w:autoSpaceDN/>
        <w:spacing w:after="0" w:line="240" w:lineRule="auto"/>
        <w:jc w:val="both"/>
        <w:rPr>
          <w:rFonts w:cs="Arial"/>
          <w:szCs w:val="20"/>
        </w:rPr>
      </w:pPr>
      <w:r w:rsidRPr="00F67672">
        <w:rPr>
          <w:rFonts w:cs="Arial"/>
          <w:szCs w:val="20"/>
        </w:rPr>
        <w:t xml:space="preserve">Podoben neutemeljen optimizem glede začetka izvajanja projekta v povezavi z njegovo stopnjo pripravljenosti je moč zaznati tudi v več projektnih predlogih, ki naj bi se pričeli v prvi polovici naslednjega leta (41 </w:t>
      </w:r>
      <w:r w:rsidRPr="00F67672">
        <w:rPr>
          <w:rFonts w:cs="Arial"/>
          <w:szCs w:val="20"/>
        </w:rPr>
        <w:lastRenderedPageBreak/>
        <w:t>projektov, 104 mio EUR), od katerih jih je kar 19 (27 mio EUR) še v fazi idejne zasnove, le štirje (29 mio) pa so pripravljeni na izvedbo.</w:t>
      </w:r>
    </w:p>
    <w:p w14:paraId="4C1A717E" w14:textId="77777777" w:rsidR="00F67672" w:rsidRPr="00F67672" w:rsidRDefault="00F67672" w:rsidP="003327AF">
      <w:pPr>
        <w:suppressAutoHyphens w:val="0"/>
        <w:autoSpaceDN/>
        <w:spacing w:after="0" w:line="240" w:lineRule="auto"/>
        <w:jc w:val="both"/>
        <w:rPr>
          <w:rFonts w:cs="Arial"/>
          <w:szCs w:val="20"/>
        </w:rPr>
      </w:pPr>
    </w:p>
    <w:p w14:paraId="78983497" w14:textId="77777777" w:rsidR="00F67672" w:rsidRPr="00F67672" w:rsidRDefault="00F67672" w:rsidP="003327AF">
      <w:pPr>
        <w:suppressAutoHyphens w:val="0"/>
        <w:autoSpaceDN/>
        <w:spacing w:after="0" w:line="240" w:lineRule="auto"/>
        <w:jc w:val="both"/>
        <w:rPr>
          <w:rFonts w:cs="Arial"/>
          <w:szCs w:val="20"/>
        </w:rPr>
      </w:pPr>
      <w:r w:rsidRPr="00F67672">
        <w:rPr>
          <w:rFonts w:cs="Arial"/>
          <w:szCs w:val="20"/>
        </w:rPr>
        <w:t>Pri vseh projektnih predlogih, ki niso pripravljeni za izvedbo, posebej pa pri gruči projektov, označenih kot »idejna zasnova«, je tveganje, da se projekti ne bodo razvili v zrelo fazo (kandidature na centralizirane razpise ali na predvideno os STEP, oziroma na sofinanciranje konzorcija iz tretjih virov – »</w:t>
      </w:r>
      <w:proofErr w:type="spellStart"/>
      <w:r w:rsidRPr="00F67672">
        <w:rPr>
          <w:rFonts w:cs="Arial"/>
          <w:szCs w:val="20"/>
        </w:rPr>
        <w:t>investment</w:t>
      </w:r>
      <w:proofErr w:type="spellEnd"/>
      <w:r w:rsidRPr="00F67672">
        <w:rPr>
          <w:rFonts w:cs="Arial"/>
          <w:szCs w:val="20"/>
        </w:rPr>
        <w:t xml:space="preserve"> </w:t>
      </w:r>
      <w:proofErr w:type="spellStart"/>
      <w:r w:rsidRPr="00F67672">
        <w:rPr>
          <w:rFonts w:cs="Arial"/>
          <w:szCs w:val="20"/>
        </w:rPr>
        <w:t>readiness</w:t>
      </w:r>
      <w:proofErr w:type="spellEnd"/>
      <w:r w:rsidRPr="00F67672">
        <w:rPr>
          <w:rFonts w:cs="Arial"/>
          <w:szCs w:val="20"/>
        </w:rPr>
        <w:t xml:space="preserve">«) visoko. Samo 10-30 % idejnih projektov zaživi do faze prijave in nato udejanjanja ob predpostavki pridobljenega sofinanciranja. </w:t>
      </w:r>
    </w:p>
    <w:p w14:paraId="459FD5D4" w14:textId="77777777" w:rsidR="007225F4" w:rsidRPr="00F67672" w:rsidRDefault="007225F4" w:rsidP="003327AF">
      <w:pPr>
        <w:suppressAutoHyphens w:val="0"/>
        <w:autoSpaceDN/>
        <w:spacing w:after="0" w:line="240" w:lineRule="auto"/>
        <w:jc w:val="both"/>
        <w:rPr>
          <w:rFonts w:cs="Arial"/>
          <w:sz w:val="22"/>
          <w:szCs w:val="22"/>
        </w:rPr>
      </w:pPr>
    </w:p>
    <w:p w14:paraId="1C6F0F51" w14:textId="77777777" w:rsidR="00F67672" w:rsidRPr="0025033E" w:rsidRDefault="00F67672" w:rsidP="003327AF">
      <w:pPr>
        <w:suppressAutoHyphens w:val="0"/>
        <w:autoSpaceDN/>
        <w:spacing w:after="0" w:line="240" w:lineRule="auto"/>
        <w:jc w:val="both"/>
        <w:rPr>
          <w:rFonts w:cs="Arial"/>
          <w:b/>
          <w:bCs/>
          <w:sz w:val="22"/>
          <w:szCs w:val="22"/>
        </w:rPr>
      </w:pPr>
      <w:r w:rsidRPr="00F67672">
        <w:rPr>
          <w:rFonts w:cs="Arial"/>
          <w:b/>
          <w:bCs/>
          <w:sz w:val="22"/>
          <w:szCs w:val="22"/>
        </w:rPr>
        <w:t>Ocena stopnje sofinanciranja</w:t>
      </w:r>
    </w:p>
    <w:p w14:paraId="72FC4106" w14:textId="77777777" w:rsidR="00F67672" w:rsidRPr="00F67672" w:rsidRDefault="00F67672" w:rsidP="003327AF">
      <w:pPr>
        <w:suppressAutoHyphens w:val="0"/>
        <w:autoSpaceDN/>
        <w:spacing w:after="0" w:line="240" w:lineRule="auto"/>
        <w:jc w:val="both"/>
        <w:rPr>
          <w:rFonts w:cs="Arial"/>
          <w:b/>
          <w:bCs/>
          <w:sz w:val="22"/>
          <w:szCs w:val="22"/>
        </w:rPr>
      </w:pPr>
    </w:p>
    <w:p w14:paraId="6BAB5C8F" w14:textId="77777777" w:rsidR="00F67672" w:rsidRPr="0025033E" w:rsidRDefault="00F67672" w:rsidP="003327AF">
      <w:pPr>
        <w:suppressAutoHyphens w:val="0"/>
        <w:autoSpaceDN/>
        <w:spacing w:after="0" w:line="240" w:lineRule="auto"/>
        <w:jc w:val="both"/>
        <w:rPr>
          <w:rFonts w:cs="Arial"/>
          <w:szCs w:val="20"/>
        </w:rPr>
      </w:pPr>
      <w:r w:rsidRPr="00F67672">
        <w:rPr>
          <w:rFonts w:cs="Arial"/>
          <w:szCs w:val="20"/>
        </w:rPr>
        <w:t>Pri oceni državnih pomoči sta bili upoštevani RRI shema</w:t>
      </w:r>
      <w:r w:rsidRPr="00F67672">
        <w:rPr>
          <w:rFonts w:eastAsia="SimSun" w:cs="Arial"/>
          <w:szCs w:val="20"/>
          <w:vertAlign w:val="superscript"/>
        </w:rPr>
        <w:footnoteReference w:id="7"/>
      </w:r>
      <w:r w:rsidRPr="00F67672">
        <w:rPr>
          <w:rFonts w:cs="Arial"/>
          <w:szCs w:val="20"/>
        </w:rPr>
        <w:t xml:space="preserve"> za projekte razvoja ali proizvodnje kritičnih tehnologij ter projekte za zaščito ali okrepitev vrednostnih verig za razvoj ali proizvodnjo kritičnih tehnologij, ter shema za usposabljanje</w:t>
      </w:r>
      <w:r w:rsidRPr="00F67672">
        <w:rPr>
          <w:rFonts w:eastAsia="SimSun" w:cs="Arial"/>
          <w:szCs w:val="20"/>
          <w:vertAlign w:val="superscript"/>
        </w:rPr>
        <w:footnoteReference w:id="8"/>
      </w:r>
      <w:r w:rsidRPr="00F67672">
        <w:rPr>
          <w:rFonts w:cs="Arial"/>
          <w:szCs w:val="20"/>
        </w:rPr>
        <w:t xml:space="preserve"> za projekte, ki obravnavajo pomanjkanje delovne sile in spretnosti v podporo prvemu cilju.</w:t>
      </w:r>
    </w:p>
    <w:p w14:paraId="4A12D57C" w14:textId="77777777" w:rsidR="00F67672" w:rsidRPr="00F67672" w:rsidRDefault="00F67672" w:rsidP="003327AF">
      <w:pPr>
        <w:suppressAutoHyphens w:val="0"/>
        <w:autoSpaceDN/>
        <w:spacing w:after="0" w:line="240" w:lineRule="auto"/>
        <w:jc w:val="both"/>
        <w:rPr>
          <w:rFonts w:cs="Arial"/>
          <w:szCs w:val="20"/>
          <w:u w:val="single"/>
        </w:rPr>
      </w:pPr>
    </w:p>
    <w:p w14:paraId="280ACB64" w14:textId="77777777" w:rsidR="00F67672" w:rsidRPr="00F67672" w:rsidRDefault="00F67672" w:rsidP="003327AF">
      <w:pPr>
        <w:suppressAutoHyphens w:val="0"/>
        <w:autoSpaceDN/>
        <w:spacing w:line="240" w:lineRule="auto"/>
        <w:jc w:val="both"/>
        <w:rPr>
          <w:rFonts w:cs="Arial"/>
          <w:szCs w:val="20"/>
        </w:rPr>
      </w:pPr>
      <w:r w:rsidRPr="00F67672">
        <w:rPr>
          <w:rFonts w:cs="Arial"/>
          <w:szCs w:val="20"/>
        </w:rPr>
        <w:t>Shemi dopuščata relativno visoko stopnjo sofinanciranja. Za potrebe tega gradiva in ob predpostavki, da nimamo natančnih podatkov o sestavi konzorcijev, se je uporabila povprečna stopnja sofinanciranja 65 % kar znese 148 mio EUR.</w:t>
      </w:r>
    </w:p>
    <w:p w14:paraId="41299578" w14:textId="77777777" w:rsidR="00F67672" w:rsidRPr="00F67672" w:rsidRDefault="00F67672" w:rsidP="003327AF">
      <w:pPr>
        <w:suppressAutoHyphens w:val="0"/>
        <w:autoSpaceDN/>
        <w:spacing w:after="0" w:line="240" w:lineRule="auto"/>
        <w:jc w:val="both"/>
        <w:rPr>
          <w:rFonts w:cs="Arial"/>
          <w:sz w:val="22"/>
          <w:szCs w:val="22"/>
        </w:rPr>
      </w:pPr>
    </w:p>
    <w:p w14:paraId="7357E3C6" w14:textId="77777777" w:rsidR="00F67672" w:rsidRPr="0025033E" w:rsidRDefault="00F67672" w:rsidP="003327AF">
      <w:pPr>
        <w:suppressAutoHyphens w:val="0"/>
        <w:autoSpaceDN/>
        <w:spacing w:after="0" w:line="240" w:lineRule="auto"/>
        <w:jc w:val="both"/>
        <w:rPr>
          <w:rFonts w:cs="Arial"/>
          <w:b/>
          <w:bCs/>
          <w:sz w:val="22"/>
          <w:szCs w:val="22"/>
        </w:rPr>
      </w:pPr>
      <w:r w:rsidRPr="00F67672">
        <w:rPr>
          <w:rFonts w:cs="Arial"/>
          <w:b/>
          <w:bCs/>
          <w:sz w:val="22"/>
          <w:szCs w:val="22"/>
        </w:rPr>
        <w:t>Pridržki</w:t>
      </w:r>
    </w:p>
    <w:p w14:paraId="7F2EE018" w14:textId="77777777" w:rsidR="00F67672" w:rsidRPr="00F67672" w:rsidRDefault="00F67672" w:rsidP="003327AF">
      <w:pPr>
        <w:suppressAutoHyphens w:val="0"/>
        <w:autoSpaceDN/>
        <w:spacing w:after="0" w:line="240" w:lineRule="auto"/>
        <w:jc w:val="both"/>
        <w:rPr>
          <w:rFonts w:cs="Arial"/>
          <w:b/>
          <w:bCs/>
          <w:sz w:val="22"/>
          <w:szCs w:val="22"/>
        </w:rPr>
      </w:pPr>
    </w:p>
    <w:p w14:paraId="0DCA1234" w14:textId="77777777" w:rsidR="00F67672" w:rsidRPr="00F67672" w:rsidRDefault="00F67672" w:rsidP="003327AF">
      <w:pPr>
        <w:suppressAutoHyphens w:val="0"/>
        <w:autoSpaceDN/>
        <w:spacing w:line="240" w:lineRule="auto"/>
        <w:jc w:val="both"/>
        <w:rPr>
          <w:rFonts w:cs="Arial"/>
          <w:szCs w:val="20"/>
        </w:rPr>
      </w:pPr>
      <w:r w:rsidRPr="00F67672">
        <w:rPr>
          <w:rFonts w:cs="Arial"/>
          <w:szCs w:val="20"/>
        </w:rPr>
        <w:t>Analiza je bila narejena na podlagi vprašalnika, ki je bil namenoma zastavljen na način, da pridobimo prvo oceno projektnih predlogov. Prav tako je bil vprašalnik v tej fazi načrtno anonimen zaradi zagotavljanja zaupnosti podatkov predlagateljev projektov, tako da za potrebe analize ni bilo mogoče pridobiti dodatnih informacij ali pojasnil od izpolnjevalcev vprašalnika. Zato vse navedbe v tej analizi predstavljajo zgolj grobo oceno morebitnega absorpcijskega potenciala članov SRIP-ov in jih je potrebno upoštevati ob vseh predpostavkah in omejitvah.</w:t>
      </w:r>
    </w:p>
    <w:p w14:paraId="1C28FE54" w14:textId="77777777" w:rsidR="00F67672" w:rsidRPr="00F67672" w:rsidRDefault="00F67672" w:rsidP="003327AF">
      <w:pPr>
        <w:suppressAutoHyphens w:val="0"/>
        <w:autoSpaceDN/>
        <w:spacing w:after="0" w:line="240" w:lineRule="auto"/>
        <w:jc w:val="both"/>
        <w:rPr>
          <w:rFonts w:cs="Arial"/>
          <w:sz w:val="22"/>
          <w:szCs w:val="22"/>
        </w:rPr>
      </w:pPr>
    </w:p>
    <w:p w14:paraId="6BB1A126" w14:textId="77777777" w:rsidR="00F67672" w:rsidRPr="0025033E" w:rsidRDefault="00F67672" w:rsidP="003327AF">
      <w:pPr>
        <w:suppressAutoHyphens w:val="0"/>
        <w:autoSpaceDN/>
        <w:spacing w:after="0" w:line="240" w:lineRule="auto"/>
        <w:jc w:val="both"/>
        <w:rPr>
          <w:rFonts w:cs="Arial"/>
          <w:b/>
          <w:bCs/>
          <w:sz w:val="22"/>
          <w:szCs w:val="22"/>
        </w:rPr>
      </w:pPr>
      <w:r w:rsidRPr="00F67672">
        <w:rPr>
          <w:rFonts w:cs="Arial"/>
          <w:b/>
          <w:bCs/>
          <w:sz w:val="22"/>
          <w:szCs w:val="22"/>
        </w:rPr>
        <w:t>Ocena potenciala slovenskega gospodarstva na področjih uredbe STEP</w:t>
      </w:r>
    </w:p>
    <w:p w14:paraId="6CC734E4" w14:textId="77777777" w:rsidR="00F67672" w:rsidRPr="00F67672" w:rsidRDefault="00F67672" w:rsidP="003327AF">
      <w:pPr>
        <w:suppressAutoHyphens w:val="0"/>
        <w:autoSpaceDN/>
        <w:spacing w:after="0" w:line="240" w:lineRule="auto"/>
        <w:jc w:val="both"/>
        <w:rPr>
          <w:rFonts w:cs="Arial"/>
          <w:b/>
          <w:bCs/>
          <w:sz w:val="22"/>
          <w:szCs w:val="22"/>
        </w:rPr>
      </w:pPr>
    </w:p>
    <w:p w14:paraId="18801755" w14:textId="5BB7A3C3" w:rsidR="00F67672" w:rsidRPr="0025033E" w:rsidRDefault="00F67672" w:rsidP="003327AF">
      <w:pPr>
        <w:suppressAutoHyphens w:val="0"/>
        <w:autoSpaceDN/>
        <w:spacing w:after="0" w:line="240" w:lineRule="auto"/>
        <w:jc w:val="both"/>
        <w:rPr>
          <w:rFonts w:cs="Arial"/>
          <w:szCs w:val="20"/>
        </w:rPr>
      </w:pPr>
      <w:bookmarkStart w:id="582" w:name="_Hlk178676705"/>
      <w:r w:rsidRPr="00F67672">
        <w:rPr>
          <w:rFonts w:cs="Arial"/>
          <w:szCs w:val="20"/>
        </w:rPr>
        <w:t xml:space="preserve">Ne glede na navedene omenjene pridržke lahko iz navedenega ugotovimo, da obstaja markanten absorpcijski potencial na področjih STEP ter da se slovenska podjetja zavedajo priložnosti tako v smislu perspektivnosti razvojnih področij navedenih v uredbi STEP, kot tudi možnosti financiranja prihodnjih projektov iz naslova virov, ki so v uredbi STEP navedeni. </w:t>
      </w:r>
    </w:p>
    <w:p w14:paraId="576ECBE5" w14:textId="77777777" w:rsidR="00F67672" w:rsidRPr="00F67672" w:rsidRDefault="00F67672" w:rsidP="003327AF">
      <w:pPr>
        <w:suppressAutoHyphens w:val="0"/>
        <w:autoSpaceDN/>
        <w:spacing w:after="0" w:line="240" w:lineRule="auto"/>
        <w:jc w:val="both"/>
        <w:rPr>
          <w:rFonts w:cs="Arial"/>
          <w:szCs w:val="20"/>
        </w:rPr>
      </w:pPr>
    </w:p>
    <w:p w14:paraId="32110B6D" w14:textId="77777777" w:rsidR="009173C9" w:rsidRDefault="00F67672" w:rsidP="003327AF">
      <w:pPr>
        <w:suppressAutoHyphens w:val="0"/>
        <w:autoSpaceDN/>
        <w:spacing w:after="0" w:line="240" w:lineRule="auto"/>
        <w:jc w:val="both"/>
        <w:rPr>
          <w:rFonts w:cs="Arial"/>
          <w:szCs w:val="20"/>
        </w:rPr>
        <w:sectPr w:rsidR="009173C9">
          <w:headerReference w:type="even" r:id="rId31"/>
          <w:footerReference w:type="default" r:id="rId32"/>
          <w:headerReference w:type="first" r:id="rId33"/>
          <w:pgSz w:w="11906" w:h="16838"/>
          <w:pgMar w:top="1418" w:right="1418" w:bottom="851" w:left="1134" w:header="708" w:footer="708" w:gutter="0"/>
          <w:cols w:space="708"/>
        </w:sectPr>
      </w:pPr>
      <w:r w:rsidRPr="00F67672">
        <w:rPr>
          <w:rFonts w:cs="Arial"/>
          <w:szCs w:val="20"/>
        </w:rPr>
        <w:t xml:space="preserve">Pričujoča analiza zajema samo finančni del, ki ga lahko direktno naslovimo z ukrepi EKP v Programu EKP 2021–2027, ne analizira pa možnosti, ki jih ponujajo drugi programi EU (centralizirani) in pa način financiranja s sredstvi PEKP 2021–2027 preko Pečata suverenosti. Glede na izkušnje iz preteklosti, ko so bili slovenski prijavitelji uspešni na centraliziranih projektih po kvaliteti projektne prijave, da pa zaradi pomanjkanja sredstev na razpisu niso uspeli dobiti sofinanciranja na teh programih (npr. </w:t>
      </w:r>
      <w:proofErr w:type="spellStart"/>
      <w:r w:rsidRPr="00F67672">
        <w:rPr>
          <w:rFonts w:cs="Arial"/>
          <w:szCs w:val="20"/>
        </w:rPr>
        <w:t>InnoRenew</w:t>
      </w:r>
      <w:proofErr w:type="spellEnd"/>
      <w:r w:rsidRPr="00F67672">
        <w:rPr>
          <w:rFonts w:cs="Arial"/>
          <w:szCs w:val="20"/>
        </w:rPr>
        <w:t xml:space="preserve"> </w:t>
      </w:r>
      <w:proofErr w:type="spellStart"/>
      <w:r w:rsidRPr="00F67672">
        <w:rPr>
          <w:rFonts w:cs="Arial"/>
          <w:szCs w:val="20"/>
        </w:rPr>
        <w:t>CoE</w:t>
      </w:r>
      <w:proofErr w:type="spellEnd"/>
      <w:r w:rsidRPr="00F67672">
        <w:rPr>
          <w:rFonts w:cs="Arial"/>
          <w:szCs w:val="20"/>
        </w:rPr>
        <w:t>) lahko z veliko verjetnostjo ocenimo, da obstaja tudi absorpcijski potencial za projekte s pridobljenim Pečatom suverenosti. SRIP-e smo pozvali, da sproti zbirajo in nam sporočajo informacije o pridobljenih pečatih njihovih članov.</w:t>
      </w:r>
    </w:p>
    <w:p w14:paraId="32C419DE" w14:textId="2C0BD960" w:rsidR="00F67672" w:rsidRPr="00F67672" w:rsidRDefault="00F67672" w:rsidP="0090150F">
      <w:pPr>
        <w:pStyle w:val="Naslov10"/>
        <w:spacing w:before="0" w:after="0"/>
      </w:pPr>
      <w:bookmarkStart w:id="583" w:name="_Toc188012431"/>
      <w:bookmarkStart w:id="584" w:name="_Toc188012451"/>
      <w:bookmarkStart w:id="585" w:name="_Toc191460237"/>
      <w:bookmarkEnd w:id="582"/>
      <w:r w:rsidRPr="00F67672">
        <w:lastRenderedPageBreak/>
        <w:t>Priloga 3</w:t>
      </w:r>
      <w:r w:rsidR="006F3F90" w:rsidRPr="0025033E">
        <w:t xml:space="preserve">: </w:t>
      </w:r>
      <w:r w:rsidRPr="00F67672">
        <w:t>I</w:t>
      </w:r>
      <w:r w:rsidR="00AA5D10">
        <w:t xml:space="preserve">nformacija o rezultatih -predlogi projektov v povezavi s STEP uredbo Nacionalnega inštituta za biologijo, Instituta “Jožef </w:t>
      </w:r>
      <w:r w:rsidR="00B20366">
        <w:t>s</w:t>
      </w:r>
      <w:r w:rsidR="00AA5D10">
        <w:t>tefan” in Kemijskega inštituta</w:t>
      </w:r>
      <w:bookmarkEnd w:id="585"/>
      <w:r w:rsidR="00AA5D10">
        <w:t xml:space="preserve"> </w:t>
      </w:r>
      <w:bookmarkEnd w:id="583"/>
      <w:bookmarkEnd w:id="584"/>
    </w:p>
    <w:p w14:paraId="28212075" w14:textId="77777777" w:rsidR="00F67672" w:rsidRPr="00F67672" w:rsidRDefault="00F67672" w:rsidP="00ED5676">
      <w:pPr>
        <w:suppressAutoHyphens w:val="0"/>
        <w:autoSpaceDN/>
        <w:spacing w:after="0"/>
        <w:jc w:val="both"/>
        <w:rPr>
          <w:rFonts w:cs="Arial"/>
          <w:sz w:val="22"/>
          <w:szCs w:val="22"/>
          <w:lang w:val="x-none" w:eastAsia="x-none"/>
        </w:rPr>
      </w:pPr>
    </w:p>
    <w:p w14:paraId="19E6F4EF" w14:textId="3F5A9AD3" w:rsidR="00F67672" w:rsidRPr="00F67672" w:rsidRDefault="00F67672" w:rsidP="003327AF">
      <w:pPr>
        <w:suppressAutoHyphens w:val="0"/>
        <w:autoSpaceDN/>
        <w:spacing w:after="0" w:line="240" w:lineRule="auto"/>
        <w:jc w:val="both"/>
        <w:rPr>
          <w:rFonts w:cs="Arial"/>
          <w:szCs w:val="20"/>
          <w:lang w:eastAsia="en-US"/>
        </w:rPr>
      </w:pPr>
      <w:r w:rsidRPr="00F67672">
        <w:rPr>
          <w:rFonts w:cs="Arial"/>
          <w:szCs w:val="20"/>
          <w:lang w:eastAsia="en-US"/>
        </w:rPr>
        <w:t xml:space="preserve">Na Nacionalnem inštitutu za biologijo (NIB), Institutu »Jožefa </w:t>
      </w:r>
      <w:r w:rsidR="00B20366">
        <w:rPr>
          <w:rFonts w:cs="Arial"/>
          <w:szCs w:val="20"/>
          <w:lang w:eastAsia="en-US"/>
        </w:rPr>
        <w:t>S</w:t>
      </w:r>
      <w:r w:rsidRPr="00F67672">
        <w:rPr>
          <w:rFonts w:cs="Arial"/>
          <w:szCs w:val="20"/>
          <w:lang w:eastAsia="en-US"/>
        </w:rPr>
        <w:t>tefana« (IJS) in Kemijskem inštitutu (KI) so v avgustu in v septembru 2024 potekale predstavitve projektov zgoraj omenjenih inštitutov v povezavi s STEP uredbo. Inštituti so nam naknadno posredovali predloge projektov, ki bi jih lahko umestili v okvir STEP Uredbe. Nekaj predlogov je bilo oddanih tudi preko vprašalnika MKRR, ki je bil posredovan članom SRIP-ov za področja STEP.</w:t>
      </w:r>
    </w:p>
    <w:p w14:paraId="4C4F32CA" w14:textId="77777777" w:rsidR="00F67672" w:rsidRPr="00F67672" w:rsidRDefault="00F67672" w:rsidP="003327AF">
      <w:pPr>
        <w:suppressAutoHyphens w:val="0"/>
        <w:autoSpaceDN/>
        <w:spacing w:after="0" w:line="240" w:lineRule="auto"/>
        <w:jc w:val="both"/>
        <w:rPr>
          <w:rFonts w:cs="Arial"/>
          <w:sz w:val="22"/>
          <w:szCs w:val="22"/>
          <w:lang w:eastAsia="en-US"/>
        </w:rPr>
      </w:pPr>
    </w:p>
    <w:p w14:paraId="155C518B" w14:textId="676CD117" w:rsidR="00F67672" w:rsidRPr="00D522BF" w:rsidRDefault="00F67672" w:rsidP="003327AF">
      <w:pPr>
        <w:suppressAutoHyphens w:val="0"/>
        <w:autoSpaceDN/>
        <w:spacing w:after="0" w:line="240" w:lineRule="auto"/>
        <w:jc w:val="both"/>
        <w:rPr>
          <w:rFonts w:cs="Arial"/>
          <w:b/>
          <w:bCs/>
          <w:sz w:val="22"/>
          <w:szCs w:val="22"/>
          <w:lang w:eastAsia="en-US"/>
        </w:rPr>
      </w:pPr>
      <w:r w:rsidRPr="00F67672">
        <w:rPr>
          <w:rFonts w:cs="Arial"/>
          <w:b/>
          <w:bCs/>
          <w:sz w:val="22"/>
          <w:szCs w:val="22"/>
          <w:lang w:eastAsia="en-US"/>
        </w:rPr>
        <w:t>N</w:t>
      </w:r>
      <w:r w:rsidR="00D522BF" w:rsidRPr="00D522BF">
        <w:rPr>
          <w:rFonts w:cs="Arial"/>
          <w:b/>
          <w:bCs/>
          <w:sz w:val="22"/>
          <w:szCs w:val="22"/>
          <w:lang w:eastAsia="en-US"/>
        </w:rPr>
        <w:t>acionalni inštitut za biologijo</w:t>
      </w:r>
    </w:p>
    <w:p w14:paraId="6A56A58F" w14:textId="77777777" w:rsidR="00185BFA" w:rsidRPr="00F67672" w:rsidRDefault="00185BFA" w:rsidP="003327AF">
      <w:pPr>
        <w:suppressAutoHyphens w:val="0"/>
        <w:autoSpaceDN/>
        <w:spacing w:after="0" w:line="240" w:lineRule="auto"/>
        <w:jc w:val="both"/>
        <w:rPr>
          <w:rFonts w:cs="Arial"/>
          <w:b/>
          <w:bCs/>
          <w:color w:val="4472C4" w:themeColor="accent1"/>
          <w:sz w:val="22"/>
          <w:szCs w:val="22"/>
          <w:lang w:eastAsia="en-US"/>
        </w:rPr>
      </w:pPr>
    </w:p>
    <w:p w14:paraId="11B0F307" w14:textId="77777777" w:rsidR="00F67672" w:rsidRPr="00F67672" w:rsidRDefault="00F67672" w:rsidP="003327AF">
      <w:pPr>
        <w:suppressAutoHyphens w:val="0"/>
        <w:autoSpaceDN/>
        <w:spacing w:after="0" w:line="240" w:lineRule="auto"/>
        <w:jc w:val="both"/>
        <w:rPr>
          <w:rFonts w:cs="Arial"/>
          <w:szCs w:val="20"/>
          <w:lang w:eastAsia="en-US"/>
        </w:rPr>
      </w:pPr>
      <w:r w:rsidRPr="00F67672">
        <w:rPr>
          <w:rFonts w:cs="Arial"/>
          <w:szCs w:val="20"/>
          <w:lang w:eastAsia="en-US"/>
        </w:rPr>
        <w:t xml:space="preserve">NIB je pripravil opis 10 projektov in en projekt spin </w:t>
      </w:r>
      <w:proofErr w:type="spellStart"/>
      <w:r w:rsidRPr="00F67672">
        <w:rPr>
          <w:rFonts w:cs="Arial"/>
          <w:szCs w:val="20"/>
          <w:lang w:eastAsia="en-US"/>
        </w:rPr>
        <w:t>off</w:t>
      </w:r>
      <w:proofErr w:type="spellEnd"/>
      <w:r w:rsidRPr="00F67672">
        <w:rPr>
          <w:rFonts w:cs="Arial"/>
          <w:szCs w:val="20"/>
          <w:lang w:eastAsia="en-US"/>
        </w:rPr>
        <w:t xml:space="preserve"> podjetja v povezavi z NIB (projekt DATANA). Večina projektov spada v </w:t>
      </w:r>
      <w:proofErr w:type="spellStart"/>
      <w:r w:rsidRPr="00F67672">
        <w:rPr>
          <w:rFonts w:cs="Arial"/>
          <w:szCs w:val="20"/>
          <w:lang w:eastAsia="en-US"/>
        </w:rPr>
        <w:t>Biotech</w:t>
      </w:r>
      <w:proofErr w:type="spellEnd"/>
      <w:r w:rsidRPr="00F67672">
        <w:rPr>
          <w:rFonts w:cs="Arial"/>
          <w:szCs w:val="20"/>
          <w:lang w:eastAsia="en-US"/>
        </w:rPr>
        <w:t xml:space="preserve"> sektor oziroma nekateri tudi v povezavi z drugimi sektorji, to je </w:t>
      </w:r>
      <w:proofErr w:type="spellStart"/>
      <w:r w:rsidRPr="00F67672">
        <w:rPr>
          <w:rFonts w:cs="Arial"/>
          <w:szCs w:val="20"/>
          <w:lang w:eastAsia="en-US"/>
        </w:rPr>
        <w:t>Cleantech</w:t>
      </w:r>
      <w:proofErr w:type="spellEnd"/>
      <w:r w:rsidRPr="00F67672">
        <w:rPr>
          <w:rFonts w:cs="Arial"/>
          <w:szCs w:val="20"/>
          <w:lang w:eastAsia="en-US"/>
        </w:rPr>
        <w:t xml:space="preserve">, </w:t>
      </w:r>
      <w:proofErr w:type="spellStart"/>
      <w:r w:rsidRPr="00F67672">
        <w:rPr>
          <w:rFonts w:cs="Arial"/>
          <w:szCs w:val="20"/>
          <w:lang w:eastAsia="en-US"/>
        </w:rPr>
        <w:t>Deeptech</w:t>
      </w:r>
      <w:proofErr w:type="spellEnd"/>
      <w:r w:rsidRPr="00F67672">
        <w:rPr>
          <w:rFonts w:cs="Arial"/>
          <w:szCs w:val="20"/>
          <w:lang w:eastAsia="en-US"/>
        </w:rPr>
        <w:t xml:space="preserve"> in </w:t>
      </w:r>
      <w:proofErr w:type="spellStart"/>
      <w:r w:rsidRPr="00F67672">
        <w:rPr>
          <w:rFonts w:cs="Arial"/>
          <w:szCs w:val="20"/>
          <w:lang w:eastAsia="en-US"/>
        </w:rPr>
        <w:t>Digitaltech</w:t>
      </w:r>
      <w:proofErr w:type="spellEnd"/>
      <w:r w:rsidRPr="00F67672">
        <w:rPr>
          <w:rFonts w:cs="Arial"/>
          <w:szCs w:val="20"/>
          <w:lang w:eastAsia="en-US"/>
        </w:rPr>
        <w:t xml:space="preserve">; en projekt »Zagotavljanje čiste vode z uporabo naprednih tehnologij« pa spada v </w:t>
      </w:r>
      <w:proofErr w:type="spellStart"/>
      <w:r w:rsidRPr="00F67672">
        <w:rPr>
          <w:rFonts w:cs="Arial"/>
          <w:szCs w:val="20"/>
          <w:lang w:eastAsia="en-US"/>
        </w:rPr>
        <w:t>Cleantech</w:t>
      </w:r>
      <w:proofErr w:type="spellEnd"/>
      <w:r w:rsidRPr="00F67672">
        <w:rPr>
          <w:rFonts w:cs="Arial"/>
          <w:szCs w:val="20"/>
          <w:lang w:eastAsia="en-US"/>
        </w:rPr>
        <w:t xml:space="preserve"> in </w:t>
      </w:r>
      <w:proofErr w:type="spellStart"/>
      <w:r w:rsidRPr="00F67672">
        <w:rPr>
          <w:rFonts w:cs="Arial"/>
          <w:szCs w:val="20"/>
          <w:lang w:eastAsia="en-US"/>
        </w:rPr>
        <w:t>Deeptech</w:t>
      </w:r>
      <w:proofErr w:type="spellEnd"/>
      <w:r w:rsidRPr="00F67672">
        <w:rPr>
          <w:rFonts w:cs="Arial"/>
          <w:szCs w:val="20"/>
          <w:lang w:eastAsia="en-US"/>
        </w:rPr>
        <w:t xml:space="preserve">. Najnižja vrednost projekta je 650.000 EUR, najvišja pa 4,9 mio EUR; oziroma projekt DATANA (spin </w:t>
      </w:r>
      <w:proofErr w:type="spellStart"/>
      <w:r w:rsidRPr="00F67672">
        <w:rPr>
          <w:rFonts w:cs="Arial"/>
          <w:szCs w:val="20"/>
          <w:lang w:eastAsia="en-US"/>
        </w:rPr>
        <w:t>off</w:t>
      </w:r>
      <w:proofErr w:type="spellEnd"/>
      <w:r w:rsidRPr="00F67672">
        <w:rPr>
          <w:rFonts w:cs="Arial"/>
          <w:szCs w:val="20"/>
          <w:lang w:eastAsia="en-US"/>
        </w:rPr>
        <w:t xml:space="preserve"> od NIB), ki je ocenjen na 12 mio EUR. Večina projektov je ocenjenih na trajanje približno treh let. Najdaljši projekt naj bi trajal 4-5 let in sicer </w:t>
      </w:r>
      <w:proofErr w:type="spellStart"/>
      <w:r w:rsidRPr="00F67672">
        <w:rPr>
          <w:rFonts w:cs="Arial"/>
          <w:szCs w:val="20"/>
          <w:lang w:eastAsia="en-US"/>
        </w:rPr>
        <w:t>SMARTmicrobe</w:t>
      </w:r>
      <w:proofErr w:type="spellEnd"/>
      <w:r w:rsidRPr="00F67672">
        <w:rPr>
          <w:rFonts w:cs="Arial"/>
          <w:szCs w:val="20"/>
          <w:lang w:eastAsia="en-US"/>
        </w:rPr>
        <w:t>: novi pripravki za zaščito poljščin.</w:t>
      </w:r>
    </w:p>
    <w:p w14:paraId="4C68097E" w14:textId="77777777" w:rsidR="00F67672" w:rsidRPr="00F67672" w:rsidRDefault="00F67672" w:rsidP="003327AF">
      <w:pPr>
        <w:suppressAutoHyphens w:val="0"/>
        <w:autoSpaceDN/>
        <w:spacing w:after="0" w:line="240" w:lineRule="auto"/>
        <w:jc w:val="both"/>
        <w:rPr>
          <w:rFonts w:cs="Arial"/>
          <w:sz w:val="22"/>
          <w:szCs w:val="22"/>
          <w:lang w:eastAsia="en-US"/>
        </w:rPr>
      </w:pPr>
    </w:p>
    <w:p w14:paraId="4E40F838" w14:textId="4A0F22FE" w:rsidR="00F67672" w:rsidRPr="00D522BF" w:rsidRDefault="00F67672" w:rsidP="003327AF">
      <w:pPr>
        <w:suppressAutoHyphens w:val="0"/>
        <w:autoSpaceDN/>
        <w:spacing w:after="0" w:line="240" w:lineRule="auto"/>
        <w:jc w:val="both"/>
        <w:rPr>
          <w:rFonts w:cs="Arial"/>
          <w:b/>
          <w:bCs/>
          <w:sz w:val="22"/>
          <w:szCs w:val="22"/>
          <w:lang w:eastAsia="en-US"/>
        </w:rPr>
      </w:pPr>
      <w:r w:rsidRPr="00F67672">
        <w:rPr>
          <w:rFonts w:cs="Arial"/>
          <w:b/>
          <w:bCs/>
          <w:sz w:val="22"/>
          <w:szCs w:val="22"/>
          <w:lang w:eastAsia="en-US"/>
        </w:rPr>
        <w:t>I</w:t>
      </w:r>
      <w:r w:rsidR="00D522BF" w:rsidRPr="00F67672">
        <w:rPr>
          <w:rFonts w:cs="Arial"/>
          <w:b/>
          <w:bCs/>
          <w:sz w:val="22"/>
          <w:szCs w:val="22"/>
          <w:lang w:eastAsia="en-US"/>
        </w:rPr>
        <w:t>nstitut</w:t>
      </w:r>
      <w:r w:rsidRPr="00F67672">
        <w:rPr>
          <w:rFonts w:cs="Arial"/>
          <w:b/>
          <w:bCs/>
          <w:sz w:val="22"/>
          <w:szCs w:val="22"/>
          <w:lang w:eastAsia="en-US"/>
        </w:rPr>
        <w:t xml:space="preserve"> »J</w:t>
      </w:r>
      <w:r w:rsidR="00D522BF" w:rsidRPr="00F67672">
        <w:rPr>
          <w:rFonts w:cs="Arial"/>
          <w:b/>
          <w:bCs/>
          <w:sz w:val="22"/>
          <w:szCs w:val="22"/>
          <w:lang w:eastAsia="en-US"/>
        </w:rPr>
        <w:t>ožef</w:t>
      </w:r>
      <w:r w:rsidRPr="00F67672">
        <w:rPr>
          <w:rFonts w:cs="Arial"/>
          <w:b/>
          <w:bCs/>
          <w:sz w:val="22"/>
          <w:szCs w:val="22"/>
          <w:lang w:eastAsia="en-US"/>
        </w:rPr>
        <w:t xml:space="preserve"> </w:t>
      </w:r>
      <w:r w:rsidR="00B20366">
        <w:rPr>
          <w:rFonts w:cs="Arial"/>
          <w:b/>
          <w:bCs/>
          <w:sz w:val="22"/>
          <w:szCs w:val="22"/>
          <w:lang w:eastAsia="en-US"/>
        </w:rPr>
        <w:t>S</w:t>
      </w:r>
      <w:r w:rsidR="00D522BF" w:rsidRPr="00F67672">
        <w:rPr>
          <w:rFonts w:cs="Arial"/>
          <w:b/>
          <w:bCs/>
          <w:sz w:val="22"/>
          <w:szCs w:val="22"/>
          <w:lang w:eastAsia="en-US"/>
        </w:rPr>
        <w:t>tefan</w:t>
      </w:r>
      <w:r w:rsidRPr="00F67672">
        <w:rPr>
          <w:rFonts w:cs="Arial"/>
          <w:b/>
          <w:bCs/>
          <w:sz w:val="22"/>
          <w:szCs w:val="22"/>
          <w:lang w:eastAsia="en-US"/>
        </w:rPr>
        <w:t>«</w:t>
      </w:r>
    </w:p>
    <w:p w14:paraId="62107345" w14:textId="77777777" w:rsidR="00141903" w:rsidRPr="00F67672" w:rsidRDefault="00141903" w:rsidP="003327AF">
      <w:pPr>
        <w:suppressAutoHyphens w:val="0"/>
        <w:autoSpaceDN/>
        <w:spacing w:after="0" w:line="240" w:lineRule="auto"/>
        <w:jc w:val="both"/>
        <w:rPr>
          <w:rFonts w:cs="Arial"/>
          <w:b/>
          <w:bCs/>
          <w:color w:val="4472C4" w:themeColor="accent1"/>
          <w:sz w:val="22"/>
          <w:szCs w:val="22"/>
          <w:lang w:eastAsia="en-US"/>
        </w:rPr>
      </w:pPr>
    </w:p>
    <w:p w14:paraId="2D7F6731" w14:textId="5DFEF3D9" w:rsidR="00F67672" w:rsidRPr="00F67672" w:rsidRDefault="00F67672" w:rsidP="003327AF">
      <w:pPr>
        <w:suppressAutoHyphens w:val="0"/>
        <w:autoSpaceDN/>
        <w:spacing w:after="0" w:line="240" w:lineRule="auto"/>
        <w:jc w:val="both"/>
        <w:rPr>
          <w:rFonts w:cs="Arial"/>
          <w:szCs w:val="20"/>
          <w:lang w:eastAsia="en-US"/>
        </w:rPr>
      </w:pPr>
      <w:r w:rsidRPr="00F67672">
        <w:rPr>
          <w:rFonts w:cs="Arial"/>
          <w:szCs w:val="20"/>
          <w:lang w:eastAsia="en-US"/>
        </w:rPr>
        <w:t xml:space="preserve">IJS je pripravil opis 21 projektov iz različnih sektorjev, ki so približno enako zastopani po številu. Najnižja vrednost projekta je 50.000 EUR in sicer projekt Razvoj modularno spletnega orodja za oceno izpostavljenosti, ki združuje prostorsko-časovne </w:t>
      </w:r>
      <w:proofErr w:type="spellStart"/>
      <w:r w:rsidRPr="00F67672">
        <w:rPr>
          <w:rFonts w:cs="Arial"/>
          <w:szCs w:val="20"/>
          <w:lang w:eastAsia="en-US"/>
        </w:rPr>
        <w:t>okoljske</w:t>
      </w:r>
      <w:proofErr w:type="spellEnd"/>
      <w:r w:rsidRPr="00F67672">
        <w:rPr>
          <w:rFonts w:cs="Arial"/>
          <w:szCs w:val="20"/>
          <w:lang w:eastAsia="en-US"/>
        </w:rPr>
        <w:t xml:space="preserve"> podatke z individualnimi navadami, najvišja ocenjena vrednost pa znaša 35 mio EUR za področje materialov (</w:t>
      </w:r>
      <w:proofErr w:type="spellStart"/>
      <w:r w:rsidRPr="00F67672">
        <w:rPr>
          <w:rFonts w:cs="Arial"/>
          <w:szCs w:val="20"/>
          <w:lang w:eastAsia="en-US"/>
        </w:rPr>
        <w:t>Fotoelektrokemijska</w:t>
      </w:r>
      <w:proofErr w:type="spellEnd"/>
      <w:r w:rsidRPr="00F67672">
        <w:rPr>
          <w:rFonts w:cs="Arial"/>
          <w:szCs w:val="20"/>
          <w:lang w:eastAsia="en-US"/>
        </w:rPr>
        <w:t xml:space="preserve"> (PEC) cepitev vode, izboljšana s </w:t>
      </w:r>
      <w:proofErr w:type="spellStart"/>
      <w:r w:rsidRPr="00F67672">
        <w:rPr>
          <w:rFonts w:cs="Arial"/>
          <w:szCs w:val="20"/>
          <w:lang w:eastAsia="en-US"/>
        </w:rPr>
        <w:t>piezo</w:t>
      </w:r>
      <w:proofErr w:type="spellEnd"/>
      <w:r w:rsidRPr="00F67672">
        <w:rPr>
          <w:rFonts w:cs="Arial"/>
          <w:szCs w:val="20"/>
          <w:lang w:eastAsia="en-US"/>
        </w:rPr>
        <w:t xml:space="preserve">- in </w:t>
      </w:r>
      <w:proofErr w:type="spellStart"/>
      <w:r w:rsidRPr="00F67672">
        <w:rPr>
          <w:rFonts w:cs="Arial"/>
          <w:szCs w:val="20"/>
          <w:lang w:eastAsia="en-US"/>
        </w:rPr>
        <w:t>pirokatalizo</w:t>
      </w:r>
      <w:proofErr w:type="spellEnd"/>
      <w:r w:rsidRPr="00F67672">
        <w:rPr>
          <w:rFonts w:cs="Arial"/>
          <w:szCs w:val="20"/>
          <w:lang w:eastAsia="en-US"/>
        </w:rPr>
        <w:t xml:space="preserve"> ter novimi ko-katalizatorji brez plemenitih kovin ter uporaba recikliranih sončnih panelov, Razvoj kompozitov mineralne volne in </w:t>
      </w:r>
      <w:proofErr w:type="spellStart"/>
      <w:r w:rsidRPr="00F67672">
        <w:rPr>
          <w:rFonts w:cs="Arial"/>
          <w:szCs w:val="20"/>
          <w:lang w:eastAsia="en-US"/>
        </w:rPr>
        <w:t>aerogelov</w:t>
      </w:r>
      <w:proofErr w:type="spellEnd"/>
      <w:r w:rsidRPr="00F67672">
        <w:rPr>
          <w:rFonts w:cs="Arial"/>
          <w:szCs w:val="20"/>
          <w:lang w:eastAsia="en-US"/>
        </w:rPr>
        <w:t xml:space="preserve"> in Litij ionske tankoplastne baterije v trdnem stanju). Projekti so ocenjeni na trajanje od 1 leta pa tja do 6 let.</w:t>
      </w:r>
    </w:p>
    <w:p w14:paraId="0BA69D65" w14:textId="77777777" w:rsidR="00F67672" w:rsidRPr="00F67672" w:rsidRDefault="00F67672" w:rsidP="003327AF">
      <w:pPr>
        <w:suppressAutoHyphens w:val="0"/>
        <w:autoSpaceDN/>
        <w:spacing w:after="0" w:line="240" w:lineRule="auto"/>
        <w:jc w:val="both"/>
        <w:rPr>
          <w:rFonts w:cs="Arial"/>
          <w:b/>
          <w:bCs/>
          <w:color w:val="4472C4" w:themeColor="accent1"/>
          <w:sz w:val="22"/>
          <w:szCs w:val="22"/>
          <w:lang w:eastAsia="en-US"/>
        </w:rPr>
      </w:pPr>
    </w:p>
    <w:p w14:paraId="11F0CFF6" w14:textId="152AF6A6" w:rsidR="00F67672" w:rsidRPr="00D522BF" w:rsidRDefault="00F67672" w:rsidP="003327AF">
      <w:pPr>
        <w:suppressAutoHyphens w:val="0"/>
        <w:autoSpaceDN/>
        <w:spacing w:after="0" w:line="240" w:lineRule="auto"/>
        <w:jc w:val="both"/>
        <w:rPr>
          <w:rFonts w:cs="Arial"/>
          <w:b/>
          <w:bCs/>
          <w:sz w:val="22"/>
          <w:szCs w:val="22"/>
          <w:lang w:eastAsia="en-US"/>
        </w:rPr>
      </w:pPr>
      <w:r w:rsidRPr="00F67672">
        <w:rPr>
          <w:rFonts w:cs="Arial"/>
          <w:b/>
          <w:bCs/>
          <w:sz w:val="22"/>
          <w:szCs w:val="22"/>
          <w:lang w:eastAsia="en-US"/>
        </w:rPr>
        <w:t>K</w:t>
      </w:r>
      <w:r w:rsidR="00D522BF" w:rsidRPr="00F67672">
        <w:rPr>
          <w:rFonts w:cs="Arial"/>
          <w:b/>
          <w:bCs/>
          <w:sz w:val="22"/>
          <w:szCs w:val="22"/>
          <w:lang w:eastAsia="en-US"/>
        </w:rPr>
        <w:t>emijski inštitut</w:t>
      </w:r>
    </w:p>
    <w:p w14:paraId="59055D7B" w14:textId="77777777" w:rsidR="00141903" w:rsidRPr="00F67672" w:rsidRDefault="00141903" w:rsidP="003327AF">
      <w:pPr>
        <w:suppressAutoHyphens w:val="0"/>
        <w:autoSpaceDN/>
        <w:spacing w:after="0" w:line="240" w:lineRule="auto"/>
        <w:jc w:val="both"/>
        <w:rPr>
          <w:rFonts w:cs="Arial"/>
          <w:b/>
          <w:bCs/>
          <w:color w:val="4472C4" w:themeColor="accent1"/>
          <w:sz w:val="22"/>
          <w:szCs w:val="22"/>
          <w:lang w:eastAsia="en-US"/>
        </w:rPr>
      </w:pPr>
    </w:p>
    <w:p w14:paraId="5E66C08B" w14:textId="77777777" w:rsidR="00F67672" w:rsidRPr="00F67672" w:rsidRDefault="00F67672" w:rsidP="003327AF">
      <w:pPr>
        <w:suppressAutoHyphens w:val="0"/>
        <w:autoSpaceDN/>
        <w:spacing w:after="0" w:line="240" w:lineRule="auto"/>
        <w:jc w:val="both"/>
        <w:rPr>
          <w:rFonts w:cs="Arial"/>
          <w:szCs w:val="20"/>
          <w:lang w:eastAsia="en-US"/>
        </w:rPr>
      </w:pPr>
      <w:r w:rsidRPr="00F67672">
        <w:rPr>
          <w:rFonts w:cs="Arial"/>
          <w:szCs w:val="20"/>
          <w:lang w:eastAsia="en-US"/>
        </w:rPr>
        <w:t xml:space="preserve">KI je pripravil 22 predlogov projektov, največ v </w:t>
      </w:r>
      <w:proofErr w:type="spellStart"/>
      <w:r w:rsidRPr="00F67672">
        <w:rPr>
          <w:rFonts w:cs="Arial"/>
          <w:szCs w:val="20"/>
          <w:lang w:eastAsia="en-US"/>
        </w:rPr>
        <w:t>Cleantech</w:t>
      </w:r>
      <w:proofErr w:type="spellEnd"/>
      <w:r w:rsidRPr="00F67672">
        <w:rPr>
          <w:rFonts w:cs="Arial"/>
          <w:szCs w:val="20"/>
          <w:lang w:eastAsia="en-US"/>
        </w:rPr>
        <w:t xml:space="preserve"> sektorju, sledijo projekti iz </w:t>
      </w:r>
      <w:proofErr w:type="spellStart"/>
      <w:r w:rsidRPr="00F67672">
        <w:rPr>
          <w:rFonts w:cs="Arial"/>
          <w:szCs w:val="20"/>
          <w:lang w:eastAsia="en-US"/>
        </w:rPr>
        <w:t>Biotech</w:t>
      </w:r>
      <w:proofErr w:type="spellEnd"/>
      <w:r w:rsidRPr="00F67672">
        <w:rPr>
          <w:rFonts w:cs="Arial"/>
          <w:szCs w:val="20"/>
          <w:lang w:eastAsia="en-US"/>
        </w:rPr>
        <w:t xml:space="preserve"> sektorja. Najnižja vrednost projekta je 0,7 mio EUR in sicer Trajnostni vidik vetrnih turbin, najvišja pa 35 mio EUR in sicer Raziskovalno središče Kemijskega inštituta za trajnostne tehnologije – KI3. Projekti naj bi trajali od dveh do pet let.</w:t>
      </w:r>
    </w:p>
    <w:p w14:paraId="26F58CD5" w14:textId="77777777" w:rsidR="00F67672" w:rsidRPr="00F67672" w:rsidRDefault="00F67672" w:rsidP="003327AF">
      <w:pPr>
        <w:suppressAutoHyphens w:val="0"/>
        <w:autoSpaceDN/>
        <w:spacing w:after="0" w:line="240" w:lineRule="auto"/>
        <w:jc w:val="both"/>
        <w:rPr>
          <w:rFonts w:cs="Arial"/>
          <w:szCs w:val="20"/>
          <w:u w:val="single"/>
          <w:lang w:eastAsia="en-US"/>
        </w:rPr>
      </w:pPr>
    </w:p>
    <w:p w14:paraId="35289648" w14:textId="77777777" w:rsidR="00F67672" w:rsidRPr="00EA4649" w:rsidRDefault="00F67672" w:rsidP="003327AF">
      <w:pPr>
        <w:suppressAutoHyphens w:val="0"/>
        <w:autoSpaceDN/>
        <w:spacing w:after="0" w:line="240" w:lineRule="auto"/>
        <w:jc w:val="both"/>
        <w:rPr>
          <w:rFonts w:cs="Arial"/>
          <w:b/>
          <w:bCs/>
          <w:sz w:val="22"/>
          <w:szCs w:val="22"/>
          <w:u w:val="single"/>
          <w:lang w:eastAsia="en-US"/>
        </w:rPr>
      </w:pPr>
      <w:r w:rsidRPr="00EA4649">
        <w:rPr>
          <w:rFonts w:cs="Arial"/>
          <w:b/>
          <w:bCs/>
          <w:sz w:val="22"/>
          <w:szCs w:val="22"/>
          <w:u w:val="single"/>
          <w:lang w:eastAsia="en-US"/>
        </w:rPr>
        <w:t>Povzetek:</w:t>
      </w:r>
    </w:p>
    <w:p w14:paraId="1940CC55" w14:textId="77777777" w:rsidR="00F67672" w:rsidRPr="00F67672" w:rsidRDefault="00F67672" w:rsidP="003327AF">
      <w:pPr>
        <w:suppressAutoHyphens w:val="0"/>
        <w:autoSpaceDN/>
        <w:spacing w:after="0" w:line="240" w:lineRule="auto"/>
        <w:jc w:val="both"/>
        <w:rPr>
          <w:rFonts w:cs="Arial"/>
          <w:b/>
          <w:bCs/>
          <w:szCs w:val="20"/>
          <w:u w:val="single"/>
          <w:lang w:eastAsia="en-US"/>
        </w:rPr>
      </w:pPr>
    </w:p>
    <w:p w14:paraId="711A05E5" w14:textId="18DDBE66" w:rsidR="00F67672" w:rsidRPr="00F67672" w:rsidRDefault="00F67672" w:rsidP="003327AF">
      <w:pPr>
        <w:suppressAutoHyphens w:val="0"/>
        <w:autoSpaceDN/>
        <w:spacing w:line="240" w:lineRule="auto"/>
        <w:jc w:val="both"/>
        <w:rPr>
          <w:rFonts w:cs="Arial"/>
          <w:szCs w:val="20"/>
          <w:lang w:val="x-none" w:eastAsia="x-none"/>
        </w:rPr>
      </w:pPr>
      <w:r w:rsidRPr="00F67672">
        <w:rPr>
          <w:rFonts w:cs="Arial"/>
          <w:szCs w:val="20"/>
          <w:lang w:eastAsia="en-US"/>
        </w:rPr>
        <w:t xml:space="preserve">Inštituti so podali predlog 54 projektov, skupna ocenjena vrednost projektov znaša 376 mio EUR. Najnižja ocenjena vrednost projekta je 50.000 EUR, najvišja pa 35 mio EUR. Projekti trajajo od enega pa do šest let. Največ predlogov projektov je v sektorju čiste, </w:t>
      </w:r>
      <w:proofErr w:type="spellStart"/>
      <w:r w:rsidRPr="00F67672">
        <w:rPr>
          <w:rFonts w:cs="Arial"/>
          <w:szCs w:val="20"/>
          <w:lang w:eastAsia="en-US"/>
        </w:rPr>
        <w:t>brezogljične</w:t>
      </w:r>
      <w:proofErr w:type="spellEnd"/>
      <w:r w:rsidRPr="00F67672">
        <w:rPr>
          <w:rFonts w:cs="Arial"/>
          <w:szCs w:val="20"/>
          <w:lang w:eastAsia="en-US"/>
        </w:rPr>
        <w:t xml:space="preserve"> in z viri učinkovite tehnologije (</w:t>
      </w:r>
      <w:proofErr w:type="spellStart"/>
      <w:r w:rsidRPr="00F67672">
        <w:rPr>
          <w:rFonts w:cs="Arial"/>
          <w:szCs w:val="20"/>
          <w:lang w:eastAsia="en-US"/>
        </w:rPr>
        <w:t>cleantech</w:t>
      </w:r>
      <w:proofErr w:type="spellEnd"/>
      <w:r w:rsidRPr="00F67672">
        <w:rPr>
          <w:rFonts w:cs="Arial"/>
          <w:szCs w:val="20"/>
          <w:lang w:eastAsia="en-US"/>
        </w:rPr>
        <w:t>), sledi sektor biotehnologije (</w:t>
      </w:r>
      <w:proofErr w:type="spellStart"/>
      <w:r w:rsidRPr="00F67672">
        <w:rPr>
          <w:rFonts w:cs="Arial"/>
          <w:szCs w:val="20"/>
          <w:lang w:eastAsia="en-US"/>
        </w:rPr>
        <w:t>biotech</w:t>
      </w:r>
      <w:proofErr w:type="spellEnd"/>
      <w:r w:rsidRPr="00F67672">
        <w:rPr>
          <w:rFonts w:cs="Arial"/>
          <w:szCs w:val="20"/>
          <w:lang w:eastAsia="en-US"/>
        </w:rPr>
        <w:t xml:space="preserve">), malenkost manj pa je projektov je v sektorju digitalne tehnologije in </w:t>
      </w:r>
      <w:proofErr w:type="spellStart"/>
      <w:r w:rsidRPr="00F67672">
        <w:rPr>
          <w:rFonts w:cs="Arial"/>
          <w:szCs w:val="20"/>
          <w:lang w:eastAsia="en-US"/>
        </w:rPr>
        <w:t>globokotehnološke</w:t>
      </w:r>
      <w:proofErr w:type="spellEnd"/>
      <w:r w:rsidRPr="00F67672">
        <w:rPr>
          <w:rFonts w:cs="Arial"/>
          <w:szCs w:val="20"/>
          <w:lang w:eastAsia="en-US"/>
        </w:rPr>
        <w:t xml:space="preserve"> inovacije (</w:t>
      </w:r>
      <w:proofErr w:type="spellStart"/>
      <w:r w:rsidRPr="00F67672">
        <w:rPr>
          <w:rFonts w:cs="Arial"/>
          <w:szCs w:val="20"/>
          <w:lang w:eastAsia="en-US"/>
        </w:rPr>
        <w:t>digitaltech</w:t>
      </w:r>
      <w:proofErr w:type="spellEnd"/>
      <w:r w:rsidRPr="00F67672">
        <w:rPr>
          <w:rFonts w:cs="Arial"/>
          <w:szCs w:val="20"/>
          <w:lang w:eastAsia="en-US"/>
        </w:rPr>
        <w:t xml:space="preserve"> in </w:t>
      </w:r>
      <w:proofErr w:type="spellStart"/>
      <w:r w:rsidRPr="00F67672">
        <w:rPr>
          <w:rFonts w:cs="Arial"/>
          <w:szCs w:val="20"/>
          <w:lang w:eastAsia="en-US"/>
        </w:rPr>
        <w:t>deeptech</w:t>
      </w:r>
      <w:proofErr w:type="spellEnd"/>
      <w:r w:rsidRPr="00F67672">
        <w:rPr>
          <w:rFonts w:cs="Arial"/>
          <w:szCs w:val="20"/>
          <w:lang w:eastAsia="en-US"/>
        </w:rPr>
        <w:t>). Nekateri projekti spadajo tudi v več sektorjev.</w:t>
      </w:r>
    </w:p>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14:paraId="6206BECC" w14:textId="708AF20C" w:rsidR="000E7A5A" w:rsidRPr="00B05431" w:rsidRDefault="000E7A5A" w:rsidP="003327AF">
      <w:pPr>
        <w:spacing w:line="240" w:lineRule="auto"/>
        <w:jc w:val="both"/>
        <w:rPr>
          <w:rFonts w:cs="Arial"/>
          <w:sz w:val="22"/>
          <w:szCs w:val="22"/>
        </w:rPr>
      </w:pPr>
    </w:p>
    <w:p w14:paraId="5528CED2" w14:textId="77777777" w:rsidR="00ED5676" w:rsidRPr="00B05431" w:rsidRDefault="00ED5676" w:rsidP="003327AF">
      <w:pPr>
        <w:spacing w:line="240" w:lineRule="auto"/>
        <w:jc w:val="both"/>
        <w:rPr>
          <w:rFonts w:cs="Arial"/>
          <w:sz w:val="22"/>
          <w:szCs w:val="22"/>
        </w:rPr>
      </w:pPr>
    </w:p>
    <w:sectPr w:rsidR="00ED5676" w:rsidRPr="00B05431">
      <w:pgSz w:w="11906" w:h="16838"/>
      <w:pgMar w:top="1418" w:right="1418"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621A" w14:textId="77777777" w:rsidR="00306071" w:rsidRDefault="00306071">
      <w:pPr>
        <w:spacing w:after="0" w:line="240" w:lineRule="auto"/>
      </w:pPr>
      <w:r>
        <w:separator/>
      </w:r>
    </w:p>
  </w:endnote>
  <w:endnote w:type="continuationSeparator" w:id="0">
    <w:p w14:paraId="74EB2A00" w14:textId="77777777" w:rsidR="00306071" w:rsidRDefault="00306071">
      <w:pPr>
        <w:spacing w:after="0" w:line="240" w:lineRule="auto"/>
      </w:pPr>
      <w:r>
        <w:continuationSeparator/>
      </w:r>
    </w:p>
  </w:endnote>
  <w:endnote w:type="continuationNotice" w:id="1">
    <w:p w14:paraId="2B60E34F" w14:textId="77777777" w:rsidR="00FA04BC" w:rsidRDefault="00FA0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GGothicM">
    <w:panose1 w:val="00000000000000000000"/>
    <w:charset w:val="80"/>
    <w:family w:val="roman"/>
    <w:notTrueType/>
    <w:pitch w:val="default"/>
  </w:font>
  <w:font w:name="HGSMinchoE">
    <w:charset w:val="80"/>
    <w:family w:val="roman"/>
    <w:pitch w:val="variable"/>
    <w:sig w:usb0="E00002FF" w:usb1="2AC7EDFE" w:usb2="00000012" w:usb3="00000000" w:csb0="00020001" w:csb1="00000000"/>
  </w:font>
  <w:font w:name="Garamond">
    <w:panose1 w:val="02020404030301010803"/>
    <w:charset w:val="EE"/>
    <w:family w:val="roman"/>
    <w:pitch w:val="variable"/>
    <w:sig w:usb0="00000287" w:usb1="00000000" w:usb2="00000000" w:usb3="00000000" w:csb0="0000009F" w:csb1="00000000"/>
  </w:font>
  <w:font w:name="Liberation Sans">
    <w:charset w:val="01"/>
    <w:family w:val="swiss"/>
    <w:pitch w:val="default"/>
  </w:font>
  <w:font w:name="CG Times">
    <w:charset w:val="01"/>
    <w:family w:val="roman"/>
    <w:pitch w:val="variable"/>
  </w:font>
  <w:font w:name="Franklin Gothic Medium">
    <w:panose1 w:val="020B0603020102020204"/>
    <w:charset w:val="EE"/>
    <w:family w:val="swiss"/>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4CDF" w14:textId="4F594DD9" w:rsidR="00306071" w:rsidRDefault="00306071" w:rsidP="00623803">
    <w:pPr>
      <w:pStyle w:val="Noga"/>
      <w:jc w:val="right"/>
    </w:pPr>
    <w:r>
      <w:rPr>
        <w:color w:val="5B9BD5"/>
        <w:sz w:val="16"/>
        <w:szCs w:val="16"/>
      </w:rPr>
      <w:t xml:space="preserve">Stran </w:t>
    </w:r>
    <w:r>
      <w:rPr>
        <w:b/>
        <w:bCs/>
        <w:color w:val="5B9BD5"/>
        <w:sz w:val="16"/>
        <w:szCs w:val="16"/>
      </w:rPr>
      <w:fldChar w:fldCharType="begin"/>
    </w:r>
    <w:r>
      <w:rPr>
        <w:b/>
        <w:bCs/>
        <w:color w:val="5B9BD5"/>
        <w:sz w:val="16"/>
        <w:szCs w:val="16"/>
      </w:rPr>
      <w:instrText xml:space="preserve"> PAGE </w:instrText>
    </w:r>
    <w:r>
      <w:rPr>
        <w:b/>
        <w:bCs/>
        <w:color w:val="5B9BD5"/>
        <w:sz w:val="16"/>
        <w:szCs w:val="16"/>
      </w:rPr>
      <w:fldChar w:fldCharType="separate"/>
    </w:r>
    <w:r>
      <w:rPr>
        <w:b/>
        <w:bCs/>
        <w:color w:val="5B9BD5"/>
        <w:sz w:val="16"/>
        <w:szCs w:val="16"/>
      </w:rPr>
      <w:t>45</w:t>
    </w:r>
    <w:r>
      <w:rPr>
        <w:b/>
        <w:bCs/>
        <w:color w:val="5B9BD5"/>
        <w:sz w:val="16"/>
        <w:szCs w:val="16"/>
      </w:rPr>
      <w:fldChar w:fldCharType="end"/>
    </w:r>
    <w:r>
      <w:rPr>
        <w:color w:val="5B9BD5"/>
        <w:sz w:val="16"/>
        <w:szCs w:val="16"/>
      </w:rPr>
      <w:t xml:space="preserve"> od </w:t>
    </w:r>
    <w:r>
      <w:rPr>
        <w:b/>
        <w:bCs/>
        <w:color w:val="5B9BD5"/>
        <w:sz w:val="16"/>
        <w:szCs w:val="16"/>
      </w:rPr>
      <w:fldChar w:fldCharType="begin"/>
    </w:r>
    <w:r>
      <w:rPr>
        <w:b/>
        <w:bCs/>
        <w:color w:val="5B9BD5"/>
        <w:sz w:val="16"/>
        <w:szCs w:val="16"/>
      </w:rPr>
      <w:instrText xml:space="preserve"> NUMPAGES </w:instrText>
    </w:r>
    <w:r>
      <w:rPr>
        <w:b/>
        <w:bCs/>
        <w:color w:val="5B9BD5"/>
        <w:sz w:val="16"/>
        <w:szCs w:val="16"/>
      </w:rPr>
      <w:fldChar w:fldCharType="separate"/>
    </w:r>
    <w:r>
      <w:rPr>
        <w:b/>
        <w:bCs/>
        <w:color w:val="5B9BD5"/>
        <w:sz w:val="16"/>
        <w:szCs w:val="16"/>
      </w:rPr>
      <w:t>46</w:t>
    </w:r>
    <w:r>
      <w:rPr>
        <w:b/>
        <w:bCs/>
        <w:color w:val="5B9BD5"/>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66C9" w14:textId="77777777" w:rsidR="009D68EB" w:rsidRPr="00485B7D" w:rsidRDefault="009D68EB">
    <w:pPr>
      <w:pStyle w:val="Noga"/>
      <w:jc w:val="right"/>
      <w:rPr>
        <w:color w:val="5B9BD5"/>
        <w:sz w:val="16"/>
        <w:szCs w:val="16"/>
      </w:rPr>
    </w:pPr>
    <w:r w:rsidRPr="00485B7D">
      <w:rPr>
        <w:color w:val="5B9BD5"/>
        <w:sz w:val="16"/>
        <w:szCs w:val="16"/>
      </w:rPr>
      <w:t xml:space="preserve">Stran </w:t>
    </w:r>
    <w:r w:rsidRPr="00485B7D">
      <w:rPr>
        <w:b/>
        <w:bCs/>
        <w:color w:val="5B9BD5"/>
        <w:sz w:val="16"/>
        <w:szCs w:val="16"/>
      </w:rPr>
      <w:fldChar w:fldCharType="begin"/>
    </w:r>
    <w:r w:rsidRPr="00485B7D">
      <w:rPr>
        <w:b/>
        <w:bCs/>
        <w:color w:val="5B9BD5"/>
        <w:sz w:val="16"/>
        <w:szCs w:val="16"/>
      </w:rPr>
      <w:instrText>PAGE</w:instrText>
    </w:r>
    <w:r w:rsidRPr="00485B7D">
      <w:rPr>
        <w:b/>
        <w:bCs/>
        <w:color w:val="5B9BD5"/>
        <w:sz w:val="16"/>
        <w:szCs w:val="16"/>
      </w:rPr>
      <w:fldChar w:fldCharType="separate"/>
    </w:r>
    <w:r>
      <w:rPr>
        <w:b/>
        <w:bCs/>
        <w:noProof/>
        <w:color w:val="5B9BD5"/>
        <w:sz w:val="16"/>
        <w:szCs w:val="16"/>
      </w:rPr>
      <w:t>43</w:t>
    </w:r>
    <w:r w:rsidRPr="00485B7D">
      <w:rPr>
        <w:b/>
        <w:bCs/>
        <w:color w:val="5B9BD5"/>
        <w:sz w:val="16"/>
        <w:szCs w:val="16"/>
      </w:rPr>
      <w:fldChar w:fldCharType="end"/>
    </w:r>
    <w:r w:rsidRPr="00485B7D">
      <w:rPr>
        <w:color w:val="5B9BD5"/>
        <w:sz w:val="16"/>
        <w:szCs w:val="16"/>
      </w:rPr>
      <w:t xml:space="preserve"> od </w:t>
    </w:r>
    <w:r>
      <w:rPr>
        <w:b/>
        <w:bCs/>
        <w:color w:val="5B9BD5"/>
        <w:sz w:val="16"/>
        <w:szCs w:val="16"/>
      </w:rPr>
      <w:fldChar w:fldCharType="begin"/>
    </w:r>
    <w:r>
      <w:rPr>
        <w:b/>
        <w:bCs/>
        <w:color w:val="5B9BD5"/>
        <w:sz w:val="16"/>
        <w:szCs w:val="16"/>
      </w:rPr>
      <w:instrText xml:space="preserve"> NUMPAGES  </w:instrText>
    </w:r>
    <w:r>
      <w:rPr>
        <w:b/>
        <w:bCs/>
        <w:color w:val="5B9BD5"/>
        <w:sz w:val="16"/>
        <w:szCs w:val="16"/>
      </w:rPr>
      <w:fldChar w:fldCharType="separate"/>
    </w:r>
    <w:r>
      <w:rPr>
        <w:b/>
        <w:bCs/>
        <w:noProof/>
        <w:color w:val="5B9BD5"/>
        <w:sz w:val="16"/>
        <w:szCs w:val="16"/>
      </w:rPr>
      <w:t>43</w:t>
    </w:r>
    <w:r>
      <w:rPr>
        <w:b/>
        <w:bCs/>
        <w:color w:val="5B9BD5"/>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65E7" w14:textId="21F69C06" w:rsidR="00306071" w:rsidRDefault="00306071" w:rsidP="00623803">
    <w:pPr>
      <w:pStyle w:val="Noga"/>
      <w:jc w:val="right"/>
    </w:pPr>
    <w:r>
      <w:rPr>
        <w:color w:val="5B9BD5"/>
        <w:sz w:val="16"/>
        <w:szCs w:val="16"/>
      </w:rPr>
      <w:t xml:space="preserve">Stran </w:t>
    </w:r>
    <w:r>
      <w:rPr>
        <w:b/>
        <w:bCs/>
        <w:color w:val="5B9BD5"/>
        <w:sz w:val="16"/>
        <w:szCs w:val="16"/>
      </w:rPr>
      <w:fldChar w:fldCharType="begin"/>
    </w:r>
    <w:r>
      <w:rPr>
        <w:b/>
        <w:bCs/>
        <w:color w:val="5B9BD5"/>
        <w:sz w:val="16"/>
        <w:szCs w:val="16"/>
      </w:rPr>
      <w:instrText xml:space="preserve"> PAGE </w:instrText>
    </w:r>
    <w:r>
      <w:rPr>
        <w:b/>
        <w:bCs/>
        <w:color w:val="5B9BD5"/>
        <w:sz w:val="16"/>
        <w:szCs w:val="16"/>
      </w:rPr>
      <w:fldChar w:fldCharType="separate"/>
    </w:r>
    <w:r>
      <w:rPr>
        <w:b/>
        <w:bCs/>
        <w:color w:val="5B9BD5"/>
        <w:sz w:val="16"/>
        <w:szCs w:val="16"/>
      </w:rPr>
      <w:t>45</w:t>
    </w:r>
    <w:r>
      <w:rPr>
        <w:b/>
        <w:bCs/>
        <w:color w:val="5B9BD5"/>
        <w:sz w:val="16"/>
        <w:szCs w:val="16"/>
      </w:rPr>
      <w:fldChar w:fldCharType="end"/>
    </w:r>
    <w:r>
      <w:rPr>
        <w:color w:val="5B9BD5"/>
        <w:sz w:val="16"/>
        <w:szCs w:val="16"/>
      </w:rPr>
      <w:t xml:space="preserve"> od </w:t>
    </w:r>
    <w:r>
      <w:rPr>
        <w:b/>
        <w:bCs/>
        <w:color w:val="5B9BD5"/>
        <w:sz w:val="16"/>
        <w:szCs w:val="16"/>
      </w:rPr>
      <w:fldChar w:fldCharType="begin"/>
    </w:r>
    <w:r>
      <w:rPr>
        <w:b/>
        <w:bCs/>
        <w:color w:val="5B9BD5"/>
        <w:sz w:val="16"/>
        <w:szCs w:val="16"/>
      </w:rPr>
      <w:instrText xml:space="preserve"> NUMPAGES </w:instrText>
    </w:r>
    <w:r>
      <w:rPr>
        <w:b/>
        <w:bCs/>
        <w:color w:val="5B9BD5"/>
        <w:sz w:val="16"/>
        <w:szCs w:val="16"/>
      </w:rPr>
      <w:fldChar w:fldCharType="separate"/>
    </w:r>
    <w:r>
      <w:rPr>
        <w:b/>
        <w:bCs/>
        <w:color w:val="5B9BD5"/>
        <w:sz w:val="16"/>
        <w:szCs w:val="16"/>
      </w:rPr>
      <w:t>46</w:t>
    </w:r>
    <w:r>
      <w:rPr>
        <w:b/>
        <w:bCs/>
        <w:color w:val="5B9BD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450E" w14:textId="77777777" w:rsidR="00306071" w:rsidRDefault="00306071">
      <w:pPr>
        <w:spacing w:after="0" w:line="240" w:lineRule="auto"/>
      </w:pPr>
      <w:r>
        <w:rPr>
          <w:color w:val="000000"/>
        </w:rPr>
        <w:separator/>
      </w:r>
    </w:p>
  </w:footnote>
  <w:footnote w:type="continuationSeparator" w:id="0">
    <w:p w14:paraId="652E4EA7" w14:textId="77777777" w:rsidR="00306071" w:rsidRDefault="00306071">
      <w:pPr>
        <w:spacing w:after="0" w:line="240" w:lineRule="auto"/>
      </w:pPr>
      <w:r>
        <w:continuationSeparator/>
      </w:r>
    </w:p>
  </w:footnote>
  <w:footnote w:type="continuationNotice" w:id="1">
    <w:p w14:paraId="01F48F9F" w14:textId="77777777" w:rsidR="00FA04BC" w:rsidRDefault="00FA04BC">
      <w:pPr>
        <w:spacing w:after="0" w:line="240" w:lineRule="auto"/>
      </w:pPr>
    </w:p>
  </w:footnote>
  <w:footnote w:id="2">
    <w:p w14:paraId="6F5DD2EC" w14:textId="77777777" w:rsidR="009D68EB" w:rsidRPr="009D68EB" w:rsidRDefault="009D68EB" w:rsidP="00375290">
      <w:pPr>
        <w:pStyle w:val="Sprotnaopomba-besedilo"/>
        <w:spacing w:after="0"/>
        <w:jc w:val="both"/>
        <w:rPr>
          <w:rFonts w:ascii="Arial" w:hAnsi="Arial" w:cs="Arial"/>
          <w:sz w:val="18"/>
          <w:szCs w:val="18"/>
        </w:rPr>
      </w:pPr>
      <w:r w:rsidRPr="009D68EB">
        <w:rPr>
          <w:rStyle w:val="Sprotnaopomba-sklic"/>
          <w:rFonts w:ascii="Arial" w:hAnsi="Arial" w:cs="Arial"/>
          <w:sz w:val="18"/>
        </w:rPr>
        <w:footnoteRef/>
      </w:r>
      <w:r w:rsidRPr="009D68EB">
        <w:rPr>
          <w:rFonts w:ascii="Arial" w:hAnsi="Arial" w:cs="Arial"/>
          <w:sz w:val="18"/>
        </w:rPr>
        <w:t xml:space="preserve"> </w:t>
      </w:r>
      <w:r w:rsidRPr="009D68EB">
        <w:rPr>
          <w:rFonts w:ascii="Arial" w:hAnsi="Arial" w:cs="Arial"/>
          <w:sz w:val="18"/>
          <w:szCs w:val="18"/>
        </w:rPr>
        <w:t xml:space="preserve">Vrednost evropskih sredstev, brez slovenske udeležbe. Vrednost vključuje tudi pravice porabe v okviru mehanizma </w:t>
      </w:r>
      <w:proofErr w:type="spellStart"/>
      <w:r w:rsidRPr="009D68EB">
        <w:rPr>
          <w:rFonts w:ascii="Arial" w:hAnsi="Arial" w:cs="Arial"/>
          <w:sz w:val="18"/>
          <w:szCs w:val="18"/>
        </w:rPr>
        <w:t>React</w:t>
      </w:r>
      <w:proofErr w:type="spellEnd"/>
      <w:r w:rsidRPr="009D68EB">
        <w:rPr>
          <w:rFonts w:ascii="Arial" w:hAnsi="Arial" w:cs="Arial"/>
          <w:sz w:val="18"/>
          <w:szCs w:val="18"/>
        </w:rPr>
        <w:t xml:space="preserve"> EU.</w:t>
      </w:r>
    </w:p>
  </w:footnote>
  <w:footnote w:id="3">
    <w:p w14:paraId="53A3BBA6" w14:textId="77777777" w:rsidR="009D68EB" w:rsidRPr="000C0A3D" w:rsidRDefault="009D68EB" w:rsidP="009D68EB">
      <w:pPr>
        <w:pStyle w:val="Sprotnaopomba-besedilo"/>
        <w:spacing w:after="0"/>
        <w:rPr>
          <w:rFonts w:ascii="Arial" w:hAnsi="Arial" w:cs="Arial"/>
          <w:sz w:val="16"/>
          <w:szCs w:val="16"/>
        </w:rPr>
      </w:pPr>
      <w:r w:rsidRPr="000C0A3D">
        <w:rPr>
          <w:rStyle w:val="Sprotnaopomba-sklic"/>
          <w:rFonts w:ascii="Arial" w:hAnsi="Arial" w:cs="Arial"/>
          <w:sz w:val="18"/>
          <w:szCs w:val="16"/>
        </w:rPr>
        <w:footnoteRef/>
      </w:r>
      <w:r w:rsidRPr="000C0A3D">
        <w:rPr>
          <w:rFonts w:ascii="Arial" w:hAnsi="Arial" w:cs="Arial"/>
          <w:sz w:val="16"/>
          <w:szCs w:val="16"/>
        </w:rPr>
        <w:t xml:space="preserve"> </w:t>
      </w:r>
      <w:r w:rsidRPr="000C0A3D">
        <w:rPr>
          <w:rFonts w:ascii="Arial" w:hAnsi="Arial" w:cs="Arial"/>
          <w:sz w:val="18"/>
          <w:szCs w:val="18"/>
        </w:rPr>
        <w:t>V primeru velikih projektov EK izda sklep o potrditvi državi članici.</w:t>
      </w:r>
      <w:r w:rsidRPr="000C0A3D">
        <w:rPr>
          <w:rFonts w:ascii="Arial" w:hAnsi="Arial" w:cs="Arial"/>
          <w:sz w:val="16"/>
          <w:szCs w:val="16"/>
        </w:rPr>
        <w:t xml:space="preserve">  </w:t>
      </w:r>
    </w:p>
  </w:footnote>
  <w:footnote w:id="4">
    <w:p w14:paraId="07F0D31B" w14:textId="7A4F6456" w:rsidR="002B6052" w:rsidRPr="002B6052" w:rsidRDefault="002B6052" w:rsidP="002B6052">
      <w:pPr>
        <w:pStyle w:val="Sprotnaopomba-besedilo"/>
        <w:spacing w:after="0"/>
        <w:jc w:val="both"/>
        <w:rPr>
          <w:rFonts w:ascii="Arial" w:hAnsi="Arial" w:cs="Arial"/>
        </w:rPr>
      </w:pPr>
      <w:r w:rsidRPr="002B6052">
        <w:rPr>
          <w:rStyle w:val="Sprotnaopomba-sklic"/>
          <w:rFonts w:ascii="Arial" w:hAnsi="Arial" w:cs="Arial"/>
          <w:sz w:val="18"/>
          <w:szCs w:val="20"/>
        </w:rPr>
        <w:footnoteRef/>
      </w:r>
      <w:r w:rsidRPr="002B6052">
        <w:rPr>
          <w:rFonts w:ascii="Arial" w:hAnsi="Arial" w:cs="Arial"/>
          <w:sz w:val="18"/>
          <w:szCs w:val="20"/>
        </w:rPr>
        <w:t xml:space="preserve"> 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rsidR="00747CEB">
        <w:rPr>
          <w:rFonts w:ascii="Arial" w:hAnsi="Arial" w:cs="Arial"/>
          <w:sz w:val="18"/>
          <w:szCs w:val="20"/>
        </w:rPr>
        <w:t>.</w:t>
      </w:r>
    </w:p>
  </w:footnote>
  <w:footnote w:id="5">
    <w:p w14:paraId="1B2871BF" w14:textId="52C9399E" w:rsidR="006269F4" w:rsidRPr="006269F4" w:rsidRDefault="006269F4" w:rsidP="006269F4">
      <w:pPr>
        <w:pStyle w:val="Sprotnaopomba-besedilo"/>
        <w:spacing w:after="0"/>
        <w:jc w:val="both"/>
        <w:rPr>
          <w:rFonts w:ascii="Arial" w:hAnsi="Arial" w:cs="Arial"/>
        </w:rPr>
      </w:pPr>
      <w:r w:rsidRPr="006269F4">
        <w:rPr>
          <w:rStyle w:val="Sprotnaopomba-sklic"/>
          <w:rFonts w:ascii="Arial" w:hAnsi="Arial" w:cs="Arial"/>
          <w:sz w:val="18"/>
          <w:szCs w:val="20"/>
        </w:rPr>
        <w:footnoteRef/>
      </w:r>
      <w:r w:rsidRPr="006269F4">
        <w:rPr>
          <w:rFonts w:ascii="Arial" w:hAnsi="Arial" w:cs="Arial"/>
          <w:sz w:val="18"/>
          <w:szCs w:val="20"/>
        </w:rPr>
        <w:t xml:space="preserve"> Uredba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sidR="00747CEB">
        <w:rPr>
          <w:rFonts w:ascii="Arial" w:hAnsi="Arial" w:cs="Arial"/>
          <w:sz w:val="18"/>
          <w:szCs w:val="20"/>
        </w:rPr>
        <w:t>.</w:t>
      </w:r>
    </w:p>
  </w:footnote>
  <w:footnote w:id="6">
    <w:p w14:paraId="1AA5816B" w14:textId="77777777" w:rsidR="00F67672" w:rsidRPr="00F1720B" w:rsidRDefault="00F67672" w:rsidP="00F1720B">
      <w:pPr>
        <w:pStyle w:val="Sprotnaopomba-besedilo"/>
        <w:jc w:val="both"/>
        <w:rPr>
          <w:rFonts w:ascii="Arial" w:hAnsi="Arial" w:cs="Arial"/>
        </w:rPr>
      </w:pPr>
      <w:r w:rsidRPr="00F1720B">
        <w:rPr>
          <w:rStyle w:val="Sprotnaopomba-sklic"/>
          <w:rFonts w:ascii="Arial" w:eastAsia="SimSun" w:hAnsi="Arial" w:cs="Arial"/>
          <w:sz w:val="18"/>
          <w:szCs w:val="20"/>
        </w:rPr>
        <w:footnoteRef/>
      </w:r>
      <w:r w:rsidRPr="00F1720B">
        <w:rPr>
          <w:rFonts w:ascii="Arial" w:hAnsi="Arial" w:cs="Arial"/>
          <w:sz w:val="18"/>
          <w:szCs w:val="20"/>
        </w:rPr>
        <w:t xml:space="preserve"> Naslovljena podjetja delujejo na področjih Slovenske strategije trajnostne pametne specializacije, ki v celoti pokriva področje uredbe STEP</w:t>
      </w:r>
    </w:p>
  </w:footnote>
  <w:footnote w:id="7">
    <w:p w14:paraId="5A629766" w14:textId="77777777" w:rsidR="00F67672" w:rsidRPr="00256CAB" w:rsidRDefault="00F67672" w:rsidP="00185BFA">
      <w:pPr>
        <w:pStyle w:val="Sprotnaopomba-besedilo"/>
        <w:spacing w:after="0"/>
        <w:jc w:val="both"/>
        <w:rPr>
          <w:rFonts w:ascii="Arial" w:hAnsi="Arial" w:cs="Arial"/>
        </w:rPr>
      </w:pPr>
      <w:r w:rsidRPr="00F1720B">
        <w:rPr>
          <w:rStyle w:val="Sprotnaopomba-sklic"/>
          <w:rFonts w:ascii="Arial" w:eastAsia="SimSun" w:hAnsi="Arial" w:cs="Arial"/>
          <w:sz w:val="18"/>
          <w:szCs w:val="20"/>
        </w:rPr>
        <w:footnoteRef/>
      </w:r>
      <w:r w:rsidRPr="00F1720B">
        <w:rPr>
          <w:rStyle w:val="Sprotnaopomba-sklic"/>
          <w:rFonts w:ascii="Arial" w:eastAsia="SimSun" w:hAnsi="Arial" w:cs="Arial"/>
          <w:sz w:val="18"/>
          <w:szCs w:val="20"/>
        </w:rPr>
        <w:t xml:space="preserve"> </w:t>
      </w:r>
      <w:hyperlink r:id="rId1" w:history="1">
        <w:proofErr w:type="spellStart"/>
        <w:r w:rsidRPr="00256CAB">
          <w:rPr>
            <w:rStyle w:val="Hiperpovezava"/>
            <w:rFonts w:ascii="Arial" w:hAnsi="Arial" w:cs="Arial"/>
            <w:color w:val="auto"/>
            <w:sz w:val="18"/>
            <w:szCs w:val="20"/>
            <w:u w:val="none"/>
          </w:rPr>
          <w:t>Community</w:t>
        </w:r>
        <w:proofErr w:type="spellEnd"/>
        <w:r w:rsidRPr="00256CAB">
          <w:rPr>
            <w:rStyle w:val="Hiperpovezava"/>
            <w:rFonts w:ascii="Arial" w:hAnsi="Arial" w:cs="Arial"/>
            <w:color w:val="auto"/>
            <w:sz w:val="18"/>
            <w:szCs w:val="20"/>
            <w:u w:val="none"/>
          </w:rPr>
          <w:t xml:space="preserve"> </w:t>
        </w:r>
        <w:proofErr w:type="spellStart"/>
        <w:r w:rsidRPr="00256CAB">
          <w:rPr>
            <w:rStyle w:val="Hiperpovezava"/>
            <w:rFonts w:ascii="Arial" w:hAnsi="Arial" w:cs="Arial"/>
            <w:color w:val="auto"/>
            <w:sz w:val="18"/>
            <w:szCs w:val="20"/>
            <w:u w:val="none"/>
          </w:rPr>
          <w:t>framework</w:t>
        </w:r>
        <w:proofErr w:type="spellEnd"/>
        <w:r w:rsidRPr="00256CAB">
          <w:rPr>
            <w:rStyle w:val="Hiperpovezava"/>
            <w:rFonts w:ascii="Arial" w:hAnsi="Arial" w:cs="Arial"/>
            <w:color w:val="auto"/>
            <w:sz w:val="18"/>
            <w:szCs w:val="20"/>
            <w:u w:val="none"/>
          </w:rPr>
          <w:t xml:space="preserve"> </w:t>
        </w:r>
        <w:proofErr w:type="spellStart"/>
        <w:r w:rsidRPr="00256CAB">
          <w:rPr>
            <w:rStyle w:val="Hiperpovezava"/>
            <w:rFonts w:ascii="Arial" w:hAnsi="Arial" w:cs="Arial"/>
            <w:color w:val="auto"/>
            <w:sz w:val="18"/>
            <w:szCs w:val="20"/>
            <w:u w:val="none"/>
          </w:rPr>
          <w:t>for</w:t>
        </w:r>
        <w:proofErr w:type="spellEnd"/>
        <w:r w:rsidRPr="00256CAB">
          <w:rPr>
            <w:rStyle w:val="Hiperpovezava"/>
            <w:rFonts w:ascii="Arial" w:hAnsi="Arial" w:cs="Arial"/>
            <w:color w:val="auto"/>
            <w:sz w:val="18"/>
            <w:szCs w:val="20"/>
            <w:u w:val="none"/>
          </w:rPr>
          <w:t xml:space="preserve"> </w:t>
        </w:r>
        <w:proofErr w:type="spellStart"/>
        <w:r w:rsidRPr="00256CAB">
          <w:rPr>
            <w:rStyle w:val="Hiperpovezava"/>
            <w:rFonts w:ascii="Arial" w:hAnsi="Arial" w:cs="Arial"/>
            <w:color w:val="auto"/>
            <w:sz w:val="18"/>
            <w:szCs w:val="20"/>
            <w:u w:val="none"/>
          </w:rPr>
          <w:t>state</w:t>
        </w:r>
        <w:proofErr w:type="spellEnd"/>
        <w:r w:rsidRPr="00256CAB">
          <w:rPr>
            <w:rStyle w:val="Hiperpovezava"/>
            <w:rFonts w:ascii="Arial" w:hAnsi="Arial" w:cs="Arial"/>
            <w:color w:val="auto"/>
            <w:sz w:val="18"/>
            <w:szCs w:val="20"/>
            <w:u w:val="none"/>
          </w:rPr>
          <w:t xml:space="preserve"> </w:t>
        </w:r>
        <w:proofErr w:type="spellStart"/>
        <w:r w:rsidRPr="00256CAB">
          <w:rPr>
            <w:rStyle w:val="Hiperpovezava"/>
            <w:rFonts w:ascii="Arial" w:hAnsi="Arial" w:cs="Arial"/>
            <w:color w:val="auto"/>
            <w:sz w:val="18"/>
            <w:szCs w:val="20"/>
            <w:u w:val="none"/>
          </w:rPr>
          <w:t>aid</w:t>
        </w:r>
        <w:proofErr w:type="spellEnd"/>
        <w:r w:rsidRPr="00256CAB">
          <w:rPr>
            <w:rStyle w:val="Hiperpovezava"/>
            <w:rFonts w:ascii="Arial" w:hAnsi="Arial" w:cs="Arial"/>
            <w:color w:val="auto"/>
            <w:sz w:val="18"/>
            <w:szCs w:val="20"/>
            <w:u w:val="none"/>
          </w:rPr>
          <w:t xml:space="preserve"> </w:t>
        </w:r>
        <w:proofErr w:type="spellStart"/>
        <w:r w:rsidRPr="00256CAB">
          <w:rPr>
            <w:rStyle w:val="Hiperpovezava"/>
            <w:rFonts w:ascii="Arial" w:hAnsi="Arial" w:cs="Arial"/>
            <w:color w:val="auto"/>
            <w:sz w:val="18"/>
            <w:szCs w:val="20"/>
            <w:u w:val="none"/>
          </w:rPr>
          <w:t>for</w:t>
        </w:r>
        <w:proofErr w:type="spellEnd"/>
        <w:r w:rsidRPr="00256CAB">
          <w:rPr>
            <w:rStyle w:val="Hiperpovezava"/>
            <w:rFonts w:ascii="Arial" w:hAnsi="Arial" w:cs="Arial"/>
            <w:color w:val="auto"/>
            <w:sz w:val="18"/>
            <w:szCs w:val="20"/>
            <w:u w:val="none"/>
          </w:rPr>
          <w:t xml:space="preserve"> </w:t>
        </w:r>
        <w:proofErr w:type="spellStart"/>
        <w:r w:rsidRPr="00256CAB">
          <w:rPr>
            <w:rStyle w:val="Hiperpovezava"/>
            <w:rFonts w:ascii="Arial" w:hAnsi="Arial" w:cs="Arial"/>
            <w:color w:val="auto"/>
            <w:sz w:val="18"/>
            <w:szCs w:val="20"/>
            <w:u w:val="none"/>
          </w:rPr>
          <w:t>research</w:t>
        </w:r>
        <w:proofErr w:type="spellEnd"/>
        <w:r w:rsidRPr="00256CAB">
          <w:rPr>
            <w:rStyle w:val="Hiperpovezava"/>
            <w:rFonts w:ascii="Arial" w:hAnsi="Arial" w:cs="Arial"/>
            <w:color w:val="auto"/>
            <w:sz w:val="18"/>
            <w:szCs w:val="20"/>
            <w:u w:val="none"/>
          </w:rPr>
          <w:t xml:space="preserve"> </w:t>
        </w:r>
        <w:proofErr w:type="spellStart"/>
        <w:r w:rsidRPr="00256CAB">
          <w:rPr>
            <w:rStyle w:val="Hiperpovezava"/>
            <w:rFonts w:ascii="Arial" w:hAnsi="Arial" w:cs="Arial"/>
            <w:color w:val="auto"/>
            <w:sz w:val="18"/>
            <w:szCs w:val="20"/>
            <w:u w:val="none"/>
          </w:rPr>
          <w:t>and</w:t>
        </w:r>
        <w:proofErr w:type="spellEnd"/>
        <w:r w:rsidRPr="00256CAB">
          <w:rPr>
            <w:rStyle w:val="Hiperpovezava"/>
            <w:rFonts w:ascii="Arial" w:hAnsi="Arial" w:cs="Arial"/>
            <w:color w:val="auto"/>
            <w:sz w:val="18"/>
            <w:szCs w:val="20"/>
            <w:u w:val="none"/>
          </w:rPr>
          <w:t xml:space="preserve"> </w:t>
        </w:r>
        <w:proofErr w:type="spellStart"/>
        <w:r w:rsidRPr="00256CAB">
          <w:rPr>
            <w:rStyle w:val="Hiperpovezava"/>
            <w:rFonts w:ascii="Arial" w:hAnsi="Arial" w:cs="Arial"/>
            <w:color w:val="auto"/>
            <w:sz w:val="18"/>
            <w:szCs w:val="20"/>
            <w:u w:val="none"/>
          </w:rPr>
          <w:t>development</w:t>
        </w:r>
        <w:proofErr w:type="spellEnd"/>
        <w:r w:rsidRPr="00256CAB">
          <w:rPr>
            <w:rStyle w:val="Hiperpovezava"/>
            <w:rFonts w:ascii="Arial" w:hAnsi="Arial" w:cs="Arial"/>
            <w:color w:val="auto"/>
            <w:sz w:val="18"/>
            <w:szCs w:val="20"/>
            <w:u w:val="none"/>
          </w:rPr>
          <w:t xml:space="preserve"> </w:t>
        </w:r>
        <w:proofErr w:type="spellStart"/>
        <w:r w:rsidRPr="00256CAB">
          <w:rPr>
            <w:rStyle w:val="Hiperpovezava"/>
            <w:rFonts w:ascii="Arial" w:hAnsi="Arial" w:cs="Arial"/>
            <w:color w:val="auto"/>
            <w:sz w:val="18"/>
            <w:szCs w:val="20"/>
            <w:u w:val="none"/>
          </w:rPr>
          <w:t>and</w:t>
        </w:r>
        <w:proofErr w:type="spellEnd"/>
        <w:r w:rsidRPr="00256CAB">
          <w:rPr>
            <w:rStyle w:val="Hiperpovezava"/>
            <w:rFonts w:ascii="Arial" w:hAnsi="Arial" w:cs="Arial"/>
            <w:color w:val="auto"/>
            <w:sz w:val="18"/>
            <w:szCs w:val="20"/>
            <w:u w:val="none"/>
          </w:rPr>
          <w:t xml:space="preserve"> </w:t>
        </w:r>
        <w:proofErr w:type="spellStart"/>
        <w:r w:rsidRPr="00256CAB">
          <w:rPr>
            <w:rStyle w:val="Hiperpovezava"/>
            <w:rFonts w:ascii="Arial" w:hAnsi="Arial" w:cs="Arial"/>
            <w:color w:val="auto"/>
            <w:sz w:val="18"/>
            <w:szCs w:val="20"/>
            <w:u w:val="none"/>
          </w:rPr>
          <w:t>innovation</w:t>
        </w:r>
        <w:proofErr w:type="spellEnd"/>
      </w:hyperlink>
    </w:p>
  </w:footnote>
  <w:footnote w:id="8">
    <w:p w14:paraId="1357005F" w14:textId="6DB1DB05" w:rsidR="00F67672" w:rsidRPr="00F1720B" w:rsidRDefault="00F67672" w:rsidP="00185BFA">
      <w:pPr>
        <w:pStyle w:val="Sprotnaopomba-besedilo"/>
        <w:spacing w:after="0"/>
        <w:jc w:val="both"/>
        <w:rPr>
          <w:rFonts w:ascii="Arial" w:hAnsi="Arial" w:cs="Arial"/>
        </w:rPr>
      </w:pPr>
      <w:r w:rsidRPr="00256CAB">
        <w:rPr>
          <w:rStyle w:val="Sprotnaopomba-sklic"/>
          <w:rFonts w:ascii="Arial" w:eastAsia="SimSun" w:hAnsi="Arial" w:cs="Arial"/>
          <w:sz w:val="18"/>
          <w:szCs w:val="20"/>
        </w:rPr>
        <w:footnoteRef/>
      </w:r>
      <w:r w:rsidRPr="00256CAB">
        <w:rPr>
          <w:rFonts w:ascii="Arial" w:hAnsi="Arial" w:cs="Arial"/>
          <w:sz w:val="18"/>
          <w:szCs w:val="20"/>
        </w:rPr>
        <w:t xml:space="preserve"> </w:t>
      </w:r>
      <w:proofErr w:type="spellStart"/>
      <w:r w:rsidR="00D522BF" w:rsidRPr="00256CAB">
        <w:rPr>
          <w:rFonts w:ascii="Arial" w:hAnsi="Arial" w:cs="Arial"/>
          <w:sz w:val="18"/>
          <w:szCs w:val="20"/>
        </w:rPr>
        <w:t>Commission</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Regulation</w:t>
      </w:r>
      <w:proofErr w:type="spellEnd"/>
      <w:r w:rsidR="00D522BF" w:rsidRPr="00256CAB">
        <w:rPr>
          <w:rFonts w:ascii="Arial" w:hAnsi="Arial" w:cs="Arial"/>
          <w:sz w:val="18"/>
          <w:szCs w:val="20"/>
        </w:rPr>
        <w:t xml:space="preserve"> (EU) No 651/2014 </w:t>
      </w:r>
      <w:proofErr w:type="spellStart"/>
      <w:r w:rsidR="00D522BF" w:rsidRPr="00256CAB">
        <w:rPr>
          <w:rFonts w:ascii="Arial" w:hAnsi="Arial" w:cs="Arial"/>
          <w:sz w:val="18"/>
          <w:szCs w:val="20"/>
        </w:rPr>
        <w:t>of</w:t>
      </w:r>
      <w:proofErr w:type="spellEnd"/>
      <w:r w:rsidR="00D522BF" w:rsidRPr="00256CAB">
        <w:rPr>
          <w:rFonts w:ascii="Arial" w:hAnsi="Arial" w:cs="Arial"/>
          <w:sz w:val="18"/>
          <w:szCs w:val="20"/>
        </w:rPr>
        <w:t xml:space="preserve"> 17 </w:t>
      </w:r>
      <w:proofErr w:type="spellStart"/>
      <w:r w:rsidR="00D522BF" w:rsidRPr="00256CAB">
        <w:rPr>
          <w:rFonts w:ascii="Arial" w:hAnsi="Arial" w:cs="Arial"/>
          <w:sz w:val="18"/>
          <w:szCs w:val="20"/>
        </w:rPr>
        <w:t>June</w:t>
      </w:r>
      <w:proofErr w:type="spellEnd"/>
      <w:r w:rsidR="00D522BF" w:rsidRPr="00256CAB">
        <w:rPr>
          <w:rFonts w:ascii="Arial" w:hAnsi="Arial" w:cs="Arial"/>
          <w:sz w:val="18"/>
          <w:szCs w:val="20"/>
        </w:rPr>
        <w:t xml:space="preserve"> 2014 </w:t>
      </w:r>
      <w:proofErr w:type="spellStart"/>
      <w:r w:rsidR="00D522BF" w:rsidRPr="00256CAB">
        <w:rPr>
          <w:rFonts w:ascii="Arial" w:hAnsi="Arial" w:cs="Arial"/>
          <w:sz w:val="18"/>
          <w:szCs w:val="20"/>
        </w:rPr>
        <w:t>declaring</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certain</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categories</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of</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aid</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compatible</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with</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the</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internal</w:t>
      </w:r>
      <w:proofErr w:type="spellEnd"/>
      <w:r w:rsidR="00D522BF" w:rsidRPr="00256CAB">
        <w:rPr>
          <w:rFonts w:ascii="Arial" w:hAnsi="Arial" w:cs="Arial"/>
          <w:sz w:val="18"/>
          <w:szCs w:val="20"/>
        </w:rPr>
        <w:t xml:space="preserve"> market in </w:t>
      </w:r>
      <w:proofErr w:type="spellStart"/>
      <w:r w:rsidR="00D522BF" w:rsidRPr="00256CAB">
        <w:rPr>
          <w:rFonts w:ascii="Arial" w:hAnsi="Arial" w:cs="Arial"/>
          <w:sz w:val="18"/>
          <w:szCs w:val="20"/>
        </w:rPr>
        <w:t>application</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of</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Articles</w:t>
      </w:r>
      <w:proofErr w:type="spellEnd"/>
      <w:r w:rsidR="00D522BF" w:rsidRPr="00256CAB">
        <w:rPr>
          <w:rFonts w:ascii="Arial" w:hAnsi="Arial" w:cs="Arial"/>
          <w:sz w:val="18"/>
          <w:szCs w:val="20"/>
        </w:rPr>
        <w:t xml:space="preserve"> 107 </w:t>
      </w:r>
      <w:proofErr w:type="spellStart"/>
      <w:r w:rsidR="00D522BF" w:rsidRPr="00256CAB">
        <w:rPr>
          <w:rFonts w:ascii="Arial" w:hAnsi="Arial" w:cs="Arial"/>
          <w:sz w:val="18"/>
          <w:szCs w:val="20"/>
        </w:rPr>
        <w:t>and</w:t>
      </w:r>
      <w:proofErr w:type="spellEnd"/>
      <w:r w:rsidR="00D522BF" w:rsidRPr="00256CAB">
        <w:rPr>
          <w:rFonts w:ascii="Arial" w:hAnsi="Arial" w:cs="Arial"/>
          <w:sz w:val="18"/>
          <w:szCs w:val="20"/>
        </w:rPr>
        <w:t xml:space="preserve"> 108 </w:t>
      </w:r>
      <w:proofErr w:type="spellStart"/>
      <w:r w:rsidR="00D522BF" w:rsidRPr="00256CAB">
        <w:rPr>
          <w:rFonts w:ascii="Arial" w:hAnsi="Arial" w:cs="Arial"/>
          <w:sz w:val="18"/>
          <w:szCs w:val="20"/>
        </w:rPr>
        <w:t>of</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the</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Treaty</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Text</w:t>
      </w:r>
      <w:proofErr w:type="spellEnd"/>
      <w:r w:rsidR="00D522BF" w:rsidRPr="00256CAB">
        <w:rPr>
          <w:rFonts w:ascii="Arial" w:hAnsi="Arial" w:cs="Arial"/>
          <w:sz w:val="18"/>
          <w:szCs w:val="20"/>
        </w:rPr>
        <w:t xml:space="preserve"> </w:t>
      </w:r>
      <w:proofErr w:type="spellStart"/>
      <w:r w:rsidR="00D522BF" w:rsidRPr="00256CAB">
        <w:rPr>
          <w:rFonts w:ascii="Arial" w:hAnsi="Arial" w:cs="Arial"/>
          <w:sz w:val="18"/>
          <w:szCs w:val="20"/>
        </w:rPr>
        <w:t>with</w:t>
      </w:r>
      <w:proofErr w:type="spellEnd"/>
      <w:r w:rsidR="00D522BF" w:rsidRPr="00256CAB">
        <w:rPr>
          <w:rFonts w:ascii="Arial" w:hAnsi="Arial" w:cs="Arial"/>
          <w:sz w:val="18"/>
          <w:szCs w:val="20"/>
        </w:rPr>
        <w:t xml:space="preserve"> EEA relevance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FFB6" w14:textId="63824FBB" w:rsidR="00242E68" w:rsidRPr="00141903" w:rsidRDefault="00141903" w:rsidP="00216CC1">
    <w:pPr>
      <w:pStyle w:val="Glava"/>
      <w:jc w:val="both"/>
      <w:rPr>
        <w:lang w:val="pt-PT"/>
      </w:rPr>
    </w:pPr>
    <w:r w:rsidRPr="00141903">
      <w:rPr>
        <w:rFonts w:ascii="Calibri" w:hAnsi="Calibri" w:cs="Calibri"/>
        <w:color w:val="5B9BD5"/>
        <w:sz w:val="17"/>
        <w:szCs w:val="17"/>
        <w:lang w:val="sl-SI" w:eastAsia="sl-SI"/>
      </w:rPr>
      <w:t>POROČILO O IZVAJANJU EVROPSKE KOHEZIJSKE POLITIKE 2014–2020 IN 2021–2027 ZA OBDOBJE OD JANUARJA 2014 DO KONCA DECEMBRA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0015" w14:textId="77777777" w:rsidR="009D68EB" w:rsidRPr="00185E1E" w:rsidRDefault="009D68EB" w:rsidP="00813DA2">
    <w:pPr>
      <w:pBdr>
        <w:left w:val="single" w:sz="12" w:space="11" w:color="5B9BD5"/>
      </w:pBdr>
      <w:tabs>
        <w:tab w:val="left" w:pos="3620"/>
        <w:tab w:val="left" w:pos="3964"/>
      </w:tabs>
      <w:spacing w:after="0"/>
      <w:rPr>
        <w:rFonts w:ascii="Calibri Light" w:hAnsi="Calibri Light"/>
        <w:color w:val="2E74B5"/>
        <w:sz w:val="17"/>
        <w:szCs w:val="17"/>
      </w:rPr>
    </w:pPr>
    <w:r w:rsidRPr="00185E1E">
      <w:rPr>
        <w:rFonts w:cs="Calibri"/>
        <w:color w:val="5B9BD5"/>
        <w:sz w:val="17"/>
        <w:szCs w:val="17"/>
      </w:rPr>
      <w:t xml:space="preserve">POROČILO O IZVAJANJU EVROPSKE KOHEZIJSKE POLITIKE 2014–2020 ZA OBDOBJE OD JANUARJA 2014 DO KONCA </w:t>
    </w:r>
    <w:r>
      <w:rPr>
        <w:rFonts w:cs="Calibri"/>
        <w:color w:val="5B9BD5"/>
        <w:sz w:val="17"/>
        <w:szCs w:val="17"/>
      </w:rPr>
      <w:t>DECEMBRA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E3EF" w14:textId="4BBB6E80" w:rsidR="00415250" w:rsidRPr="00141903" w:rsidRDefault="00141903" w:rsidP="00216CC1">
    <w:pPr>
      <w:pStyle w:val="Glava"/>
      <w:jc w:val="both"/>
      <w:rPr>
        <w:lang w:val="pt-PT"/>
      </w:rPr>
    </w:pPr>
    <w:r w:rsidRPr="00141903">
      <w:rPr>
        <w:rFonts w:ascii="Calibri" w:hAnsi="Calibri" w:cs="Calibri"/>
        <w:color w:val="5B9BD5"/>
        <w:sz w:val="17"/>
        <w:szCs w:val="17"/>
        <w:lang w:val="sl-SI" w:eastAsia="sl-SI"/>
      </w:rPr>
      <w:t>POROČILO O IZVAJANJU EVROPSKE KOHEZIJSKE POLITIKE 2014–2020 IN 2021–2027 ZA OBDOBJE OD JANUARJA 2014 DO KONCA DECEMBRA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3D43" w14:textId="77777777" w:rsidR="00415250" w:rsidRDefault="00415250">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6F4C" w14:textId="77777777" w:rsidR="00415250" w:rsidRDefault="0041525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DF0"/>
    <w:multiLevelType w:val="hybridMultilevel"/>
    <w:tmpl w:val="93B4EA22"/>
    <w:lvl w:ilvl="0" w:tplc="B3601118">
      <w:start w:val="1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F86C5B"/>
    <w:multiLevelType w:val="multilevel"/>
    <w:tmpl w:val="750A88C0"/>
    <w:lvl w:ilvl="0">
      <w:start w:val="3"/>
      <w:numFmt w:val="decimal"/>
      <w:lvlText w:val="%1."/>
      <w:lvlJc w:val="left"/>
      <w:pPr>
        <w:ind w:left="390" w:hanging="39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2" w15:restartNumberingAfterBreak="0">
    <w:nsid w:val="20D373AC"/>
    <w:multiLevelType w:val="hybridMultilevel"/>
    <w:tmpl w:val="B3C4E6CC"/>
    <w:lvl w:ilvl="0" w:tplc="C4ACAE36">
      <w:start w:val="1"/>
      <w:numFmt w:val="decimal"/>
      <w:lvlText w:val="%1."/>
      <w:lvlJc w:val="left"/>
      <w:pPr>
        <w:ind w:left="720" w:hanging="360"/>
      </w:pPr>
      <w:rPr>
        <w:rFonts w:ascii="Arial" w:eastAsia="Times New Roman"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DF631B"/>
    <w:multiLevelType w:val="multilevel"/>
    <w:tmpl w:val="BC9A082A"/>
    <w:styleLink w:val="LFO37"/>
    <w:lvl w:ilvl="0">
      <w:numFmt w:val="bullet"/>
      <w:pStyle w:val="Oddelek"/>
      <w:lvlText w:val="–"/>
      <w:lvlJc w:val="left"/>
      <w:pPr>
        <w:ind w:left="1428" w:hanging="360"/>
      </w:pPr>
      <w:rPr>
        <w:rFonts w:ascii="Arial" w:eastAsia="Times New Roman" w:hAnsi="Arial" w:cs="Aria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 w15:restartNumberingAfterBreak="0">
    <w:nsid w:val="31EE3BF1"/>
    <w:multiLevelType w:val="multilevel"/>
    <w:tmpl w:val="8E6C3BD2"/>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3434BBD"/>
    <w:multiLevelType w:val="multilevel"/>
    <w:tmpl w:val="A7C478EC"/>
    <w:styleLink w:val="LFO42"/>
    <w:lvl w:ilvl="0">
      <w:start w:val="1"/>
      <w:numFmt w:val="decimal"/>
      <w:pStyle w:val="Naslov1"/>
      <w:lvlText w:val="%1."/>
      <w:lvlJc w:val="left"/>
      <w:pPr>
        <w:ind w:left="720"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36047C8F"/>
    <w:multiLevelType w:val="hybridMultilevel"/>
    <w:tmpl w:val="9912D7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F27E7A"/>
    <w:multiLevelType w:val="hybridMultilevel"/>
    <w:tmpl w:val="9F46BA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95598C"/>
    <w:multiLevelType w:val="hybridMultilevel"/>
    <w:tmpl w:val="7076F9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435AC4"/>
    <w:multiLevelType w:val="hybridMultilevel"/>
    <w:tmpl w:val="939AE1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7E58D4"/>
    <w:multiLevelType w:val="hybridMultilevel"/>
    <w:tmpl w:val="F2BA52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F2550C"/>
    <w:multiLevelType w:val="hybridMultilevel"/>
    <w:tmpl w:val="E9A0320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45BC0A03"/>
    <w:multiLevelType w:val="hybridMultilevel"/>
    <w:tmpl w:val="E90E49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EF3B3B"/>
    <w:multiLevelType w:val="hybridMultilevel"/>
    <w:tmpl w:val="66A8DC22"/>
    <w:lvl w:ilvl="0" w:tplc="04240001">
      <w:start w:val="1"/>
      <w:numFmt w:val="bullet"/>
      <w:lvlText w:val=""/>
      <w:lvlJc w:val="left"/>
      <w:pPr>
        <w:ind w:left="720" w:hanging="360"/>
      </w:pPr>
      <w:rPr>
        <w:rFonts w:ascii="Symbol" w:hAnsi="Symbol" w:hint="default"/>
      </w:rPr>
    </w:lvl>
    <w:lvl w:ilvl="1" w:tplc="0F7A2A42">
      <w:numFmt w:val="bullet"/>
      <w:lvlText w:val="-"/>
      <w:lvlJc w:val="left"/>
      <w:pPr>
        <w:ind w:left="1800" w:hanging="720"/>
      </w:pPr>
      <w:rPr>
        <w:rFonts w:ascii="Calibri" w:eastAsia="SimSun" w:hAnsi="Calibri" w:cs="Calibri" w:hint="default"/>
      </w:rPr>
    </w:lvl>
    <w:lvl w:ilvl="2" w:tplc="C736F5E2">
      <w:numFmt w:val="bullet"/>
      <w:lvlText w:val="•"/>
      <w:lvlJc w:val="left"/>
      <w:pPr>
        <w:ind w:left="2520" w:hanging="720"/>
      </w:pPr>
      <w:rPr>
        <w:rFonts w:ascii="Calibri" w:eastAsia="Times New Roman"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1393F29"/>
    <w:multiLevelType w:val="hybridMultilevel"/>
    <w:tmpl w:val="E7C2B0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36248C"/>
    <w:multiLevelType w:val="hybridMultilevel"/>
    <w:tmpl w:val="03485C80"/>
    <w:lvl w:ilvl="0" w:tplc="04240001">
      <w:start w:val="1"/>
      <w:numFmt w:val="bullet"/>
      <w:lvlText w:val=""/>
      <w:lvlJc w:val="left"/>
      <w:pPr>
        <w:ind w:left="720" w:hanging="360"/>
      </w:pPr>
      <w:rPr>
        <w:rFonts w:ascii="Symbol" w:hAnsi="Symbol" w:hint="default"/>
      </w:rPr>
    </w:lvl>
    <w:lvl w:ilvl="1" w:tplc="CDEA3F92">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3605613"/>
    <w:multiLevelType w:val="hybridMultilevel"/>
    <w:tmpl w:val="2BF8104C"/>
    <w:lvl w:ilvl="0" w:tplc="959E54C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49E7F66"/>
    <w:multiLevelType w:val="hybridMultilevel"/>
    <w:tmpl w:val="78F85C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5C706DA"/>
    <w:multiLevelType w:val="multilevel"/>
    <w:tmpl w:val="03202D18"/>
    <w:styleLink w:val="LFO39"/>
    <w:lvl w:ilvl="0">
      <w:numFmt w:val="bullet"/>
      <w:pStyle w:val="Alineazaodstavkom"/>
      <w:lvlText w:val="–"/>
      <w:lvlJc w:val="left"/>
      <w:pPr>
        <w:ind w:left="1428" w:hanging="360"/>
      </w:pPr>
      <w:rPr>
        <w:rFonts w:ascii="Arial" w:eastAsia="Times New Roman" w:hAnsi="Arial" w:cs="Aria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9" w15:restartNumberingAfterBreak="0">
    <w:nsid w:val="57046AFD"/>
    <w:multiLevelType w:val="hybridMultilevel"/>
    <w:tmpl w:val="E8FA40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D804E5"/>
    <w:multiLevelType w:val="multilevel"/>
    <w:tmpl w:val="E55EE13A"/>
    <w:lvl w:ilvl="0">
      <w:start w:val="4"/>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A6C37BC"/>
    <w:multiLevelType w:val="multilevel"/>
    <w:tmpl w:val="C5A8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71CB3"/>
    <w:multiLevelType w:val="multilevel"/>
    <w:tmpl w:val="D93C92C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F3A6FEA"/>
    <w:multiLevelType w:val="multilevel"/>
    <w:tmpl w:val="8120519E"/>
    <w:styleLink w:val="LFO40"/>
    <w:lvl w:ilvl="0">
      <w:start w:val="1"/>
      <w:numFmt w:val="decimal"/>
      <w:pStyle w:val="Druginivo"/>
      <w:lvlText w:val="%1."/>
      <w:lvlJc w:val="left"/>
      <w:pPr>
        <w:ind w:left="720" w:hanging="36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4" w15:restartNumberingAfterBreak="0">
    <w:nsid w:val="61040F2C"/>
    <w:multiLevelType w:val="hybridMultilevel"/>
    <w:tmpl w:val="5AD28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BD270B"/>
    <w:multiLevelType w:val="multilevel"/>
    <w:tmpl w:val="2F00850A"/>
    <w:styleLink w:val="LFO123"/>
    <w:lvl w:ilvl="0">
      <w:numFmt w:val="bullet"/>
      <w:pStyle w:val="Alinejapika"/>
      <w:lvlText w:val=""/>
      <w:lvlJc w:val="left"/>
      <w:pPr>
        <w:ind w:left="851" w:hanging="284"/>
      </w:pPr>
      <w:rPr>
        <w:rFonts w:ascii="Symbol" w:hAnsi="Symbol"/>
        <w:b w:val="0"/>
        <w:i w:val="0"/>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4210518"/>
    <w:multiLevelType w:val="hybridMultilevel"/>
    <w:tmpl w:val="22849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0E24D5"/>
    <w:multiLevelType w:val="hybridMultilevel"/>
    <w:tmpl w:val="8F9CD5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6A0451D"/>
    <w:multiLevelType w:val="hybridMultilevel"/>
    <w:tmpl w:val="C29204A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672A08E7"/>
    <w:multiLevelType w:val="multilevel"/>
    <w:tmpl w:val="87D44D18"/>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F5724"/>
    <w:multiLevelType w:val="multilevel"/>
    <w:tmpl w:val="9C92FAA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31" w15:restartNumberingAfterBreak="0">
    <w:nsid w:val="733A4D60"/>
    <w:multiLevelType w:val="hybridMultilevel"/>
    <w:tmpl w:val="507884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3752A2E"/>
    <w:multiLevelType w:val="hybridMultilevel"/>
    <w:tmpl w:val="C2801AAC"/>
    <w:lvl w:ilvl="0" w:tplc="E812B7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97A0B84"/>
    <w:multiLevelType w:val="hybridMultilevel"/>
    <w:tmpl w:val="09B24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B6A6623"/>
    <w:multiLevelType w:val="hybridMultilevel"/>
    <w:tmpl w:val="78D04BF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ED17B9C"/>
    <w:multiLevelType w:val="hybridMultilevel"/>
    <w:tmpl w:val="969A1E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7922709">
    <w:abstractNumId w:val="3"/>
  </w:num>
  <w:num w:numId="2" w16cid:durableId="566765192">
    <w:abstractNumId w:val="18"/>
  </w:num>
  <w:num w:numId="3" w16cid:durableId="1439645107">
    <w:abstractNumId w:val="23"/>
  </w:num>
  <w:num w:numId="4" w16cid:durableId="807359148">
    <w:abstractNumId w:val="5"/>
  </w:num>
  <w:num w:numId="5" w16cid:durableId="807862385">
    <w:abstractNumId w:val="25"/>
  </w:num>
  <w:num w:numId="6" w16cid:durableId="1154685117">
    <w:abstractNumId w:val="13"/>
  </w:num>
  <w:num w:numId="7" w16cid:durableId="639723749">
    <w:abstractNumId w:val="8"/>
  </w:num>
  <w:num w:numId="8" w16cid:durableId="1994604795">
    <w:abstractNumId w:val="10"/>
  </w:num>
  <w:num w:numId="9" w16cid:durableId="1560553203">
    <w:abstractNumId w:val="12"/>
  </w:num>
  <w:num w:numId="10" w16cid:durableId="681932207">
    <w:abstractNumId w:val="16"/>
  </w:num>
  <w:num w:numId="11" w16cid:durableId="1602029394">
    <w:abstractNumId w:val="33"/>
  </w:num>
  <w:num w:numId="12" w16cid:durableId="130179062">
    <w:abstractNumId w:val="35"/>
  </w:num>
  <w:num w:numId="13" w16cid:durableId="1914076625">
    <w:abstractNumId w:val="28"/>
  </w:num>
  <w:num w:numId="14" w16cid:durableId="1902599347">
    <w:abstractNumId w:val="9"/>
  </w:num>
  <w:num w:numId="15" w16cid:durableId="711341176">
    <w:abstractNumId w:val="15"/>
  </w:num>
  <w:num w:numId="16" w16cid:durableId="2121146610">
    <w:abstractNumId w:val="21"/>
  </w:num>
  <w:num w:numId="17" w16cid:durableId="1285385147">
    <w:abstractNumId w:val="22"/>
  </w:num>
  <w:num w:numId="18" w16cid:durableId="776945252">
    <w:abstractNumId w:val="26"/>
  </w:num>
  <w:num w:numId="19" w16cid:durableId="620190821">
    <w:abstractNumId w:val="2"/>
  </w:num>
  <w:num w:numId="20" w16cid:durableId="156311040">
    <w:abstractNumId w:val="20"/>
  </w:num>
  <w:num w:numId="21" w16cid:durableId="732965296">
    <w:abstractNumId w:val="19"/>
  </w:num>
  <w:num w:numId="22" w16cid:durableId="1234700625">
    <w:abstractNumId w:val="11"/>
  </w:num>
  <w:num w:numId="23" w16cid:durableId="1033266900">
    <w:abstractNumId w:val="34"/>
  </w:num>
  <w:num w:numId="24" w16cid:durableId="2135981732">
    <w:abstractNumId w:val="27"/>
  </w:num>
  <w:num w:numId="25" w16cid:durableId="1298219982">
    <w:abstractNumId w:val="17"/>
  </w:num>
  <w:num w:numId="26" w16cid:durableId="1666129581">
    <w:abstractNumId w:val="14"/>
  </w:num>
  <w:num w:numId="27" w16cid:durableId="844511674">
    <w:abstractNumId w:val="24"/>
  </w:num>
  <w:num w:numId="28" w16cid:durableId="1156915243">
    <w:abstractNumId w:val="7"/>
  </w:num>
  <w:num w:numId="29" w16cid:durableId="145585275">
    <w:abstractNumId w:val="31"/>
  </w:num>
  <w:num w:numId="30" w16cid:durableId="1828394339">
    <w:abstractNumId w:val="6"/>
  </w:num>
  <w:num w:numId="31" w16cid:durableId="881988230">
    <w:abstractNumId w:val="0"/>
  </w:num>
  <w:num w:numId="32" w16cid:durableId="175316666">
    <w:abstractNumId w:val="32"/>
  </w:num>
  <w:num w:numId="33" w16cid:durableId="939413708">
    <w:abstractNumId w:val="30"/>
  </w:num>
  <w:num w:numId="34" w16cid:durableId="1613709547">
    <w:abstractNumId w:val="1"/>
  </w:num>
  <w:num w:numId="35" w16cid:durableId="260458609">
    <w:abstractNumId w:val="29"/>
  </w:num>
  <w:num w:numId="36" w16cid:durableId="589656996">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5A"/>
    <w:rsid w:val="00000051"/>
    <w:rsid w:val="000058B2"/>
    <w:rsid w:val="00006EC3"/>
    <w:rsid w:val="00010CAC"/>
    <w:rsid w:val="00014A15"/>
    <w:rsid w:val="00017907"/>
    <w:rsid w:val="00057C98"/>
    <w:rsid w:val="00064CDB"/>
    <w:rsid w:val="00064D8A"/>
    <w:rsid w:val="0006507E"/>
    <w:rsid w:val="0007539D"/>
    <w:rsid w:val="0007777C"/>
    <w:rsid w:val="0008326A"/>
    <w:rsid w:val="000871FB"/>
    <w:rsid w:val="00097955"/>
    <w:rsid w:val="000B4A82"/>
    <w:rsid w:val="000B4E1B"/>
    <w:rsid w:val="000C0A3D"/>
    <w:rsid w:val="000C1654"/>
    <w:rsid w:val="000C3E6A"/>
    <w:rsid w:val="000C4228"/>
    <w:rsid w:val="000E2E49"/>
    <w:rsid w:val="000E7A5A"/>
    <w:rsid w:val="000E7B87"/>
    <w:rsid w:val="0010516F"/>
    <w:rsid w:val="00105179"/>
    <w:rsid w:val="0012244C"/>
    <w:rsid w:val="001233CF"/>
    <w:rsid w:val="00123AB3"/>
    <w:rsid w:val="00130F16"/>
    <w:rsid w:val="00134FCE"/>
    <w:rsid w:val="00141903"/>
    <w:rsid w:val="001451CD"/>
    <w:rsid w:val="001468A6"/>
    <w:rsid w:val="00155977"/>
    <w:rsid w:val="00174FBD"/>
    <w:rsid w:val="001771D5"/>
    <w:rsid w:val="001771E7"/>
    <w:rsid w:val="001853A2"/>
    <w:rsid w:val="00185BFA"/>
    <w:rsid w:val="00185D8E"/>
    <w:rsid w:val="001B04D7"/>
    <w:rsid w:val="001C178F"/>
    <w:rsid w:val="001C5C72"/>
    <w:rsid w:val="001C5F8D"/>
    <w:rsid w:val="001C7488"/>
    <w:rsid w:val="001E286A"/>
    <w:rsid w:val="001E5EE2"/>
    <w:rsid w:val="001F4839"/>
    <w:rsid w:val="001F76F1"/>
    <w:rsid w:val="00212C0B"/>
    <w:rsid w:val="002146CD"/>
    <w:rsid w:val="00216CC1"/>
    <w:rsid w:val="002213E0"/>
    <w:rsid w:val="002250BC"/>
    <w:rsid w:val="002329E4"/>
    <w:rsid w:val="00234C38"/>
    <w:rsid w:val="00242E68"/>
    <w:rsid w:val="0025033E"/>
    <w:rsid w:val="00251068"/>
    <w:rsid w:val="00255783"/>
    <w:rsid w:val="00256CAB"/>
    <w:rsid w:val="00257B7F"/>
    <w:rsid w:val="002628D4"/>
    <w:rsid w:val="002630BD"/>
    <w:rsid w:val="00274EF2"/>
    <w:rsid w:val="00286789"/>
    <w:rsid w:val="002937DA"/>
    <w:rsid w:val="00296EA2"/>
    <w:rsid w:val="002A1D8C"/>
    <w:rsid w:val="002A1F43"/>
    <w:rsid w:val="002A20D0"/>
    <w:rsid w:val="002A56AD"/>
    <w:rsid w:val="002A67DF"/>
    <w:rsid w:val="002B2290"/>
    <w:rsid w:val="002B6052"/>
    <w:rsid w:val="002D093E"/>
    <w:rsid w:val="002D135D"/>
    <w:rsid w:val="002E0407"/>
    <w:rsid w:val="002E72B3"/>
    <w:rsid w:val="002F1263"/>
    <w:rsid w:val="002F2790"/>
    <w:rsid w:val="002F6A92"/>
    <w:rsid w:val="0030234B"/>
    <w:rsid w:val="0030337A"/>
    <w:rsid w:val="003037F8"/>
    <w:rsid w:val="00304115"/>
    <w:rsid w:val="00306071"/>
    <w:rsid w:val="0030659F"/>
    <w:rsid w:val="00307848"/>
    <w:rsid w:val="00315512"/>
    <w:rsid w:val="00323D98"/>
    <w:rsid w:val="003327AF"/>
    <w:rsid w:val="00332FE8"/>
    <w:rsid w:val="00336333"/>
    <w:rsid w:val="00343FC1"/>
    <w:rsid w:val="00345E32"/>
    <w:rsid w:val="00352745"/>
    <w:rsid w:val="00353074"/>
    <w:rsid w:val="00361024"/>
    <w:rsid w:val="00367191"/>
    <w:rsid w:val="00367FBF"/>
    <w:rsid w:val="00372777"/>
    <w:rsid w:val="00373DFE"/>
    <w:rsid w:val="00374845"/>
    <w:rsid w:val="00375290"/>
    <w:rsid w:val="003854FF"/>
    <w:rsid w:val="003A500C"/>
    <w:rsid w:val="003C7D23"/>
    <w:rsid w:val="003D2E6F"/>
    <w:rsid w:val="003E51B4"/>
    <w:rsid w:val="003E5733"/>
    <w:rsid w:val="003E6133"/>
    <w:rsid w:val="003F61F8"/>
    <w:rsid w:val="00404987"/>
    <w:rsid w:val="004141D6"/>
    <w:rsid w:val="00415250"/>
    <w:rsid w:val="00416658"/>
    <w:rsid w:val="00423B71"/>
    <w:rsid w:val="00427FC8"/>
    <w:rsid w:val="0043302D"/>
    <w:rsid w:val="00433470"/>
    <w:rsid w:val="00433EB6"/>
    <w:rsid w:val="00442485"/>
    <w:rsid w:val="00450548"/>
    <w:rsid w:val="004655CD"/>
    <w:rsid w:val="00467B4E"/>
    <w:rsid w:val="00476D26"/>
    <w:rsid w:val="00477AE0"/>
    <w:rsid w:val="00482B78"/>
    <w:rsid w:val="00484F1F"/>
    <w:rsid w:val="00493DB0"/>
    <w:rsid w:val="0049778A"/>
    <w:rsid w:val="004A160B"/>
    <w:rsid w:val="004A5723"/>
    <w:rsid w:val="004A6ED4"/>
    <w:rsid w:val="004B49D4"/>
    <w:rsid w:val="004C110C"/>
    <w:rsid w:val="004C6F15"/>
    <w:rsid w:val="004D2657"/>
    <w:rsid w:val="004D68D8"/>
    <w:rsid w:val="004E6158"/>
    <w:rsid w:val="004F16E0"/>
    <w:rsid w:val="004F6DA6"/>
    <w:rsid w:val="0050269E"/>
    <w:rsid w:val="0050596A"/>
    <w:rsid w:val="0050687B"/>
    <w:rsid w:val="0051733E"/>
    <w:rsid w:val="005357F3"/>
    <w:rsid w:val="00536400"/>
    <w:rsid w:val="005410F2"/>
    <w:rsid w:val="005439A8"/>
    <w:rsid w:val="005475A4"/>
    <w:rsid w:val="00556FE1"/>
    <w:rsid w:val="00557F21"/>
    <w:rsid w:val="00562D84"/>
    <w:rsid w:val="005652B2"/>
    <w:rsid w:val="00567269"/>
    <w:rsid w:val="00573ABE"/>
    <w:rsid w:val="005779A0"/>
    <w:rsid w:val="00580BA0"/>
    <w:rsid w:val="00583216"/>
    <w:rsid w:val="00583CBF"/>
    <w:rsid w:val="005A12CC"/>
    <w:rsid w:val="005A33A5"/>
    <w:rsid w:val="005A3DAC"/>
    <w:rsid w:val="005A4E52"/>
    <w:rsid w:val="005B1F3F"/>
    <w:rsid w:val="005B77B2"/>
    <w:rsid w:val="005C0526"/>
    <w:rsid w:val="005C2261"/>
    <w:rsid w:val="005C39FF"/>
    <w:rsid w:val="005C646F"/>
    <w:rsid w:val="005E106C"/>
    <w:rsid w:val="005E68A4"/>
    <w:rsid w:val="005F5AD1"/>
    <w:rsid w:val="005F66E4"/>
    <w:rsid w:val="005F780E"/>
    <w:rsid w:val="0060305C"/>
    <w:rsid w:val="00623803"/>
    <w:rsid w:val="00624D8F"/>
    <w:rsid w:val="006269F4"/>
    <w:rsid w:val="00644427"/>
    <w:rsid w:val="006477ED"/>
    <w:rsid w:val="00654311"/>
    <w:rsid w:val="006609C8"/>
    <w:rsid w:val="006620B6"/>
    <w:rsid w:val="00685C07"/>
    <w:rsid w:val="00692B5A"/>
    <w:rsid w:val="006A0AC2"/>
    <w:rsid w:val="006A20E7"/>
    <w:rsid w:val="006A2509"/>
    <w:rsid w:val="006B2D82"/>
    <w:rsid w:val="006D3EA7"/>
    <w:rsid w:val="006D4A31"/>
    <w:rsid w:val="006D6687"/>
    <w:rsid w:val="006E19DC"/>
    <w:rsid w:val="006E5BBA"/>
    <w:rsid w:val="006F1384"/>
    <w:rsid w:val="006F3F90"/>
    <w:rsid w:val="006F7141"/>
    <w:rsid w:val="0071687F"/>
    <w:rsid w:val="007201F1"/>
    <w:rsid w:val="0072108C"/>
    <w:rsid w:val="007225F4"/>
    <w:rsid w:val="00722C36"/>
    <w:rsid w:val="0074155C"/>
    <w:rsid w:val="00743415"/>
    <w:rsid w:val="00747CE5"/>
    <w:rsid w:val="00747CEB"/>
    <w:rsid w:val="0075670B"/>
    <w:rsid w:val="007664ED"/>
    <w:rsid w:val="00776359"/>
    <w:rsid w:val="0078132E"/>
    <w:rsid w:val="00790095"/>
    <w:rsid w:val="007A0101"/>
    <w:rsid w:val="007A2FDF"/>
    <w:rsid w:val="007A6EA3"/>
    <w:rsid w:val="007B17F6"/>
    <w:rsid w:val="007B7844"/>
    <w:rsid w:val="007C1098"/>
    <w:rsid w:val="007C416B"/>
    <w:rsid w:val="007C58DE"/>
    <w:rsid w:val="007D0104"/>
    <w:rsid w:val="007D26FA"/>
    <w:rsid w:val="007E18A1"/>
    <w:rsid w:val="007E37D9"/>
    <w:rsid w:val="007E7643"/>
    <w:rsid w:val="007F28E7"/>
    <w:rsid w:val="007F5487"/>
    <w:rsid w:val="008045F8"/>
    <w:rsid w:val="00813DA2"/>
    <w:rsid w:val="00817D85"/>
    <w:rsid w:val="00822577"/>
    <w:rsid w:val="00827304"/>
    <w:rsid w:val="008274DF"/>
    <w:rsid w:val="00841D4F"/>
    <w:rsid w:val="00843DFA"/>
    <w:rsid w:val="008456AF"/>
    <w:rsid w:val="00855EC3"/>
    <w:rsid w:val="008705EE"/>
    <w:rsid w:val="00873D36"/>
    <w:rsid w:val="0087427D"/>
    <w:rsid w:val="0089450C"/>
    <w:rsid w:val="00896987"/>
    <w:rsid w:val="008A00BC"/>
    <w:rsid w:val="008A1908"/>
    <w:rsid w:val="008A4E51"/>
    <w:rsid w:val="008A5717"/>
    <w:rsid w:val="008B2089"/>
    <w:rsid w:val="008B4927"/>
    <w:rsid w:val="008D159A"/>
    <w:rsid w:val="008D1D7D"/>
    <w:rsid w:val="008D467B"/>
    <w:rsid w:val="008D72A2"/>
    <w:rsid w:val="008D7A5D"/>
    <w:rsid w:val="008E5C0B"/>
    <w:rsid w:val="008E751E"/>
    <w:rsid w:val="0090150F"/>
    <w:rsid w:val="00912709"/>
    <w:rsid w:val="009136A2"/>
    <w:rsid w:val="00913CA8"/>
    <w:rsid w:val="009146DF"/>
    <w:rsid w:val="00916887"/>
    <w:rsid w:val="009173C9"/>
    <w:rsid w:val="00924F77"/>
    <w:rsid w:val="00926AF1"/>
    <w:rsid w:val="00930027"/>
    <w:rsid w:val="009371A8"/>
    <w:rsid w:val="00941FBB"/>
    <w:rsid w:val="00951417"/>
    <w:rsid w:val="00954873"/>
    <w:rsid w:val="00970363"/>
    <w:rsid w:val="00981A5B"/>
    <w:rsid w:val="00982E0E"/>
    <w:rsid w:val="00984DF5"/>
    <w:rsid w:val="009864BC"/>
    <w:rsid w:val="0099175C"/>
    <w:rsid w:val="009928CC"/>
    <w:rsid w:val="0099589E"/>
    <w:rsid w:val="009A0ADE"/>
    <w:rsid w:val="009A0DFE"/>
    <w:rsid w:val="009A3CC4"/>
    <w:rsid w:val="009A78E3"/>
    <w:rsid w:val="009B1179"/>
    <w:rsid w:val="009B3A2D"/>
    <w:rsid w:val="009B5E26"/>
    <w:rsid w:val="009C15F2"/>
    <w:rsid w:val="009C77B4"/>
    <w:rsid w:val="009C7925"/>
    <w:rsid w:val="009D252C"/>
    <w:rsid w:val="009D43B7"/>
    <w:rsid w:val="009D68EB"/>
    <w:rsid w:val="009D6990"/>
    <w:rsid w:val="009E7C93"/>
    <w:rsid w:val="009F78A3"/>
    <w:rsid w:val="00A03DC1"/>
    <w:rsid w:val="00A135C5"/>
    <w:rsid w:val="00A15156"/>
    <w:rsid w:val="00A169E8"/>
    <w:rsid w:val="00A26743"/>
    <w:rsid w:val="00A30C5C"/>
    <w:rsid w:val="00A32A8B"/>
    <w:rsid w:val="00A3557C"/>
    <w:rsid w:val="00A3633E"/>
    <w:rsid w:val="00A44063"/>
    <w:rsid w:val="00A83363"/>
    <w:rsid w:val="00A85656"/>
    <w:rsid w:val="00A92A24"/>
    <w:rsid w:val="00A96196"/>
    <w:rsid w:val="00AA4F5B"/>
    <w:rsid w:val="00AA512A"/>
    <w:rsid w:val="00AA5D10"/>
    <w:rsid w:val="00AC4A2B"/>
    <w:rsid w:val="00AC51AC"/>
    <w:rsid w:val="00AC77C3"/>
    <w:rsid w:val="00AD0ACF"/>
    <w:rsid w:val="00AD482D"/>
    <w:rsid w:val="00AE50C5"/>
    <w:rsid w:val="00AF1654"/>
    <w:rsid w:val="00AF2995"/>
    <w:rsid w:val="00AF5B26"/>
    <w:rsid w:val="00AF5D74"/>
    <w:rsid w:val="00B04820"/>
    <w:rsid w:val="00B05431"/>
    <w:rsid w:val="00B20366"/>
    <w:rsid w:val="00B3710A"/>
    <w:rsid w:val="00B45272"/>
    <w:rsid w:val="00B53156"/>
    <w:rsid w:val="00B56768"/>
    <w:rsid w:val="00B601C4"/>
    <w:rsid w:val="00B6179D"/>
    <w:rsid w:val="00B646EB"/>
    <w:rsid w:val="00B678CC"/>
    <w:rsid w:val="00B70EA1"/>
    <w:rsid w:val="00B90C67"/>
    <w:rsid w:val="00B9113E"/>
    <w:rsid w:val="00BA2083"/>
    <w:rsid w:val="00BA4E86"/>
    <w:rsid w:val="00BC349B"/>
    <w:rsid w:val="00BD543E"/>
    <w:rsid w:val="00BF2EDF"/>
    <w:rsid w:val="00C00A41"/>
    <w:rsid w:val="00C011C0"/>
    <w:rsid w:val="00C0405F"/>
    <w:rsid w:val="00C10F78"/>
    <w:rsid w:val="00C13ED2"/>
    <w:rsid w:val="00C17284"/>
    <w:rsid w:val="00C24C82"/>
    <w:rsid w:val="00C3395A"/>
    <w:rsid w:val="00C455C4"/>
    <w:rsid w:val="00C6688F"/>
    <w:rsid w:val="00C8174F"/>
    <w:rsid w:val="00CA2901"/>
    <w:rsid w:val="00CA5E4D"/>
    <w:rsid w:val="00CA6C0E"/>
    <w:rsid w:val="00CB5321"/>
    <w:rsid w:val="00CC02FE"/>
    <w:rsid w:val="00CC2231"/>
    <w:rsid w:val="00CD364F"/>
    <w:rsid w:val="00CD42D9"/>
    <w:rsid w:val="00CE10A1"/>
    <w:rsid w:val="00CF38F2"/>
    <w:rsid w:val="00D06B5E"/>
    <w:rsid w:val="00D07111"/>
    <w:rsid w:val="00D1441B"/>
    <w:rsid w:val="00D16242"/>
    <w:rsid w:val="00D16B62"/>
    <w:rsid w:val="00D27ECD"/>
    <w:rsid w:val="00D315EB"/>
    <w:rsid w:val="00D375F6"/>
    <w:rsid w:val="00D522BF"/>
    <w:rsid w:val="00D529B0"/>
    <w:rsid w:val="00D56551"/>
    <w:rsid w:val="00D60223"/>
    <w:rsid w:val="00D611B4"/>
    <w:rsid w:val="00D645BF"/>
    <w:rsid w:val="00D64A0F"/>
    <w:rsid w:val="00D65262"/>
    <w:rsid w:val="00D678CE"/>
    <w:rsid w:val="00D7117F"/>
    <w:rsid w:val="00D74C24"/>
    <w:rsid w:val="00D76108"/>
    <w:rsid w:val="00D821A0"/>
    <w:rsid w:val="00D8784B"/>
    <w:rsid w:val="00D901BB"/>
    <w:rsid w:val="00D928C9"/>
    <w:rsid w:val="00D97301"/>
    <w:rsid w:val="00DA0D74"/>
    <w:rsid w:val="00DB00C3"/>
    <w:rsid w:val="00DB07C8"/>
    <w:rsid w:val="00DC25D9"/>
    <w:rsid w:val="00DC725C"/>
    <w:rsid w:val="00DD15D4"/>
    <w:rsid w:val="00DD4DFA"/>
    <w:rsid w:val="00DD641A"/>
    <w:rsid w:val="00DE0029"/>
    <w:rsid w:val="00DE1306"/>
    <w:rsid w:val="00DF1BF5"/>
    <w:rsid w:val="00DF2A6F"/>
    <w:rsid w:val="00DF4AFD"/>
    <w:rsid w:val="00E03293"/>
    <w:rsid w:val="00E12AE5"/>
    <w:rsid w:val="00E16F0B"/>
    <w:rsid w:val="00E173F6"/>
    <w:rsid w:val="00E17FE8"/>
    <w:rsid w:val="00E237F0"/>
    <w:rsid w:val="00E247FF"/>
    <w:rsid w:val="00E25BC3"/>
    <w:rsid w:val="00E4016A"/>
    <w:rsid w:val="00E437F9"/>
    <w:rsid w:val="00E438D1"/>
    <w:rsid w:val="00E44571"/>
    <w:rsid w:val="00E67DE3"/>
    <w:rsid w:val="00E80DCE"/>
    <w:rsid w:val="00E92DC1"/>
    <w:rsid w:val="00E9386C"/>
    <w:rsid w:val="00E94F09"/>
    <w:rsid w:val="00E9688F"/>
    <w:rsid w:val="00E97264"/>
    <w:rsid w:val="00E9789E"/>
    <w:rsid w:val="00EA1958"/>
    <w:rsid w:val="00EA4649"/>
    <w:rsid w:val="00EB6B43"/>
    <w:rsid w:val="00ED4422"/>
    <w:rsid w:val="00ED5676"/>
    <w:rsid w:val="00EE04C9"/>
    <w:rsid w:val="00EE5788"/>
    <w:rsid w:val="00F1720B"/>
    <w:rsid w:val="00F235FC"/>
    <w:rsid w:val="00F32DCD"/>
    <w:rsid w:val="00F425EA"/>
    <w:rsid w:val="00F44B61"/>
    <w:rsid w:val="00F459E3"/>
    <w:rsid w:val="00F501A1"/>
    <w:rsid w:val="00F50A06"/>
    <w:rsid w:val="00F52CE0"/>
    <w:rsid w:val="00F67672"/>
    <w:rsid w:val="00F80745"/>
    <w:rsid w:val="00FA04BC"/>
    <w:rsid w:val="00FB2469"/>
    <w:rsid w:val="00FB4C55"/>
    <w:rsid w:val="00FD067B"/>
    <w:rsid w:val="00FF1068"/>
    <w:rsid w:val="219B7A60"/>
    <w:rsid w:val="61CDDC81"/>
    <w:rsid w:val="6AAB5F61"/>
    <w:rsid w:val="6EADA725"/>
    <w:rsid w:val="7DFCA1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B79B8D7"/>
  <w15:docId w15:val="{65FDDA0B-6EB1-42C3-840F-0C4FE27C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11B4"/>
    <w:pPr>
      <w:suppressAutoHyphens/>
      <w:spacing w:after="120" w:line="264" w:lineRule="auto"/>
    </w:pPr>
    <w:rPr>
      <w:rFonts w:ascii="Arial" w:hAnsi="Arial"/>
      <w:szCs w:val="21"/>
      <w:lang w:eastAsia="sl-SI"/>
    </w:rPr>
  </w:style>
  <w:style w:type="paragraph" w:styleId="Naslov10">
    <w:name w:val="heading 1"/>
    <w:basedOn w:val="Navaden"/>
    <w:next w:val="Navaden"/>
    <w:uiPriority w:val="9"/>
    <w:qFormat/>
    <w:rsid w:val="009173C9"/>
    <w:pPr>
      <w:keepNext/>
      <w:keepLines/>
      <w:pBdr>
        <w:bottom w:val="single" w:sz="4" w:space="1" w:color="5B9BD5"/>
      </w:pBdr>
      <w:spacing w:before="400" w:after="40"/>
      <w:jc w:val="both"/>
      <w:outlineLvl w:val="0"/>
    </w:pPr>
    <w:rPr>
      <w:rFonts w:eastAsia="SimSun"/>
      <w:b/>
      <w:caps/>
      <w:color w:val="4472C4" w:themeColor="accent1"/>
      <w:sz w:val="24"/>
      <w:szCs w:val="36"/>
    </w:rPr>
  </w:style>
  <w:style w:type="paragraph" w:styleId="Naslov2">
    <w:name w:val="heading 2"/>
    <w:basedOn w:val="Navaden"/>
    <w:next w:val="Navaden"/>
    <w:uiPriority w:val="9"/>
    <w:unhideWhenUsed/>
    <w:qFormat/>
    <w:rsid w:val="009173C9"/>
    <w:pPr>
      <w:keepNext/>
      <w:keepLines/>
      <w:spacing w:before="160" w:after="0"/>
      <w:jc w:val="both"/>
      <w:outlineLvl w:val="1"/>
    </w:pPr>
    <w:rPr>
      <w:rFonts w:eastAsia="SimSun"/>
      <w:b/>
      <w:color w:val="4472C4" w:themeColor="accent1"/>
      <w:sz w:val="24"/>
      <w:szCs w:val="28"/>
    </w:rPr>
  </w:style>
  <w:style w:type="paragraph" w:styleId="Naslov3">
    <w:name w:val="heading 3"/>
    <w:basedOn w:val="Navaden"/>
    <w:next w:val="Navaden"/>
    <w:uiPriority w:val="9"/>
    <w:unhideWhenUsed/>
    <w:qFormat/>
    <w:rsid w:val="009173C9"/>
    <w:pPr>
      <w:keepNext/>
      <w:keepLines/>
      <w:spacing w:after="0" w:line="276" w:lineRule="auto"/>
      <w:jc w:val="both"/>
      <w:outlineLvl w:val="2"/>
    </w:pPr>
    <w:rPr>
      <w:rFonts w:eastAsia="SimSun"/>
      <w:color w:val="4472C4" w:themeColor="accent1"/>
      <w:sz w:val="24"/>
      <w:szCs w:val="26"/>
    </w:rPr>
  </w:style>
  <w:style w:type="paragraph" w:styleId="Naslov4">
    <w:name w:val="heading 4"/>
    <w:basedOn w:val="Navaden"/>
    <w:next w:val="Navaden"/>
    <w:uiPriority w:val="9"/>
    <w:unhideWhenUsed/>
    <w:qFormat/>
    <w:rsid w:val="009173C9"/>
    <w:pPr>
      <w:keepNext/>
      <w:keepLines/>
      <w:spacing w:before="80" w:after="0"/>
      <w:jc w:val="both"/>
      <w:outlineLvl w:val="3"/>
    </w:pPr>
    <w:rPr>
      <w:rFonts w:eastAsia="SimSun"/>
      <w:i/>
      <w:color w:val="4472C4" w:themeColor="accent1"/>
      <w:sz w:val="24"/>
      <w:szCs w:val="24"/>
    </w:rPr>
  </w:style>
  <w:style w:type="paragraph" w:styleId="Naslov5">
    <w:name w:val="heading 5"/>
    <w:basedOn w:val="Navaden"/>
    <w:next w:val="Navaden"/>
    <w:uiPriority w:val="9"/>
    <w:semiHidden/>
    <w:unhideWhenUsed/>
    <w:qFormat/>
    <w:pPr>
      <w:keepNext/>
      <w:keepLines/>
      <w:spacing w:before="80" w:after="0"/>
      <w:outlineLvl w:val="4"/>
    </w:pPr>
    <w:rPr>
      <w:rFonts w:ascii="Calibri Light" w:eastAsia="SimSun" w:hAnsi="Calibri Light"/>
      <w:i/>
      <w:iCs/>
      <w:sz w:val="22"/>
      <w:szCs w:val="22"/>
    </w:rPr>
  </w:style>
  <w:style w:type="paragraph" w:styleId="Naslov6">
    <w:name w:val="heading 6"/>
    <w:basedOn w:val="Navaden"/>
    <w:next w:val="Navaden"/>
    <w:uiPriority w:val="9"/>
    <w:semiHidden/>
    <w:unhideWhenUsed/>
    <w:qFormat/>
    <w:pPr>
      <w:keepNext/>
      <w:keepLines/>
      <w:spacing w:before="80" w:after="0"/>
      <w:outlineLvl w:val="5"/>
    </w:pPr>
    <w:rPr>
      <w:rFonts w:ascii="Calibri Light" w:eastAsia="SimSun" w:hAnsi="Calibri Light"/>
      <w:color w:val="595959"/>
      <w:szCs w:val="20"/>
    </w:rPr>
  </w:style>
  <w:style w:type="paragraph" w:styleId="Naslov7">
    <w:name w:val="heading 7"/>
    <w:basedOn w:val="Navaden"/>
    <w:next w:val="Navaden"/>
    <w:pPr>
      <w:keepNext/>
      <w:keepLines/>
      <w:spacing w:before="80" w:after="0"/>
      <w:outlineLvl w:val="6"/>
    </w:pPr>
    <w:rPr>
      <w:rFonts w:ascii="Calibri Light" w:eastAsia="SimSun" w:hAnsi="Calibri Light"/>
      <w:i/>
      <w:iCs/>
      <w:color w:val="595959"/>
      <w:szCs w:val="20"/>
    </w:rPr>
  </w:style>
  <w:style w:type="paragraph" w:styleId="Naslov8">
    <w:name w:val="heading 8"/>
    <w:basedOn w:val="Navaden"/>
    <w:next w:val="Navaden"/>
    <w:pPr>
      <w:keepNext/>
      <w:keepLines/>
      <w:spacing w:before="80" w:after="0"/>
      <w:outlineLvl w:val="7"/>
    </w:pPr>
    <w:rPr>
      <w:rFonts w:ascii="Calibri Light" w:eastAsia="SimSun" w:hAnsi="Calibri Light"/>
      <w:smallCaps/>
      <w:color w:val="595959"/>
      <w:szCs w:val="20"/>
    </w:rPr>
  </w:style>
  <w:style w:type="paragraph" w:styleId="Naslov9">
    <w:name w:val="heading 9"/>
    <w:basedOn w:val="Navaden"/>
    <w:next w:val="Navaden"/>
    <w:pPr>
      <w:keepNext/>
      <w:keepLines/>
      <w:spacing w:before="80" w:after="0"/>
      <w:outlineLvl w:val="8"/>
    </w:pPr>
    <w:rPr>
      <w:rFonts w:ascii="Calibri Light" w:eastAsia="SimSun" w:hAnsi="Calibri Light"/>
      <w:i/>
      <w:iCs/>
      <w:smallCaps/>
      <w:color w:val="595959"/>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ek">
    <w:name w:val="Odsek"/>
    <w:basedOn w:val="Navaden"/>
    <w:pPr>
      <w:keepNext/>
      <w:tabs>
        <w:tab w:val="left" w:pos="567"/>
      </w:tabs>
      <w:spacing w:before="240" w:after="60"/>
      <w:jc w:val="both"/>
      <w:outlineLvl w:val="1"/>
    </w:pPr>
    <w:rPr>
      <w:rFonts w:eastAsia="SimSun"/>
      <w:sz w:val="22"/>
      <w:szCs w:val="22"/>
      <w:lang w:eastAsia="zh-CN"/>
    </w:rPr>
  </w:style>
  <w:style w:type="paragraph" w:customStyle="1" w:styleId="Poglavje">
    <w:name w:val="Poglavje"/>
    <w:basedOn w:val="Navaden"/>
    <w:pPr>
      <w:spacing w:before="360" w:after="60" w:line="200" w:lineRule="exact"/>
      <w:jc w:val="center"/>
      <w:outlineLvl w:val="3"/>
    </w:pPr>
    <w:rPr>
      <w:rFonts w:cs="Arial"/>
      <w:b/>
      <w:bCs/>
      <w:sz w:val="22"/>
      <w:szCs w:val="22"/>
    </w:rPr>
  </w:style>
  <w:style w:type="paragraph" w:styleId="Glava">
    <w:name w:val="header"/>
    <w:basedOn w:val="Navaden"/>
    <w:pPr>
      <w:tabs>
        <w:tab w:val="center" w:pos="4320"/>
        <w:tab w:val="right" w:pos="8640"/>
      </w:tabs>
    </w:pPr>
    <w:rPr>
      <w:szCs w:val="20"/>
      <w:lang w:val="en-US" w:eastAsia="en-US"/>
    </w:rPr>
  </w:style>
  <w:style w:type="paragraph" w:styleId="Noga">
    <w:name w:val="footer"/>
    <w:basedOn w:val="Navaden"/>
    <w:pPr>
      <w:tabs>
        <w:tab w:val="center" w:pos="4320"/>
        <w:tab w:val="right" w:pos="8640"/>
      </w:tabs>
    </w:pPr>
    <w:rPr>
      <w:szCs w:val="20"/>
      <w:lang w:eastAsia="en-US"/>
    </w:rPr>
  </w:style>
  <w:style w:type="paragraph" w:styleId="Zgradbadokumenta">
    <w:name w:val="Document Map"/>
    <w:basedOn w:val="Navaden"/>
    <w:rPr>
      <w:rFonts w:ascii="Tahoma" w:hAnsi="Tahoma"/>
      <w:sz w:val="16"/>
      <w:szCs w:val="16"/>
      <w:lang w:val="en-US" w:eastAsia="en-US"/>
    </w:rPr>
  </w:style>
  <w:style w:type="character" w:customStyle="1" w:styleId="ZgradbadokumentaZnak">
    <w:name w:val="Zgradba dokumenta Znak"/>
    <w:rPr>
      <w:rFonts w:ascii="Tahoma" w:hAnsi="Tahoma" w:cs="Tahoma"/>
      <w:sz w:val="16"/>
      <w:szCs w:val="16"/>
      <w:lang w:val="en-US" w:eastAsia="en-US"/>
    </w:rPr>
  </w:style>
  <w:style w:type="paragraph" w:customStyle="1" w:styleId="datumtevilka">
    <w:name w:val="datum številka"/>
    <w:basedOn w:val="Navaden"/>
    <w:pPr>
      <w:tabs>
        <w:tab w:val="left" w:pos="1701"/>
      </w:tabs>
    </w:pPr>
    <w:rPr>
      <w:lang w:eastAsia="ja-JP"/>
    </w:rPr>
  </w:style>
  <w:style w:type="paragraph" w:customStyle="1" w:styleId="ZADEVA">
    <w:name w:val="ZADEVA"/>
    <w:basedOn w:val="Navaden"/>
    <w:pPr>
      <w:tabs>
        <w:tab w:val="left" w:pos="1701"/>
      </w:tabs>
      <w:ind w:left="1701" w:hanging="1701"/>
    </w:pPr>
    <w:rPr>
      <w:b/>
      <w:bCs/>
      <w:lang w:val="it-IT"/>
    </w:rPr>
  </w:style>
  <w:style w:type="character" w:styleId="Hiperpovezava">
    <w:name w:val="Hyperlink"/>
    <w:uiPriority w:val="99"/>
    <w:rPr>
      <w:color w:val="0000FF"/>
      <w:u w:val="single"/>
    </w:rPr>
  </w:style>
  <w:style w:type="paragraph" w:customStyle="1" w:styleId="podpisi">
    <w:name w:val="podpisi"/>
    <w:basedOn w:val="Navaden"/>
    <w:pPr>
      <w:tabs>
        <w:tab w:val="left" w:pos="3402"/>
      </w:tabs>
    </w:pPr>
    <w:rPr>
      <w:lang w:val="it-IT"/>
    </w:rPr>
  </w:style>
  <w:style w:type="paragraph" w:customStyle="1" w:styleId="Vrstapredpisa">
    <w:name w:val="Vrsta predpisa"/>
    <w:basedOn w:val="Navaden"/>
    <w:pPr>
      <w:spacing w:before="360" w:line="220" w:lineRule="exact"/>
      <w:jc w:val="center"/>
    </w:pPr>
    <w:rPr>
      <w:rFonts w:cs="Arial"/>
      <w:b/>
      <w:bCs/>
      <w:color w:val="000000"/>
      <w:sz w:val="22"/>
      <w:szCs w:val="22"/>
    </w:rPr>
  </w:style>
  <w:style w:type="character" w:customStyle="1" w:styleId="VrstapredpisaZnak">
    <w:name w:val="Vrsta predpisa Znak"/>
    <w:rPr>
      <w:rFonts w:ascii="Arial" w:hAnsi="Arial" w:cs="Arial"/>
      <w:b/>
      <w:bCs/>
      <w:color w:val="000000"/>
      <w:spacing w:val="40"/>
      <w:sz w:val="22"/>
      <w:szCs w:val="22"/>
      <w:lang w:val="sl-SI" w:eastAsia="sl-SI" w:bidi="ar-SA"/>
    </w:rPr>
  </w:style>
  <w:style w:type="paragraph" w:customStyle="1" w:styleId="Naslovpredpisa">
    <w:name w:val="Naslov_predpisa"/>
    <w:basedOn w:val="Navaden"/>
    <w:pPr>
      <w:spacing w:before="120" w:after="160" w:line="200" w:lineRule="exact"/>
      <w:jc w:val="center"/>
    </w:pPr>
    <w:rPr>
      <w:rFonts w:cs="Arial"/>
      <w:b/>
      <w:bCs/>
      <w:sz w:val="22"/>
      <w:szCs w:val="22"/>
    </w:rPr>
  </w:style>
  <w:style w:type="character" w:customStyle="1" w:styleId="NaslovpredpisaZnak">
    <w:name w:val="Naslov_predpisa Znak"/>
    <w:rPr>
      <w:rFonts w:ascii="Arial" w:hAnsi="Arial" w:cs="Arial"/>
      <w:b/>
      <w:sz w:val="22"/>
      <w:szCs w:val="22"/>
      <w:lang w:val="sl-SI" w:eastAsia="sl-SI" w:bidi="ar-SA"/>
    </w:rPr>
  </w:style>
  <w:style w:type="paragraph" w:customStyle="1" w:styleId="Neotevilenodstavek">
    <w:name w:val="Neoštevilčen odstavek"/>
    <w:basedOn w:val="Navaden"/>
    <w:pPr>
      <w:spacing w:before="60" w:after="60" w:line="200" w:lineRule="exact"/>
      <w:jc w:val="both"/>
    </w:pPr>
    <w:rPr>
      <w:rFonts w:cs="Arial"/>
      <w:sz w:val="22"/>
      <w:szCs w:val="22"/>
    </w:rPr>
  </w:style>
  <w:style w:type="character" w:customStyle="1" w:styleId="NeotevilenodstavekZnak">
    <w:name w:val="Neoštevilčen odstavek Znak"/>
    <w:rPr>
      <w:rFonts w:ascii="Arial" w:hAnsi="Arial" w:cs="Arial"/>
      <w:sz w:val="22"/>
      <w:szCs w:val="22"/>
      <w:lang w:val="sl-SI" w:eastAsia="sl-SI" w:bidi="ar-SA"/>
    </w:rPr>
  </w:style>
  <w:style w:type="paragraph" w:customStyle="1" w:styleId="Oddelek">
    <w:name w:val="Oddelek"/>
    <w:basedOn w:val="Navaden"/>
    <w:pPr>
      <w:numPr>
        <w:numId w:val="1"/>
      </w:numPr>
      <w:spacing w:before="280" w:after="60" w:line="200" w:lineRule="exact"/>
      <w:jc w:val="center"/>
      <w:outlineLvl w:val="3"/>
    </w:pPr>
    <w:rPr>
      <w:b/>
      <w:bCs/>
      <w:sz w:val="22"/>
      <w:szCs w:val="22"/>
    </w:rPr>
  </w:style>
  <w:style w:type="character" w:customStyle="1" w:styleId="OddelekZnak1">
    <w:name w:val="Oddelek Znak1"/>
    <w:rPr>
      <w:b/>
      <w:sz w:val="22"/>
      <w:szCs w:val="22"/>
    </w:rPr>
  </w:style>
  <w:style w:type="paragraph" w:customStyle="1" w:styleId="Alineazaodstavkom">
    <w:name w:val="Alinea za odstavkom"/>
    <w:basedOn w:val="Navaden"/>
    <w:pPr>
      <w:numPr>
        <w:numId w:val="2"/>
      </w:numPr>
      <w:spacing w:line="200" w:lineRule="exact"/>
      <w:jc w:val="both"/>
    </w:pPr>
    <w:rPr>
      <w:sz w:val="22"/>
      <w:szCs w:val="22"/>
    </w:rPr>
  </w:style>
  <w:style w:type="character" w:customStyle="1" w:styleId="AlineazaodstavkomZnak">
    <w:name w:val="Alinea za odstavkom Znak"/>
    <w:rPr>
      <w:sz w:val="22"/>
      <w:szCs w:val="22"/>
    </w:rPr>
  </w:style>
  <w:style w:type="paragraph" w:customStyle="1" w:styleId="Odstavekseznama1">
    <w:name w:val="Odstavek seznama1"/>
    <w:basedOn w:val="Navaden"/>
    <w:pPr>
      <w:ind w:left="720"/>
      <w:contextualSpacing/>
    </w:pPr>
    <w:rPr>
      <w:rFonts w:ascii="Times New Roman" w:hAnsi="Times New Roman"/>
      <w:sz w:val="24"/>
      <w:szCs w:val="24"/>
    </w:rPr>
  </w:style>
  <w:style w:type="paragraph" w:customStyle="1" w:styleId="Alineazatoko">
    <w:name w:val="Alinea za točko"/>
    <w:basedOn w:val="Navaden"/>
    <w:pPr>
      <w:spacing w:line="200" w:lineRule="exact"/>
      <w:ind w:left="1428" w:hanging="360"/>
      <w:jc w:val="both"/>
    </w:pPr>
    <w:rPr>
      <w:sz w:val="22"/>
      <w:szCs w:val="22"/>
    </w:rPr>
  </w:style>
  <w:style w:type="character" w:customStyle="1" w:styleId="AlineazatokoZnak">
    <w:name w:val="Alinea za točko Znak"/>
    <w:rPr>
      <w:rFonts w:ascii="Arial" w:hAnsi="Arial" w:cs="Arial"/>
      <w:sz w:val="22"/>
      <w:szCs w:val="22"/>
    </w:rPr>
  </w:style>
  <w:style w:type="character" w:customStyle="1" w:styleId="rkovnatokazaodstavkomZnak">
    <w:name w:val="Črkovna točka_za odstavkom Znak"/>
    <w:rPr>
      <w:sz w:val="21"/>
      <w:lang w:val="sl-SI"/>
    </w:rPr>
  </w:style>
  <w:style w:type="paragraph" w:customStyle="1" w:styleId="rkovnatokazaodstavkom">
    <w:name w:val="Črkovna točka_za odstavkom"/>
    <w:basedOn w:val="Navaden"/>
    <w:pPr>
      <w:spacing w:line="200" w:lineRule="exact"/>
      <w:jc w:val="both"/>
    </w:pPr>
  </w:style>
  <w:style w:type="character" w:customStyle="1" w:styleId="OdsekZnak">
    <w:name w:val="Odsek Znak"/>
    <w:rPr>
      <w:rFonts w:ascii="Calibri" w:eastAsia="SimSun" w:hAnsi="Calibri" w:cs="Arial"/>
      <w:b w:val="0"/>
      <w:sz w:val="22"/>
      <w:szCs w:val="22"/>
      <w:lang w:eastAsia="zh-CN"/>
    </w:rPr>
  </w:style>
  <w:style w:type="character" w:customStyle="1" w:styleId="GlavaZnak">
    <w:name w:val="Glava Znak"/>
    <w:rPr>
      <w:rFonts w:ascii="Arial" w:hAnsi="Arial"/>
      <w:szCs w:val="24"/>
      <w:lang w:val="en-US" w:eastAsia="en-US"/>
    </w:rPr>
  </w:style>
  <w:style w:type="character" w:customStyle="1" w:styleId="Naslov1Znak">
    <w:name w:val="Naslov 1 Znak"/>
    <w:rPr>
      <w:rFonts w:ascii="Calibri Light" w:eastAsia="SimSun" w:hAnsi="Calibri Light" w:cs="Times New Roman"/>
      <w:color w:val="2E74B5"/>
      <w:sz w:val="36"/>
      <w:szCs w:val="36"/>
    </w:rPr>
  </w:style>
  <w:style w:type="character" w:styleId="Pripombasklic">
    <w:name w:val="annotation reference"/>
    <w:uiPriority w:val="99"/>
    <w:rPr>
      <w:sz w:val="16"/>
      <w:szCs w:val="16"/>
    </w:rPr>
  </w:style>
  <w:style w:type="paragraph" w:styleId="Pripombabesedilo">
    <w:name w:val="annotation text"/>
    <w:basedOn w:val="Navaden"/>
    <w:pPr>
      <w:jc w:val="both"/>
    </w:pPr>
    <w:rPr>
      <w:szCs w:val="20"/>
      <w:lang w:eastAsia="en-US"/>
    </w:rPr>
  </w:style>
  <w:style w:type="character" w:customStyle="1" w:styleId="PripombabesediloZnak">
    <w:name w:val="Pripomba – besedilo Znak"/>
    <w:rPr>
      <w:lang w:eastAsia="en-US"/>
    </w:rPr>
  </w:style>
  <w:style w:type="paragraph" w:styleId="Besedilooblaka">
    <w:name w:val="Balloon Text"/>
    <w:basedOn w:val="Navaden"/>
    <w:rPr>
      <w:rFonts w:ascii="Tahoma" w:hAnsi="Tahoma"/>
      <w:sz w:val="16"/>
      <w:szCs w:val="16"/>
      <w:lang w:eastAsia="en-US"/>
    </w:rPr>
  </w:style>
  <w:style w:type="character" w:customStyle="1" w:styleId="BesedilooblakaZnak">
    <w:name w:val="Besedilo oblačka Znak"/>
    <w:rPr>
      <w:rFonts w:ascii="Tahoma" w:hAnsi="Tahoma" w:cs="Tahoma"/>
      <w:sz w:val="16"/>
      <w:szCs w:val="16"/>
      <w:lang w:eastAsia="en-US"/>
    </w:rPr>
  </w:style>
  <w:style w:type="paragraph" w:styleId="Zadevapripombe">
    <w:name w:val="annotation subject"/>
    <w:basedOn w:val="Pripombabesedilo"/>
    <w:next w:val="Pripombabesedilo"/>
    <w:pPr>
      <w:spacing w:line="260" w:lineRule="exact"/>
      <w:jc w:val="left"/>
    </w:pPr>
    <w:rPr>
      <w:b/>
      <w:bCs/>
    </w:rPr>
  </w:style>
  <w:style w:type="character" w:customStyle="1" w:styleId="ZadevapripombeZnak">
    <w:name w:val="Zadeva pripombe Znak"/>
    <w:rPr>
      <w:rFonts w:ascii="Arial" w:hAnsi="Arial"/>
      <w:b/>
      <w:bCs/>
      <w:lang w:eastAsia="en-US"/>
    </w:rPr>
  </w:style>
  <w:style w:type="character" w:customStyle="1" w:styleId="Naslov2Znak">
    <w:name w:val="Naslov 2 Znak"/>
    <w:rPr>
      <w:rFonts w:ascii="Calibri Light" w:eastAsia="SimSun" w:hAnsi="Calibri Light"/>
      <w:color w:val="2E74B5"/>
      <w:sz w:val="28"/>
      <w:szCs w:val="28"/>
    </w:rPr>
  </w:style>
  <w:style w:type="character" w:customStyle="1" w:styleId="Naslov3Znak2">
    <w:name w:val="Naslov 3 Znak2"/>
    <w:rPr>
      <w:rFonts w:ascii="Cambria" w:eastAsia="Times New Roman" w:hAnsi="Cambria" w:cs="Times New Roman"/>
      <w:b/>
      <w:bCs/>
      <w:sz w:val="26"/>
      <w:szCs w:val="26"/>
      <w:lang w:eastAsia="en-US"/>
    </w:rPr>
  </w:style>
  <w:style w:type="character" w:customStyle="1" w:styleId="Naslov4Znak">
    <w:name w:val="Naslov 4 Znak"/>
    <w:rPr>
      <w:rFonts w:ascii="Calibri Light" w:eastAsia="SimSun" w:hAnsi="Calibri Light" w:cs="Times New Roman"/>
      <w:sz w:val="24"/>
      <w:szCs w:val="24"/>
    </w:rPr>
  </w:style>
  <w:style w:type="character" w:customStyle="1" w:styleId="Naslov5Znak">
    <w:name w:val="Naslov 5 Znak"/>
    <w:rPr>
      <w:rFonts w:ascii="Calibri Light" w:eastAsia="SimSun" w:hAnsi="Calibri Light" w:cs="Times New Roman"/>
      <w:i/>
      <w:iCs/>
      <w:sz w:val="22"/>
      <w:szCs w:val="22"/>
    </w:rPr>
  </w:style>
  <w:style w:type="character" w:customStyle="1" w:styleId="Naslov6Znak">
    <w:name w:val="Naslov 6 Znak"/>
    <w:rPr>
      <w:rFonts w:ascii="Calibri Light" w:eastAsia="SimSun" w:hAnsi="Calibri Light" w:cs="Times New Roman"/>
      <w:color w:val="595959"/>
    </w:rPr>
  </w:style>
  <w:style w:type="character" w:customStyle="1" w:styleId="Naslov7Znak">
    <w:name w:val="Naslov 7 Znak"/>
    <w:rPr>
      <w:rFonts w:ascii="Calibri Light" w:eastAsia="SimSun" w:hAnsi="Calibri Light" w:cs="Times New Roman"/>
      <w:i/>
      <w:iCs/>
      <w:color w:val="595959"/>
    </w:rPr>
  </w:style>
  <w:style w:type="character" w:customStyle="1" w:styleId="Naslov8Znak">
    <w:name w:val="Naslov 8 Znak"/>
    <w:rPr>
      <w:rFonts w:ascii="Calibri Light" w:eastAsia="SimSun" w:hAnsi="Calibri Light" w:cs="Times New Roman"/>
      <w:smallCaps/>
      <w:color w:val="595959"/>
    </w:rPr>
  </w:style>
  <w:style w:type="character" w:customStyle="1" w:styleId="Naslov9Znak">
    <w:name w:val="Naslov 9 Znak"/>
    <w:rPr>
      <w:rFonts w:ascii="Calibri Light" w:eastAsia="SimSun" w:hAnsi="Calibri Light" w:cs="Times New Roman"/>
      <w:i/>
      <w:iCs/>
      <w:smallCaps/>
      <w:color w:val="595959"/>
    </w:rPr>
  </w:style>
  <w:style w:type="paragraph" w:customStyle="1" w:styleId="ListParagraph1">
    <w:name w:val="List Paragraph1"/>
    <w:basedOn w:val="Navaden"/>
    <w:pPr>
      <w:ind w:left="720"/>
    </w:pPr>
    <w:rPr>
      <w:rFonts w:eastAsia="Calibri"/>
      <w:szCs w:val="20"/>
      <w:lang w:eastAsia="en-US"/>
    </w:rPr>
  </w:style>
  <w:style w:type="character" w:customStyle="1" w:styleId="ListParagraphChar">
    <w:name w:val="List Paragraph Char"/>
    <w:rPr>
      <w:rFonts w:ascii="Calibri" w:eastAsia="Calibri" w:hAnsi="Calibri"/>
      <w:lang w:eastAsia="en-US"/>
    </w:rPr>
  </w:style>
  <w:style w:type="character" w:customStyle="1" w:styleId="OdstavekseznamaZnak">
    <w:name w:val="Odstavek seznama Znak"/>
  </w:style>
  <w:style w:type="paragraph" w:styleId="Odstavekseznama">
    <w:name w:val="List Paragraph"/>
    <w:basedOn w:val="Navaden"/>
    <w:pPr>
      <w:ind w:left="720"/>
      <w:contextualSpacing/>
    </w:pPr>
  </w:style>
  <w:style w:type="paragraph" w:customStyle="1" w:styleId="align-justify">
    <w:name w:val="align-justify"/>
    <w:basedOn w:val="Navaden"/>
    <w:rPr>
      <w:rFonts w:ascii="Times New Roman" w:hAnsi="Times New Roman"/>
      <w:sz w:val="24"/>
      <w:szCs w:val="24"/>
    </w:rPr>
  </w:style>
  <w:style w:type="character" w:styleId="Krepko">
    <w:name w:val="Strong"/>
    <w:uiPriority w:val="22"/>
    <w:qFormat/>
    <w:rPr>
      <w:b/>
      <w:bCs/>
    </w:rPr>
  </w:style>
  <w:style w:type="paragraph" w:styleId="Navadensplet">
    <w:name w:val="Normal (Web)"/>
    <w:basedOn w:val="Navaden"/>
    <w:rPr>
      <w:rFonts w:ascii="Times New Roman" w:hAnsi="Times New Roman"/>
      <w:sz w:val="24"/>
      <w:szCs w:val="24"/>
    </w:rPr>
  </w:style>
  <w:style w:type="paragraph" w:styleId="Sprotnaopomba-besedilo">
    <w:name w:val="footnote text"/>
    <w:basedOn w:val="Navaden"/>
    <w:rPr>
      <w:rFonts w:ascii="Times New Roman" w:hAnsi="Times New Roman"/>
    </w:rPr>
  </w:style>
  <w:style w:type="character" w:customStyle="1" w:styleId="Sprotnaopomba-besediloZnak">
    <w:name w:val="Sprotna opomba - besedilo Znak"/>
    <w:basedOn w:val="Privzetapisavaodstavka"/>
  </w:style>
  <w:style w:type="character" w:styleId="Sprotnaopomba-sklic">
    <w:name w:val="footnote reference"/>
    <w:rPr>
      <w:position w:val="0"/>
      <w:vertAlign w:val="superscript"/>
    </w:rPr>
  </w:style>
  <w:style w:type="paragraph" w:styleId="Telobesedila2">
    <w:name w:val="Body Text 2"/>
    <w:basedOn w:val="Navaden"/>
    <w:rPr>
      <w:sz w:val="24"/>
      <w:szCs w:val="24"/>
    </w:rPr>
  </w:style>
  <w:style w:type="character" w:customStyle="1" w:styleId="Telobesedila2Znak">
    <w:name w:val="Telo besedila 2 Znak"/>
    <w:rPr>
      <w:sz w:val="24"/>
      <w:szCs w:val="24"/>
    </w:rPr>
  </w:style>
  <w:style w:type="paragraph" w:customStyle="1" w:styleId="ZnakZnak4ZnakZnak">
    <w:name w:val="Znak Znak4 Znak Znak"/>
    <w:basedOn w:val="Navaden"/>
    <w:pPr>
      <w:spacing w:after="160" w:line="240" w:lineRule="exact"/>
    </w:pPr>
    <w:rPr>
      <w:rFonts w:ascii="Tahoma" w:eastAsia="SimSun" w:hAnsi="Tahoma" w:cs="Tahoma"/>
      <w:lang w:val="en-US"/>
    </w:rPr>
  </w:style>
  <w:style w:type="paragraph" w:customStyle="1" w:styleId="Text3">
    <w:name w:val="Text 3"/>
    <w:basedOn w:val="Navaden"/>
    <w:pPr>
      <w:tabs>
        <w:tab w:val="left" w:pos="2302"/>
      </w:tabs>
      <w:spacing w:after="240"/>
      <w:ind w:left="1202"/>
      <w:jc w:val="both"/>
    </w:pPr>
    <w:rPr>
      <w:rFonts w:ascii="Times New Roman" w:eastAsia="Arial" w:hAnsi="Times New Roman"/>
      <w:sz w:val="24"/>
      <w:szCs w:val="24"/>
      <w:lang w:val="en-GB"/>
    </w:rPr>
  </w:style>
  <w:style w:type="paragraph" w:styleId="Telobesedila">
    <w:name w:val="Body Text"/>
    <w:basedOn w:val="Navaden"/>
    <w:rPr>
      <w:sz w:val="24"/>
      <w:szCs w:val="24"/>
    </w:rPr>
  </w:style>
  <w:style w:type="character" w:customStyle="1" w:styleId="TelobesedilaZnak">
    <w:name w:val="Telo besedila Znak"/>
    <w:rPr>
      <w:sz w:val="24"/>
      <w:szCs w:val="24"/>
    </w:rPr>
  </w:style>
  <w:style w:type="character" w:styleId="Poudarek">
    <w:name w:val="Emphasis"/>
    <w:uiPriority w:val="20"/>
    <w:qFormat/>
    <w:rPr>
      <w:i/>
      <w:iCs/>
    </w:rPr>
  </w:style>
  <w:style w:type="paragraph" w:customStyle="1" w:styleId="documentdescription">
    <w:name w:val="documentdescription"/>
    <w:basedOn w:val="Navaden"/>
    <w:pPr>
      <w:spacing w:after="360" w:line="270" w:lineRule="atLeast"/>
    </w:pPr>
    <w:rPr>
      <w:rFonts w:ascii="Times New Roman" w:hAnsi="Times New Roman"/>
      <w:b/>
      <w:bCs/>
      <w:color w:val="004C83"/>
      <w:sz w:val="24"/>
      <w:szCs w:val="24"/>
    </w:rPr>
  </w:style>
  <w:style w:type="character" w:customStyle="1" w:styleId="apple-style-span">
    <w:name w:val="apple-style-span"/>
  </w:style>
  <w:style w:type="paragraph" w:customStyle="1" w:styleId="CharCharChar1">
    <w:name w:val="Char Char Char1"/>
    <w:basedOn w:val="Navaden"/>
    <w:pPr>
      <w:spacing w:after="160" w:line="240" w:lineRule="exact"/>
    </w:pPr>
    <w:rPr>
      <w:rFonts w:ascii="Times New Roman" w:hAnsi="Times New Roman"/>
      <w:color w:val="000000"/>
    </w:rPr>
  </w:style>
  <w:style w:type="paragraph" w:customStyle="1" w:styleId="Default">
    <w:name w:val="Default"/>
    <w:pPr>
      <w:suppressAutoHyphens/>
      <w:autoSpaceDE w:val="0"/>
      <w:spacing w:after="120" w:line="264" w:lineRule="auto"/>
    </w:pPr>
    <w:rPr>
      <w:rFonts w:ascii="Trebuchet MS" w:hAnsi="Trebuchet MS" w:cs="Trebuchet MS"/>
      <w:color w:val="000000"/>
      <w:sz w:val="24"/>
      <w:szCs w:val="24"/>
      <w:lang w:eastAsia="sl-SI"/>
    </w:rPr>
  </w:style>
  <w:style w:type="paragraph" w:customStyle="1" w:styleId="BodyText21">
    <w:name w:val="Body Text 21"/>
    <w:basedOn w:val="Navaden"/>
    <w:pPr>
      <w:spacing w:line="313" w:lineRule="atLeast"/>
      <w:jc w:val="both"/>
    </w:pPr>
    <w:rPr>
      <w:rFonts w:ascii="Times New Roman" w:hAnsi="Times New Roman"/>
      <w:sz w:val="24"/>
      <w:szCs w:val="24"/>
    </w:rPr>
  </w:style>
  <w:style w:type="paragraph" w:customStyle="1" w:styleId="ZnakZnak4ZnakZnak0">
    <w:name w:val="Znak Znak4 Znak Znak0"/>
    <w:basedOn w:val="Navaden"/>
    <w:pPr>
      <w:spacing w:after="160" w:line="240" w:lineRule="exact"/>
    </w:pPr>
    <w:rPr>
      <w:rFonts w:ascii="Tahoma" w:eastAsia="SimSun" w:hAnsi="Tahoma" w:cs="Tahoma"/>
      <w:lang w:val="en-US"/>
    </w:rPr>
  </w:style>
  <w:style w:type="character" w:styleId="tevilkastrani">
    <w:name w:val="page number"/>
  </w:style>
  <w:style w:type="paragraph" w:styleId="Telobesedila-zamik">
    <w:name w:val="Body Text Indent"/>
    <w:basedOn w:val="Navaden"/>
    <w:pPr>
      <w:ind w:left="283"/>
    </w:pPr>
    <w:rPr>
      <w:rFonts w:eastAsia="SimSun"/>
      <w:sz w:val="24"/>
      <w:szCs w:val="24"/>
      <w:lang w:eastAsia="zh-CN"/>
    </w:rPr>
  </w:style>
  <w:style w:type="character" w:customStyle="1" w:styleId="Telobesedila-zamikZnak">
    <w:name w:val="Telo besedila - zamik Znak"/>
    <w:rPr>
      <w:rFonts w:ascii="Calibri" w:eastAsia="SimSun" w:hAnsi="Calibri"/>
      <w:sz w:val="24"/>
      <w:szCs w:val="24"/>
      <w:lang w:eastAsia="zh-CN"/>
    </w:rPr>
  </w:style>
  <w:style w:type="paragraph" w:customStyle="1" w:styleId="bodytext">
    <w:name w:val="bodytext"/>
    <w:basedOn w:val="Navaden"/>
    <w:pPr>
      <w:spacing w:line="337" w:lineRule="atLeast"/>
    </w:pPr>
    <w:rPr>
      <w:rFonts w:ascii="Verdana" w:eastAsia="SimSun" w:hAnsi="Verdana"/>
      <w:color w:val="000000"/>
      <w:sz w:val="22"/>
      <w:szCs w:val="22"/>
      <w:lang w:eastAsia="zh-CN"/>
    </w:rPr>
  </w:style>
  <w:style w:type="paragraph" w:styleId="HTML-oblikovano">
    <w:name w:val="HTML Preformatted"/>
    <w:basedOn w:val="Nava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18"/>
      <w:szCs w:val="18"/>
      <w:lang w:eastAsia="zh-CN"/>
    </w:rPr>
  </w:style>
  <w:style w:type="character" w:customStyle="1" w:styleId="HTML-oblikovanoZnak">
    <w:name w:val="HTML-oblikovano Znak"/>
    <w:rPr>
      <w:rFonts w:ascii="Courier New" w:eastAsia="Calibri" w:hAnsi="Courier New" w:cs="Courier New"/>
      <w:color w:val="000000"/>
      <w:sz w:val="18"/>
      <w:szCs w:val="18"/>
      <w:lang w:eastAsia="zh-CN"/>
    </w:rPr>
  </w:style>
  <w:style w:type="paragraph" w:styleId="Napis">
    <w:name w:val="caption"/>
    <w:basedOn w:val="Navaden"/>
    <w:next w:val="Navaden"/>
    <w:rPr>
      <w:b/>
      <w:bCs/>
      <w:color w:val="404040"/>
      <w:szCs w:val="20"/>
    </w:rPr>
  </w:style>
  <w:style w:type="paragraph" w:styleId="Naslov">
    <w:name w:val="Title"/>
    <w:basedOn w:val="Navaden"/>
    <w:next w:val="Navaden"/>
    <w:uiPriority w:val="10"/>
    <w:qFormat/>
    <w:pPr>
      <w:spacing w:after="0"/>
      <w:contextualSpacing/>
    </w:pPr>
    <w:rPr>
      <w:rFonts w:ascii="Calibri Light" w:eastAsia="SimSun" w:hAnsi="Calibri Light"/>
      <w:color w:val="2E74B5"/>
      <w:sz w:val="80"/>
      <w:szCs w:val="80"/>
    </w:rPr>
  </w:style>
  <w:style w:type="character" w:customStyle="1" w:styleId="NaslovZnak">
    <w:name w:val="Naslov Znak"/>
    <w:rPr>
      <w:rFonts w:ascii="Calibri Light" w:eastAsia="SimSun" w:hAnsi="Calibri Light" w:cs="Times New Roman"/>
      <w:color w:val="2E74B5"/>
      <w:spacing w:val="-7"/>
      <w:sz w:val="80"/>
      <w:szCs w:val="80"/>
    </w:rPr>
  </w:style>
  <w:style w:type="paragraph" w:styleId="Podnaslov">
    <w:name w:val="Subtitle"/>
    <w:basedOn w:val="Navaden"/>
    <w:next w:val="Navaden"/>
    <w:uiPriority w:val="11"/>
    <w:qFormat/>
    <w:pPr>
      <w:spacing w:after="240"/>
    </w:pPr>
    <w:rPr>
      <w:rFonts w:ascii="Calibri Light" w:eastAsia="SimSun" w:hAnsi="Calibri Light"/>
      <w:color w:val="404040"/>
      <w:sz w:val="30"/>
      <w:szCs w:val="30"/>
    </w:rPr>
  </w:style>
  <w:style w:type="character" w:customStyle="1" w:styleId="PodnaslovZnak">
    <w:name w:val="Podnaslov Znak"/>
    <w:rPr>
      <w:rFonts w:ascii="Calibri Light" w:eastAsia="SimSun" w:hAnsi="Calibri Light" w:cs="Times New Roman"/>
      <w:color w:val="404040"/>
      <w:sz w:val="30"/>
      <w:szCs w:val="30"/>
    </w:rPr>
  </w:style>
  <w:style w:type="paragraph" w:customStyle="1" w:styleId="NoSpacing1">
    <w:name w:val="No Spacing1"/>
    <w:basedOn w:val="Navaden"/>
    <w:rPr>
      <w:rFonts w:eastAsia="SimSun"/>
      <w:sz w:val="24"/>
      <w:szCs w:val="24"/>
      <w:lang w:eastAsia="zh-CN"/>
    </w:rPr>
  </w:style>
  <w:style w:type="paragraph" w:customStyle="1" w:styleId="Quote1">
    <w:name w:val="Quote1"/>
    <w:basedOn w:val="Navaden"/>
    <w:next w:val="Navaden"/>
    <w:rPr>
      <w:rFonts w:eastAsia="SimSun"/>
      <w:i/>
      <w:iCs/>
      <w:sz w:val="24"/>
      <w:szCs w:val="24"/>
      <w:lang w:eastAsia="zh-CN"/>
    </w:rPr>
  </w:style>
  <w:style w:type="character" w:customStyle="1" w:styleId="QuoteChar">
    <w:name w:val="Quote Char"/>
    <w:rPr>
      <w:rFonts w:ascii="Calibri" w:eastAsia="SimSun" w:hAnsi="Calibri"/>
      <w:i/>
      <w:sz w:val="24"/>
      <w:szCs w:val="24"/>
      <w:lang w:eastAsia="zh-CN"/>
    </w:rPr>
  </w:style>
  <w:style w:type="paragraph" w:customStyle="1" w:styleId="IntenseQuote1">
    <w:name w:val="Intense Quote1"/>
    <w:basedOn w:val="Navaden"/>
    <w:next w:val="Navaden"/>
    <w:pPr>
      <w:ind w:left="720" w:right="720"/>
    </w:pPr>
    <w:rPr>
      <w:rFonts w:eastAsia="SimSun"/>
      <w:b/>
      <w:bCs/>
      <w:i/>
      <w:iCs/>
      <w:sz w:val="24"/>
      <w:szCs w:val="24"/>
      <w:lang w:eastAsia="zh-CN"/>
    </w:rPr>
  </w:style>
  <w:style w:type="character" w:customStyle="1" w:styleId="IntenseQuoteChar">
    <w:name w:val="Intense Quote Char"/>
    <w:rPr>
      <w:rFonts w:ascii="Calibri" w:eastAsia="SimSun" w:hAnsi="Calibri"/>
      <w:b/>
      <w:i/>
      <w:sz w:val="24"/>
      <w:szCs w:val="22"/>
      <w:lang w:eastAsia="zh-CN"/>
    </w:rPr>
  </w:style>
  <w:style w:type="character" w:customStyle="1" w:styleId="SubtleEmphasis1">
    <w:name w:val="Subtle Emphasis1"/>
    <w:rPr>
      <w:i/>
      <w:color w:val="5A5A5A"/>
    </w:rPr>
  </w:style>
  <w:style w:type="character" w:customStyle="1" w:styleId="IntenseEmphasis1">
    <w:name w:val="Intense Emphasis1"/>
    <w:rPr>
      <w:b/>
      <w:i/>
      <w:sz w:val="24"/>
      <w:szCs w:val="24"/>
      <w:u w:val="single"/>
    </w:rPr>
  </w:style>
  <w:style w:type="character" w:customStyle="1" w:styleId="SubtleReference1">
    <w:name w:val="Subtle Reference1"/>
    <w:rPr>
      <w:sz w:val="24"/>
      <w:szCs w:val="24"/>
      <w:u w:val="single"/>
    </w:rPr>
  </w:style>
  <w:style w:type="character" w:customStyle="1" w:styleId="IntenseReference1">
    <w:name w:val="Intense Reference1"/>
    <w:rPr>
      <w:b/>
      <w:sz w:val="24"/>
      <w:u w:val="single"/>
    </w:rPr>
  </w:style>
  <w:style w:type="character" w:customStyle="1" w:styleId="BookTitle1">
    <w:name w:val="Book Title1"/>
    <w:rPr>
      <w:rFonts w:ascii="Cambria" w:eastAsia="SimSun" w:hAnsi="Cambria"/>
      <w:b/>
      <w:i/>
      <w:sz w:val="24"/>
      <w:szCs w:val="24"/>
    </w:rPr>
  </w:style>
  <w:style w:type="paragraph" w:customStyle="1" w:styleId="TOCHeading1">
    <w:name w:val="TOC Heading1"/>
    <w:basedOn w:val="Naslov10"/>
    <w:next w:val="Navaden"/>
    <w:pPr>
      <w:tabs>
        <w:tab w:val="left" w:pos="567"/>
      </w:tabs>
      <w:ind w:left="432" w:hanging="432"/>
    </w:pPr>
    <w:rPr>
      <w:rFonts w:ascii="Cambria" w:hAnsi="Cambria"/>
      <w:bCs/>
      <w:sz w:val="32"/>
      <w:lang w:eastAsia="zh-CN"/>
    </w:rPr>
  </w:style>
  <w:style w:type="paragraph" w:styleId="Kazalovsebine1">
    <w:name w:val="toc 1"/>
    <w:basedOn w:val="Navaden"/>
    <w:next w:val="Navaden"/>
    <w:uiPriority w:val="39"/>
    <w:pPr>
      <w:spacing w:before="120"/>
    </w:pPr>
    <w:rPr>
      <w:rFonts w:asciiTheme="minorHAnsi" w:hAnsiTheme="minorHAnsi" w:cstheme="minorHAnsi"/>
      <w:b/>
      <w:bCs/>
      <w:caps/>
      <w:szCs w:val="20"/>
    </w:rPr>
  </w:style>
  <w:style w:type="paragraph" w:styleId="Kazalovsebine2">
    <w:name w:val="toc 2"/>
    <w:basedOn w:val="Navaden"/>
    <w:next w:val="Navaden"/>
    <w:uiPriority w:val="39"/>
    <w:pPr>
      <w:spacing w:after="0"/>
      <w:ind w:left="200"/>
    </w:pPr>
    <w:rPr>
      <w:rFonts w:asciiTheme="minorHAnsi" w:hAnsiTheme="minorHAnsi" w:cstheme="minorHAnsi"/>
      <w:smallCaps/>
      <w:szCs w:val="20"/>
    </w:rPr>
  </w:style>
  <w:style w:type="paragraph" w:styleId="Kazalovsebine3">
    <w:name w:val="toc 3"/>
    <w:basedOn w:val="Navaden"/>
    <w:next w:val="Navaden"/>
    <w:uiPriority w:val="39"/>
    <w:pPr>
      <w:spacing w:after="0"/>
      <w:ind w:left="400"/>
    </w:pPr>
    <w:rPr>
      <w:rFonts w:asciiTheme="minorHAnsi" w:hAnsiTheme="minorHAnsi" w:cstheme="minorHAnsi"/>
      <w:i/>
      <w:iCs/>
      <w:szCs w:val="20"/>
    </w:rPr>
  </w:style>
  <w:style w:type="paragraph" w:customStyle="1" w:styleId="ZnakZnak1Znak">
    <w:name w:val="Znak Znak1 Znak"/>
    <w:basedOn w:val="Navaden"/>
    <w:pPr>
      <w:spacing w:after="160" w:line="240" w:lineRule="exact"/>
    </w:pPr>
    <w:rPr>
      <w:rFonts w:ascii="Tahoma" w:hAnsi="Tahoma" w:cs="Tahoma"/>
      <w:lang w:val="en-US"/>
    </w:rPr>
  </w:style>
  <w:style w:type="paragraph" w:customStyle="1" w:styleId="ZnakZnak4Znak">
    <w:name w:val="Znak Znak4 Znak"/>
    <w:basedOn w:val="Navaden"/>
    <w:pPr>
      <w:spacing w:after="160" w:line="240" w:lineRule="exact"/>
    </w:pPr>
    <w:rPr>
      <w:rFonts w:ascii="Tahoma" w:eastAsia="SimSun" w:hAnsi="Tahoma" w:cs="Tahoma"/>
      <w:lang w:val="en-US"/>
    </w:rPr>
  </w:style>
  <w:style w:type="character" w:customStyle="1" w:styleId="NogaZnak">
    <w:name w:val="Noga Znak"/>
    <w:rPr>
      <w:rFonts w:ascii="Arial" w:hAnsi="Arial"/>
      <w:szCs w:val="24"/>
      <w:lang w:eastAsia="en-US"/>
    </w:rPr>
  </w:style>
  <w:style w:type="paragraph" w:customStyle="1" w:styleId="Naslov1">
    <w:name w:val="Naslov1"/>
    <w:basedOn w:val="Navaden"/>
    <w:next w:val="Navaden"/>
    <w:pPr>
      <w:numPr>
        <w:numId w:val="4"/>
      </w:numPr>
      <w:tabs>
        <w:tab w:val="left" w:pos="-153"/>
      </w:tabs>
      <w:spacing w:after="300"/>
      <w:contextualSpacing/>
    </w:pPr>
    <w:rPr>
      <w:rFonts w:eastAsia="HGGothicM"/>
      <w:b/>
      <w:bCs/>
      <w:color w:val="000000"/>
      <w:sz w:val="28"/>
      <w:szCs w:val="28"/>
      <w:lang w:val="en-US"/>
    </w:rPr>
  </w:style>
  <w:style w:type="character" w:customStyle="1" w:styleId="Naslov1Znak0">
    <w:name w:val="Naslov1 Znak"/>
    <w:rPr>
      <w:rFonts w:eastAsia="HGGothicM"/>
      <w:b/>
      <w:color w:val="000000"/>
      <w:spacing w:val="5"/>
      <w:kern w:val="3"/>
      <w:sz w:val="28"/>
      <w:szCs w:val="56"/>
      <w:lang w:val="en-US"/>
    </w:rPr>
  </w:style>
  <w:style w:type="paragraph" w:styleId="Brezrazmikov">
    <w:name w:val="No Spacing"/>
    <w:uiPriority w:val="1"/>
    <w:qFormat/>
    <w:pPr>
      <w:suppressAutoHyphens/>
    </w:pPr>
    <w:rPr>
      <w:sz w:val="21"/>
      <w:szCs w:val="21"/>
      <w:lang w:eastAsia="sl-SI"/>
    </w:rPr>
  </w:style>
  <w:style w:type="character" w:customStyle="1" w:styleId="BrezrazmikovZnak">
    <w:name w:val="Brez razmikov Znak"/>
    <w:uiPriority w:val="1"/>
    <w:rPr>
      <w:sz w:val="21"/>
      <w:szCs w:val="21"/>
      <w:lang w:val="sl-SI" w:eastAsia="sl-SI" w:bidi="ar-SA"/>
    </w:rPr>
  </w:style>
  <w:style w:type="paragraph" w:styleId="Citat">
    <w:name w:val="Quote"/>
    <w:basedOn w:val="Navaden"/>
    <w:next w:val="Navaden"/>
    <w:pPr>
      <w:spacing w:before="240" w:after="240"/>
      <w:ind w:left="864" w:right="864"/>
      <w:jc w:val="center"/>
    </w:pPr>
    <w:rPr>
      <w:i/>
      <w:iCs/>
      <w:szCs w:val="20"/>
    </w:rPr>
  </w:style>
  <w:style w:type="character" w:customStyle="1" w:styleId="CitatZnak">
    <w:name w:val="Citat Znak"/>
    <w:rPr>
      <w:i/>
      <w:iCs/>
    </w:rPr>
  </w:style>
  <w:style w:type="paragraph" w:styleId="Intenzivencitat">
    <w:name w:val="Intense Quote"/>
    <w:basedOn w:val="Navaden"/>
    <w:next w:val="Navaden"/>
    <w:pPr>
      <w:spacing w:after="240"/>
      <w:ind w:left="864" w:right="864"/>
      <w:jc w:val="center"/>
    </w:pPr>
    <w:rPr>
      <w:rFonts w:ascii="Calibri Light" w:eastAsia="SimSun" w:hAnsi="Calibri Light"/>
      <w:color w:val="5B9BD5"/>
      <w:sz w:val="28"/>
      <w:szCs w:val="28"/>
    </w:rPr>
  </w:style>
  <w:style w:type="character" w:customStyle="1" w:styleId="IntenzivencitatZnak">
    <w:name w:val="Intenziven citat Znak"/>
    <w:rPr>
      <w:rFonts w:ascii="Calibri Light" w:eastAsia="SimSun" w:hAnsi="Calibri Light" w:cs="Times New Roman"/>
      <w:color w:val="5B9BD5"/>
      <w:sz w:val="28"/>
      <w:szCs w:val="28"/>
    </w:rPr>
  </w:style>
  <w:style w:type="character" w:styleId="Neenpoudarek">
    <w:name w:val="Subtle Emphasis"/>
    <w:rPr>
      <w:i/>
      <w:iCs/>
      <w:color w:val="595959"/>
    </w:rPr>
  </w:style>
  <w:style w:type="character" w:styleId="Intenzivenpoudarek">
    <w:name w:val="Intense Emphasis"/>
    <w:rPr>
      <w:b/>
      <w:bCs/>
      <w:i/>
      <w:iCs/>
    </w:rPr>
  </w:style>
  <w:style w:type="character" w:styleId="Neensklic">
    <w:name w:val="Subtle Reference"/>
    <w:rPr>
      <w:smallCaps/>
      <w:color w:val="404040"/>
    </w:rPr>
  </w:style>
  <w:style w:type="character" w:styleId="Intenzivensklic">
    <w:name w:val="Intense Reference"/>
    <w:rPr>
      <w:b/>
      <w:bCs/>
      <w:smallCaps/>
      <w:u w:val="single"/>
    </w:rPr>
  </w:style>
  <w:style w:type="character" w:styleId="Naslovknjige">
    <w:name w:val="Book Title"/>
    <w:rPr>
      <w:b/>
      <w:bCs/>
      <w:smallCaps/>
    </w:rPr>
  </w:style>
  <w:style w:type="paragraph" w:styleId="NaslovTOC">
    <w:name w:val="TOC Heading"/>
    <w:basedOn w:val="Naslov10"/>
    <w:next w:val="Navaden"/>
    <w:uiPriority w:val="39"/>
    <w:qFormat/>
  </w:style>
  <w:style w:type="character" w:styleId="Besedilooznabemesta">
    <w:name w:val="Placeholder Text"/>
    <w:rPr>
      <w:color w:val="808080"/>
    </w:rPr>
  </w:style>
  <w:style w:type="paragraph" w:styleId="Kazaloslik">
    <w:name w:val="table of figures"/>
    <w:basedOn w:val="Navaden"/>
    <w:next w:val="Navaden"/>
    <w:uiPriority w:val="99"/>
    <w:rPr>
      <w:rFonts w:eastAsia="HGSMinchoE"/>
      <w:sz w:val="22"/>
      <w:szCs w:val="22"/>
      <w:lang w:val="en-US" w:eastAsia="en-US"/>
    </w:rPr>
  </w:style>
  <w:style w:type="paragraph" w:customStyle="1" w:styleId="Znak1ZnakZnak">
    <w:name w:val="Znak1 Znak Znak"/>
    <w:basedOn w:val="Navaden"/>
    <w:pPr>
      <w:spacing w:after="160" w:line="240" w:lineRule="exact"/>
    </w:pPr>
    <w:rPr>
      <w:rFonts w:ascii="Tahoma" w:hAnsi="Tahoma" w:cs="Tahoma"/>
      <w:lang w:val="en-US"/>
    </w:rPr>
  </w:style>
  <w:style w:type="character" w:customStyle="1" w:styleId="NaslovpredpisaZnakZnak">
    <w:name w:val="Naslov_predpisa Znak Znak"/>
    <w:rPr>
      <w:rFonts w:ascii="Arial" w:eastAsia="Times New Roman" w:hAnsi="Arial" w:cs="Arial"/>
      <w:b/>
      <w:sz w:val="24"/>
      <w:szCs w:val="24"/>
      <w:lang w:eastAsia="sl-SI"/>
    </w:rPr>
  </w:style>
  <w:style w:type="paragraph" w:customStyle="1" w:styleId="Prvinivo">
    <w:name w:val="Prvi nivo"/>
    <w:basedOn w:val="Navaden"/>
    <w:pPr>
      <w:tabs>
        <w:tab w:val="left" w:pos="981"/>
      </w:tabs>
    </w:pPr>
    <w:rPr>
      <w:b/>
      <w:bCs/>
      <w:sz w:val="22"/>
      <w:szCs w:val="22"/>
    </w:rPr>
  </w:style>
  <w:style w:type="paragraph" w:customStyle="1" w:styleId="Druginivo">
    <w:name w:val="Drugi nivo"/>
    <w:basedOn w:val="Navaden"/>
    <w:pPr>
      <w:numPr>
        <w:numId w:val="3"/>
      </w:numPr>
      <w:tabs>
        <w:tab w:val="left" w:pos="981"/>
      </w:tabs>
    </w:pPr>
    <w:rPr>
      <w:rFonts w:cs="Arial"/>
      <w:sz w:val="22"/>
      <w:szCs w:val="22"/>
    </w:rPr>
  </w:style>
  <w:style w:type="character" w:customStyle="1" w:styleId="PrvinivoZnak">
    <w:name w:val="Prvi nivo Znak"/>
    <w:rPr>
      <w:b/>
      <w:bCs/>
      <w:sz w:val="22"/>
      <w:szCs w:val="22"/>
    </w:rPr>
  </w:style>
  <w:style w:type="paragraph" w:customStyle="1" w:styleId="3372873BB58A4DED866D2BE34882C06C">
    <w:name w:val="3372873BB58A4DED866D2BE34882C06C"/>
    <w:pPr>
      <w:suppressAutoHyphens/>
      <w:spacing w:after="200" w:line="276" w:lineRule="auto"/>
    </w:pPr>
    <w:rPr>
      <w:sz w:val="22"/>
      <w:szCs w:val="22"/>
      <w:lang w:eastAsia="sl-SI"/>
    </w:rPr>
  </w:style>
  <w:style w:type="paragraph" w:customStyle="1" w:styleId="ZnakZnakZnakZnakZnakZnakZnak">
    <w:name w:val="Znak Znak Znak Znak Znak Znak Znak"/>
    <w:basedOn w:val="Navaden"/>
    <w:pPr>
      <w:spacing w:after="160" w:line="240" w:lineRule="exact"/>
    </w:pPr>
    <w:rPr>
      <w:rFonts w:ascii="Tahoma" w:hAnsi="Tahoma"/>
      <w:lang w:val="en-US"/>
    </w:rPr>
  </w:style>
  <w:style w:type="paragraph" w:customStyle="1" w:styleId="Kazalotabel1">
    <w:name w:val="Kazalo tabel 1"/>
    <w:basedOn w:val="Navaden"/>
    <w:pPr>
      <w:tabs>
        <w:tab w:val="left" w:pos="567"/>
      </w:tabs>
      <w:ind w:left="567" w:hanging="567"/>
    </w:pPr>
    <w:rPr>
      <w:rFonts w:eastAsia="SimSun" w:cs="Arial"/>
      <w:b/>
      <w:bCs/>
      <w:sz w:val="22"/>
      <w:szCs w:val="22"/>
      <w:lang w:eastAsia="zh-CN"/>
    </w:rPr>
  </w:style>
  <w:style w:type="paragraph" w:customStyle="1" w:styleId="KazalotabelTANJA">
    <w:name w:val="Kazalo tabel TANJA"/>
    <w:basedOn w:val="Kazaloslik"/>
    <w:pPr>
      <w:tabs>
        <w:tab w:val="right" w:leader="dot" w:pos="9396"/>
      </w:tabs>
    </w:pPr>
    <w:rPr>
      <w:rFonts w:eastAsia="SimSun"/>
      <w:bCs/>
      <w:lang w:eastAsia="zh-CN"/>
    </w:rPr>
  </w:style>
  <w:style w:type="character" w:customStyle="1" w:styleId="lexitem">
    <w:name w:val="lexitem"/>
  </w:style>
  <w:style w:type="character" w:customStyle="1" w:styleId="KazaloslikZnak">
    <w:name w:val="Kazalo slik Znak"/>
    <w:rPr>
      <w:rFonts w:ascii="Arial" w:eastAsia="HGSMinchoE" w:hAnsi="Arial"/>
      <w:sz w:val="22"/>
      <w:szCs w:val="22"/>
      <w:lang w:val="en-US" w:eastAsia="en-US"/>
    </w:rPr>
  </w:style>
  <w:style w:type="character" w:customStyle="1" w:styleId="KazalotabelTANJAZnak">
    <w:name w:val="Kazalo tabel TANJA Znak"/>
    <w:rPr>
      <w:rFonts w:ascii="Arial" w:eastAsia="SimSun" w:hAnsi="Arial" w:cs="Arial"/>
      <w:bCs/>
      <w:sz w:val="22"/>
      <w:szCs w:val="22"/>
      <w:lang w:eastAsia="zh-CN"/>
    </w:rPr>
  </w:style>
  <w:style w:type="character" w:customStyle="1" w:styleId="apple-converted-space">
    <w:name w:val="apple-converted-space"/>
  </w:style>
  <w:style w:type="paragraph" w:customStyle="1" w:styleId="NaslovTOC1">
    <w:name w:val="Naslov TOC1"/>
    <w:basedOn w:val="Naslov10"/>
    <w:next w:val="Navaden"/>
    <w:pPr>
      <w:tabs>
        <w:tab w:val="left" w:pos="567"/>
      </w:tabs>
      <w:spacing w:before="480" w:after="0" w:line="276" w:lineRule="auto"/>
    </w:pPr>
    <w:rPr>
      <w:rFonts w:ascii="Cambria" w:hAnsi="Cambria"/>
      <w:bCs/>
      <w:color w:val="365F91"/>
      <w:szCs w:val="28"/>
      <w:lang w:eastAsia="en-US"/>
    </w:rPr>
  </w:style>
  <w:style w:type="character" w:customStyle="1" w:styleId="Naslov3Znak1">
    <w:name w:val="Naslov 3 Znak1"/>
    <w:rPr>
      <w:rFonts w:ascii="Arial" w:hAnsi="Arial" w:cs="Arial"/>
      <w:bCs/>
      <w:i/>
      <w:sz w:val="24"/>
      <w:szCs w:val="24"/>
      <w:u w:val="single"/>
    </w:rPr>
  </w:style>
  <w:style w:type="paragraph" w:customStyle="1" w:styleId="LPnavaden">
    <w:name w:val="LP_navaden"/>
    <w:basedOn w:val="Navaden"/>
    <w:next w:val="Brezrazmikov"/>
    <w:pPr>
      <w:shd w:val="clear" w:color="auto" w:fill="FFFFFF"/>
      <w:spacing w:after="200"/>
    </w:pPr>
    <w:rPr>
      <w:rFonts w:eastAsia="Calibri"/>
      <w:color w:val="000000"/>
      <w:szCs w:val="20"/>
      <w:lang w:eastAsia="en-US"/>
    </w:rPr>
  </w:style>
  <w:style w:type="character" w:customStyle="1" w:styleId="LPnavadenZnak">
    <w:name w:val="LP_navaden Znak"/>
    <w:rPr>
      <w:rFonts w:ascii="Arial" w:eastAsia="Calibri" w:hAnsi="Arial" w:cs="Arial"/>
      <w:bCs/>
      <w:color w:val="000000"/>
      <w:shd w:val="clear" w:color="auto" w:fill="FFFFFF"/>
      <w:lang w:eastAsia="en-US"/>
    </w:rPr>
  </w:style>
  <w:style w:type="paragraph" w:customStyle="1" w:styleId="Tabelabesedilo">
    <w:name w:val="Tabela_besedilo"/>
    <w:basedOn w:val="LPnavaden"/>
    <w:pPr>
      <w:shd w:val="clear" w:color="auto" w:fill="auto"/>
      <w:ind w:firstLine="125"/>
    </w:pPr>
    <w:rPr>
      <w:rFonts w:eastAsia="Times New Roman"/>
      <w:b/>
      <w:sz w:val="18"/>
    </w:rPr>
  </w:style>
  <w:style w:type="character" w:customStyle="1" w:styleId="TabelabesediloZnak">
    <w:name w:val="Tabela_besedilo Znak"/>
    <w:rPr>
      <w:rFonts w:ascii="Arial" w:hAnsi="Arial" w:cs="Arial"/>
      <w:b/>
      <w:bCs/>
      <w:color w:val="000000"/>
      <w:sz w:val="18"/>
      <w:lang w:eastAsia="en-US"/>
    </w:rPr>
  </w:style>
  <w:style w:type="paragraph" w:customStyle="1" w:styleId="Pravnapodlaga">
    <w:name w:val="Pravna podlaga"/>
    <w:basedOn w:val="Navaden"/>
    <w:pPr>
      <w:spacing w:before="480"/>
      <w:ind w:firstLine="1021"/>
      <w:jc w:val="both"/>
    </w:pPr>
    <w:rPr>
      <w:sz w:val="22"/>
      <w:szCs w:val="22"/>
    </w:rPr>
  </w:style>
  <w:style w:type="character" w:customStyle="1" w:styleId="PravnapodlagaZnak">
    <w:name w:val="Pravna podlaga Znak"/>
    <w:rPr>
      <w:rFonts w:ascii="Arial" w:hAnsi="Arial" w:cs="Arial"/>
      <w:sz w:val="22"/>
      <w:szCs w:val="22"/>
    </w:rPr>
  </w:style>
  <w:style w:type="paragraph" w:customStyle="1" w:styleId="pravnapodlaga1">
    <w:name w:val="pravnapodlaga1"/>
    <w:basedOn w:val="Navaden"/>
    <w:pPr>
      <w:spacing w:before="480"/>
      <w:ind w:firstLine="1021"/>
      <w:jc w:val="both"/>
    </w:pPr>
    <w:rPr>
      <w:rFonts w:cs="Arial"/>
      <w:sz w:val="22"/>
      <w:szCs w:val="22"/>
    </w:rPr>
  </w:style>
  <w:style w:type="paragraph" w:customStyle="1" w:styleId="alineazaodstavkom1">
    <w:name w:val="alineazaodstavkom1"/>
    <w:basedOn w:val="Navaden"/>
    <w:pPr>
      <w:ind w:left="425" w:hanging="425"/>
      <w:jc w:val="both"/>
    </w:pPr>
    <w:rPr>
      <w:rFonts w:cs="Arial"/>
      <w:sz w:val="22"/>
      <w:szCs w:val="22"/>
    </w:rPr>
  </w:style>
  <w:style w:type="character" w:styleId="SledenaHiperpovezava">
    <w:name w:val="FollowedHyperlink"/>
    <w:rPr>
      <w:color w:val="800080"/>
      <w:u w:val="single"/>
    </w:rPr>
  </w:style>
  <w:style w:type="character" w:customStyle="1" w:styleId="Bodytext2">
    <w:name w:val="Body text (2)"/>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lang w:val="sl-SI" w:eastAsia="sl-SI" w:bidi="sl-SI"/>
    </w:rPr>
  </w:style>
  <w:style w:type="character" w:customStyle="1" w:styleId="Bodytext7">
    <w:name w:val="Body text (7)_"/>
    <w:rPr>
      <w:sz w:val="19"/>
      <w:szCs w:val="19"/>
      <w:shd w:val="clear" w:color="auto" w:fill="FFFFFF"/>
    </w:rPr>
  </w:style>
  <w:style w:type="paragraph" w:customStyle="1" w:styleId="Bodytext70">
    <w:name w:val="Body text (7)"/>
    <w:basedOn w:val="Navaden"/>
    <w:pPr>
      <w:shd w:val="clear" w:color="auto" w:fill="FFFFFF"/>
      <w:spacing w:line="235" w:lineRule="exact"/>
      <w:jc w:val="both"/>
    </w:pPr>
    <w:rPr>
      <w:sz w:val="19"/>
      <w:szCs w:val="19"/>
    </w:rPr>
  </w:style>
  <w:style w:type="paragraph" w:customStyle="1" w:styleId="Text1">
    <w:name w:val="Text 1"/>
    <w:basedOn w:val="Navaden"/>
    <w:pPr>
      <w:spacing w:after="240"/>
      <w:ind w:left="482"/>
      <w:jc w:val="both"/>
    </w:pPr>
    <w:rPr>
      <w:sz w:val="24"/>
      <w:szCs w:val="24"/>
      <w:lang w:val="en-GB" w:eastAsia="en-US"/>
    </w:rPr>
  </w:style>
  <w:style w:type="character" w:customStyle="1" w:styleId="Text1Char">
    <w:name w:val="Text 1 Char"/>
    <w:rPr>
      <w:sz w:val="24"/>
      <w:lang w:val="en-GB" w:eastAsia="en-US"/>
    </w:rPr>
  </w:style>
  <w:style w:type="paragraph" w:customStyle="1" w:styleId="Odstavekseznama11">
    <w:name w:val="Odstavek seznama11"/>
    <w:basedOn w:val="Navaden"/>
    <w:pPr>
      <w:ind w:left="720"/>
      <w:contextualSpacing/>
    </w:pPr>
    <w:rPr>
      <w:rFonts w:ascii="Times New Roman" w:hAnsi="Times New Roman"/>
      <w:lang w:eastAsia="ar-SA"/>
    </w:rPr>
  </w:style>
  <w:style w:type="paragraph" w:customStyle="1" w:styleId="RStekst">
    <w:name w:val="RS tekst"/>
    <w:pPr>
      <w:widowControl w:val="0"/>
      <w:suppressAutoHyphens/>
      <w:spacing w:before="80" w:after="80" w:line="280" w:lineRule="atLeast"/>
      <w:jc w:val="both"/>
    </w:pPr>
    <w:rPr>
      <w:rFonts w:ascii="Garamond" w:eastAsia="Courier New" w:hAnsi="Garamond"/>
      <w:bCs/>
      <w:sz w:val="22"/>
      <w:lang w:eastAsia="en-US"/>
    </w:rPr>
  </w:style>
  <w:style w:type="character" w:customStyle="1" w:styleId="RStekstZnak">
    <w:name w:val="RS tekst Znak"/>
    <w:rPr>
      <w:rFonts w:ascii="Garamond" w:eastAsia="Courier New" w:hAnsi="Garamond"/>
      <w:bCs/>
      <w:sz w:val="22"/>
      <w:lang w:eastAsia="en-US" w:bidi="ar-SA"/>
    </w:rPr>
  </w:style>
  <w:style w:type="paragraph" w:styleId="Telobesedila3">
    <w:name w:val="Body Text 3"/>
    <w:basedOn w:val="Navaden"/>
    <w:pPr>
      <w:spacing w:line="260" w:lineRule="atLeast"/>
      <w:jc w:val="both"/>
    </w:pPr>
    <w:rPr>
      <w:szCs w:val="20"/>
    </w:rPr>
  </w:style>
  <w:style w:type="character" w:customStyle="1" w:styleId="Telobesedila3Znak">
    <w:name w:val="Telo besedila 3 Znak"/>
    <w:rPr>
      <w:rFonts w:ascii="Arial" w:hAnsi="Arial" w:cs="Arial"/>
    </w:rPr>
  </w:style>
  <w:style w:type="character" w:customStyle="1" w:styleId="Naslov3Znak">
    <w:name w:val="Naslov 3 Znak"/>
    <w:rPr>
      <w:rFonts w:ascii="Calibri Light" w:eastAsia="SimSun" w:hAnsi="Calibri Light" w:cs="Times New Roman"/>
      <w:color w:val="404040"/>
      <w:sz w:val="26"/>
      <w:szCs w:val="26"/>
    </w:rPr>
  </w:style>
  <w:style w:type="paragraph" w:styleId="Revizija">
    <w:name w:val="Revision"/>
    <w:pPr>
      <w:suppressAutoHyphens/>
      <w:spacing w:after="120" w:line="264" w:lineRule="auto"/>
    </w:pPr>
    <w:rPr>
      <w:rFonts w:ascii="Arial" w:hAnsi="Arial"/>
      <w:sz w:val="21"/>
      <w:szCs w:val="24"/>
      <w:lang w:eastAsia="en-US"/>
    </w:rPr>
  </w:style>
  <w:style w:type="paragraph" w:customStyle="1" w:styleId="COVERPAGE">
    <w:name w:val="COVERPAGE"/>
    <w:basedOn w:val="Navaden"/>
    <w:rPr>
      <w:rFonts w:ascii="Liberation Sans" w:hAnsi="Liberation Sans" w:cs="CG Times"/>
      <w:sz w:val="22"/>
      <w:szCs w:val="22"/>
      <w:lang w:eastAsia="zh-CN"/>
    </w:rPr>
  </w:style>
  <w:style w:type="character" w:customStyle="1" w:styleId="FontStyle42">
    <w:name w:val="Font Style42"/>
    <w:rPr>
      <w:rFonts w:ascii="Arial" w:hAnsi="Arial" w:cs="Arial"/>
      <w:sz w:val="20"/>
      <w:szCs w:val="20"/>
    </w:rPr>
  </w:style>
  <w:style w:type="paragraph" w:customStyle="1" w:styleId="Style11">
    <w:name w:val="Style11"/>
    <w:basedOn w:val="Navaden"/>
    <w:pPr>
      <w:widowControl w:val="0"/>
    </w:pPr>
    <w:rPr>
      <w:rFonts w:ascii="Franklin Gothic Medium" w:hAnsi="Franklin Gothic Medium"/>
      <w:sz w:val="24"/>
      <w:szCs w:val="24"/>
    </w:rPr>
  </w:style>
  <w:style w:type="paragraph" w:customStyle="1" w:styleId="text-justify">
    <w:name w:val="text-justify"/>
    <w:basedOn w:val="Navaden"/>
    <w:rPr>
      <w:rFonts w:ascii="Times New Roman" w:hAnsi="Times New Roman"/>
      <w:sz w:val="24"/>
      <w:szCs w:val="24"/>
    </w:rPr>
  </w:style>
  <w:style w:type="character" w:customStyle="1" w:styleId="A4">
    <w:name w:val="A4"/>
    <w:rPr>
      <w:rFonts w:cs="Republika"/>
      <w:color w:val="000000"/>
      <w:sz w:val="22"/>
      <w:szCs w:val="22"/>
    </w:rPr>
  </w:style>
  <w:style w:type="character" w:styleId="Nerazreenaomemba">
    <w:name w:val="Unresolved Mention"/>
    <w:uiPriority w:val="99"/>
    <w:rPr>
      <w:color w:val="605E5C"/>
      <w:shd w:val="clear" w:color="auto" w:fill="E1DFDD"/>
    </w:rPr>
  </w:style>
  <w:style w:type="paragraph" w:customStyle="1" w:styleId="Pa3">
    <w:name w:val="Pa3"/>
    <w:basedOn w:val="Navaden"/>
    <w:next w:val="Navaden"/>
    <w:pPr>
      <w:spacing w:line="171" w:lineRule="atLeast"/>
    </w:pPr>
    <w:rPr>
      <w:rFonts w:eastAsia="Calibri" w:cs="Arial"/>
      <w:sz w:val="24"/>
      <w:szCs w:val="24"/>
    </w:rPr>
  </w:style>
  <w:style w:type="paragraph" w:customStyle="1" w:styleId="align-justify1">
    <w:name w:val="align-justify1"/>
    <w:basedOn w:val="Navaden"/>
    <w:pPr>
      <w:spacing w:after="0"/>
      <w:jc w:val="both"/>
    </w:pPr>
    <w:rPr>
      <w:rFonts w:ascii="Times New Roman" w:hAnsi="Times New Roman"/>
      <w:sz w:val="24"/>
      <w:szCs w:val="24"/>
    </w:rPr>
  </w:style>
  <w:style w:type="paragraph" w:customStyle="1" w:styleId="ZnakZnak4ZnakZnak1">
    <w:name w:val="Znak Znak4 Znak Znak1"/>
    <w:basedOn w:val="Navaden"/>
    <w:pPr>
      <w:spacing w:after="160" w:line="240" w:lineRule="exact"/>
    </w:pPr>
    <w:rPr>
      <w:rFonts w:ascii="Tahoma" w:eastAsia="SimSun" w:hAnsi="Tahoma" w:cs="Tahoma"/>
      <w:szCs w:val="20"/>
      <w:lang w:val="en-US" w:eastAsia="en-US"/>
    </w:rPr>
  </w:style>
  <w:style w:type="paragraph" w:customStyle="1" w:styleId="ZnakZnak1Znak0">
    <w:name w:val="Znak Znak1 Znak0"/>
    <w:basedOn w:val="Navaden"/>
    <w:pPr>
      <w:spacing w:after="160" w:line="240" w:lineRule="exact"/>
    </w:pPr>
    <w:rPr>
      <w:rFonts w:ascii="Tahoma" w:hAnsi="Tahoma" w:cs="Tahoma"/>
      <w:szCs w:val="20"/>
      <w:lang w:val="en-US" w:eastAsia="en-US"/>
    </w:rPr>
  </w:style>
  <w:style w:type="paragraph" w:customStyle="1" w:styleId="ZnakZnak4Znak0">
    <w:name w:val="Znak Znak4 Znak0"/>
    <w:basedOn w:val="Navaden"/>
    <w:pPr>
      <w:spacing w:after="160" w:line="240" w:lineRule="exact"/>
    </w:pPr>
    <w:rPr>
      <w:rFonts w:ascii="Tahoma" w:eastAsia="SimSun" w:hAnsi="Tahoma" w:cs="Tahoma"/>
      <w:szCs w:val="20"/>
      <w:lang w:val="en-US" w:eastAsia="en-US"/>
    </w:rPr>
  </w:style>
  <w:style w:type="paragraph" w:customStyle="1" w:styleId="Znak1ZnakZnak0">
    <w:name w:val="Znak1 Znak Znak0"/>
    <w:basedOn w:val="Navaden"/>
    <w:pPr>
      <w:spacing w:after="160" w:line="240" w:lineRule="exact"/>
    </w:pPr>
    <w:rPr>
      <w:rFonts w:ascii="Tahoma" w:hAnsi="Tahoma" w:cs="Tahoma"/>
      <w:szCs w:val="20"/>
      <w:lang w:val="en-US" w:eastAsia="en-US"/>
    </w:rPr>
  </w:style>
  <w:style w:type="paragraph" w:customStyle="1" w:styleId="ZnakZnakZnakZnakZnakZnakZnak0">
    <w:name w:val="Znak Znak Znak Znak Znak Znak Znak0"/>
    <w:basedOn w:val="Navaden"/>
    <w:pPr>
      <w:spacing w:after="160" w:line="240" w:lineRule="exact"/>
    </w:pPr>
    <w:rPr>
      <w:rFonts w:ascii="Tahoma" w:hAnsi="Tahoma"/>
      <w:szCs w:val="20"/>
      <w:lang w:val="en-US" w:eastAsia="en-US"/>
    </w:rPr>
  </w:style>
  <w:style w:type="paragraph" w:customStyle="1" w:styleId="align-center">
    <w:name w:val="align-center"/>
    <w:basedOn w:val="Navaden"/>
    <w:rPr>
      <w:rFonts w:ascii="Times New Roman" w:hAnsi="Times New Roman"/>
      <w:sz w:val="24"/>
      <w:szCs w:val="24"/>
    </w:rPr>
  </w:style>
  <w:style w:type="paragraph" w:customStyle="1" w:styleId="Text2">
    <w:name w:val="Text 2"/>
    <w:basedOn w:val="Navaden"/>
    <w:pPr>
      <w:spacing w:before="60" w:after="60"/>
      <w:ind w:left="1417"/>
    </w:pPr>
    <w:rPr>
      <w:rFonts w:ascii="Times New Roman" w:hAnsi="Times New Roman"/>
      <w:sz w:val="24"/>
      <w:szCs w:val="24"/>
      <w:lang w:val="en-GB" w:eastAsia="en-US"/>
    </w:rPr>
  </w:style>
  <w:style w:type="paragraph" w:customStyle="1" w:styleId="Style6">
    <w:name w:val="Style6"/>
    <w:basedOn w:val="Navaden"/>
    <w:pPr>
      <w:widowControl w:val="0"/>
      <w:spacing w:after="0" w:line="276" w:lineRule="exact"/>
      <w:ind w:hanging="283"/>
    </w:pPr>
    <w:rPr>
      <w:rFonts w:cs="Arial"/>
      <w:sz w:val="24"/>
      <w:szCs w:val="24"/>
    </w:rPr>
  </w:style>
  <w:style w:type="paragraph" w:customStyle="1" w:styleId="Style4">
    <w:name w:val="Style4"/>
    <w:basedOn w:val="Navaden"/>
    <w:pPr>
      <w:widowControl w:val="0"/>
      <w:spacing w:after="0" w:line="278" w:lineRule="exact"/>
      <w:jc w:val="both"/>
    </w:pPr>
    <w:rPr>
      <w:rFonts w:cs="Arial"/>
      <w:sz w:val="24"/>
      <w:szCs w:val="24"/>
    </w:rPr>
  </w:style>
  <w:style w:type="character" w:customStyle="1" w:styleId="colorlightdark1">
    <w:name w:val="color_lightdark1"/>
  </w:style>
  <w:style w:type="character" w:customStyle="1" w:styleId="fontxlarge2">
    <w:name w:val="font_xlarge2"/>
  </w:style>
  <w:style w:type="character" w:customStyle="1" w:styleId="colordark2">
    <w:name w:val="color_dark2"/>
  </w:style>
  <w:style w:type="character" w:customStyle="1" w:styleId="im">
    <w:name w:val="im"/>
  </w:style>
  <w:style w:type="paragraph" w:styleId="Kazalovsebine4">
    <w:name w:val="toc 4"/>
    <w:basedOn w:val="Navaden"/>
    <w:next w:val="Navaden"/>
    <w:uiPriority w:val="39"/>
    <w:pPr>
      <w:spacing w:after="0"/>
      <w:ind w:left="600"/>
    </w:pPr>
    <w:rPr>
      <w:rFonts w:asciiTheme="minorHAnsi" w:hAnsiTheme="minorHAnsi" w:cstheme="minorHAnsi"/>
      <w:sz w:val="18"/>
      <w:szCs w:val="18"/>
    </w:rPr>
  </w:style>
  <w:style w:type="paragraph" w:styleId="Kazalovsebine5">
    <w:name w:val="toc 5"/>
    <w:basedOn w:val="Navaden"/>
    <w:next w:val="Navaden"/>
    <w:uiPriority w:val="39"/>
    <w:pPr>
      <w:spacing w:after="0"/>
      <w:ind w:left="800"/>
    </w:pPr>
    <w:rPr>
      <w:rFonts w:asciiTheme="minorHAnsi" w:hAnsiTheme="minorHAnsi" w:cstheme="minorHAnsi"/>
      <w:sz w:val="18"/>
      <w:szCs w:val="18"/>
    </w:rPr>
  </w:style>
  <w:style w:type="paragraph" w:styleId="Kazalovsebine6">
    <w:name w:val="toc 6"/>
    <w:basedOn w:val="Navaden"/>
    <w:next w:val="Navaden"/>
    <w:uiPriority w:val="39"/>
    <w:pPr>
      <w:spacing w:after="0"/>
      <w:ind w:left="1000"/>
    </w:pPr>
    <w:rPr>
      <w:rFonts w:asciiTheme="minorHAnsi" w:hAnsiTheme="minorHAnsi" w:cstheme="minorHAnsi"/>
      <w:sz w:val="18"/>
      <w:szCs w:val="18"/>
    </w:rPr>
  </w:style>
  <w:style w:type="paragraph" w:styleId="Kazalovsebine7">
    <w:name w:val="toc 7"/>
    <w:basedOn w:val="Navaden"/>
    <w:next w:val="Navaden"/>
    <w:uiPriority w:val="39"/>
    <w:pPr>
      <w:spacing w:after="0"/>
      <w:ind w:left="1200"/>
    </w:pPr>
    <w:rPr>
      <w:rFonts w:asciiTheme="minorHAnsi" w:hAnsiTheme="minorHAnsi" w:cstheme="minorHAnsi"/>
      <w:sz w:val="18"/>
      <w:szCs w:val="18"/>
    </w:rPr>
  </w:style>
  <w:style w:type="paragraph" w:styleId="Kazalovsebine8">
    <w:name w:val="toc 8"/>
    <w:basedOn w:val="Navaden"/>
    <w:next w:val="Navaden"/>
    <w:uiPriority w:val="39"/>
    <w:pPr>
      <w:spacing w:after="0"/>
      <w:ind w:left="1400"/>
    </w:pPr>
    <w:rPr>
      <w:rFonts w:asciiTheme="minorHAnsi" w:hAnsiTheme="minorHAnsi" w:cstheme="minorHAnsi"/>
      <w:sz w:val="18"/>
      <w:szCs w:val="18"/>
    </w:rPr>
  </w:style>
  <w:style w:type="paragraph" w:styleId="Kazalovsebine9">
    <w:name w:val="toc 9"/>
    <w:basedOn w:val="Navaden"/>
    <w:next w:val="Navaden"/>
    <w:uiPriority w:val="39"/>
    <w:pPr>
      <w:spacing w:after="0"/>
      <w:ind w:left="1600"/>
    </w:pPr>
    <w:rPr>
      <w:rFonts w:asciiTheme="minorHAnsi" w:hAnsiTheme="minorHAnsi" w:cstheme="minorHAnsi"/>
      <w:sz w:val="18"/>
      <w:szCs w:val="18"/>
    </w:rPr>
  </w:style>
  <w:style w:type="paragraph" w:customStyle="1" w:styleId="FootnotesymbolCarZchn">
    <w:name w:val="Footnote symbol Car Zchn"/>
    <w:basedOn w:val="Navaden"/>
    <w:pPr>
      <w:spacing w:before="60" w:after="160" w:line="240" w:lineRule="exact"/>
      <w:ind w:left="357" w:hanging="357"/>
      <w:jc w:val="both"/>
    </w:pPr>
    <w:rPr>
      <w:szCs w:val="20"/>
      <w:vertAlign w:val="superscript"/>
    </w:rPr>
  </w:style>
  <w:style w:type="character" w:customStyle="1" w:styleId="cf01">
    <w:name w:val="cf01"/>
    <w:rPr>
      <w:rFonts w:ascii="Segoe UI" w:hAnsi="Segoe UI" w:cs="Segoe UI"/>
      <w:sz w:val="18"/>
      <w:szCs w:val="18"/>
    </w:rPr>
  </w:style>
  <w:style w:type="paragraph" w:customStyle="1" w:styleId="P68B1DB1-Navaden6">
    <w:name w:val="P68B1DB1-Navaden6"/>
    <w:basedOn w:val="Navaden"/>
    <w:pPr>
      <w:spacing w:after="160"/>
    </w:pPr>
    <w:rPr>
      <w:rFonts w:ascii="Times New Roman" w:hAnsi="Times New Roman"/>
      <w:color w:val="000000"/>
      <w:sz w:val="24"/>
      <w:szCs w:val="24"/>
    </w:rPr>
  </w:style>
  <w:style w:type="character" w:customStyle="1" w:styleId="NapisZnak">
    <w:name w:val="Napis Znak"/>
    <w:rPr>
      <w:b/>
      <w:bCs/>
      <w:color w:val="404040"/>
    </w:rPr>
  </w:style>
  <w:style w:type="paragraph" w:customStyle="1" w:styleId="CaptionSlike">
    <w:name w:val="Caption_Slike"/>
    <w:basedOn w:val="Napis"/>
    <w:next w:val="Telobesedila"/>
    <w:pPr>
      <w:keepNext/>
      <w:tabs>
        <w:tab w:val="left" w:pos="992"/>
        <w:tab w:val="left" w:pos="1701"/>
      </w:tabs>
      <w:spacing w:before="240"/>
      <w:ind w:left="992" w:hanging="992"/>
    </w:pPr>
    <w:rPr>
      <w:rFonts w:ascii="Tahoma" w:hAnsi="Tahoma"/>
      <w:i/>
      <w:color w:val="2F5496"/>
      <w:lang w:eastAsia="en-US"/>
    </w:rPr>
  </w:style>
  <w:style w:type="paragraph" w:customStyle="1" w:styleId="Alinejapika">
    <w:name w:val="Alineja_pika"/>
    <w:next w:val="Telobesedila"/>
    <w:pPr>
      <w:numPr>
        <w:numId w:val="5"/>
      </w:numPr>
      <w:suppressAutoHyphens/>
      <w:spacing w:line="276" w:lineRule="auto"/>
      <w:jc w:val="both"/>
    </w:pPr>
    <w:rPr>
      <w:rFonts w:ascii="Tahoma" w:eastAsia="Palatino Linotype" w:hAnsi="Tahoma" w:cs="Palatino Linotype"/>
      <w:sz w:val="22"/>
      <w:szCs w:val="22"/>
      <w:lang w:eastAsia="en-US"/>
    </w:rPr>
  </w:style>
  <w:style w:type="paragraph" w:customStyle="1" w:styleId="Footnotebesedilo">
    <w:name w:val="Footnote besedilo"/>
    <w:basedOn w:val="Navaden"/>
    <w:pPr>
      <w:spacing w:before="60" w:after="0"/>
      <w:ind w:left="284" w:hanging="284"/>
      <w:jc w:val="both"/>
    </w:pPr>
    <w:rPr>
      <w:rFonts w:ascii="Tahoma" w:eastAsia="Calibri" w:hAnsi="Tahoma"/>
      <w:sz w:val="16"/>
      <w:szCs w:val="16"/>
      <w:lang w:eastAsia="en-US"/>
    </w:rPr>
  </w:style>
  <w:style w:type="paragraph" w:customStyle="1" w:styleId="NEPNtabglava">
    <w:name w:val="NEPN_tab_glava"/>
    <w:basedOn w:val="Navaden"/>
    <w:pPr>
      <w:spacing w:before="40" w:after="40"/>
      <w:jc w:val="center"/>
    </w:pPr>
    <w:rPr>
      <w:rFonts w:ascii="Tahoma" w:eastAsia="Calibri" w:hAnsi="Tahoma" w:cs="Tahoma"/>
      <w:b/>
      <w:bCs/>
      <w:color w:val="FFFFFF"/>
      <w:sz w:val="16"/>
      <w:szCs w:val="16"/>
      <w:lang w:val="en-GB" w:eastAsia="en-US"/>
    </w:rPr>
  </w:style>
  <w:style w:type="paragraph" w:customStyle="1" w:styleId="NEPNtabstolpec1">
    <w:name w:val="NEPN_tab_stolpec1"/>
    <w:basedOn w:val="NEPNtabglava"/>
    <w:pPr>
      <w:jc w:val="left"/>
    </w:pPr>
    <w:rPr>
      <w:bCs w:val="0"/>
    </w:rPr>
  </w:style>
  <w:style w:type="paragraph" w:customStyle="1" w:styleId="NEPNtabbody">
    <w:name w:val="NEPN_tab_body"/>
    <w:basedOn w:val="NEPNtabstolpec1"/>
    <w:pPr>
      <w:jc w:val="center"/>
    </w:pPr>
    <w:rPr>
      <w:b w:val="0"/>
      <w:color w:val="auto"/>
    </w:rPr>
  </w:style>
  <w:style w:type="paragraph" w:styleId="Konnaopomba-besedilo">
    <w:name w:val="endnote text"/>
    <w:basedOn w:val="Navaden"/>
    <w:pPr>
      <w:spacing w:after="0"/>
    </w:pPr>
    <w:rPr>
      <w:szCs w:val="20"/>
    </w:rPr>
  </w:style>
  <w:style w:type="numbering" w:customStyle="1" w:styleId="LFO37">
    <w:name w:val="LFO37"/>
    <w:basedOn w:val="Brezseznama"/>
    <w:pPr>
      <w:numPr>
        <w:numId w:val="1"/>
      </w:numPr>
    </w:pPr>
  </w:style>
  <w:style w:type="numbering" w:customStyle="1" w:styleId="LFO39">
    <w:name w:val="LFO39"/>
    <w:basedOn w:val="Brezseznama"/>
    <w:pPr>
      <w:numPr>
        <w:numId w:val="2"/>
      </w:numPr>
    </w:pPr>
  </w:style>
  <w:style w:type="numbering" w:customStyle="1" w:styleId="LFO40">
    <w:name w:val="LFO40"/>
    <w:basedOn w:val="Brezseznama"/>
    <w:pPr>
      <w:numPr>
        <w:numId w:val="3"/>
      </w:numPr>
    </w:pPr>
  </w:style>
  <w:style w:type="numbering" w:customStyle="1" w:styleId="LFO42">
    <w:name w:val="LFO42"/>
    <w:basedOn w:val="Brezseznama"/>
    <w:pPr>
      <w:numPr>
        <w:numId w:val="4"/>
      </w:numPr>
    </w:pPr>
  </w:style>
  <w:style w:type="numbering" w:customStyle="1" w:styleId="LFO123">
    <w:name w:val="LFO123"/>
    <w:basedOn w:val="Brezseznama"/>
    <w:pPr>
      <w:numPr>
        <w:numId w:val="5"/>
      </w:numPr>
    </w:pPr>
  </w:style>
  <w:style w:type="table" w:styleId="Tabelamrea">
    <w:name w:val="Table Grid"/>
    <w:basedOn w:val="Navadnatabela"/>
    <w:uiPriority w:val="39"/>
    <w:rsid w:val="00CD4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476D26"/>
    <w:pPr>
      <w:autoSpaceDN/>
    </w:pPr>
    <w:rPr>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4042">
      <w:bodyDiv w:val="1"/>
      <w:marLeft w:val="0"/>
      <w:marRight w:val="0"/>
      <w:marTop w:val="0"/>
      <w:marBottom w:val="0"/>
      <w:divBdr>
        <w:top w:val="none" w:sz="0" w:space="0" w:color="auto"/>
        <w:left w:val="none" w:sz="0" w:space="0" w:color="auto"/>
        <w:bottom w:val="none" w:sz="0" w:space="0" w:color="auto"/>
        <w:right w:val="none" w:sz="0" w:space="0" w:color="auto"/>
      </w:divBdr>
    </w:div>
    <w:div w:id="167990359">
      <w:bodyDiv w:val="1"/>
      <w:marLeft w:val="0"/>
      <w:marRight w:val="0"/>
      <w:marTop w:val="0"/>
      <w:marBottom w:val="0"/>
      <w:divBdr>
        <w:top w:val="none" w:sz="0" w:space="0" w:color="auto"/>
        <w:left w:val="none" w:sz="0" w:space="0" w:color="auto"/>
        <w:bottom w:val="none" w:sz="0" w:space="0" w:color="auto"/>
        <w:right w:val="none" w:sz="0" w:space="0" w:color="auto"/>
      </w:divBdr>
    </w:div>
    <w:div w:id="292250225">
      <w:bodyDiv w:val="1"/>
      <w:marLeft w:val="0"/>
      <w:marRight w:val="0"/>
      <w:marTop w:val="0"/>
      <w:marBottom w:val="0"/>
      <w:divBdr>
        <w:top w:val="none" w:sz="0" w:space="0" w:color="auto"/>
        <w:left w:val="none" w:sz="0" w:space="0" w:color="auto"/>
        <w:bottom w:val="none" w:sz="0" w:space="0" w:color="auto"/>
        <w:right w:val="none" w:sz="0" w:space="0" w:color="auto"/>
      </w:divBdr>
    </w:div>
    <w:div w:id="672269279">
      <w:bodyDiv w:val="1"/>
      <w:marLeft w:val="0"/>
      <w:marRight w:val="0"/>
      <w:marTop w:val="0"/>
      <w:marBottom w:val="0"/>
      <w:divBdr>
        <w:top w:val="none" w:sz="0" w:space="0" w:color="auto"/>
        <w:left w:val="none" w:sz="0" w:space="0" w:color="auto"/>
        <w:bottom w:val="none" w:sz="0" w:space="0" w:color="auto"/>
        <w:right w:val="none" w:sz="0" w:space="0" w:color="auto"/>
      </w:divBdr>
    </w:div>
    <w:div w:id="733504117">
      <w:bodyDiv w:val="1"/>
      <w:marLeft w:val="0"/>
      <w:marRight w:val="0"/>
      <w:marTop w:val="0"/>
      <w:marBottom w:val="0"/>
      <w:divBdr>
        <w:top w:val="none" w:sz="0" w:space="0" w:color="auto"/>
        <w:left w:val="none" w:sz="0" w:space="0" w:color="auto"/>
        <w:bottom w:val="none" w:sz="0" w:space="0" w:color="auto"/>
        <w:right w:val="none" w:sz="0" w:space="0" w:color="auto"/>
      </w:divBdr>
    </w:div>
    <w:div w:id="1139032674">
      <w:bodyDiv w:val="1"/>
      <w:marLeft w:val="0"/>
      <w:marRight w:val="0"/>
      <w:marTop w:val="0"/>
      <w:marBottom w:val="0"/>
      <w:divBdr>
        <w:top w:val="none" w:sz="0" w:space="0" w:color="auto"/>
        <w:left w:val="none" w:sz="0" w:space="0" w:color="auto"/>
        <w:bottom w:val="none" w:sz="0" w:space="0" w:color="auto"/>
        <w:right w:val="none" w:sz="0" w:space="0" w:color="auto"/>
      </w:divBdr>
    </w:div>
    <w:div w:id="1284847012">
      <w:bodyDiv w:val="1"/>
      <w:marLeft w:val="0"/>
      <w:marRight w:val="0"/>
      <w:marTop w:val="0"/>
      <w:marBottom w:val="0"/>
      <w:divBdr>
        <w:top w:val="none" w:sz="0" w:space="0" w:color="auto"/>
        <w:left w:val="none" w:sz="0" w:space="0" w:color="auto"/>
        <w:bottom w:val="none" w:sz="0" w:space="0" w:color="auto"/>
        <w:right w:val="none" w:sz="0" w:space="0" w:color="auto"/>
      </w:divBdr>
    </w:div>
    <w:div w:id="1449930043">
      <w:bodyDiv w:val="1"/>
      <w:marLeft w:val="0"/>
      <w:marRight w:val="0"/>
      <w:marTop w:val="0"/>
      <w:marBottom w:val="0"/>
      <w:divBdr>
        <w:top w:val="none" w:sz="0" w:space="0" w:color="auto"/>
        <w:left w:val="none" w:sz="0" w:space="0" w:color="auto"/>
        <w:bottom w:val="none" w:sz="0" w:space="0" w:color="auto"/>
        <w:right w:val="none" w:sz="0" w:space="0" w:color="auto"/>
      </w:divBdr>
    </w:div>
    <w:div w:id="1453749710">
      <w:bodyDiv w:val="1"/>
      <w:marLeft w:val="0"/>
      <w:marRight w:val="0"/>
      <w:marTop w:val="0"/>
      <w:marBottom w:val="0"/>
      <w:divBdr>
        <w:top w:val="none" w:sz="0" w:space="0" w:color="auto"/>
        <w:left w:val="none" w:sz="0" w:space="0" w:color="auto"/>
        <w:bottom w:val="none" w:sz="0" w:space="0" w:color="auto"/>
        <w:right w:val="none" w:sz="0" w:space="0" w:color="auto"/>
      </w:divBdr>
    </w:div>
    <w:div w:id="1572228152">
      <w:bodyDiv w:val="1"/>
      <w:marLeft w:val="0"/>
      <w:marRight w:val="0"/>
      <w:marTop w:val="0"/>
      <w:marBottom w:val="0"/>
      <w:divBdr>
        <w:top w:val="none" w:sz="0" w:space="0" w:color="auto"/>
        <w:left w:val="none" w:sz="0" w:space="0" w:color="auto"/>
        <w:bottom w:val="none" w:sz="0" w:space="0" w:color="auto"/>
        <w:right w:val="none" w:sz="0" w:space="0" w:color="auto"/>
      </w:divBdr>
    </w:div>
    <w:div w:id="1608124662">
      <w:bodyDiv w:val="1"/>
      <w:marLeft w:val="0"/>
      <w:marRight w:val="0"/>
      <w:marTop w:val="0"/>
      <w:marBottom w:val="0"/>
      <w:divBdr>
        <w:top w:val="none" w:sz="0" w:space="0" w:color="auto"/>
        <w:left w:val="none" w:sz="0" w:space="0" w:color="auto"/>
        <w:bottom w:val="none" w:sz="0" w:space="0" w:color="auto"/>
        <w:right w:val="none" w:sz="0" w:space="0" w:color="auto"/>
      </w:divBdr>
    </w:div>
    <w:div w:id="1730153081">
      <w:bodyDiv w:val="1"/>
      <w:marLeft w:val="0"/>
      <w:marRight w:val="0"/>
      <w:marTop w:val="0"/>
      <w:marBottom w:val="0"/>
      <w:divBdr>
        <w:top w:val="none" w:sz="0" w:space="0" w:color="auto"/>
        <w:left w:val="none" w:sz="0" w:space="0" w:color="auto"/>
        <w:bottom w:val="none" w:sz="0" w:space="0" w:color="auto"/>
        <w:right w:val="none" w:sz="0" w:space="0" w:color="auto"/>
      </w:divBdr>
    </w:div>
    <w:div w:id="1875845531">
      <w:bodyDiv w:val="1"/>
      <w:marLeft w:val="0"/>
      <w:marRight w:val="0"/>
      <w:marTop w:val="0"/>
      <w:marBottom w:val="0"/>
      <w:divBdr>
        <w:top w:val="none" w:sz="0" w:space="0" w:color="auto"/>
        <w:left w:val="none" w:sz="0" w:space="0" w:color="auto"/>
        <w:bottom w:val="none" w:sz="0" w:space="0" w:color="auto"/>
        <w:right w:val="none" w:sz="0" w:space="0" w:color="auto"/>
      </w:divBdr>
    </w:div>
    <w:div w:id="1968386186">
      <w:bodyDiv w:val="1"/>
      <w:marLeft w:val="0"/>
      <w:marRight w:val="0"/>
      <w:marTop w:val="0"/>
      <w:marBottom w:val="0"/>
      <w:divBdr>
        <w:top w:val="none" w:sz="0" w:space="0" w:color="auto"/>
        <w:left w:val="none" w:sz="0" w:space="0" w:color="auto"/>
        <w:bottom w:val="none" w:sz="0" w:space="0" w:color="auto"/>
        <w:right w:val="none" w:sz="0" w:space="0" w:color="auto"/>
      </w:divBdr>
    </w:div>
    <w:div w:id="2129229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hyperlink" Target="https://evropskasredstva.si/evropska-kohezijska-politika/"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https://evropskasredstva.si/e-novice-vizija-kohezija/"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29" Type="http://schemas.openxmlformats.org/officeDocument/2006/relationships/hyperlink" Target="http://www.uradni-list.si/1/objava.jsp?sop=2018-01-05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vropskasredstva.si/asoc/"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evropskasredstva.si/eu-projekt-moj-projekt-2024/" TargetMode="External"/><Relationship Id="rId28" Type="http://schemas.openxmlformats.org/officeDocument/2006/relationships/hyperlink" Target="http://www.uradni-list.si/1/objava.jsp?sop=2015-01-3570" TargetMode="External"/><Relationship Id="rId10" Type="http://schemas.openxmlformats.org/officeDocument/2006/relationships/image" Target="media/image3.jpeg"/><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evropskasredstva.si" TargetMode="External"/><Relationship Id="rId27" Type="http://schemas.openxmlformats.org/officeDocument/2006/relationships/hyperlink" Target="mailto:s5.mkrr@gov.si" TargetMode="External"/><Relationship Id="rId30" Type="http://schemas.openxmlformats.org/officeDocument/2006/relationships/image" Target="media/image10.png"/><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xUriServ/LexUriServ.do?uri=OJ:C:2006:323:0001:0026:EN: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7C6A72-D332-4BF2-AA3B-BFC73460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16251</Words>
  <Characters>92637</Characters>
  <Application>Microsoft Office Word</Application>
  <DocSecurity>0</DocSecurity>
  <Lines>771</Lines>
  <Paragraphs>217</Paragraphs>
  <ScaleCrop>false</ScaleCrop>
  <Company>MJU</Company>
  <LinksUpToDate>false</LinksUpToDate>
  <CharactersWithSpaces>108671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Mezang Nkodo</dc:creator>
  <cp:keywords/>
  <dc:description/>
  <cp:lastModifiedBy>Jana Vrtovec</cp:lastModifiedBy>
  <cp:revision>44</cp:revision>
  <cp:lastPrinted>2025-01-14T17:02:00Z</cp:lastPrinted>
  <dcterms:created xsi:type="dcterms:W3CDTF">2025-02-14T20:27:00Z</dcterms:created>
  <dcterms:modified xsi:type="dcterms:W3CDTF">2025-02-26T10:05:00Z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0x0101004809996505DE48418139ECB4A4E22B6D</vt:lpwstr>
  </property>
</Properties>
</file>