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7D3134D1" w14:textId="77777777" w:rsidR="00A77B3E" w:rsidRDefault="00A77B3E"/>
    <w:p w14:paraId="63C436A7" w14:textId="77777777" w:rsidR="00A77B3E" w:rsidRPr="00EB2379" w:rsidRDefault="00B16CCF">
      <w:pPr>
        <w:jc w:val="center"/>
        <w:rPr>
          <w:b/>
          <w:color w:val="000000"/>
          <w:sz w:val="32"/>
          <w:lang w:val="it-IT"/>
        </w:rPr>
      </w:pPr>
      <w:r w:rsidRPr="00EB2379">
        <w:rPr>
          <w:b/>
          <w:color w:val="000000"/>
          <w:sz w:val="32"/>
          <w:lang w:val="it-IT"/>
        </w:rPr>
        <w:t>Program SFC2021, ki se financira iz ESRR (cilj „naložbe za delovna mesta in rast“</w:t>
      </w:r>
      <w:r>
        <w:rPr>
          <w:b/>
          <w:color w:val="000000"/>
          <w:sz w:val="32"/>
        </w:rPr>
        <w:t></w:t>
      </w:r>
      <w:r w:rsidRPr="00EB2379">
        <w:rPr>
          <w:b/>
          <w:color w:val="000000"/>
          <w:sz w:val="32"/>
          <w:lang w:val="it-IT"/>
        </w:rPr>
        <w:t>), ESS+, Kohezijskega sklada, SPP in ESPRA – člen 21(3)</w:t>
      </w:r>
    </w:p>
    <w:p w14:paraId="797180E7" w14:textId="77777777" w:rsidR="00A77B3E" w:rsidRPr="00EB2379" w:rsidRDefault="00A77B3E">
      <w:pPr>
        <w:jc w:val="center"/>
        <w:rPr>
          <w:b/>
          <w:color w:val="000000"/>
          <w:sz w:val="32"/>
          <w:lang w:val="it-IT"/>
        </w:rPr>
      </w:pPr>
    </w:p>
    <w:p w14:paraId="126B0EC3" w14:textId="77777777" w:rsidR="00A77B3E" w:rsidRPr="00EB2379" w:rsidRDefault="00A77B3E">
      <w:pPr>
        <w:jc w:val="center"/>
        <w:rPr>
          <w:b/>
          <w:color w:val="000000"/>
          <w:lang w:val="it-IT"/>
        </w:rPr>
      </w:pPr>
    </w:p>
    <w:tbl>
      <w:tblPr>
        <w:tblW w:w="98.0%" w:type="pct"/>
        <w:tblInd w:w="2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5017"/>
        <w:gridCol w:w="5018"/>
      </w:tblGrid>
      <w:tr w:rsidR="00823317" w14:paraId="61CAA46B" w14:textId="77777777">
        <w:trPr>
          <w:trHeight w:val="240"/>
        </w:trPr>
        <w:tc>
          <w:tcPr>
            <w:tcW w:w="50.0%" w:type="pct"/>
            <w:tcMar>
              <w:start w:w="5pt" w:type="dxa"/>
              <w:end w:w="5pt" w:type="dxa"/>
            </w:tcMar>
          </w:tcPr>
          <w:p w14:paraId="30221799" w14:textId="77777777" w:rsidR="00A77B3E" w:rsidRDefault="00B16CCF">
            <w:pPr>
              <w:rPr>
                <w:color w:val="000000"/>
              </w:rPr>
            </w:pPr>
            <w:r>
              <w:rPr>
                <w:color w:val="000000"/>
              </w:rPr>
              <w:t>CCI</w:t>
            </w:r>
          </w:p>
        </w:tc>
        <w:tc>
          <w:tcPr>
            <w:tcW w:w="50.0%" w:type="pct"/>
            <w:tcMar>
              <w:start w:w="5pt" w:type="dxa"/>
              <w:end w:w="5pt" w:type="dxa"/>
            </w:tcMar>
          </w:tcPr>
          <w:p w14:paraId="26F00A5F" w14:textId="77777777" w:rsidR="00A77B3E" w:rsidRDefault="00B16CCF">
            <w:pPr>
              <w:rPr>
                <w:color w:val="000000"/>
              </w:rPr>
            </w:pPr>
            <w:r>
              <w:rPr>
                <w:color w:val="000000"/>
              </w:rPr>
              <w:t>2021SI16FFPR001</w:t>
            </w:r>
          </w:p>
        </w:tc>
      </w:tr>
      <w:tr w:rsidR="00823317" w14:paraId="5C0BCF6C" w14:textId="77777777">
        <w:trPr>
          <w:trHeight w:val="240"/>
        </w:trPr>
        <w:tc>
          <w:tcPr>
            <w:tcW w:w="50.0%" w:type="pct"/>
            <w:tcMar>
              <w:start w:w="5pt" w:type="dxa"/>
              <w:end w:w="5pt" w:type="dxa"/>
            </w:tcMar>
          </w:tcPr>
          <w:p w14:paraId="361288C5" w14:textId="77777777" w:rsidR="00A77B3E" w:rsidRDefault="00B16CCF">
            <w:pPr>
              <w:rPr>
                <w:color w:val="000000"/>
              </w:rPr>
            </w:pPr>
            <w:r>
              <w:rPr>
                <w:color w:val="000000"/>
              </w:rPr>
              <w:t>Naslov v angleščini</w:t>
            </w:r>
          </w:p>
        </w:tc>
        <w:tc>
          <w:tcPr>
            <w:tcW w:w="50.0%" w:type="pct"/>
            <w:tcMar>
              <w:start w:w="5pt" w:type="dxa"/>
              <w:end w:w="5pt" w:type="dxa"/>
            </w:tcMar>
          </w:tcPr>
          <w:p w14:paraId="0015B6A0" w14:textId="77777777" w:rsidR="00A77B3E" w:rsidRDefault="00B16CCF">
            <w:pPr>
              <w:rPr>
                <w:color w:val="000000"/>
              </w:rPr>
            </w:pPr>
            <w:r>
              <w:rPr>
                <w:color w:val="000000"/>
              </w:rPr>
              <w:t>Slovenia’s EU Cohesion Policy Programme 2021-2027</w:t>
            </w:r>
          </w:p>
        </w:tc>
      </w:tr>
      <w:tr w:rsidR="00823317" w14:paraId="0BA5A86A" w14:textId="77777777">
        <w:trPr>
          <w:trHeight w:val="240"/>
        </w:trPr>
        <w:tc>
          <w:tcPr>
            <w:tcW w:w="50.0%" w:type="pct"/>
            <w:tcMar>
              <w:start w:w="5pt" w:type="dxa"/>
              <w:end w:w="5pt" w:type="dxa"/>
            </w:tcMar>
          </w:tcPr>
          <w:p w14:paraId="4C213E06" w14:textId="77777777" w:rsidR="00A77B3E" w:rsidRDefault="00B16CCF">
            <w:pPr>
              <w:rPr>
                <w:color w:val="000000"/>
              </w:rPr>
            </w:pPr>
            <w:r>
              <w:rPr>
                <w:color w:val="000000"/>
              </w:rPr>
              <w:t>Naslov v nacionalnem jeziku (nacionalnih jezikih)</w:t>
            </w:r>
          </w:p>
        </w:tc>
        <w:tc>
          <w:tcPr>
            <w:tcW w:w="50.0%" w:type="pct"/>
            <w:tcMar>
              <w:start w:w="5pt" w:type="dxa"/>
              <w:end w:w="5pt" w:type="dxa"/>
            </w:tcMar>
          </w:tcPr>
          <w:p w14:paraId="325540DA" w14:textId="77777777" w:rsidR="00A77B3E" w:rsidRDefault="00B16CCF">
            <w:pPr>
              <w:rPr>
                <w:color w:val="000000"/>
              </w:rPr>
            </w:pPr>
            <w:r>
              <w:rPr>
                <w:color w:val="000000"/>
              </w:rPr>
              <w:t>SL - Program evropske kohezijske politike v obdobju 2021-2027 v Sloveniji</w:t>
            </w:r>
          </w:p>
        </w:tc>
      </w:tr>
      <w:tr w:rsidR="00823317" w14:paraId="78E46F64" w14:textId="77777777">
        <w:trPr>
          <w:trHeight w:val="240"/>
        </w:trPr>
        <w:tc>
          <w:tcPr>
            <w:tcW w:w="50.0%" w:type="pct"/>
            <w:tcMar>
              <w:start w:w="5pt" w:type="dxa"/>
              <w:end w:w="5pt" w:type="dxa"/>
            </w:tcMar>
          </w:tcPr>
          <w:p w14:paraId="6D3AAD57" w14:textId="77777777" w:rsidR="00A77B3E" w:rsidRDefault="00B16CCF">
            <w:pPr>
              <w:rPr>
                <w:color w:val="000000"/>
              </w:rPr>
            </w:pPr>
            <w:r>
              <w:rPr>
                <w:color w:val="000000"/>
              </w:rPr>
              <w:t>Različica</w:t>
            </w:r>
          </w:p>
        </w:tc>
        <w:tc>
          <w:tcPr>
            <w:tcW w:w="50.0%" w:type="pct"/>
            <w:tcMar>
              <w:start w:w="5pt" w:type="dxa"/>
              <w:end w:w="5pt" w:type="dxa"/>
            </w:tcMar>
          </w:tcPr>
          <w:p w14:paraId="7F18E3B4" w14:textId="77777777" w:rsidR="00A77B3E" w:rsidRDefault="00B16CCF">
            <w:pPr>
              <w:rPr>
                <w:color w:val="000000"/>
              </w:rPr>
            </w:pPr>
            <w:r>
              <w:rPr>
                <w:color w:val="000000"/>
              </w:rPr>
              <w:t>4.0</w:t>
            </w:r>
          </w:p>
        </w:tc>
      </w:tr>
      <w:tr w:rsidR="00823317" w14:paraId="51667529" w14:textId="77777777">
        <w:trPr>
          <w:trHeight w:val="240"/>
        </w:trPr>
        <w:tc>
          <w:tcPr>
            <w:tcW w:w="50.0%" w:type="pct"/>
            <w:tcMar>
              <w:start w:w="5pt" w:type="dxa"/>
              <w:end w:w="5pt" w:type="dxa"/>
            </w:tcMar>
          </w:tcPr>
          <w:p w14:paraId="6E924B08" w14:textId="77777777" w:rsidR="00A77B3E" w:rsidRDefault="00B16CCF">
            <w:pPr>
              <w:rPr>
                <w:color w:val="000000"/>
              </w:rPr>
            </w:pPr>
            <w:r>
              <w:rPr>
                <w:color w:val="000000"/>
              </w:rPr>
              <w:t>Prvo leto</w:t>
            </w:r>
          </w:p>
        </w:tc>
        <w:tc>
          <w:tcPr>
            <w:tcW w:w="50.0%" w:type="pct"/>
            <w:tcMar>
              <w:start w:w="5pt" w:type="dxa"/>
              <w:end w:w="5pt" w:type="dxa"/>
            </w:tcMar>
          </w:tcPr>
          <w:p w14:paraId="7D556DE9" w14:textId="77777777" w:rsidR="00A77B3E" w:rsidRDefault="00B16CCF">
            <w:pPr>
              <w:rPr>
                <w:color w:val="000000"/>
              </w:rPr>
            </w:pPr>
            <w:r>
              <w:rPr>
                <w:color w:val="000000"/>
              </w:rPr>
              <w:t>2021</w:t>
            </w:r>
          </w:p>
        </w:tc>
      </w:tr>
      <w:tr w:rsidR="00823317" w14:paraId="43E358FD" w14:textId="77777777">
        <w:trPr>
          <w:trHeight w:val="240"/>
        </w:trPr>
        <w:tc>
          <w:tcPr>
            <w:tcW w:w="50.0%" w:type="pct"/>
            <w:tcMar>
              <w:start w:w="5pt" w:type="dxa"/>
              <w:end w:w="5pt" w:type="dxa"/>
            </w:tcMar>
          </w:tcPr>
          <w:p w14:paraId="62A986ED" w14:textId="77777777" w:rsidR="00A77B3E" w:rsidRDefault="00B16CCF">
            <w:pPr>
              <w:rPr>
                <w:color w:val="000000"/>
              </w:rPr>
            </w:pPr>
            <w:r>
              <w:rPr>
                <w:color w:val="000000"/>
              </w:rPr>
              <w:t>Zadnje leto</w:t>
            </w:r>
          </w:p>
        </w:tc>
        <w:tc>
          <w:tcPr>
            <w:tcW w:w="50.0%" w:type="pct"/>
            <w:tcMar>
              <w:start w:w="5pt" w:type="dxa"/>
              <w:end w:w="5pt" w:type="dxa"/>
            </w:tcMar>
          </w:tcPr>
          <w:p w14:paraId="1CAA148E" w14:textId="77777777" w:rsidR="00A77B3E" w:rsidRDefault="00B16CCF">
            <w:pPr>
              <w:rPr>
                <w:color w:val="000000"/>
              </w:rPr>
            </w:pPr>
            <w:r>
              <w:rPr>
                <w:color w:val="000000"/>
              </w:rPr>
              <w:t>2027</w:t>
            </w:r>
          </w:p>
        </w:tc>
      </w:tr>
      <w:tr w:rsidR="00823317" w14:paraId="62365D11" w14:textId="77777777">
        <w:trPr>
          <w:trHeight w:val="240"/>
        </w:trPr>
        <w:tc>
          <w:tcPr>
            <w:tcW w:w="50.0%" w:type="pct"/>
            <w:tcMar>
              <w:start w:w="5pt" w:type="dxa"/>
              <w:end w:w="5pt" w:type="dxa"/>
            </w:tcMar>
          </w:tcPr>
          <w:p w14:paraId="03D9ADBE" w14:textId="77777777" w:rsidR="00A77B3E" w:rsidRDefault="00B16CCF">
            <w:pPr>
              <w:rPr>
                <w:color w:val="000000"/>
              </w:rPr>
            </w:pPr>
            <w:r>
              <w:rPr>
                <w:color w:val="000000"/>
              </w:rPr>
              <w:t>Upravičen od</w:t>
            </w:r>
          </w:p>
        </w:tc>
        <w:tc>
          <w:tcPr>
            <w:tcW w:w="50.0%" w:type="pct"/>
            <w:tcMar>
              <w:start w:w="5pt" w:type="dxa"/>
              <w:end w:w="5pt" w:type="dxa"/>
            </w:tcMar>
          </w:tcPr>
          <w:p w14:paraId="50EAFE9B" w14:textId="77777777" w:rsidR="00A77B3E" w:rsidRDefault="00B16CCF">
            <w:pPr>
              <w:rPr>
                <w:color w:val="000000"/>
              </w:rPr>
            </w:pPr>
            <w:r>
              <w:rPr>
                <w:color w:val="000000"/>
              </w:rPr>
              <w:t>1. jan. 2021</w:t>
            </w:r>
          </w:p>
        </w:tc>
      </w:tr>
      <w:tr w:rsidR="00823317" w14:paraId="4D9CE640" w14:textId="77777777">
        <w:trPr>
          <w:trHeight w:val="240"/>
        </w:trPr>
        <w:tc>
          <w:tcPr>
            <w:tcW w:w="50.0%" w:type="pct"/>
            <w:tcMar>
              <w:start w:w="5pt" w:type="dxa"/>
              <w:end w:w="5pt" w:type="dxa"/>
            </w:tcMar>
          </w:tcPr>
          <w:p w14:paraId="5A9D506E" w14:textId="77777777" w:rsidR="00A77B3E" w:rsidRDefault="00B16CCF">
            <w:pPr>
              <w:rPr>
                <w:color w:val="000000"/>
              </w:rPr>
            </w:pPr>
            <w:r>
              <w:rPr>
                <w:color w:val="000000"/>
              </w:rPr>
              <w:t>Upravičen do</w:t>
            </w:r>
          </w:p>
        </w:tc>
        <w:tc>
          <w:tcPr>
            <w:tcW w:w="50.0%" w:type="pct"/>
            <w:tcMar>
              <w:start w:w="5pt" w:type="dxa"/>
              <w:end w:w="5pt" w:type="dxa"/>
            </w:tcMar>
          </w:tcPr>
          <w:p w14:paraId="60238472" w14:textId="77777777" w:rsidR="00A77B3E" w:rsidRDefault="00B16CCF">
            <w:pPr>
              <w:rPr>
                <w:color w:val="000000"/>
              </w:rPr>
            </w:pPr>
            <w:r>
              <w:rPr>
                <w:color w:val="000000"/>
              </w:rPr>
              <w:t>31. dec. 2029</w:t>
            </w:r>
          </w:p>
        </w:tc>
      </w:tr>
      <w:tr w:rsidR="00823317" w14:paraId="4A47FBFB" w14:textId="77777777">
        <w:trPr>
          <w:trHeight w:val="240"/>
        </w:trPr>
        <w:tc>
          <w:tcPr>
            <w:tcW w:w="50.0%" w:type="pct"/>
            <w:tcMar>
              <w:start w:w="5pt" w:type="dxa"/>
              <w:end w:w="5pt" w:type="dxa"/>
            </w:tcMar>
          </w:tcPr>
          <w:p w14:paraId="173A011D" w14:textId="77777777" w:rsidR="00A77B3E" w:rsidRDefault="00B16CCF">
            <w:pPr>
              <w:rPr>
                <w:color w:val="000000"/>
              </w:rPr>
            </w:pPr>
            <w:r>
              <w:rPr>
                <w:color w:val="000000"/>
              </w:rPr>
              <w:t>Številka sklepa Komisije</w:t>
            </w:r>
          </w:p>
        </w:tc>
        <w:tc>
          <w:tcPr>
            <w:tcW w:w="50.0%" w:type="pct"/>
            <w:tcMar>
              <w:start w:w="5pt" w:type="dxa"/>
              <w:end w:w="5pt" w:type="dxa"/>
            </w:tcMar>
          </w:tcPr>
          <w:p w14:paraId="2749838A" w14:textId="77777777" w:rsidR="00A77B3E" w:rsidRDefault="00A77B3E">
            <w:pPr>
              <w:rPr>
                <w:color w:val="000000"/>
              </w:rPr>
            </w:pPr>
          </w:p>
        </w:tc>
      </w:tr>
      <w:tr w:rsidR="00823317" w14:paraId="50CD0FC5" w14:textId="77777777">
        <w:trPr>
          <w:trHeight w:val="240"/>
        </w:trPr>
        <w:tc>
          <w:tcPr>
            <w:tcW w:w="50.0%" w:type="pct"/>
            <w:tcMar>
              <w:start w:w="5pt" w:type="dxa"/>
              <w:end w:w="5pt" w:type="dxa"/>
            </w:tcMar>
          </w:tcPr>
          <w:p w14:paraId="469AA486" w14:textId="77777777" w:rsidR="00A77B3E" w:rsidRDefault="00B16CCF">
            <w:pPr>
              <w:rPr>
                <w:color w:val="000000"/>
              </w:rPr>
            </w:pPr>
            <w:r>
              <w:rPr>
                <w:color w:val="000000"/>
              </w:rPr>
              <w:t>Datum sklepa Komisije</w:t>
            </w:r>
          </w:p>
        </w:tc>
        <w:tc>
          <w:tcPr>
            <w:tcW w:w="50.0%" w:type="pct"/>
            <w:tcMar>
              <w:start w:w="5pt" w:type="dxa"/>
              <w:end w:w="5pt" w:type="dxa"/>
            </w:tcMar>
          </w:tcPr>
          <w:p w14:paraId="35A68870" w14:textId="77777777" w:rsidR="00A77B3E" w:rsidRDefault="00A77B3E">
            <w:pPr>
              <w:rPr>
                <w:color w:val="000000"/>
              </w:rPr>
            </w:pPr>
          </w:p>
        </w:tc>
      </w:tr>
      <w:tr w:rsidR="00823317" w14:paraId="028AD66F" w14:textId="77777777">
        <w:trPr>
          <w:trHeight w:val="240"/>
        </w:trPr>
        <w:tc>
          <w:tcPr>
            <w:tcW w:w="50.0%" w:type="pct"/>
            <w:tcMar>
              <w:start w:w="5pt" w:type="dxa"/>
              <w:end w:w="5pt" w:type="dxa"/>
            </w:tcMar>
          </w:tcPr>
          <w:p w14:paraId="65E2E5A9" w14:textId="77777777" w:rsidR="00A77B3E" w:rsidRDefault="00B16CCF">
            <w:pPr>
              <w:rPr>
                <w:color w:val="000000"/>
              </w:rPr>
            </w:pPr>
            <w:r>
              <w:rPr>
                <w:color w:val="000000"/>
              </w:rPr>
              <w:t>Številka sklepa države članice o spremembi</w:t>
            </w:r>
          </w:p>
        </w:tc>
        <w:tc>
          <w:tcPr>
            <w:tcW w:w="50.0%" w:type="pct"/>
            <w:tcMar>
              <w:start w:w="5pt" w:type="dxa"/>
              <w:end w:w="5pt" w:type="dxa"/>
            </w:tcMar>
          </w:tcPr>
          <w:p w14:paraId="4C917037" w14:textId="77777777" w:rsidR="00A77B3E" w:rsidRDefault="00A77B3E">
            <w:pPr>
              <w:rPr>
                <w:color w:val="000000"/>
              </w:rPr>
            </w:pPr>
          </w:p>
        </w:tc>
      </w:tr>
      <w:tr w:rsidR="00823317" w:rsidRPr="00EB2379" w14:paraId="5C36613E" w14:textId="77777777">
        <w:trPr>
          <w:trHeight w:val="240"/>
        </w:trPr>
        <w:tc>
          <w:tcPr>
            <w:tcW w:w="50.0%" w:type="pct"/>
            <w:tcMar>
              <w:start w:w="5pt" w:type="dxa"/>
              <w:end w:w="5pt" w:type="dxa"/>
            </w:tcMar>
          </w:tcPr>
          <w:p w14:paraId="23511BBF" w14:textId="77777777" w:rsidR="00A77B3E" w:rsidRPr="00EB2379" w:rsidRDefault="00B16CCF">
            <w:pPr>
              <w:rPr>
                <w:color w:val="000000"/>
                <w:lang w:val="it-IT"/>
              </w:rPr>
            </w:pPr>
            <w:r w:rsidRPr="00EB2379">
              <w:rPr>
                <w:color w:val="000000"/>
                <w:lang w:val="it-IT"/>
              </w:rPr>
              <w:t>Datum začetka veljavnosti sklepa države članice o spremembi</w:t>
            </w:r>
          </w:p>
        </w:tc>
        <w:tc>
          <w:tcPr>
            <w:tcW w:w="50.0%" w:type="pct"/>
            <w:tcMar>
              <w:start w:w="5pt" w:type="dxa"/>
              <w:end w:w="5pt" w:type="dxa"/>
            </w:tcMar>
          </w:tcPr>
          <w:p w14:paraId="79A2236F" w14:textId="77777777" w:rsidR="00A77B3E" w:rsidRPr="00EB2379" w:rsidRDefault="00A77B3E">
            <w:pPr>
              <w:rPr>
                <w:color w:val="000000"/>
                <w:lang w:val="it-IT"/>
              </w:rPr>
            </w:pPr>
          </w:p>
        </w:tc>
      </w:tr>
      <w:tr w:rsidR="00823317" w14:paraId="67B48BE7" w14:textId="77777777">
        <w:trPr>
          <w:trHeight w:val="240"/>
        </w:trPr>
        <w:tc>
          <w:tcPr>
            <w:tcW w:w="33.0%" w:type="pct"/>
            <w:tcMar>
              <w:start w:w="5pt" w:type="dxa"/>
              <w:end w:w="5pt" w:type="dxa"/>
            </w:tcMar>
          </w:tcPr>
          <w:p w14:paraId="2D3D748C" w14:textId="77777777" w:rsidR="00A77B3E" w:rsidRPr="00EB2379" w:rsidRDefault="00B16CCF">
            <w:pPr>
              <w:rPr>
                <w:color w:val="000000"/>
                <w:lang w:val="it-IT"/>
              </w:rPr>
            </w:pPr>
            <w:r w:rsidRPr="00EB2379">
              <w:rPr>
                <w:color w:val="000000"/>
                <w:lang w:val="it-IT"/>
              </w:rPr>
              <w:t>Nebistvena prerazporeditev (člen 24(5) uredbe o skupnih določbah)</w:t>
            </w:r>
          </w:p>
        </w:tc>
        <w:tc>
          <w:tcPr>
            <w:tcW w:w="33.0%" w:type="pct"/>
            <w:tcMar>
              <w:start w:w="5pt" w:type="dxa"/>
              <w:end w:w="5pt" w:type="dxa"/>
            </w:tcMar>
          </w:tcPr>
          <w:p w14:paraId="29ACDD5A" w14:textId="77777777" w:rsidR="00A77B3E" w:rsidRDefault="00B16CCF">
            <w:pPr>
              <w:rPr>
                <w:color w:val="000000"/>
              </w:rPr>
            </w:pPr>
            <w:r>
              <w:rPr>
                <w:color w:val="000000"/>
              </w:rPr>
              <w:t>Ne</w:t>
            </w:r>
          </w:p>
        </w:tc>
      </w:tr>
      <w:tr w:rsidR="00823317" w14:paraId="03284C28" w14:textId="77777777">
        <w:trPr>
          <w:trHeight w:val="240"/>
        </w:trPr>
        <w:tc>
          <w:tcPr>
            <w:tcW w:w="33.0%" w:type="pct"/>
            <w:tcMar>
              <w:start w:w="5pt" w:type="dxa"/>
              <w:end w:w="5pt" w:type="dxa"/>
            </w:tcMar>
          </w:tcPr>
          <w:p w14:paraId="1467FE54" w14:textId="77777777" w:rsidR="00A77B3E" w:rsidRDefault="00B16CCF">
            <w:pPr>
              <w:rPr>
                <w:color w:val="000000"/>
              </w:rPr>
            </w:pPr>
            <w:r>
              <w:rPr>
                <w:color w:val="000000"/>
              </w:rPr>
              <w:t>Redakcijsko-tehnični popravki (člen 24(6) uredbe o skupnih določbah)</w:t>
            </w:r>
          </w:p>
        </w:tc>
        <w:tc>
          <w:tcPr>
            <w:tcW w:w="33.0%" w:type="pct"/>
            <w:tcMar>
              <w:start w:w="5pt" w:type="dxa"/>
              <w:end w:w="5pt" w:type="dxa"/>
            </w:tcMar>
          </w:tcPr>
          <w:p w14:paraId="74949515" w14:textId="77777777" w:rsidR="00A77B3E" w:rsidRDefault="00B16CCF">
            <w:pPr>
              <w:rPr>
                <w:color w:val="000000"/>
              </w:rPr>
            </w:pPr>
            <w:r>
              <w:rPr>
                <w:color w:val="000000"/>
              </w:rPr>
              <w:t>Ne</w:t>
            </w:r>
          </w:p>
        </w:tc>
      </w:tr>
      <w:tr w:rsidR="00823317" w14:paraId="01932EF2" w14:textId="77777777">
        <w:trPr>
          <w:trHeight w:val="240"/>
        </w:trPr>
        <w:tc>
          <w:tcPr>
            <w:tcW w:w="33.0%" w:type="pct"/>
            <w:tcMar>
              <w:start w:w="5pt" w:type="dxa"/>
              <w:end w:w="5pt" w:type="dxa"/>
            </w:tcMar>
          </w:tcPr>
          <w:p w14:paraId="3BFE4205" w14:textId="77777777" w:rsidR="00A77B3E" w:rsidRDefault="00B16CCF">
            <w:pPr>
              <w:rPr>
                <w:color w:val="000000"/>
              </w:rPr>
            </w:pPr>
            <w:r>
              <w:rPr>
                <w:color w:val="000000"/>
              </w:rPr>
              <w:t>Odobril odbor za spremljanje</w:t>
            </w:r>
          </w:p>
        </w:tc>
        <w:tc>
          <w:tcPr>
            <w:tcW w:w="33.0%" w:type="pct"/>
            <w:tcMar>
              <w:start w:w="5pt" w:type="dxa"/>
              <w:end w:w="5pt" w:type="dxa"/>
            </w:tcMar>
          </w:tcPr>
          <w:p w14:paraId="24378918" w14:textId="77777777" w:rsidR="00A77B3E" w:rsidRDefault="00B16CCF">
            <w:pPr>
              <w:rPr>
                <w:color w:val="000000"/>
              </w:rPr>
            </w:pPr>
            <w:r>
              <w:rPr>
                <w:color w:val="000000"/>
              </w:rPr>
              <w:t>Da</w:t>
            </w:r>
          </w:p>
        </w:tc>
      </w:tr>
      <w:tr w:rsidR="00823317" w14:paraId="650A0D92" w14:textId="77777777">
        <w:trPr>
          <w:trHeight w:val="240"/>
        </w:trPr>
        <w:tc>
          <w:tcPr>
            <w:tcW w:w="33.0%" w:type="pct"/>
            <w:tcMar>
              <w:start w:w="5pt" w:type="dxa"/>
              <w:end w:w="5pt" w:type="dxa"/>
            </w:tcMar>
          </w:tcPr>
          <w:p w14:paraId="067CA97F" w14:textId="77777777" w:rsidR="00A77B3E" w:rsidRDefault="00B16CCF">
            <w:pPr>
              <w:rPr>
                <w:color w:val="000000"/>
              </w:rPr>
            </w:pPr>
            <w:r>
              <w:rPr>
                <w:color w:val="000000"/>
              </w:rPr>
              <w:t>Regije NUTS, ki so zajete v programu</w:t>
            </w:r>
          </w:p>
        </w:tc>
        <w:tc>
          <w:tcPr>
            <w:tcW w:w="33.0%" w:type="pct"/>
            <w:tcMar>
              <w:start w:w="5pt" w:type="dxa"/>
              <w:end w:w="5pt" w:type="dxa"/>
            </w:tcMar>
          </w:tcPr>
          <w:p w14:paraId="777F2DB9" w14:textId="77777777" w:rsidR="00A77B3E" w:rsidRDefault="00B16CCF">
            <w:pPr>
              <w:rPr>
                <w:color w:val="000000"/>
              </w:rPr>
            </w:pPr>
            <w:r>
              <w:rPr>
                <w:color w:val="000000"/>
              </w:rPr>
              <w:t>SI0 - Slovenija</w:t>
            </w:r>
            <w:r>
              <w:rPr>
                <w:color w:val="000000"/>
              </w:rPr>
              <w:br/>
              <w:t>SI03 - Vzhodna Slovenija</w:t>
            </w:r>
            <w:r>
              <w:rPr>
                <w:color w:val="000000"/>
              </w:rPr>
              <w:br/>
              <w:t>SI031 - Pomurska</w:t>
            </w:r>
            <w:r>
              <w:rPr>
                <w:color w:val="000000"/>
              </w:rPr>
              <w:br/>
              <w:t>SI032 - Podravska</w:t>
            </w:r>
            <w:r>
              <w:rPr>
                <w:color w:val="000000"/>
              </w:rPr>
              <w:br/>
              <w:t>SI033 - Koroška</w:t>
            </w:r>
            <w:r>
              <w:rPr>
                <w:color w:val="000000"/>
              </w:rPr>
              <w:br/>
              <w:t>SI034 - Savinjska</w:t>
            </w:r>
            <w:r>
              <w:rPr>
                <w:color w:val="000000"/>
              </w:rPr>
              <w:br/>
              <w:t>SI035 - Zasavska</w:t>
            </w:r>
            <w:r>
              <w:rPr>
                <w:color w:val="000000"/>
              </w:rPr>
              <w:br/>
              <w:t>SI036 - Posavska</w:t>
            </w:r>
            <w:r>
              <w:rPr>
                <w:color w:val="000000"/>
              </w:rPr>
              <w:br/>
              <w:t>SI037 - Jugovzhodna Slovenija</w:t>
            </w:r>
            <w:r>
              <w:rPr>
                <w:color w:val="000000"/>
              </w:rPr>
              <w:br/>
              <w:t>SI038 - Primorsko-notranjska</w:t>
            </w:r>
            <w:r>
              <w:rPr>
                <w:color w:val="000000"/>
              </w:rPr>
              <w:br/>
              <w:t>SI04 - Zahodna Slovenija</w:t>
            </w:r>
            <w:r>
              <w:rPr>
                <w:color w:val="000000"/>
              </w:rPr>
              <w:br/>
              <w:t>SI041 - Osrednjeslovenska</w:t>
            </w:r>
            <w:r>
              <w:rPr>
                <w:color w:val="000000"/>
              </w:rPr>
              <w:br/>
              <w:t>SI042 - Gorenjska</w:t>
            </w:r>
            <w:r>
              <w:rPr>
                <w:color w:val="000000"/>
              </w:rPr>
              <w:br/>
              <w:t>SI043 - Goriška</w:t>
            </w:r>
            <w:r>
              <w:rPr>
                <w:color w:val="000000"/>
              </w:rPr>
              <w:br/>
              <w:t>SI044 - Obalno-kraška</w:t>
            </w:r>
          </w:p>
        </w:tc>
      </w:tr>
      <w:tr w:rsidR="00823317" w14:paraId="5A1A108A" w14:textId="77777777">
        <w:trPr>
          <w:trHeight w:val="240"/>
        </w:trPr>
        <w:tc>
          <w:tcPr>
            <w:tcW w:w="33.0%" w:type="pct"/>
            <w:tcMar>
              <w:start w:w="5pt" w:type="dxa"/>
              <w:end w:w="5pt" w:type="dxa"/>
            </w:tcMar>
          </w:tcPr>
          <w:p w14:paraId="4DB78244" w14:textId="77777777" w:rsidR="00A77B3E" w:rsidRDefault="00B16CCF">
            <w:pPr>
              <w:rPr>
                <w:color w:val="000000"/>
              </w:rPr>
            </w:pPr>
            <w:r>
              <w:rPr>
                <w:color w:val="000000"/>
              </w:rPr>
              <w:t>Zadevni sklad (skladi)</w:t>
            </w:r>
          </w:p>
        </w:tc>
        <w:tc>
          <w:tcPr>
            <w:tcW w:w="33.0%" w:type="pct"/>
            <w:tcMar>
              <w:start w:w="5pt" w:type="dxa"/>
              <w:end w:w="5pt" w:type="dxa"/>
            </w:tcMar>
          </w:tcPr>
          <w:p w14:paraId="140D3795" w14:textId="77777777" w:rsidR="00A77B3E" w:rsidRDefault="00B16CCF">
            <w:pPr>
              <w:rPr>
                <w:color w:val="000000"/>
              </w:rPr>
            </w:pPr>
            <w:r>
              <w:rPr>
                <w:color w:val="000000"/>
              </w:rPr>
              <w:t>ESRR</w:t>
            </w:r>
            <w:r>
              <w:rPr>
                <w:color w:val="000000"/>
              </w:rPr>
              <w:br/>
              <w:t>Kohezijski sklad</w:t>
            </w:r>
            <w:r>
              <w:rPr>
                <w:color w:val="000000"/>
              </w:rPr>
              <w:br/>
              <w:t>ESS+</w:t>
            </w:r>
            <w:r>
              <w:rPr>
                <w:color w:val="000000"/>
              </w:rPr>
              <w:br/>
              <w:t>SPP</w:t>
            </w:r>
          </w:p>
        </w:tc>
      </w:tr>
      <w:tr w:rsidR="00823317" w:rsidRPr="00EB2379" w14:paraId="39EBA658" w14:textId="77777777">
        <w:trPr>
          <w:trHeight w:val="240"/>
        </w:trPr>
        <w:tc>
          <w:tcPr>
            <w:tcW w:w="33.0%" w:type="pct"/>
            <w:tcMar>
              <w:start w:w="5pt" w:type="dxa"/>
              <w:end w:w="5pt" w:type="dxa"/>
            </w:tcMar>
          </w:tcPr>
          <w:p w14:paraId="34F96DED" w14:textId="77777777" w:rsidR="00A77B3E" w:rsidRDefault="00B16CCF">
            <w:pPr>
              <w:rPr>
                <w:color w:val="000000"/>
              </w:rPr>
            </w:pPr>
            <w:r>
              <w:rPr>
                <w:color w:val="000000"/>
              </w:rPr>
              <w:t>Program</w:t>
            </w:r>
          </w:p>
        </w:tc>
        <w:tc>
          <w:tcPr>
            <w:tcW w:w="33.0%" w:type="pct"/>
            <w:tcMar>
              <w:start w:w="5pt" w:type="dxa"/>
              <w:end w:w="5pt" w:type="dxa"/>
            </w:tcMar>
          </w:tcPr>
          <w:p w14:paraId="5FFAF73C" w14:textId="77777777" w:rsidR="00A77B3E" w:rsidRPr="00EB2379" w:rsidRDefault="00B16CCF">
            <w:pPr>
              <w:rPr>
                <w:color w:val="000000"/>
                <w:lang w:val="it-IT"/>
              </w:rPr>
            </w:pPr>
            <w:r>
              <w:rPr>
                <w:color w:val="000000"/>
              </w:rPr>
              <w:fldChar w:fldCharType="begin">
                <w:ffData>
                  <w:name w:val=""/>
                  <w:enabled/>
                  <w:calcOnExit w:val="0"/>
                  <w:checkBox>
                    <w:size w:val="10pt"/>
                    <w:default w:val="0"/>
                    <w:checked w:val="0"/>
                  </w:checkBox>
                </w:ffData>
              </w:fldChar>
            </w:r>
            <w:r w:rsidRPr="00EB2379">
              <w:rPr>
                <w:color w:val="000000"/>
                <w:lang w:val="it-IT"/>
              </w:rPr>
              <w:instrText xml:space="preserve"> FORMCHECKBOX </w:instrText>
            </w:r>
            <w:r w:rsidR="001D0AD2">
              <w:rPr>
                <w:color w:val="000000"/>
              </w:rPr>
            </w:r>
            <w:r w:rsidR="001D0AD2">
              <w:rPr>
                <w:color w:val="000000"/>
              </w:rPr>
              <w:fldChar w:fldCharType="separate"/>
            </w:r>
            <w:r>
              <w:rPr>
                <w:color w:val="000000"/>
              </w:rPr>
              <w:fldChar w:fldCharType="end"/>
            </w:r>
            <w:r w:rsidRPr="00EB2379">
              <w:rPr>
                <w:color w:val="000000"/>
                <w:lang w:val="it-IT"/>
              </w:rPr>
              <w:t xml:space="preserve">  v okviru cilja „naložbe za delovna mesta in rast“ samo za najbolj oddaljene regije</w:t>
            </w:r>
          </w:p>
        </w:tc>
      </w:tr>
    </w:tbl>
    <w:p w14:paraId="205946E0" w14:textId="77777777" w:rsidR="00A77B3E" w:rsidRDefault="00B16CCF">
      <w:pPr>
        <w:jc w:val="center"/>
        <w:rPr>
          <w:b/>
          <w:color w:val="000000"/>
        </w:rPr>
      </w:pPr>
      <w:r w:rsidRPr="00EB2379">
        <w:rPr>
          <w:color w:val="000000"/>
          <w:lang w:val="it-IT"/>
        </w:rPr>
        <w:br w:type="page"/>
      </w:r>
      <w:r>
        <w:rPr>
          <w:b/>
          <w:color w:val="000000"/>
        </w:rPr>
        <w:lastRenderedPageBreak/>
        <w:t>Kazalo</w:t>
      </w:r>
    </w:p>
    <w:p w14:paraId="1C00CF1A" w14:textId="77777777" w:rsidR="00A77B3E" w:rsidRDefault="00A77B3E">
      <w:pPr>
        <w:jc w:val="center"/>
        <w:rPr>
          <w:color w:val="000000"/>
        </w:rPr>
      </w:pPr>
    </w:p>
    <w:p w14:paraId="6615D61C" w14:textId="77777777" w:rsidR="00823317" w:rsidRDefault="00B16CCF">
      <w:pPr>
        <w:pStyle w:val="Kazalovsebine1"/>
        <w:tabs>
          <w:tab w:val="end" w:leader="dot" w:pos="512pt"/>
        </w:tabs>
        <w:rPr>
          <w:rFonts w:ascii="Calibri" w:hAnsi="Calibri"/>
          <w:sz w:val="22"/>
        </w:rPr>
      </w:pPr>
      <w:r>
        <w:rPr>
          <w:color w:val="000000"/>
        </w:rPr>
        <w:fldChar w:fldCharType="begin"/>
      </w:r>
      <w:r w:rsidR="00A77B3E">
        <w:rPr>
          <w:color w:val="000000"/>
        </w:rPr>
        <w:instrText>TOC \o "1-9" \z \u \h</w:instrText>
      </w:r>
      <w:r>
        <w:rPr>
          <w:color w:val="000000"/>
        </w:rPr>
        <w:fldChar w:fldCharType="separate"/>
      </w:r>
      <w:hyperlink w:anchor="_Toc256000761" w:history="1">
        <w:r w:rsidR="00A77B3E">
          <w:rPr>
            <w:rStyle w:val="Hiperpovezava"/>
          </w:rPr>
          <w:t>1. Strategija programa: glavni izzivi in odzivi politik</w:t>
        </w:r>
        <w:r>
          <w:tab/>
        </w:r>
        <w:r>
          <w:fldChar w:fldCharType="begin"/>
        </w:r>
        <w:r>
          <w:instrText xml:space="preserve"> PAGEREF _Toc256000761 \h </w:instrText>
        </w:r>
        <w:r>
          <w:fldChar w:fldCharType="separate"/>
        </w:r>
        <w:r>
          <w:t>21</w:t>
        </w:r>
        <w:r>
          <w:fldChar w:fldCharType="end"/>
        </w:r>
      </w:hyperlink>
    </w:p>
    <w:p w14:paraId="6EC3DCD1" w14:textId="77777777" w:rsidR="00823317" w:rsidRDefault="001D0AD2">
      <w:pPr>
        <w:pStyle w:val="Kazalovsebine2"/>
        <w:tabs>
          <w:tab w:val="end" w:leader="dot" w:pos="512pt"/>
        </w:tabs>
        <w:rPr>
          <w:rFonts w:ascii="Calibri" w:hAnsi="Calibri"/>
          <w:sz w:val="22"/>
        </w:rPr>
      </w:pPr>
      <w:hyperlink w:anchor="_Toc256000762" w:history="1">
        <w:r w:rsidR="00A77B3E">
          <w:rPr>
            <w:rStyle w:val="Hiperpovezava"/>
            <w:rFonts w:ascii="TimesNewRoman" w:eastAsia="TimesNewRoman" w:hAnsi="TimesNewRoman" w:cs="TimesNewRoman"/>
          </w:rPr>
          <w:t>Tabela 1</w:t>
        </w:r>
        <w:r w:rsidR="00B16CCF">
          <w:tab/>
        </w:r>
        <w:r w:rsidR="00B16CCF">
          <w:fldChar w:fldCharType="begin"/>
        </w:r>
        <w:r w:rsidR="00B16CCF">
          <w:instrText xml:space="preserve"> PAGEREF _Toc256000762 \h </w:instrText>
        </w:r>
        <w:r w:rsidR="00B16CCF">
          <w:fldChar w:fldCharType="separate"/>
        </w:r>
        <w:r w:rsidR="00B16CCF">
          <w:t>29</w:t>
        </w:r>
        <w:r w:rsidR="00B16CCF">
          <w:fldChar w:fldCharType="end"/>
        </w:r>
      </w:hyperlink>
    </w:p>
    <w:p w14:paraId="6AFB264C" w14:textId="77777777" w:rsidR="00823317" w:rsidRDefault="001D0AD2">
      <w:pPr>
        <w:pStyle w:val="Kazalovsebine1"/>
        <w:tabs>
          <w:tab w:val="end" w:leader="dot" w:pos="512pt"/>
        </w:tabs>
        <w:rPr>
          <w:rFonts w:ascii="Calibri" w:hAnsi="Calibri"/>
          <w:sz w:val="22"/>
        </w:rPr>
      </w:pPr>
      <w:hyperlink w:anchor="_Toc256000763" w:history="1">
        <w:r w:rsidR="00A77B3E">
          <w:rPr>
            <w:rStyle w:val="Hiperpovezava"/>
          </w:rPr>
          <w:t>2. Prednostne naloge</w:t>
        </w:r>
        <w:r w:rsidR="00B16CCF">
          <w:tab/>
        </w:r>
        <w:r w:rsidR="00B16CCF">
          <w:fldChar w:fldCharType="begin"/>
        </w:r>
        <w:r w:rsidR="00B16CCF">
          <w:instrText xml:space="preserve"> PAGEREF _Toc256000763 \h </w:instrText>
        </w:r>
        <w:r w:rsidR="00B16CCF">
          <w:fldChar w:fldCharType="separate"/>
        </w:r>
        <w:r w:rsidR="00B16CCF">
          <w:t>72</w:t>
        </w:r>
        <w:r w:rsidR="00B16CCF">
          <w:fldChar w:fldCharType="end"/>
        </w:r>
      </w:hyperlink>
    </w:p>
    <w:p w14:paraId="3FF932DC" w14:textId="77777777" w:rsidR="00823317" w:rsidRDefault="001D0AD2">
      <w:pPr>
        <w:pStyle w:val="Kazalovsebine2"/>
        <w:tabs>
          <w:tab w:val="end" w:leader="dot" w:pos="512pt"/>
        </w:tabs>
        <w:rPr>
          <w:rFonts w:ascii="Calibri" w:hAnsi="Calibri"/>
          <w:sz w:val="22"/>
        </w:rPr>
      </w:pPr>
      <w:hyperlink w:anchor="_Toc256000764" w:history="1">
        <w:r w:rsidR="00A77B3E">
          <w:rPr>
            <w:rStyle w:val="Hiperpovezava"/>
            <w:rFonts w:ascii="TimesNewRoman" w:eastAsia="TimesNewRoman" w:hAnsi="TimesNewRoman" w:cs="TimesNewRoman"/>
          </w:rPr>
          <w:t>2.1. Prednostne naloge, razen tehnične pomoči</w:t>
        </w:r>
        <w:r w:rsidR="00B16CCF">
          <w:tab/>
        </w:r>
        <w:r w:rsidR="00B16CCF">
          <w:fldChar w:fldCharType="begin"/>
        </w:r>
        <w:r w:rsidR="00B16CCF">
          <w:instrText xml:space="preserve"> PAGEREF _Toc256000764 \h </w:instrText>
        </w:r>
        <w:r w:rsidR="00B16CCF">
          <w:fldChar w:fldCharType="separate"/>
        </w:r>
        <w:r w:rsidR="00B16CCF">
          <w:t>72</w:t>
        </w:r>
        <w:r w:rsidR="00B16CCF">
          <w:fldChar w:fldCharType="end"/>
        </w:r>
      </w:hyperlink>
    </w:p>
    <w:p w14:paraId="5621087F" w14:textId="77777777" w:rsidR="00823317" w:rsidRDefault="001D0AD2">
      <w:pPr>
        <w:pStyle w:val="Kazalovsebine3"/>
        <w:tabs>
          <w:tab w:val="end" w:leader="dot" w:pos="512pt"/>
        </w:tabs>
        <w:rPr>
          <w:rFonts w:ascii="Calibri" w:hAnsi="Calibri"/>
          <w:sz w:val="22"/>
        </w:rPr>
      </w:pPr>
      <w:hyperlink w:anchor="_Toc256000765" w:history="1">
        <w:r w:rsidR="00A77B3E">
          <w:rPr>
            <w:rStyle w:val="Hiperpovezava"/>
          </w:rPr>
          <w:t>2.1.1. Prednostna naloga: 1. Inovacijska družba znanja</w:t>
        </w:r>
        <w:r w:rsidR="00B16CCF">
          <w:tab/>
        </w:r>
        <w:r w:rsidR="00B16CCF">
          <w:fldChar w:fldCharType="begin"/>
        </w:r>
        <w:r w:rsidR="00B16CCF">
          <w:instrText xml:space="preserve"> PAGEREF _Toc256000765 \h </w:instrText>
        </w:r>
        <w:r w:rsidR="00B16CCF">
          <w:fldChar w:fldCharType="separate"/>
        </w:r>
        <w:r w:rsidR="00B16CCF">
          <w:t>72</w:t>
        </w:r>
        <w:r w:rsidR="00B16CCF">
          <w:fldChar w:fldCharType="end"/>
        </w:r>
      </w:hyperlink>
    </w:p>
    <w:p w14:paraId="4C4FE387" w14:textId="77777777" w:rsidR="00823317" w:rsidRDefault="001D0AD2">
      <w:pPr>
        <w:pStyle w:val="Kazalovsebine4"/>
        <w:tabs>
          <w:tab w:val="end" w:leader="dot" w:pos="512pt"/>
        </w:tabs>
        <w:rPr>
          <w:rFonts w:ascii="Calibri" w:hAnsi="Calibri"/>
          <w:sz w:val="22"/>
        </w:rPr>
      </w:pPr>
      <w:hyperlink w:anchor="_Toc256000766" w:history="1">
        <w:r w:rsidR="00A77B3E">
          <w:rPr>
            <w:rStyle w:val="Hiperpovezava"/>
          </w:rPr>
          <w:t>2.1.1.1. Specifični cilj: RSO1.1. Razvoj in izboljšanje raziskovalne in inovacijske zmogljivosti ter uvajanje naprednih tehnologij (ESRR)</w:t>
        </w:r>
        <w:r w:rsidR="00B16CCF">
          <w:tab/>
        </w:r>
        <w:r w:rsidR="00B16CCF">
          <w:fldChar w:fldCharType="begin"/>
        </w:r>
        <w:r w:rsidR="00B16CCF">
          <w:instrText xml:space="preserve"> PAGEREF _Toc256000766 \h </w:instrText>
        </w:r>
        <w:r w:rsidR="00B16CCF">
          <w:fldChar w:fldCharType="separate"/>
        </w:r>
        <w:r w:rsidR="00B16CCF">
          <w:t>72</w:t>
        </w:r>
        <w:r w:rsidR="00B16CCF">
          <w:fldChar w:fldCharType="end"/>
        </w:r>
      </w:hyperlink>
    </w:p>
    <w:p w14:paraId="2FD88165" w14:textId="77777777" w:rsidR="00823317" w:rsidRDefault="001D0AD2">
      <w:pPr>
        <w:pStyle w:val="Kazalovsebine4"/>
        <w:tabs>
          <w:tab w:val="end" w:leader="dot" w:pos="512pt"/>
        </w:tabs>
        <w:rPr>
          <w:rFonts w:ascii="Calibri" w:hAnsi="Calibri"/>
          <w:sz w:val="22"/>
        </w:rPr>
      </w:pPr>
      <w:hyperlink w:anchor="_Toc256000767" w:history="1">
        <w:r w:rsidR="00A77B3E">
          <w:rPr>
            <w:rStyle w:val="Hiperpovezava"/>
          </w:rPr>
          <w:t>2.1.1.1.1. Ukrepi skladov</w:t>
        </w:r>
        <w:r w:rsidR="00B16CCF">
          <w:tab/>
        </w:r>
        <w:r w:rsidR="00B16CCF">
          <w:fldChar w:fldCharType="begin"/>
        </w:r>
        <w:r w:rsidR="00B16CCF">
          <w:instrText xml:space="preserve"> PAGEREF _Toc256000767 \h </w:instrText>
        </w:r>
        <w:r w:rsidR="00B16CCF">
          <w:fldChar w:fldCharType="separate"/>
        </w:r>
        <w:r w:rsidR="00B16CCF">
          <w:t>72</w:t>
        </w:r>
        <w:r w:rsidR="00B16CCF">
          <w:fldChar w:fldCharType="end"/>
        </w:r>
      </w:hyperlink>
    </w:p>
    <w:p w14:paraId="1FE8C0E2" w14:textId="77777777" w:rsidR="00823317" w:rsidRDefault="001D0AD2">
      <w:pPr>
        <w:pStyle w:val="Kazalovsebine5"/>
        <w:tabs>
          <w:tab w:val="end" w:leader="dot" w:pos="512pt"/>
        </w:tabs>
        <w:rPr>
          <w:rFonts w:ascii="Calibri" w:hAnsi="Calibri"/>
          <w:sz w:val="22"/>
        </w:rPr>
      </w:pPr>
      <w:hyperlink w:anchor="_Toc256000768" w:history="1">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_Toc256000768 \h </w:instrText>
        </w:r>
        <w:r w:rsidR="00B16CCF">
          <w:fldChar w:fldCharType="separate"/>
        </w:r>
        <w:r w:rsidR="00B16CCF">
          <w:t>72</w:t>
        </w:r>
        <w:r w:rsidR="00B16CCF">
          <w:fldChar w:fldCharType="end"/>
        </w:r>
      </w:hyperlink>
    </w:p>
    <w:p w14:paraId="3F3C52A0" w14:textId="77777777" w:rsidR="00823317" w:rsidRDefault="001D0AD2">
      <w:pPr>
        <w:pStyle w:val="Kazalovsebine5"/>
        <w:tabs>
          <w:tab w:val="end" w:leader="dot" w:pos="512pt"/>
        </w:tabs>
        <w:rPr>
          <w:rFonts w:ascii="Calibri" w:hAnsi="Calibri"/>
          <w:sz w:val="22"/>
        </w:rPr>
      </w:pPr>
      <w:hyperlink w:anchor="_Toc256000769" w:history="1">
        <w:r w:rsidR="00A77B3E">
          <w:rPr>
            <w:rStyle w:val="Hiperpovezava"/>
          </w:rPr>
          <w:t>Glavne ciljne skupine – člen 22(3)(d)(iii) uredbe o skupnih določbah:</w:t>
        </w:r>
        <w:r w:rsidR="00B16CCF">
          <w:tab/>
        </w:r>
        <w:r w:rsidR="00B16CCF">
          <w:fldChar w:fldCharType="begin"/>
        </w:r>
        <w:r w:rsidR="00B16CCF">
          <w:instrText xml:space="preserve"> PAGEREF _Toc256000769 \h </w:instrText>
        </w:r>
        <w:r w:rsidR="00B16CCF">
          <w:fldChar w:fldCharType="separate"/>
        </w:r>
        <w:r w:rsidR="00B16CCF">
          <w:t>75</w:t>
        </w:r>
        <w:r w:rsidR="00B16CCF">
          <w:fldChar w:fldCharType="end"/>
        </w:r>
      </w:hyperlink>
    </w:p>
    <w:p w14:paraId="083AAAA1" w14:textId="77777777" w:rsidR="00823317" w:rsidRDefault="001D0AD2">
      <w:pPr>
        <w:pStyle w:val="Kazalovsebine5"/>
        <w:tabs>
          <w:tab w:val="end" w:leader="dot" w:pos="512pt"/>
        </w:tabs>
        <w:rPr>
          <w:rFonts w:ascii="Calibri" w:hAnsi="Calibri"/>
          <w:sz w:val="22"/>
        </w:rPr>
      </w:pPr>
      <w:hyperlink w:anchor="_Toc256000770" w:history="1">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_Toc256000770 \h </w:instrText>
        </w:r>
        <w:r w:rsidR="00B16CCF">
          <w:fldChar w:fldCharType="separate"/>
        </w:r>
        <w:r w:rsidR="00B16CCF">
          <w:t>75</w:t>
        </w:r>
        <w:r w:rsidR="00B16CCF">
          <w:fldChar w:fldCharType="end"/>
        </w:r>
      </w:hyperlink>
    </w:p>
    <w:p w14:paraId="4DB0A88C" w14:textId="77777777" w:rsidR="00823317" w:rsidRDefault="001D0AD2">
      <w:pPr>
        <w:pStyle w:val="Kazalovsebine5"/>
        <w:tabs>
          <w:tab w:val="end" w:leader="dot" w:pos="512pt"/>
        </w:tabs>
        <w:rPr>
          <w:rFonts w:ascii="Calibri" w:hAnsi="Calibri"/>
          <w:sz w:val="22"/>
        </w:rPr>
      </w:pPr>
      <w:hyperlink w:anchor="_Toc256000771" w:history="1">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_Toc256000771 \h </w:instrText>
        </w:r>
        <w:r w:rsidR="00B16CCF">
          <w:fldChar w:fldCharType="separate"/>
        </w:r>
        <w:r w:rsidR="00B16CCF">
          <w:t>75</w:t>
        </w:r>
        <w:r w:rsidR="00B16CCF">
          <w:fldChar w:fldCharType="end"/>
        </w:r>
      </w:hyperlink>
    </w:p>
    <w:p w14:paraId="0D3ED655" w14:textId="77777777" w:rsidR="00823317" w:rsidRDefault="001D0AD2">
      <w:pPr>
        <w:pStyle w:val="Kazalovsebine5"/>
        <w:tabs>
          <w:tab w:val="end" w:leader="dot" w:pos="512pt"/>
        </w:tabs>
        <w:rPr>
          <w:rFonts w:ascii="Calibri" w:hAnsi="Calibri"/>
          <w:sz w:val="22"/>
        </w:rPr>
      </w:pPr>
      <w:hyperlink w:anchor="_Toc256000772" w:history="1">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_Toc256000772 \h </w:instrText>
        </w:r>
        <w:r w:rsidR="00B16CCF">
          <w:fldChar w:fldCharType="separate"/>
        </w:r>
        <w:r w:rsidR="00B16CCF">
          <w:t>76</w:t>
        </w:r>
        <w:r w:rsidR="00B16CCF">
          <w:fldChar w:fldCharType="end"/>
        </w:r>
      </w:hyperlink>
    </w:p>
    <w:p w14:paraId="3EB13BB1" w14:textId="77777777" w:rsidR="00823317" w:rsidRDefault="001D0AD2">
      <w:pPr>
        <w:pStyle w:val="Kazalovsebine5"/>
        <w:tabs>
          <w:tab w:val="end" w:leader="dot" w:pos="512pt"/>
        </w:tabs>
        <w:rPr>
          <w:rFonts w:ascii="Calibri" w:hAnsi="Calibri"/>
          <w:sz w:val="22"/>
        </w:rPr>
      </w:pPr>
      <w:hyperlink w:anchor="_Toc256000773" w:history="1">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_Toc256000773 \h </w:instrText>
        </w:r>
        <w:r w:rsidR="00B16CCF">
          <w:fldChar w:fldCharType="separate"/>
        </w:r>
        <w:r w:rsidR="00B16CCF">
          <w:t>76</w:t>
        </w:r>
        <w:r w:rsidR="00B16CCF">
          <w:fldChar w:fldCharType="end"/>
        </w:r>
      </w:hyperlink>
    </w:p>
    <w:p w14:paraId="304BD3B6" w14:textId="77777777" w:rsidR="00823317" w:rsidRDefault="001D0AD2">
      <w:pPr>
        <w:pStyle w:val="Kazalovsebine4"/>
        <w:tabs>
          <w:tab w:val="end" w:leader="dot" w:pos="512pt"/>
        </w:tabs>
        <w:rPr>
          <w:rFonts w:ascii="Calibri" w:hAnsi="Calibri"/>
          <w:sz w:val="22"/>
        </w:rPr>
      </w:pPr>
      <w:hyperlink w:anchor="_Toc256000774" w:history="1">
        <w:r w:rsidR="00A77B3E">
          <w:rPr>
            <w:rStyle w:val="Hiperpovezava"/>
          </w:rPr>
          <w:t>2.1.1.1.2. Kazalniki</w:t>
        </w:r>
        <w:r w:rsidR="00B16CCF">
          <w:tab/>
        </w:r>
        <w:r w:rsidR="00B16CCF">
          <w:fldChar w:fldCharType="begin"/>
        </w:r>
        <w:r w:rsidR="00B16CCF">
          <w:instrText xml:space="preserve"> PAGEREF _Toc256000774 \h </w:instrText>
        </w:r>
        <w:r w:rsidR="00B16CCF">
          <w:fldChar w:fldCharType="separate"/>
        </w:r>
        <w:r w:rsidR="00B16CCF">
          <w:t>77</w:t>
        </w:r>
        <w:r w:rsidR="00B16CCF">
          <w:fldChar w:fldCharType="end"/>
        </w:r>
      </w:hyperlink>
    </w:p>
    <w:p w14:paraId="6805C1DC" w14:textId="77777777" w:rsidR="00823317" w:rsidRDefault="001D0AD2">
      <w:pPr>
        <w:pStyle w:val="Kazalovsebine5"/>
        <w:tabs>
          <w:tab w:val="end" w:leader="dot" w:pos="512pt"/>
        </w:tabs>
        <w:rPr>
          <w:rFonts w:ascii="Calibri" w:hAnsi="Calibri"/>
          <w:sz w:val="22"/>
        </w:rPr>
      </w:pPr>
      <w:hyperlink w:anchor="_Toc256000775" w:history="1">
        <w:r w:rsidR="00A77B3E">
          <w:rPr>
            <w:rStyle w:val="Hiperpovezava"/>
          </w:rPr>
          <w:t>Tabela 2: Kazalniki učinka</w:t>
        </w:r>
        <w:r w:rsidR="00B16CCF">
          <w:tab/>
        </w:r>
        <w:r w:rsidR="00B16CCF">
          <w:fldChar w:fldCharType="begin"/>
        </w:r>
        <w:r w:rsidR="00B16CCF">
          <w:instrText xml:space="preserve"> PAGEREF _Toc256000775 \h </w:instrText>
        </w:r>
        <w:r w:rsidR="00B16CCF">
          <w:fldChar w:fldCharType="separate"/>
        </w:r>
        <w:r w:rsidR="00B16CCF">
          <w:t>77</w:t>
        </w:r>
        <w:r w:rsidR="00B16CCF">
          <w:fldChar w:fldCharType="end"/>
        </w:r>
      </w:hyperlink>
    </w:p>
    <w:p w14:paraId="3FEAFF78" w14:textId="77777777" w:rsidR="00823317" w:rsidRDefault="001D0AD2">
      <w:pPr>
        <w:pStyle w:val="Kazalovsebine5"/>
        <w:tabs>
          <w:tab w:val="end" w:leader="dot" w:pos="512pt"/>
        </w:tabs>
        <w:rPr>
          <w:rFonts w:ascii="Calibri" w:hAnsi="Calibri"/>
          <w:sz w:val="22"/>
        </w:rPr>
      </w:pPr>
      <w:hyperlink w:anchor="_Toc256000776" w:history="1">
        <w:r w:rsidR="00A77B3E">
          <w:rPr>
            <w:rStyle w:val="Hiperpovezava"/>
          </w:rPr>
          <w:t>Tabela 3: Kazalniki rezultatov</w:t>
        </w:r>
        <w:r w:rsidR="00B16CCF">
          <w:tab/>
        </w:r>
        <w:r w:rsidR="00B16CCF">
          <w:fldChar w:fldCharType="begin"/>
        </w:r>
        <w:r w:rsidR="00B16CCF">
          <w:instrText xml:space="preserve"> PAGEREF _Toc256000776 \h </w:instrText>
        </w:r>
        <w:r w:rsidR="00B16CCF">
          <w:fldChar w:fldCharType="separate"/>
        </w:r>
        <w:r w:rsidR="00B16CCF">
          <w:t>78</w:t>
        </w:r>
        <w:r w:rsidR="00B16CCF">
          <w:fldChar w:fldCharType="end"/>
        </w:r>
      </w:hyperlink>
    </w:p>
    <w:p w14:paraId="355783AC" w14:textId="77777777" w:rsidR="00823317" w:rsidRDefault="001D0AD2">
      <w:pPr>
        <w:pStyle w:val="Kazalovsebine4"/>
        <w:tabs>
          <w:tab w:val="end" w:leader="dot" w:pos="512pt"/>
        </w:tabs>
        <w:rPr>
          <w:rFonts w:ascii="Calibri" w:hAnsi="Calibri"/>
          <w:sz w:val="22"/>
        </w:rPr>
      </w:pPr>
      <w:hyperlink w:anchor="_Toc256000777" w:history="1">
        <w:r w:rsidR="00A77B3E">
          <w:rPr>
            <w:rStyle w:val="Hiperpovezava"/>
          </w:rPr>
          <w:t>2.1.1.1.3. Okvirna razčlenitev načrtovanih sredstev (EU) glede na vrsto ukrepa</w:t>
        </w:r>
        <w:r w:rsidR="00B16CCF">
          <w:tab/>
        </w:r>
        <w:r w:rsidR="00B16CCF">
          <w:fldChar w:fldCharType="begin"/>
        </w:r>
        <w:r w:rsidR="00B16CCF">
          <w:instrText xml:space="preserve"> PAGEREF _Toc256000777 \h </w:instrText>
        </w:r>
        <w:r w:rsidR="00B16CCF">
          <w:fldChar w:fldCharType="separate"/>
        </w:r>
        <w:r w:rsidR="00B16CCF">
          <w:t>79</w:t>
        </w:r>
        <w:r w:rsidR="00B16CCF">
          <w:fldChar w:fldCharType="end"/>
        </w:r>
      </w:hyperlink>
    </w:p>
    <w:p w14:paraId="79633898" w14:textId="77777777" w:rsidR="00823317" w:rsidRDefault="001D0AD2">
      <w:pPr>
        <w:pStyle w:val="Kazalovsebine5"/>
        <w:tabs>
          <w:tab w:val="end" w:leader="dot" w:pos="512pt"/>
        </w:tabs>
        <w:rPr>
          <w:rFonts w:ascii="Calibri" w:hAnsi="Calibri"/>
          <w:sz w:val="22"/>
        </w:rPr>
      </w:pPr>
      <w:hyperlink w:anchor="_Toc256000778" w:history="1">
        <w:r w:rsidR="00A77B3E">
          <w:rPr>
            <w:rStyle w:val="Hiperpovezava"/>
          </w:rPr>
          <w:t>Tabela 4: Razsežnost 1 – področje ukrepanja</w:t>
        </w:r>
        <w:r w:rsidR="00B16CCF">
          <w:tab/>
        </w:r>
        <w:r w:rsidR="00B16CCF">
          <w:fldChar w:fldCharType="begin"/>
        </w:r>
        <w:r w:rsidR="00B16CCF">
          <w:instrText xml:space="preserve"> PAGEREF _Toc256000778 \h </w:instrText>
        </w:r>
        <w:r w:rsidR="00B16CCF">
          <w:fldChar w:fldCharType="separate"/>
        </w:r>
        <w:r w:rsidR="00B16CCF">
          <w:t>79</w:t>
        </w:r>
        <w:r w:rsidR="00B16CCF">
          <w:fldChar w:fldCharType="end"/>
        </w:r>
      </w:hyperlink>
    </w:p>
    <w:p w14:paraId="6E7F1AA0" w14:textId="77777777" w:rsidR="00823317" w:rsidRDefault="001D0AD2">
      <w:pPr>
        <w:pStyle w:val="Kazalovsebine5"/>
        <w:tabs>
          <w:tab w:val="end" w:leader="dot" w:pos="512pt"/>
        </w:tabs>
        <w:rPr>
          <w:rFonts w:ascii="Calibri" w:hAnsi="Calibri"/>
          <w:sz w:val="22"/>
        </w:rPr>
      </w:pPr>
      <w:hyperlink w:anchor="_Toc256000779" w:history="1">
        <w:r w:rsidR="00A77B3E">
          <w:rPr>
            <w:rStyle w:val="Hiperpovezava"/>
          </w:rPr>
          <w:t>Tabela 5: Razsežnost 2 – oblika financiranja</w:t>
        </w:r>
        <w:r w:rsidR="00B16CCF">
          <w:tab/>
        </w:r>
        <w:r w:rsidR="00B16CCF">
          <w:fldChar w:fldCharType="begin"/>
        </w:r>
        <w:r w:rsidR="00B16CCF">
          <w:instrText xml:space="preserve"> PAGEREF _Toc256000779 \h </w:instrText>
        </w:r>
        <w:r w:rsidR="00B16CCF">
          <w:fldChar w:fldCharType="separate"/>
        </w:r>
        <w:r w:rsidR="00B16CCF">
          <w:t>80</w:t>
        </w:r>
        <w:r w:rsidR="00B16CCF">
          <w:fldChar w:fldCharType="end"/>
        </w:r>
      </w:hyperlink>
    </w:p>
    <w:p w14:paraId="1D2D4C43" w14:textId="77777777" w:rsidR="00823317" w:rsidRDefault="001D0AD2">
      <w:pPr>
        <w:pStyle w:val="Kazalovsebine5"/>
        <w:tabs>
          <w:tab w:val="end" w:leader="dot" w:pos="512pt"/>
        </w:tabs>
        <w:rPr>
          <w:rFonts w:ascii="Calibri" w:hAnsi="Calibri"/>
          <w:sz w:val="22"/>
        </w:rPr>
      </w:pPr>
      <w:hyperlink w:anchor="_Toc256000780" w:history="1">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_Toc256000780 \h </w:instrText>
        </w:r>
        <w:r w:rsidR="00B16CCF">
          <w:fldChar w:fldCharType="separate"/>
        </w:r>
        <w:r w:rsidR="00B16CCF">
          <w:t>81</w:t>
        </w:r>
        <w:r w:rsidR="00B16CCF">
          <w:fldChar w:fldCharType="end"/>
        </w:r>
      </w:hyperlink>
    </w:p>
    <w:p w14:paraId="6DD35B9D" w14:textId="77777777" w:rsidR="00823317" w:rsidRDefault="001D0AD2">
      <w:pPr>
        <w:pStyle w:val="Kazalovsebine5"/>
        <w:tabs>
          <w:tab w:val="end" w:leader="dot" w:pos="512pt"/>
        </w:tabs>
        <w:rPr>
          <w:rFonts w:ascii="Calibri" w:hAnsi="Calibri"/>
          <w:sz w:val="22"/>
        </w:rPr>
      </w:pPr>
      <w:hyperlink w:anchor="_Toc256000781" w:history="1">
        <w:r w:rsidR="00A77B3E">
          <w:rPr>
            <w:rStyle w:val="Hiperpovezava"/>
          </w:rPr>
          <w:t>Tabela 7: Razsežnost 6 – sekundarna področja ESS+</w:t>
        </w:r>
        <w:r w:rsidR="00B16CCF">
          <w:tab/>
        </w:r>
        <w:r w:rsidR="00B16CCF">
          <w:fldChar w:fldCharType="begin"/>
        </w:r>
        <w:r w:rsidR="00B16CCF">
          <w:instrText xml:space="preserve"> PAGEREF _Toc256000781 \h </w:instrText>
        </w:r>
        <w:r w:rsidR="00B16CCF">
          <w:fldChar w:fldCharType="separate"/>
        </w:r>
        <w:r w:rsidR="00B16CCF">
          <w:t>81</w:t>
        </w:r>
        <w:r w:rsidR="00B16CCF">
          <w:fldChar w:fldCharType="end"/>
        </w:r>
      </w:hyperlink>
    </w:p>
    <w:p w14:paraId="606E757E" w14:textId="77777777" w:rsidR="00823317" w:rsidRDefault="001D0AD2">
      <w:pPr>
        <w:pStyle w:val="Kazalovsebine5"/>
        <w:tabs>
          <w:tab w:val="end" w:leader="dot" w:pos="512pt"/>
        </w:tabs>
        <w:rPr>
          <w:rFonts w:ascii="Calibri" w:hAnsi="Calibri"/>
          <w:sz w:val="22"/>
        </w:rPr>
      </w:pPr>
      <w:hyperlink w:anchor="_Toc256000782" w:history="1">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_Toc256000782 \h </w:instrText>
        </w:r>
        <w:r w:rsidR="00B16CCF">
          <w:fldChar w:fldCharType="separate"/>
        </w:r>
        <w:r w:rsidR="00B16CCF">
          <w:t>81</w:t>
        </w:r>
        <w:r w:rsidR="00B16CCF">
          <w:fldChar w:fldCharType="end"/>
        </w:r>
      </w:hyperlink>
    </w:p>
    <w:p w14:paraId="089E4C80" w14:textId="77777777" w:rsidR="00823317" w:rsidRDefault="001D0AD2">
      <w:pPr>
        <w:pStyle w:val="Kazalovsebine4"/>
        <w:tabs>
          <w:tab w:val="end" w:leader="dot" w:pos="512pt"/>
        </w:tabs>
        <w:rPr>
          <w:rFonts w:ascii="Calibri" w:hAnsi="Calibri"/>
          <w:sz w:val="22"/>
        </w:rPr>
      </w:pPr>
      <w:hyperlink w:anchor="_Toc256000783" w:history="1">
        <w:r w:rsidR="00A77B3E">
          <w:rPr>
            <w:rStyle w:val="Hiperpovezava"/>
          </w:rPr>
          <w:t>2.1.1.1. Specifični cilj: RSO1.2. Izkoriščanje prednosti digitalizacije za državljane, podjetja, raziskovalne organizacije in javne organe (ESRR)</w:t>
        </w:r>
        <w:r w:rsidR="00B16CCF">
          <w:tab/>
        </w:r>
        <w:r w:rsidR="00B16CCF">
          <w:fldChar w:fldCharType="begin"/>
        </w:r>
        <w:r w:rsidR="00B16CCF">
          <w:instrText xml:space="preserve"> PAGEREF _Toc256000783 \h </w:instrText>
        </w:r>
        <w:r w:rsidR="00B16CCF">
          <w:fldChar w:fldCharType="separate"/>
        </w:r>
        <w:r w:rsidR="00B16CCF">
          <w:t>82</w:t>
        </w:r>
        <w:r w:rsidR="00B16CCF">
          <w:fldChar w:fldCharType="end"/>
        </w:r>
      </w:hyperlink>
    </w:p>
    <w:p w14:paraId="3BE9894A" w14:textId="77777777" w:rsidR="00823317" w:rsidRDefault="001D0AD2">
      <w:pPr>
        <w:pStyle w:val="Kazalovsebine4"/>
        <w:tabs>
          <w:tab w:val="end" w:leader="dot" w:pos="512pt"/>
        </w:tabs>
        <w:rPr>
          <w:rFonts w:ascii="Calibri" w:hAnsi="Calibri"/>
          <w:sz w:val="22"/>
        </w:rPr>
      </w:pPr>
      <w:hyperlink w:anchor="_Toc256000784" w:history="1">
        <w:r w:rsidR="00A77B3E">
          <w:rPr>
            <w:rStyle w:val="Hiperpovezava"/>
          </w:rPr>
          <w:t>2.1.1.1.1. Ukrepi skladov</w:t>
        </w:r>
        <w:r w:rsidR="00B16CCF">
          <w:tab/>
        </w:r>
        <w:r w:rsidR="00B16CCF">
          <w:fldChar w:fldCharType="begin"/>
        </w:r>
        <w:r w:rsidR="00B16CCF">
          <w:instrText xml:space="preserve"> PAGEREF _Toc256000784 \h </w:instrText>
        </w:r>
        <w:r w:rsidR="00B16CCF">
          <w:fldChar w:fldCharType="separate"/>
        </w:r>
        <w:r w:rsidR="00B16CCF">
          <w:t>82</w:t>
        </w:r>
        <w:r w:rsidR="00B16CCF">
          <w:fldChar w:fldCharType="end"/>
        </w:r>
      </w:hyperlink>
    </w:p>
    <w:p w14:paraId="0944BDF8" w14:textId="77777777" w:rsidR="00823317" w:rsidRDefault="001D0AD2">
      <w:pPr>
        <w:pStyle w:val="Kazalovsebine5"/>
        <w:tabs>
          <w:tab w:val="end" w:leader="dot" w:pos="512pt"/>
        </w:tabs>
        <w:rPr>
          <w:rFonts w:ascii="Calibri" w:hAnsi="Calibri"/>
          <w:sz w:val="22"/>
        </w:rPr>
      </w:pPr>
      <w:hyperlink w:anchor="_Toc256000785" w:history="1">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_Toc256000785 \h </w:instrText>
        </w:r>
        <w:r w:rsidR="00B16CCF">
          <w:fldChar w:fldCharType="separate"/>
        </w:r>
        <w:r w:rsidR="00B16CCF">
          <w:t>82</w:t>
        </w:r>
        <w:r w:rsidR="00B16CCF">
          <w:fldChar w:fldCharType="end"/>
        </w:r>
      </w:hyperlink>
    </w:p>
    <w:p w14:paraId="2D387DA8" w14:textId="77777777" w:rsidR="00823317" w:rsidRDefault="001D0AD2">
      <w:pPr>
        <w:pStyle w:val="Kazalovsebine5"/>
        <w:tabs>
          <w:tab w:val="end" w:leader="dot" w:pos="512pt"/>
        </w:tabs>
        <w:rPr>
          <w:rFonts w:ascii="Calibri" w:hAnsi="Calibri"/>
          <w:sz w:val="22"/>
        </w:rPr>
      </w:pPr>
      <w:hyperlink w:anchor="_Toc256000786" w:history="1">
        <w:r w:rsidR="00A77B3E">
          <w:rPr>
            <w:rStyle w:val="Hiperpovezava"/>
          </w:rPr>
          <w:t>Glavne ciljne skupine – člen 22(3)(d)(iii) uredbe o skupnih določbah:</w:t>
        </w:r>
        <w:r w:rsidR="00B16CCF">
          <w:tab/>
        </w:r>
        <w:r w:rsidR="00B16CCF">
          <w:fldChar w:fldCharType="begin"/>
        </w:r>
        <w:r w:rsidR="00B16CCF">
          <w:instrText xml:space="preserve"> PAGEREF _Toc256000786 \h </w:instrText>
        </w:r>
        <w:r w:rsidR="00B16CCF">
          <w:fldChar w:fldCharType="separate"/>
        </w:r>
        <w:r w:rsidR="00B16CCF">
          <w:t>85</w:t>
        </w:r>
        <w:r w:rsidR="00B16CCF">
          <w:fldChar w:fldCharType="end"/>
        </w:r>
      </w:hyperlink>
    </w:p>
    <w:p w14:paraId="6B395019" w14:textId="77777777" w:rsidR="00823317" w:rsidRDefault="001D0AD2">
      <w:pPr>
        <w:pStyle w:val="Kazalovsebine5"/>
        <w:tabs>
          <w:tab w:val="end" w:leader="dot" w:pos="512pt"/>
        </w:tabs>
        <w:rPr>
          <w:rFonts w:ascii="Calibri" w:hAnsi="Calibri"/>
          <w:sz w:val="22"/>
        </w:rPr>
      </w:pPr>
      <w:hyperlink w:anchor="_Toc256000787" w:history="1">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_Toc256000787 \h </w:instrText>
        </w:r>
        <w:r w:rsidR="00B16CCF">
          <w:fldChar w:fldCharType="separate"/>
        </w:r>
        <w:r w:rsidR="00B16CCF">
          <w:t>85</w:t>
        </w:r>
        <w:r w:rsidR="00B16CCF">
          <w:fldChar w:fldCharType="end"/>
        </w:r>
      </w:hyperlink>
    </w:p>
    <w:p w14:paraId="10C2C685" w14:textId="77777777" w:rsidR="00823317" w:rsidRDefault="001D0AD2">
      <w:pPr>
        <w:pStyle w:val="Kazalovsebine5"/>
        <w:tabs>
          <w:tab w:val="end" w:leader="dot" w:pos="512pt"/>
        </w:tabs>
        <w:rPr>
          <w:rFonts w:ascii="Calibri" w:hAnsi="Calibri"/>
          <w:sz w:val="22"/>
        </w:rPr>
      </w:pPr>
      <w:hyperlink w:anchor="_Toc256000788" w:history="1">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_Toc256000788 \h </w:instrText>
        </w:r>
        <w:r w:rsidR="00B16CCF">
          <w:fldChar w:fldCharType="separate"/>
        </w:r>
        <w:r w:rsidR="00B16CCF">
          <w:t>85</w:t>
        </w:r>
        <w:r w:rsidR="00B16CCF">
          <w:fldChar w:fldCharType="end"/>
        </w:r>
      </w:hyperlink>
    </w:p>
    <w:p w14:paraId="1B46A47A" w14:textId="77777777" w:rsidR="00823317" w:rsidRDefault="001D0AD2">
      <w:pPr>
        <w:pStyle w:val="Kazalovsebine5"/>
        <w:tabs>
          <w:tab w:val="end" w:leader="dot" w:pos="512pt"/>
        </w:tabs>
        <w:rPr>
          <w:rFonts w:ascii="Calibri" w:hAnsi="Calibri"/>
          <w:sz w:val="22"/>
        </w:rPr>
      </w:pPr>
      <w:hyperlink w:anchor="_Toc256000789" w:history="1">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_Toc256000789 \h </w:instrText>
        </w:r>
        <w:r w:rsidR="00B16CCF">
          <w:fldChar w:fldCharType="separate"/>
        </w:r>
        <w:r w:rsidR="00B16CCF">
          <w:t>86</w:t>
        </w:r>
        <w:r w:rsidR="00B16CCF">
          <w:fldChar w:fldCharType="end"/>
        </w:r>
      </w:hyperlink>
    </w:p>
    <w:p w14:paraId="00208CBA" w14:textId="77777777" w:rsidR="00823317" w:rsidRDefault="001D0AD2">
      <w:pPr>
        <w:pStyle w:val="Kazalovsebine5"/>
        <w:tabs>
          <w:tab w:val="end" w:leader="dot" w:pos="512pt"/>
        </w:tabs>
        <w:rPr>
          <w:rFonts w:ascii="Calibri" w:hAnsi="Calibri"/>
          <w:sz w:val="22"/>
        </w:rPr>
      </w:pPr>
      <w:hyperlink w:anchor="_Toc256000790" w:history="1">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_Toc256000790 \h </w:instrText>
        </w:r>
        <w:r w:rsidR="00B16CCF">
          <w:fldChar w:fldCharType="separate"/>
        </w:r>
        <w:r w:rsidR="00B16CCF">
          <w:t>86</w:t>
        </w:r>
        <w:r w:rsidR="00B16CCF">
          <w:fldChar w:fldCharType="end"/>
        </w:r>
      </w:hyperlink>
    </w:p>
    <w:p w14:paraId="7BC37C15" w14:textId="77777777" w:rsidR="00823317" w:rsidRDefault="001D0AD2">
      <w:pPr>
        <w:pStyle w:val="Kazalovsebine4"/>
        <w:tabs>
          <w:tab w:val="end" w:leader="dot" w:pos="512pt"/>
        </w:tabs>
        <w:rPr>
          <w:rFonts w:ascii="Calibri" w:hAnsi="Calibri"/>
          <w:sz w:val="22"/>
        </w:rPr>
      </w:pPr>
      <w:hyperlink w:anchor="_Toc256000791" w:history="1">
        <w:r w:rsidR="00A77B3E">
          <w:rPr>
            <w:rStyle w:val="Hiperpovezava"/>
          </w:rPr>
          <w:t>2.1.1.1.2. Kazalniki</w:t>
        </w:r>
        <w:r w:rsidR="00B16CCF">
          <w:tab/>
        </w:r>
        <w:r w:rsidR="00B16CCF">
          <w:fldChar w:fldCharType="begin"/>
        </w:r>
        <w:r w:rsidR="00B16CCF">
          <w:instrText xml:space="preserve"> PAGEREF _Toc256000791 \h </w:instrText>
        </w:r>
        <w:r w:rsidR="00B16CCF">
          <w:fldChar w:fldCharType="separate"/>
        </w:r>
        <w:r w:rsidR="00B16CCF">
          <w:t>86</w:t>
        </w:r>
        <w:r w:rsidR="00B16CCF">
          <w:fldChar w:fldCharType="end"/>
        </w:r>
      </w:hyperlink>
    </w:p>
    <w:p w14:paraId="157C1A88" w14:textId="77777777" w:rsidR="00823317" w:rsidRDefault="001D0AD2">
      <w:pPr>
        <w:pStyle w:val="Kazalovsebine5"/>
        <w:tabs>
          <w:tab w:val="end" w:leader="dot" w:pos="512pt"/>
        </w:tabs>
        <w:rPr>
          <w:rFonts w:ascii="Calibri" w:hAnsi="Calibri"/>
          <w:sz w:val="22"/>
        </w:rPr>
      </w:pPr>
      <w:hyperlink w:anchor="_Toc256000792" w:history="1">
        <w:r w:rsidR="00A77B3E">
          <w:rPr>
            <w:rStyle w:val="Hiperpovezava"/>
          </w:rPr>
          <w:t>Tabela 2: Kazalniki učinka</w:t>
        </w:r>
        <w:r w:rsidR="00B16CCF">
          <w:tab/>
        </w:r>
        <w:r w:rsidR="00B16CCF">
          <w:fldChar w:fldCharType="begin"/>
        </w:r>
        <w:r w:rsidR="00B16CCF">
          <w:instrText xml:space="preserve"> PAGEREF _Toc256000792 \h </w:instrText>
        </w:r>
        <w:r w:rsidR="00B16CCF">
          <w:fldChar w:fldCharType="separate"/>
        </w:r>
        <w:r w:rsidR="00B16CCF">
          <w:t>86</w:t>
        </w:r>
        <w:r w:rsidR="00B16CCF">
          <w:fldChar w:fldCharType="end"/>
        </w:r>
      </w:hyperlink>
    </w:p>
    <w:p w14:paraId="5512A0A8" w14:textId="77777777" w:rsidR="00823317" w:rsidRDefault="001D0AD2">
      <w:pPr>
        <w:pStyle w:val="Kazalovsebine5"/>
        <w:tabs>
          <w:tab w:val="end" w:leader="dot" w:pos="512pt"/>
        </w:tabs>
        <w:rPr>
          <w:rFonts w:ascii="Calibri" w:hAnsi="Calibri"/>
          <w:sz w:val="22"/>
        </w:rPr>
      </w:pPr>
      <w:hyperlink w:anchor="_Toc256000793" w:history="1">
        <w:r w:rsidR="00A77B3E">
          <w:rPr>
            <w:rStyle w:val="Hiperpovezava"/>
          </w:rPr>
          <w:t>Tabela 3: Kazalniki rezultatov</w:t>
        </w:r>
        <w:r w:rsidR="00B16CCF">
          <w:tab/>
        </w:r>
        <w:r w:rsidR="00B16CCF">
          <w:fldChar w:fldCharType="begin"/>
        </w:r>
        <w:r w:rsidR="00B16CCF">
          <w:instrText xml:space="preserve"> PAGEREF _Toc256000793 \h </w:instrText>
        </w:r>
        <w:r w:rsidR="00B16CCF">
          <w:fldChar w:fldCharType="separate"/>
        </w:r>
        <w:r w:rsidR="00B16CCF">
          <w:t>87</w:t>
        </w:r>
        <w:r w:rsidR="00B16CCF">
          <w:fldChar w:fldCharType="end"/>
        </w:r>
      </w:hyperlink>
    </w:p>
    <w:p w14:paraId="46AA3149" w14:textId="77777777" w:rsidR="00823317" w:rsidRDefault="001D0AD2">
      <w:pPr>
        <w:pStyle w:val="Kazalovsebine4"/>
        <w:tabs>
          <w:tab w:val="end" w:leader="dot" w:pos="512pt"/>
        </w:tabs>
        <w:rPr>
          <w:rFonts w:ascii="Calibri" w:hAnsi="Calibri"/>
          <w:sz w:val="22"/>
        </w:rPr>
      </w:pPr>
      <w:hyperlink w:anchor="_Toc256000794" w:history="1">
        <w:r w:rsidR="00A77B3E">
          <w:rPr>
            <w:rStyle w:val="Hiperpovezava"/>
          </w:rPr>
          <w:t>2.1.1.1.3. Okvirna razčlenitev načrtovanih sredstev (EU) glede na vrsto ukrepa</w:t>
        </w:r>
        <w:r w:rsidR="00B16CCF">
          <w:tab/>
        </w:r>
        <w:r w:rsidR="00B16CCF">
          <w:fldChar w:fldCharType="begin"/>
        </w:r>
        <w:r w:rsidR="00B16CCF">
          <w:instrText xml:space="preserve"> PAGEREF _Toc256000794 \h </w:instrText>
        </w:r>
        <w:r w:rsidR="00B16CCF">
          <w:fldChar w:fldCharType="separate"/>
        </w:r>
        <w:r w:rsidR="00B16CCF">
          <w:t>88</w:t>
        </w:r>
        <w:r w:rsidR="00B16CCF">
          <w:fldChar w:fldCharType="end"/>
        </w:r>
      </w:hyperlink>
    </w:p>
    <w:p w14:paraId="0A3198B6" w14:textId="77777777" w:rsidR="00823317" w:rsidRDefault="001D0AD2">
      <w:pPr>
        <w:pStyle w:val="Kazalovsebine5"/>
        <w:tabs>
          <w:tab w:val="end" w:leader="dot" w:pos="512pt"/>
        </w:tabs>
        <w:rPr>
          <w:rFonts w:ascii="Calibri" w:hAnsi="Calibri"/>
          <w:sz w:val="22"/>
        </w:rPr>
      </w:pPr>
      <w:hyperlink w:anchor="_Toc256000795" w:history="1">
        <w:r w:rsidR="00A77B3E">
          <w:rPr>
            <w:rStyle w:val="Hiperpovezava"/>
          </w:rPr>
          <w:t>Tabela 4: Razsežnost 1 – področje ukrepanja</w:t>
        </w:r>
        <w:r w:rsidR="00B16CCF">
          <w:tab/>
        </w:r>
        <w:r w:rsidR="00B16CCF">
          <w:fldChar w:fldCharType="begin"/>
        </w:r>
        <w:r w:rsidR="00B16CCF">
          <w:instrText xml:space="preserve"> PAGEREF _Toc256000795 \h </w:instrText>
        </w:r>
        <w:r w:rsidR="00B16CCF">
          <w:fldChar w:fldCharType="separate"/>
        </w:r>
        <w:r w:rsidR="00B16CCF">
          <w:t>88</w:t>
        </w:r>
        <w:r w:rsidR="00B16CCF">
          <w:fldChar w:fldCharType="end"/>
        </w:r>
      </w:hyperlink>
    </w:p>
    <w:p w14:paraId="2BBC33C4" w14:textId="77777777" w:rsidR="00823317" w:rsidRDefault="001D0AD2">
      <w:pPr>
        <w:pStyle w:val="Kazalovsebine5"/>
        <w:tabs>
          <w:tab w:val="end" w:leader="dot" w:pos="512pt"/>
        </w:tabs>
        <w:rPr>
          <w:rFonts w:ascii="Calibri" w:hAnsi="Calibri"/>
          <w:sz w:val="22"/>
        </w:rPr>
      </w:pPr>
      <w:hyperlink w:anchor="_Toc256000796" w:history="1">
        <w:r w:rsidR="00A77B3E">
          <w:rPr>
            <w:rStyle w:val="Hiperpovezava"/>
          </w:rPr>
          <w:t>Tabela 5: Razsežnost 2 – oblika financiranja</w:t>
        </w:r>
        <w:r w:rsidR="00B16CCF">
          <w:tab/>
        </w:r>
        <w:r w:rsidR="00B16CCF">
          <w:fldChar w:fldCharType="begin"/>
        </w:r>
        <w:r w:rsidR="00B16CCF">
          <w:instrText xml:space="preserve"> PAGEREF _Toc256000796 \h </w:instrText>
        </w:r>
        <w:r w:rsidR="00B16CCF">
          <w:fldChar w:fldCharType="separate"/>
        </w:r>
        <w:r w:rsidR="00B16CCF">
          <w:t>89</w:t>
        </w:r>
        <w:r w:rsidR="00B16CCF">
          <w:fldChar w:fldCharType="end"/>
        </w:r>
      </w:hyperlink>
    </w:p>
    <w:p w14:paraId="6E1AC223" w14:textId="77777777" w:rsidR="00823317" w:rsidRDefault="001D0AD2">
      <w:pPr>
        <w:pStyle w:val="Kazalovsebine5"/>
        <w:tabs>
          <w:tab w:val="end" w:leader="dot" w:pos="512pt"/>
        </w:tabs>
        <w:rPr>
          <w:rFonts w:ascii="Calibri" w:hAnsi="Calibri"/>
          <w:sz w:val="22"/>
        </w:rPr>
      </w:pPr>
      <w:hyperlink w:anchor="_Toc256000797" w:history="1">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_Toc256000797 \h </w:instrText>
        </w:r>
        <w:r w:rsidR="00B16CCF">
          <w:fldChar w:fldCharType="separate"/>
        </w:r>
        <w:r w:rsidR="00B16CCF">
          <w:t>89</w:t>
        </w:r>
        <w:r w:rsidR="00B16CCF">
          <w:fldChar w:fldCharType="end"/>
        </w:r>
      </w:hyperlink>
    </w:p>
    <w:p w14:paraId="1396B40D" w14:textId="77777777" w:rsidR="00823317" w:rsidRDefault="001D0AD2">
      <w:pPr>
        <w:pStyle w:val="Kazalovsebine5"/>
        <w:tabs>
          <w:tab w:val="end" w:leader="dot" w:pos="512pt"/>
        </w:tabs>
        <w:rPr>
          <w:rFonts w:ascii="Calibri" w:hAnsi="Calibri"/>
          <w:sz w:val="22"/>
        </w:rPr>
      </w:pPr>
      <w:hyperlink w:anchor="_Toc256000798" w:history="1">
        <w:r w:rsidR="00A77B3E">
          <w:rPr>
            <w:rStyle w:val="Hiperpovezava"/>
          </w:rPr>
          <w:t>Tabela 7: Razsežnost 6 – sekundarna področja ESS+</w:t>
        </w:r>
        <w:r w:rsidR="00B16CCF">
          <w:tab/>
        </w:r>
        <w:r w:rsidR="00B16CCF">
          <w:fldChar w:fldCharType="begin"/>
        </w:r>
        <w:r w:rsidR="00B16CCF">
          <w:instrText xml:space="preserve"> PAGEREF _Toc256000798 \h </w:instrText>
        </w:r>
        <w:r w:rsidR="00B16CCF">
          <w:fldChar w:fldCharType="separate"/>
        </w:r>
        <w:r w:rsidR="00B16CCF">
          <w:t>89</w:t>
        </w:r>
        <w:r w:rsidR="00B16CCF">
          <w:fldChar w:fldCharType="end"/>
        </w:r>
      </w:hyperlink>
    </w:p>
    <w:p w14:paraId="1786099A" w14:textId="77777777" w:rsidR="00823317" w:rsidRDefault="001D0AD2">
      <w:pPr>
        <w:pStyle w:val="Kazalovsebine5"/>
        <w:tabs>
          <w:tab w:val="end" w:leader="dot" w:pos="512pt"/>
        </w:tabs>
        <w:rPr>
          <w:rFonts w:ascii="Calibri" w:hAnsi="Calibri"/>
          <w:sz w:val="22"/>
        </w:rPr>
      </w:pPr>
      <w:hyperlink w:anchor="_Toc256000799" w:history="1">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_Toc256000799 \h </w:instrText>
        </w:r>
        <w:r w:rsidR="00B16CCF">
          <w:fldChar w:fldCharType="separate"/>
        </w:r>
        <w:r w:rsidR="00B16CCF">
          <w:t>89</w:t>
        </w:r>
        <w:r w:rsidR="00B16CCF">
          <w:fldChar w:fldCharType="end"/>
        </w:r>
      </w:hyperlink>
    </w:p>
    <w:p w14:paraId="0C2B193D" w14:textId="77777777" w:rsidR="00823317" w:rsidRDefault="001D0AD2">
      <w:pPr>
        <w:pStyle w:val="Kazalovsebine4"/>
        <w:tabs>
          <w:tab w:val="end" w:leader="dot" w:pos="512pt"/>
        </w:tabs>
        <w:rPr>
          <w:rFonts w:ascii="Calibri" w:hAnsi="Calibri"/>
          <w:sz w:val="22"/>
        </w:rPr>
      </w:pPr>
      <w:hyperlink w:anchor="_Toc256000800" w:history="1">
        <w:r w:rsidR="00A77B3E">
          <w:rPr>
            <w:rStyle w:val="Hiperpovezava"/>
          </w:rPr>
          <w:t>2.1.1.1. Specifični cilj: RSO1.3. Krepitev trajnostne rasti in konkurenčnosti MSP ter ustvarjanje delovnih mest v MSP, med drugim s produktivnimi naložbami (ESRR)</w:t>
        </w:r>
        <w:r w:rsidR="00B16CCF">
          <w:tab/>
        </w:r>
        <w:r w:rsidR="00B16CCF">
          <w:fldChar w:fldCharType="begin"/>
        </w:r>
        <w:r w:rsidR="00B16CCF">
          <w:instrText xml:space="preserve"> PAGEREF _Toc256000800 \h </w:instrText>
        </w:r>
        <w:r w:rsidR="00B16CCF">
          <w:fldChar w:fldCharType="separate"/>
        </w:r>
        <w:r w:rsidR="00B16CCF">
          <w:t>91</w:t>
        </w:r>
        <w:r w:rsidR="00B16CCF">
          <w:fldChar w:fldCharType="end"/>
        </w:r>
      </w:hyperlink>
    </w:p>
    <w:p w14:paraId="6C73E6CA" w14:textId="77777777" w:rsidR="00823317" w:rsidRDefault="001D0AD2">
      <w:pPr>
        <w:pStyle w:val="Kazalovsebine4"/>
        <w:tabs>
          <w:tab w:val="end" w:leader="dot" w:pos="512pt"/>
        </w:tabs>
        <w:rPr>
          <w:rFonts w:ascii="Calibri" w:hAnsi="Calibri"/>
          <w:sz w:val="22"/>
        </w:rPr>
      </w:pPr>
      <w:hyperlink w:anchor="_Toc256000801" w:history="1">
        <w:r w:rsidR="00A77B3E">
          <w:rPr>
            <w:rStyle w:val="Hiperpovezava"/>
          </w:rPr>
          <w:t>2.1.1.1.1. Ukrepi skladov</w:t>
        </w:r>
        <w:r w:rsidR="00B16CCF">
          <w:tab/>
        </w:r>
        <w:r w:rsidR="00B16CCF">
          <w:fldChar w:fldCharType="begin"/>
        </w:r>
        <w:r w:rsidR="00B16CCF">
          <w:instrText xml:space="preserve"> PAGEREF _Toc256000801 \h </w:instrText>
        </w:r>
        <w:r w:rsidR="00B16CCF">
          <w:fldChar w:fldCharType="separate"/>
        </w:r>
        <w:r w:rsidR="00B16CCF">
          <w:t>91</w:t>
        </w:r>
        <w:r w:rsidR="00B16CCF">
          <w:fldChar w:fldCharType="end"/>
        </w:r>
      </w:hyperlink>
    </w:p>
    <w:p w14:paraId="3569C4FA" w14:textId="77777777" w:rsidR="00823317" w:rsidRDefault="001D0AD2">
      <w:pPr>
        <w:pStyle w:val="Kazalovsebine5"/>
        <w:tabs>
          <w:tab w:val="end" w:leader="dot" w:pos="512pt"/>
        </w:tabs>
        <w:rPr>
          <w:rFonts w:ascii="Calibri" w:hAnsi="Calibri"/>
          <w:sz w:val="22"/>
        </w:rPr>
      </w:pPr>
      <w:hyperlink w:anchor="_Toc256000802" w:history="1">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_Toc256000802 \h </w:instrText>
        </w:r>
        <w:r w:rsidR="00B16CCF">
          <w:fldChar w:fldCharType="separate"/>
        </w:r>
        <w:r w:rsidR="00B16CCF">
          <w:t>91</w:t>
        </w:r>
        <w:r w:rsidR="00B16CCF">
          <w:fldChar w:fldCharType="end"/>
        </w:r>
      </w:hyperlink>
    </w:p>
    <w:p w14:paraId="35B66C62" w14:textId="77777777" w:rsidR="00823317" w:rsidRDefault="001D0AD2">
      <w:pPr>
        <w:pStyle w:val="Kazalovsebine5"/>
        <w:tabs>
          <w:tab w:val="end" w:leader="dot" w:pos="512pt"/>
        </w:tabs>
        <w:rPr>
          <w:rFonts w:ascii="Calibri" w:hAnsi="Calibri"/>
          <w:sz w:val="22"/>
        </w:rPr>
      </w:pPr>
      <w:hyperlink w:anchor="_Toc256000803" w:history="1">
        <w:r w:rsidR="00A77B3E">
          <w:rPr>
            <w:rStyle w:val="Hiperpovezava"/>
          </w:rPr>
          <w:t>Glavne ciljne skupine – člen 22(3)(d)(iii) uredbe o skupnih določbah:</w:t>
        </w:r>
        <w:r w:rsidR="00B16CCF">
          <w:tab/>
        </w:r>
        <w:r w:rsidR="00B16CCF">
          <w:fldChar w:fldCharType="begin"/>
        </w:r>
        <w:r w:rsidR="00B16CCF">
          <w:instrText xml:space="preserve"> PAGEREF _Toc256000803 \h </w:instrText>
        </w:r>
        <w:r w:rsidR="00B16CCF">
          <w:fldChar w:fldCharType="separate"/>
        </w:r>
        <w:r w:rsidR="00B16CCF">
          <w:t>93</w:t>
        </w:r>
        <w:r w:rsidR="00B16CCF">
          <w:fldChar w:fldCharType="end"/>
        </w:r>
      </w:hyperlink>
    </w:p>
    <w:p w14:paraId="3268C2F8" w14:textId="77777777" w:rsidR="00823317" w:rsidRDefault="001D0AD2">
      <w:pPr>
        <w:pStyle w:val="Kazalovsebine5"/>
        <w:tabs>
          <w:tab w:val="end" w:leader="dot" w:pos="512pt"/>
        </w:tabs>
        <w:rPr>
          <w:rFonts w:ascii="Calibri" w:hAnsi="Calibri"/>
          <w:sz w:val="22"/>
        </w:rPr>
      </w:pPr>
      <w:hyperlink w:anchor="_Toc256000804" w:history="1">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_Toc256000804 \h </w:instrText>
        </w:r>
        <w:r w:rsidR="00B16CCF">
          <w:fldChar w:fldCharType="separate"/>
        </w:r>
        <w:r w:rsidR="00B16CCF">
          <w:t>94</w:t>
        </w:r>
        <w:r w:rsidR="00B16CCF">
          <w:fldChar w:fldCharType="end"/>
        </w:r>
      </w:hyperlink>
    </w:p>
    <w:p w14:paraId="780C75FD" w14:textId="77777777" w:rsidR="00823317" w:rsidRDefault="001D0AD2">
      <w:pPr>
        <w:pStyle w:val="Kazalovsebine5"/>
        <w:tabs>
          <w:tab w:val="end" w:leader="dot" w:pos="512pt"/>
        </w:tabs>
        <w:rPr>
          <w:rFonts w:ascii="Calibri" w:hAnsi="Calibri"/>
          <w:sz w:val="22"/>
        </w:rPr>
      </w:pPr>
      <w:hyperlink w:anchor="_Toc256000805" w:history="1">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_Toc256000805 \h </w:instrText>
        </w:r>
        <w:r w:rsidR="00B16CCF">
          <w:fldChar w:fldCharType="separate"/>
        </w:r>
        <w:r w:rsidR="00B16CCF">
          <w:t>94</w:t>
        </w:r>
        <w:r w:rsidR="00B16CCF">
          <w:fldChar w:fldCharType="end"/>
        </w:r>
      </w:hyperlink>
    </w:p>
    <w:p w14:paraId="11175935" w14:textId="77777777" w:rsidR="00823317" w:rsidRDefault="001D0AD2">
      <w:pPr>
        <w:pStyle w:val="Kazalovsebine5"/>
        <w:tabs>
          <w:tab w:val="end" w:leader="dot" w:pos="512pt"/>
        </w:tabs>
        <w:rPr>
          <w:rFonts w:ascii="Calibri" w:hAnsi="Calibri"/>
          <w:sz w:val="22"/>
        </w:rPr>
      </w:pPr>
      <w:hyperlink w:anchor="_Toc256000806" w:history="1">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_Toc256000806 \h </w:instrText>
        </w:r>
        <w:r w:rsidR="00B16CCF">
          <w:fldChar w:fldCharType="separate"/>
        </w:r>
        <w:r w:rsidR="00B16CCF">
          <w:t>95</w:t>
        </w:r>
        <w:r w:rsidR="00B16CCF">
          <w:fldChar w:fldCharType="end"/>
        </w:r>
      </w:hyperlink>
    </w:p>
    <w:p w14:paraId="47C6081E" w14:textId="77777777" w:rsidR="00823317" w:rsidRDefault="001D0AD2">
      <w:pPr>
        <w:pStyle w:val="Kazalovsebine5"/>
        <w:tabs>
          <w:tab w:val="end" w:leader="dot" w:pos="512pt"/>
        </w:tabs>
        <w:rPr>
          <w:rFonts w:ascii="Calibri" w:hAnsi="Calibri"/>
          <w:sz w:val="22"/>
        </w:rPr>
      </w:pPr>
      <w:hyperlink w:anchor="_Toc256000807" w:history="1">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_Toc256000807 \h </w:instrText>
        </w:r>
        <w:r w:rsidR="00B16CCF">
          <w:fldChar w:fldCharType="separate"/>
        </w:r>
        <w:r w:rsidR="00B16CCF">
          <w:t>95</w:t>
        </w:r>
        <w:r w:rsidR="00B16CCF">
          <w:fldChar w:fldCharType="end"/>
        </w:r>
      </w:hyperlink>
    </w:p>
    <w:p w14:paraId="133233C7" w14:textId="77777777" w:rsidR="00823317" w:rsidRDefault="001D0AD2">
      <w:pPr>
        <w:pStyle w:val="Kazalovsebine4"/>
        <w:tabs>
          <w:tab w:val="end" w:leader="dot" w:pos="512pt"/>
        </w:tabs>
        <w:rPr>
          <w:rFonts w:ascii="Calibri" w:hAnsi="Calibri"/>
          <w:sz w:val="22"/>
        </w:rPr>
      </w:pPr>
      <w:hyperlink w:anchor="_Toc256000808" w:history="1">
        <w:r w:rsidR="00A77B3E">
          <w:rPr>
            <w:rStyle w:val="Hiperpovezava"/>
          </w:rPr>
          <w:t>2.1.1.1.2. Kazalniki</w:t>
        </w:r>
        <w:r w:rsidR="00B16CCF">
          <w:tab/>
        </w:r>
        <w:r w:rsidR="00B16CCF">
          <w:fldChar w:fldCharType="begin"/>
        </w:r>
        <w:r w:rsidR="00B16CCF">
          <w:instrText xml:space="preserve"> PAGEREF _Toc256000808 \h </w:instrText>
        </w:r>
        <w:r w:rsidR="00B16CCF">
          <w:fldChar w:fldCharType="separate"/>
        </w:r>
        <w:r w:rsidR="00B16CCF">
          <w:t>95</w:t>
        </w:r>
        <w:r w:rsidR="00B16CCF">
          <w:fldChar w:fldCharType="end"/>
        </w:r>
      </w:hyperlink>
    </w:p>
    <w:p w14:paraId="07F91AB6" w14:textId="77777777" w:rsidR="00823317" w:rsidRDefault="001D0AD2">
      <w:pPr>
        <w:pStyle w:val="Kazalovsebine5"/>
        <w:tabs>
          <w:tab w:val="end" w:leader="dot" w:pos="512pt"/>
        </w:tabs>
        <w:rPr>
          <w:rFonts w:ascii="Calibri" w:hAnsi="Calibri"/>
          <w:sz w:val="22"/>
        </w:rPr>
      </w:pPr>
      <w:hyperlink w:anchor="_Toc256000809" w:history="1">
        <w:r w:rsidR="00A77B3E">
          <w:rPr>
            <w:rStyle w:val="Hiperpovezava"/>
          </w:rPr>
          <w:t>Tabela 2: Kazalniki učinka</w:t>
        </w:r>
        <w:r w:rsidR="00B16CCF">
          <w:tab/>
        </w:r>
        <w:r w:rsidR="00B16CCF">
          <w:fldChar w:fldCharType="begin"/>
        </w:r>
        <w:r w:rsidR="00B16CCF">
          <w:instrText xml:space="preserve"> PAGEREF _Toc256000809 \h </w:instrText>
        </w:r>
        <w:r w:rsidR="00B16CCF">
          <w:fldChar w:fldCharType="separate"/>
        </w:r>
        <w:r w:rsidR="00B16CCF">
          <w:t>95</w:t>
        </w:r>
        <w:r w:rsidR="00B16CCF">
          <w:fldChar w:fldCharType="end"/>
        </w:r>
      </w:hyperlink>
    </w:p>
    <w:p w14:paraId="7A825B2E" w14:textId="77777777" w:rsidR="00823317" w:rsidRDefault="001D0AD2">
      <w:pPr>
        <w:pStyle w:val="Kazalovsebine5"/>
        <w:tabs>
          <w:tab w:val="end" w:leader="dot" w:pos="512pt"/>
        </w:tabs>
        <w:rPr>
          <w:rFonts w:ascii="Calibri" w:hAnsi="Calibri"/>
          <w:sz w:val="22"/>
        </w:rPr>
      </w:pPr>
      <w:hyperlink w:anchor="_Toc256000810" w:history="1">
        <w:r w:rsidR="00A77B3E">
          <w:rPr>
            <w:rStyle w:val="Hiperpovezava"/>
          </w:rPr>
          <w:t>Tabela 3: Kazalniki rezultatov</w:t>
        </w:r>
        <w:r w:rsidR="00B16CCF">
          <w:tab/>
        </w:r>
        <w:r w:rsidR="00B16CCF">
          <w:fldChar w:fldCharType="begin"/>
        </w:r>
        <w:r w:rsidR="00B16CCF">
          <w:instrText xml:space="preserve"> PAGEREF _Toc256000810 \h </w:instrText>
        </w:r>
        <w:r w:rsidR="00B16CCF">
          <w:fldChar w:fldCharType="separate"/>
        </w:r>
        <w:r w:rsidR="00B16CCF">
          <w:t>96</w:t>
        </w:r>
        <w:r w:rsidR="00B16CCF">
          <w:fldChar w:fldCharType="end"/>
        </w:r>
      </w:hyperlink>
    </w:p>
    <w:p w14:paraId="75F0F436" w14:textId="77777777" w:rsidR="00823317" w:rsidRDefault="001D0AD2">
      <w:pPr>
        <w:pStyle w:val="Kazalovsebine4"/>
        <w:tabs>
          <w:tab w:val="end" w:leader="dot" w:pos="512pt"/>
        </w:tabs>
        <w:rPr>
          <w:rFonts w:ascii="Calibri" w:hAnsi="Calibri"/>
          <w:sz w:val="22"/>
        </w:rPr>
      </w:pPr>
      <w:hyperlink w:anchor="_Toc256000811" w:history="1">
        <w:r w:rsidR="00A77B3E">
          <w:rPr>
            <w:rStyle w:val="Hiperpovezava"/>
          </w:rPr>
          <w:t>2.1.1.1.3. Okvirna razčlenitev načrtovanih sredstev (EU) glede na vrsto ukrepa</w:t>
        </w:r>
        <w:r w:rsidR="00B16CCF">
          <w:tab/>
        </w:r>
        <w:r w:rsidR="00B16CCF">
          <w:fldChar w:fldCharType="begin"/>
        </w:r>
        <w:r w:rsidR="00B16CCF">
          <w:instrText xml:space="preserve"> PAGEREF _Toc256000811 \h </w:instrText>
        </w:r>
        <w:r w:rsidR="00B16CCF">
          <w:fldChar w:fldCharType="separate"/>
        </w:r>
        <w:r w:rsidR="00B16CCF">
          <w:t>97</w:t>
        </w:r>
        <w:r w:rsidR="00B16CCF">
          <w:fldChar w:fldCharType="end"/>
        </w:r>
      </w:hyperlink>
    </w:p>
    <w:p w14:paraId="37D5A93D" w14:textId="77777777" w:rsidR="00823317" w:rsidRDefault="001D0AD2">
      <w:pPr>
        <w:pStyle w:val="Kazalovsebine5"/>
        <w:tabs>
          <w:tab w:val="end" w:leader="dot" w:pos="512pt"/>
        </w:tabs>
        <w:rPr>
          <w:rFonts w:ascii="Calibri" w:hAnsi="Calibri"/>
          <w:sz w:val="22"/>
        </w:rPr>
      </w:pPr>
      <w:hyperlink w:anchor="_Toc256000812" w:history="1">
        <w:r w:rsidR="00A77B3E">
          <w:rPr>
            <w:rStyle w:val="Hiperpovezava"/>
          </w:rPr>
          <w:t>Tabela 4: Razsežnost 1 – področje ukrepanja</w:t>
        </w:r>
        <w:r w:rsidR="00B16CCF">
          <w:tab/>
        </w:r>
        <w:r w:rsidR="00B16CCF">
          <w:fldChar w:fldCharType="begin"/>
        </w:r>
        <w:r w:rsidR="00B16CCF">
          <w:instrText xml:space="preserve"> PAGEREF _Toc256000812 \h </w:instrText>
        </w:r>
        <w:r w:rsidR="00B16CCF">
          <w:fldChar w:fldCharType="separate"/>
        </w:r>
        <w:r w:rsidR="00B16CCF">
          <w:t>97</w:t>
        </w:r>
        <w:r w:rsidR="00B16CCF">
          <w:fldChar w:fldCharType="end"/>
        </w:r>
      </w:hyperlink>
    </w:p>
    <w:p w14:paraId="1ACA591C" w14:textId="77777777" w:rsidR="00823317" w:rsidRDefault="001D0AD2">
      <w:pPr>
        <w:pStyle w:val="Kazalovsebine5"/>
        <w:tabs>
          <w:tab w:val="end" w:leader="dot" w:pos="512pt"/>
        </w:tabs>
        <w:rPr>
          <w:rFonts w:ascii="Calibri" w:hAnsi="Calibri"/>
          <w:sz w:val="22"/>
        </w:rPr>
      </w:pPr>
      <w:hyperlink w:anchor="_Toc256000813" w:history="1">
        <w:r w:rsidR="00A77B3E">
          <w:rPr>
            <w:rStyle w:val="Hiperpovezava"/>
          </w:rPr>
          <w:t>Tabela 5: Razsežnost 2 – oblika financiranja</w:t>
        </w:r>
        <w:r w:rsidR="00B16CCF">
          <w:tab/>
        </w:r>
        <w:r w:rsidR="00B16CCF">
          <w:fldChar w:fldCharType="begin"/>
        </w:r>
        <w:r w:rsidR="00B16CCF">
          <w:instrText xml:space="preserve"> PAGEREF _Toc256000813 \h </w:instrText>
        </w:r>
        <w:r w:rsidR="00B16CCF">
          <w:fldChar w:fldCharType="separate"/>
        </w:r>
        <w:r w:rsidR="00B16CCF">
          <w:t>98</w:t>
        </w:r>
        <w:r w:rsidR="00B16CCF">
          <w:fldChar w:fldCharType="end"/>
        </w:r>
      </w:hyperlink>
    </w:p>
    <w:p w14:paraId="5FC959BE" w14:textId="77777777" w:rsidR="00823317" w:rsidRDefault="001D0AD2">
      <w:pPr>
        <w:pStyle w:val="Kazalovsebine5"/>
        <w:tabs>
          <w:tab w:val="end" w:leader="dot" w:pos="512pt"/>
        </w:tabs>
        <w:rPr>
          <w:rFonts w:ascii="Calibri" w:hAnsi="Calibri"/>
          <w:sz w:val="22"/>
        </w:rPr>
      </w:pPr>
      <w:hyperlink w:anchor="_Toc256000814" w:history="1">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_Toc256000814 \h </w:instrText>
        </w:r>
        <w:r w:rsidR="00B16CCF">
          <w:fldChar w:fldCharType="separate"/>
        </w:r>
        <w:r w:rsidR="00B16CCF">
          <w:t>98</w:t>
        </w:r>
        <w:r w:rsidR="00B16CCF">
          <w:fldChar w:fldCharType="end"/>
        </w:r>
      </w:hyperlink>
    </w:p>
    <w:p w14:paraId="4A84AE4E" w14:textId="77777777" w:rsidR="00823317" w:rsidRDefault="001D0AD2">
      <w:pPr>
        <w:pStyle w:val="Kazalovsebine5"/>
        <w:tabs>
          <w:tab w:val="end" w:leader="dot" w:pos="512pt"/>
        </w:tabs>
        <w:rPr>
          <w:rFonts w:ascii="Calibri" w:hAnsi="Calibri"/>
          <w:sz w:val="22"/>
        </w:rPr>
      </w:pPr>
      <w:hyperlink w:anchor="_Toc256000815" w:history="1">
        <w:r w:rsidR="00A77B3E">
          <w:rPr>
            <w:rStyle w:val="Hiperpovezava"/>
          </w:rPr>
          <w:t>Tabela 7: Razsežnost 6 – sekundarna področja ESS+</w:t>
        </w:r>
        <w:r w:rsidR="00B16CCF">
          <w:tab/>
        </w:r>
        <w:r w:rsidR="00B16CCF">
          <w:fldChar w:fldCharType="begin"/>
        </w:r>
        <w:r w:rsidR="00B16CCF">
          <w:instrText xml:space="preserve"> PAGEREF _Toc256000815 \h </w:instrText>
        </w:r>
        <w:r w:rsidR="00B16CCF">
          <w:fldChar w:fldCharType="separate"/>
        </w:r>
        <w:r w:rsidR="00B16CCF">
          <w:t>99</w:t>
        </w:r>
        <w:r w:rsidR="00B16CCF">
          <w:fldChar w:fldCharType="end"/>
        </w:r>
      </w:hyperlink>
    </w:p>
    <w:p w14:paraId="5F1FCFD5" w14:textId="77777777" w:rsidR="00823317" w:rsidRDefault="001D0AD2">
      <w:pPr>
        <w:pStyle w:val="Kazalovsebine5"/>
        <w:tabs>
          <w:tab w:val="end" w:leader="dot" w:pos="512pt"/>
        </w:tabs>
        <w:rPr>
          <w:rFonts w:ascii="Calibri" w:hAnsi="Calibri"/>
          <w:sz w:val="22"/>
        </w:rPr>
      </w:pPr>
      <w:hyperlink w:anchor="_Toc256000816" w:history="1">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_Toc256000816 \h </w:instrText>
        </w:r>
        <w:r w:rsidR="00B16CCF">
          <w:fldChar w:fldCharType="separate"/>
        </w:r>
        <w:r w:rsidR="00B16CCF">
          <w:t>99</w:t>
        </w:r>
        <w:r w:rsidR="00B16CCF">
          <w:fldChar w:fldCharType="end"/>
        </w:r>
      </w:hyperlink>
    </w:p>
    <w:p w14:paraId="627514FD" w14:textId="77777777" w:rsidR="00823317" w:rsidRDefault="001D0AD2">
      <w:pPr>
        <w:pStyle w:val="Kazalovsebine4"/>
        <w:tabs>
          <w:tab w:val="end" w:leader="dot" w:pos="512pt"/>
        </w:tabs>
        <w:rPr>
          <w:rFonts w:ascii="Calibri" w:hAnsi="Calibri"/>
          <w:sz w:val="22"/>
        </w:rPr>
      </w:pPr>
      <w:hyperlink w:anchor="_Toc256000817" w:history="1">
        <w:r w:rsidR="00A77B3E">
          <w:rPr>
            <w:rStyle w:val="Hiperpovezava"/>
          </w:rPr>
          <w:t>2.1.1.1. Specifični cilj: RSO1.4. Razvoj znanj in spretnosti za pametno specializacijo, industrijski prehod in podjetništvo (ESRR)</w:t>
        </w:r>
        <w:r w:rsidR="00B16CCF">
          <w:tab/>
        </w:r>
        <w:r w:rsidR="00B16CCF">
          <w:fldChar w:fldCharType="begin"/>
        </w:r>
        <w:r w:rsidR="00B16CCF">
          <w:instrText xml:space="preserve"> PAGEREF _Toc256000817 \h </w:instrText>
        </w:r>
        <w:r w:rsidR="00B16CCF">
          <w:fldChar w:fldCharType="separate"/>
        </w:r>
        <w:r w:rsidR="00B16CCF">
          <w:t>100</w:t>
        </w:r>
        <w:r w:rsidR="00B16CCF">
          <w:fldChar w:fldCharType="end"/>
        </w:r>
      </w:hyperlink>
    </w:p>
    <w:p w14:paraId="40B31C5B" w14:textId="77777777" w:rsidR="00823317" w:rsidRDefault="001D0AD2">
      <w:pPr>
        <w:pStyle w:val="Kazalovsebine4"/>
        <w:tabs>
          <w:tab w:val="end" w:leader="dot" w:pos="512pt"/>
        </w:tabs>
        <w:rPr>
          <w:rFonts w:ascii="Calibri" w:hAnsi="Calibri"/>
          <w:sz w:val="22"/>
        </w:rPr>
      </w:pPr>
      <w:hyperlink w:anchor="_Toc256000818" w:history="1">
        <w:r w:rsidR="00A77B3E">
          <w:rPr>
            <w:rStyle w:val="Hiperpovezava"/>
          </w:rPr>
          <w:t>2.1.1.1.1. Ukrepi skladov</w:t>
        </w:r>
        <w:r w:rsidR="00B16CCF">
          <w:tab/>
        </w:r>
        <w:r w:rsidR="00B16CCF">
          <w:fldChar w:fldCharType="begin"/>
        </w:r>
        <w:r w:rsidR="00B16CCF">
          <w:instrText xml:space="preserve"> PAGEREF _Toc256000818 \h </w:instrText>
        </w:r>
        <w:r w:rsidR="00B16CCF">
          <w:fldChar w:fldCharType="separate"/>
        </w:r>
        <w:r w:rsidR="00B16CCF">
          <w:t>100</w:t>
        </w:r>
        <w:r w:rsidR="00B16CCF">
          <w:fldChar w:fldCharType="end"/>
        </w:r>
      </w:hyperlink>
    </w:p>
    <w:p w14:paraId="32539EDC" w14:textId="77777777" w:rsidR="00823317" w:rsidRDefault="001D0AD2">
      <w:pPr>
        <w:pStyle w:val="Kazalovsebine5"/>
        <w:tabs>
          <w:tab w:val="end" w:leader="dot" w:pos="512pt"/>
        </w:tabs>
        <w:rPr>
          <w:rFonts w:ascii="Calibri" w:hAnsi="Calibri"/>
          <w:sz w:val="22"/>
        </w:rPr>
      </w:pPr>
      <w:hyperlink w:anchor="_Toc256000819" w:history="1">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_Toc256000819 \h </w:instrText>
        </w:r>
        <w:r w:rsidR="00B16CCF">
          <w:fldChar w:fldCharType="separate"/>
        </w:r>
        <w:r w:rsidR="00B16CCF">
          <w:t>100</w:t>
        </w:r>
        <w:r w:rsidR="00B16CCF">
          <w:fldChar w:fldCharType="end"/>
        </w:r>
      </w:hyperlink>
    </w:p>
    <w:p w14:paraId="4D02228E" w14:textId="77777777" w:rsidR="00823317" w:rsidRDefault="001D0AD2">
      <w:pPr>
        <w:pStyle w:val="Kazalovsebine5"/>
        <w:tabs>
          <w:tab w:val="end" w:leader="dot" w:pos="512pt"/>
        </w:tabs>
        <w:rPr>
          <w:rFonts w:ascii="Calibri" w:hAnsi="Calibri"/>
          <w:sz w:val="22"/>
        </w:rPr>
      </w:pPr>
      <w:hyperlink w:anchor="_Toc256000820" w:history="1">
        <w:r w:rsidR="00A77B3E">
          <w:rPr>
            <w:rStyle w:val="Hiperpovezava"/>
          </w:rPr>
          <w:t>Glavne ciljne skupine – člen 22(3)(d)(iii) uredbe o skupnih določbah:</w:t>
        </w:r>
        <w:r w:rsidR="00B16CCF">
          <w:tab/>
        </w:r>
        <w:r w:rsidR="00B16CCF">
          <w:fldChar w:fldCharType="begin"/>
        </w:r>
        <w:r w:rsidR="00B16CCF">
          <w:instrText xml:space="preserve"> PAGEREF _Toc256000820 \h </w:instrText>
        </w:r>
        <w:r w:rsidR="00B16CCF">
          <w:fldChar w:fldCharType="separate"/>
        </w:r>
        <w:r w:rsidR="00B16CCF">
          <w:t>101</w:t>
        </w:r>
        <w:r w:rsidR="00B16CCF">
          <w:fldChar w:fldCharType="end"/>
        </w:r>
      </w:hyperlink>
    </w:p>
    <w:p w14:paraId="65F48A1C" w14:textId="77777777" w:rsidR="00823317" w:rsidRDefault="001D0AD2">
      <w:pPr>
        <w:pStyle w:val="Kazalovsebine5"/>
        <w:tabs>
          <w:tab w:val="end" w:leader="dot" w:pos="512pt"/>
        </w:tabs>
        <w:rPr>
          <w:rFonts w:ascii="Calibri" w:hAnsi="Calibri"/>
          <w:sz w:val="22"/>
        </w:rPr>
      </w:pPr>
      <w:hyperlink w:anchor="_Toc256000821" w:history="1">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_Toc256000821 \h </w:instrText>
        </w:r>
        <w:r w:rsidR="00B16CCF">
          <w:fldChar w:fldCharType="separate"/>
        </w:r>
        <w:r w:rsidR="00B16CCF">
          <w:t>102</w:t>
        </w:r>
        <w:r w:rsidR="00B16CCF">
          <w:fldChar w:fldCharType="end"/>
        </w:r>
      </w:hyperlink>
    </w:p>
    <w:p w14:paraId="71633CEB" w14:textId="77777777" w:rsidR="00823317" w:rsidRDefault="001D0AD2">
      <w:pPr>
        <w:pStyle w:val="Kazalovsebine5"/>
        <w:tabs>
          <w:tab w:val="end" w:leader="dot" w:pos="512pt"/>
        </w:tabs>
        <w:rPr>
          <w:rFonts w:ascii="Calibri" w:hAnsi="Calibri"/>
          <w:sz w:val="22"/>
        </w:rPr>
      </w:pPr>
      <w:hyperlink w:anchor="_Toc256000822" w:history="1">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_Toc256000822 \h </w:instrText>
        </w:r>
        <w:r w:rsidR="00B16CCF">
          <w:fldChar w:fldCharType="separate"/>
        </w:r>
        <w:r w:rsidR="00B16CCF">
          <w:t>102</w:t>
        </w:r>
        <w:r w:rsidR="00B16CCF">
          <w:fldChar w:fldCharType="end"/>
        </w:r>
      </w:hyperlink>
    </w:p>
    <w:p w14:paraId="07250108" w14:textId="77777777" w:rsidR="00823317" w:rsidRDefault="001D0AD2">
      <w:pPr>
        <w:pStyle w:val="Kazalovsebine5"/>
        <w:tabs>
          <w:tab w:val="end" w:leader="dot" w:pos="512pt"/>
        </w:tabs>
        <w:rPr>
          <w:rFonts w:ascii="Calibri" w:hAnsi="Calibri"/>
          <w:sz w:val="22"/>
        </w:rPr>
      </w:pPr>
      <w:hyperlink w:anchor="_Toc256000823" w:history="1">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_Toc256000823 \h </w:instrText>
        </w:r>
        <w:r w:rsidR="00B16CCF">
          <w:fldChar w:fldCharType="separate"/>
        </w:r>
        <w:r w:rsidR="00B16CCF">
          <w:t>102</w:t>
        </w:r>
        <w:r w:rsidR="00B16CCF">
          <w:fldChar w:fldCharType="end"/>
        </w:r>
      </w:hyperlink>
    </w:p>
    <w:p w14:paraId="31A5348C" w14:textId="77777777" w:rsidR="00823317" w:rsidRDefault="001D0AD2">
      <w:pPr>
        <w:pStyle w:val="Kazalovsebine5"/>
        <w:tabs>
          <w:tab w:val="end" w:leader="dot" w:pos="512pt"/>
        </w:tabs>
        <w:rPr>
          <w:rFonts w:ascii="Calibri" w:hAnsi="Calibri"/>
          <w:sz w:val="22"/>
        </w:rPr>
      </w:pPr>
      <w:hyperlink w:anchor="_Toc256000824" w:history="1">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_Toc256000824 \h </w:instrText>
        </w:r>
        <w:r w:rsidR="00B16CCF">
          <w:fldChar w:fldCharType="separate"/>
        </w:r>
        <w:r w:rsidR="00B16CCF">
          <w:t>103</w:t>
        </w:r>
        <w:r w:rsidR="00B16CCF">
          <w:fldChar w:fldCharType="end"/>
        </w:r>
      </w:hyperlink>
    </w:p>
    <w:p w14:paraId="29DDB1E2" w14:textId="77777777" w:rsidR="00823317" w:rsidRDefault="001D0AD2">
      <w:pPr>
        <w:pStyle w:val="Kazalovsebine4"/>
        <w:tabs>
          <w:tab w:val="end" w:leader="dot" w:pos="512pt"/>
        </w:tabs>
        <w:rPr>
          <w:rFonts w:ascii="Calibri" w:hAnsi="Calibri"/>
          <w:sz w:val="22"/>
        </w:rPr>
      </w:pPr>
      <w:hyperlink w:anchor="_Toc256000825" w:history="1">
        <w:r w:rsidR="00A77B3E">
          <w:rPr>
            <w:rStyle w:val="Hiperpovezava"/>
          </w:rPr>
          <w:t>2.1.1.1.2. Kazalniki</w:t>
        </w:r>
        <w:r w:rsidR="00B16CCF">
          <w:tab/>
        </w:r>
        <w:r w:rsidR="00B16CCF">
          <w:fldChar w:fldCharType="begin"/>
        </w:r>
        <w:r w:rsidR="00B16CCF">
          <w:instrText xml:space="preserve"> PAGEREF _Toc256000825 \h </w:instrText>
        </w:r>
        <w:r w:rsidR="00B16CCF">
          <w:fldChar w:fldCharType="separate"/>
        </w:r>
        <w:r w:rsidR="00B16CCF">
          <w:t>103</w:t>
        </w:r>
        <w:r w:rsidR="00B16CCF">
          <w:fldChar w:fldCharType="end"/>
        </w:r>
      </w:hyperlink>
    </w:p>
    <w:p w14:paraId="38FDE878" w14:textId="77777777" w:rsidR="00823317" w:rsidRDefault="001D0AD2">
      <w:pPr>
        <w:pStyle w:val="Kazalovsebine5"/>
        <w:tabs>
          <w:tab w:val="end" w:leader="dot" w:pos="512pt"/>
        </w:tabs>
        <w:rPr>
          <w:rFonts w:ascii="Calibri" w:hAnsi="Calibri"/>
          <w:sz w:val="22"/>
        </w:rPr>
      </w:pPr>
      <w:hyperlink w:anchor="_Toc256000826" w:history="1">
        <w:r w:rsidR="00A77B3E">
          <w:rPr>
            <w:rStyle w:val="Hiperpovezava"/>
          </w:rPr>
          <w:t>Tabela 2: Kazalniki učinka</w:t>
        </w:r>
        <w:r w:rsidR="00B16CCF">
          <w:tab/>
        </w:r>
        <w:r w:rsidR="00B16CCF">
          <w:fldChar w:fldCharType="begin"/>
        </w:r>
        <w:r w:rsidR="00B16CCF">
          <w:instrText xml:space="preserve"> PAGEREF _Toc256000826 \h </w:instrText>
        </w:r>
        <w:r w:rsidR="00B16CCF">
          <w:fldChar w:fldCharType="separate"/>
        </w:r>
        <w:r w:rsidR="00B16CCF">
          <w:t>103</w:t>
        </w:r>
        <w:r w:rsidR="00B16CCF">
          <w:fldChar w:fldCharType="end"/>
        </w:r>
      </w:hyperlink>
    </w:p>
    <w:p w14:paraId="7FCC145D" w14:textId="77777777" w:rsidR="00823317" w:rsidRDefault="001D0AD2">
      <w:pPr>
        <w:pStyle w:val="Kazalovsebine5"/>
        <w:tabs>
          <w:tab w:val="end" w:leader="dot" w:pos="512pt"/>
        </w:tabs>
        <w:rPr>
          <w:rFonts w:ascii="Calibri" w:hAnsi="Calibri"/>
          <w:sz w:val="22"/>
        </w:rPr>
      </w:pPr>
      <w:hyperlink w:anchor="_Toc256000827" w:history="1">
        <w:r w:rsidR="00A77B3E">
          <w:rPr>
            <w:rStyle w:val="Hiperpovezava"/>
          </w:rPr>
          <w:t>Tabela 3: Kazalniki rezultatov</w:t>
        </w:r>
        <w:r w:rsidR="00B16CCF">
          <w:tab/>
        </w:r>
        <w:r w:rsidR="00B16CCF">
          <w:fldChar w:fldCharType="begin"/>
        </w:r>
        <w:r w:rsidR="00B16CCF">
          <w:instrText xml:space="preserve"> PAGEREF _Toc256000827 \h </w:instrText>
        </w:r>
        <w:r w:rsidR="00B16CCF">
          <w:fldChar w:fldCharType="separate"/>
        </w:r>
        <w:r w:rsidR="00B16CCF">
          <w:t>104</w:t>
        </w:r>
        <w:r w:rsidR="00B16CCF">
          <w:fldChar w:fldCharType="end"/>
        </w:r>
      </w:hyperlink>
    </w:p>
    <w:p w14:paraId="53362CA5" w14:textId="77777777" w:rsidR="00823317" w:rsidRDefault="001D0AD2">
      <w:pPr>
        <w:pStyle w:val="Kazalovsebine4"/>
        <w:tabs>
          <w:tab w:val="end" w:leader="dot" w:pos="512pt"/>
        </w:tabs>
        <w:rPr>
          <w:rFonts w:ascii="Calibri" w:hAnsi="Calibri"/>
          <w:sz w:val="22"/>
        </w:rPr>
      </w:pPr>
      <w:hyperlink w:anchor="_Toc256000828" w:history="1">
        <w:r w:rsidR="00A77B3E">
          <w:rPr>
            <w:rStyle w:val="Hiperpovezava"/>
          </w:rPr>
          <w:t>2.1.1.1.3. Okvirna razčlenitev načrtovanih sredstev (EU) glede na vrsto ukrepa</w:t>
        </w:r>
        <w:r w:rsidR="00B16CCF">
          <w:tab/>
        </w:r>
        <w:r w:rsidR="00B16CCF">
          <w:fldChar w:fldCharType="begin"/>
        </w:r>
        <w:r w:rsidR="00B16CCF">
          <w:instrText xml:space="preserve"> PAGEREF _Toc256000828 \h </w:instrText>
        </w:r>
        <w:r w:rsidR="00B16CCF">
          <w:fldChar w:fldCharType="separate"/>
        </w:r>
        <w:r w:rsidR="00B16CCF">
          <w:t>105</w:t>
        </w:r>
        <w:r w:rsidR="00B16CCF">
          <w:fldChar w:fldCharType="end"/>
        </w:r>
      </w:hyperlink>
    </w:p>
    <w:p w14:paraId="605B8F54" w14:textId="77777777" w:rsidR="00823317" w:rsidRDefault="001D0AD2">
      <w:pPr>
        <w:pStyle w:val="Kazalovsebine5"/>
        <w:tabs>
          <w:tab w:val="end" w:leader="dot" w:pos="512pt"/>
        </w:tabs>
        <w:rPr>
          <w:rFonts w:ascii="Calibri" w:hAnsi="Calibri"/>
          <w:sz w:val="22"/>
        </w:rPr>
      </w:pPr>
      <w:hyperlink w:anchor="_Toc256000829" w:history="1">
        <w:r w:rsidR="00A77B3E">
          <w:rPr>
            <w:rStyle w:val="Hiperpovezava"/>
          </w:rPr>
          <w:t>Tabela 4: Razsežnost 1 – področje ukrepanja</w:t>
        </w:r>
        <w:r w:rsidR="00B16CCF">
          <w:tab/>
        </w:r>
        <w:r w:rsidR="00B16CCF">
          <w:fldChar w:fldCharType="begin"/>
        </w:r>
        <w:r w:rsidR="00B16CCF">
          <w:instrText xml:space="preserve"> PAGEREF _Toc256000829 \h </w:instrText>
        </w:r>
        <w:r w:rsidR="00B16CCF">
          <w:fldChar w:fldCharType="separate"/>
        </w:r>
        <w:r w:rsidR="00B16CCF">
          <w:t>105</w:t>
        </w:r>
        <w:r w:rsidR="00B16CCF">
          <w:fldChar w:fldCharType="end"/>
        </w:r>
      </w:hyperlink>
    </w:p>
    <w:p w14:paraId="33967E1B" w14:textId="77777777" w:rsidR="00823317" w:rsidRDefault="001D0AD2">
      <w:pPr>
        <w:pStyle w:val="Kazalovsebine5"/>
        <w:tabs>
          <w:tab w:val="end" w:leader="dot" w:pos="512pt"/>
        </w:tabs>
        <w:rPr>
          <w:rFonts w:ascii="Calibri" w:hAnsi="Calibri"/>
          <w:sz w:val="22"/>
        </w:rPr>
      </w:pPr>
      <w:hyperlink w:anchor="_Toc256000830" w:history="1">
        <w:r w:rsidR="00A77B3E">
          <w:rPr>
            <w:rStyle w:val="Hiperpovezava"/>
          </w:rPr>
          <w:t>Tabela 5: Razsežnost 2 – oblika financiranja</w:t>
        </w:r>
        <w:r w:rsidR="00B16CCF">
          <w:tab/>
        </w:r>
        <w:r w:rsidR="00B16CCF">
          <w:fldChar w:fldCharType="begin"/>
        </w:r>
        <w:r w:rsidR="00B16CCF">
          <w:instrText xml:space="preserve"> PAGEREF _Toc256000830 \h </w:instrText>
        </w:r>
        <w:r w:rsidR="00B16CCF">
          <w:fldChar w:fldCharType="separate"/>
        </w:r>
        <w:r w:rsidR="00B16CCF">
          <w:t>105</w:t>
        </w:r>
        <w:r w:rsidR="00B16CCF">
          <w:fldChar w:fldCharType="end"/>
        </w:r>
      </w:hyperlink>
    </w:p>
    <w:p w14:paraId="2F709D90" w14:textId="77777777" w:rsidR="00823317" w:rsidRDefault="001D0AD2">
      <w:pPr>
        <w:pStyle w:val="Kazalovsebine5"/>
        <w:tabs>
          <w:tab w:val="end" w:leader="dot" w:pos="512pt"/>
        </w:tabs>
        <w:rPr>
          <w:rFonts w:ascii="Calibri" w:hAnsi="Calibri"/>
          <w:sz w:val="22"/>
        </w:rPr>
      </w:pPr>
      <w:hyperlink w:anchor="_Toc256000831" w:history="1">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_Toc256000831 \h </w:instrText>
        </w:r>
        <w:r w:rsidR="00B16CCF">
          <w:fldChar w:fldCharType="separate"/>
        </w:r>
        <w:r w:rsidR="00B16CCF">
          <w:t>105</w:t>
        </w:r>
        <w:r w:rsidR="00B16CCF">
          <w:fldChar w:fldCharType="end"/>
        </w:r>
      </w:hyperlink>
    </w:p>
    <w:p w14:paraId="0E59694B" w14:textId="77777777" w:rsidR="00823317" w:rsidRDefault="001D0AD2">
      <w:pPr>
        <w:pStyle w:val="Kazalovsebine5"/>
        <w:tabs>
          <w:tab w:val="end" w:leader="dot" w:pos="512pt"/>
        </w:tabs>
        <w:rPr>
          <w:rFonts w:ascii="Calibri" w:hAnsi="Calibri"/>
          <w:sz w:val="22"/>
        </w:rPr>
      </w:pPr>
      <w:hyperlink w:anchor="_Toc256000832" w:history="1">
        <w:r w:rsidR="00A77B3E">
          <w:rPr>
            <w:rStyle w:val="Hiperpovezava"/>
          </w:rPr>
          <w:t>Tabela 7: Razsežnost 6 – sekundarna področja ESS+</w:t>
        </w:r>
        <w:r w:rsidR="00B16CCF">
          <w:tab/>
        </w:r>
        <w:r w:rsidR="00B16CCF">
          <w:fldChar w:fldCharType="begin"/>
        </w:r>
        <w:r w:rsidR="00B16CCF">
          <w:instrText xml:space="preserve"> PAGEREF _Toc256000832 \h </w:instrText>
        </w:r>
        <w:r w:rsidR="00B16CCF">
          <w:fldChar w:fldCharType="separate"/>
        </w:r>
        <w:r w:rsidR="00B16CCF">
          <w:t>105</w:t>
        </w:r>
        <w:r w:rsidR="00B16CCF">
          <w:fldChar w:fldCharType="end"/>
        </w:r>
      </w:hyperlink>
    </w:p>
    <w:p w14:paraId="17291CC5" w14:textId="77777777" w:rsidR="00823317" w:rsidRDefault="001D0AD2">
      <w:pPr>
        <w:pStyle w:val="Kazalovsebine5"/>
        <w:tabs>
          <w:tab w:val="end" w:leader="dot" w:pos="512pt"/>
        </w:tabs>
        <w:rPr>
          <w:rFonts w:ascii="Calibri" w:hAnsi="Calibri"/>
          <w:sz w:val="22"/>
        </w:rPr>
      </w:pPr>
      <w:hyperlink w:anchor="_Toc256000833" w:history="1">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_Toc256000833 \h </w:instrText>
        </w:r>
        <w:r w:rsidR="00B16CCF">
          <w:fldChar w:fldCharType="separate"/>
        </w:r>
        <w:r w:rsidR="00B16CCF">
          <w:t>106</w:t>
        </w:r>
        <w:r w:rsidR="00B16CCF">
          <w:fldChar w:fldCharType="end"/>
        </w:r>
      </w:hyperlink>
    </w:p>
    <w:p w14:paraId="1F415FB9" w14:textId="77777777" w:rsidR="00823317" w:rsidRDefault="001D0AD2">
      <w:pPr>
        <w:pStyle w:val="Kazalovsebine3"/>
        <w:tabs>
          <w:tab w:val="end" w:leader="dot" w:pos="512pt"/>
        </w:tabs>
        <w:rPr>
          <w:rFonts w:ascii="Calibri" w:hAnsi="Calibri"/>
          <w:sz w:val="22"/>
        </w:rPr>
      </w:pPr>
      <w:hyperlink w:anchor="_Toc256000834" w:history="1">
        <w:r w:rsidR="00A77B3E">
          <w:rPr>
            <w:rStyle w:val="Hiperpovezava"/>
          </w:rPr>
          <w:t>2.1.1. Prednostna naloga: 2. Digitalna povezljivost   (Specifični cilj za digitalno povezljivost, določen v točki (v) člena 3(1)(a) uredbe o ESRR in Kohezijskem skladu)</w:t>
        </w:r>
        <w:r w:rsidR="00B16CCF">
          <w:tab/>
        </w:r>
        <w:r w:rsidR="00B16CCF">
          <w:fldChar w:fldCharType="begin"/>
        </w:r>
        <w:r w:rsidR="00B16CCF">
          <w:instrText xml:space="preserve"> PAGEREF _Toc256000834 \h </w:instrText>
        </w:r>
        <w:r w:rsidR="00B16CCF">
          <w:fldChar w:fldCharType="separate"/>
        </w:r>
        <w:r w:rsidR="00B16CCF">
          <w:t>107</w:t>
        </w:r>
        <w:r w:rsidR="00B16CCF">
          <w:fldChar w:fldCharType="end"/>
        </w:r>
      </w:hyperlink>
    </w:p>
    <w:p w14:paraId="2A0211DA" w14:textId="77777777" w:rsidR="00823317" w:rsidRDefault="001D0AD2">
      <w:pPr>
        <w:pStyle w:val="Kazalovsebine4"/>
        <w:tabs>
          <w:tab w:val="end" w:leader="dot" w:pos="512pt"/>
        </w:tabs>
        <w:rPr>
          <w:rFonts w:ascii="Calibri" w:hAnsi="Calibri"/>
          <w:sz w:val="22"/>
        </w:rPr>
      </w:pPr>
      <w:hyperlink w:anchor="_Toc256000835" w:history="1">
        <w:r w:rsidR="00A77B3E">
          <w:rPr>
            <w:rStyle w:val="Hiperpovezava"/>
          </w:rPr>
          <w:t>2.1.1.1. Specifični cilj: RSO1.5. Izboljšanje digitalne povezljivosti (ESRR)</w:t>
        </w:r>
        <w:r w:rsidR="00B16CCF">
          <w:tab/>
        </w:r>
        <w:r w:rsidR="00B16CCF">
          <w:fldChar w:fldCharType="begin"/>
        </w:r>
        <w:r w:rsidR="00B16CCF">
          <w:instrText xml:space="preserve"> PAGEREF _Toc256000835 \h </w:instrText>
        </w:r>
        <w:r w:rsidR="00B16CCF">
          <w:fldChar w:fldCharType="separate"/>
        </w:r>
        <w:r w:rsidR="00B16CCF">
          <w:t>107</w:t>
        </w:r>
        <w:r w:rsidR="00B16CCF">
          <w:fldChar w:fldCharType="end"/>
        </w:r>
      </w:hyperlink>
    </w:p>
    <w:p w14:paraId="2C73A346" w14:textId="77777777" w:rsidR="00823317" w:rsidRDefault="001D0AD2">
      <w:pPr>
        <w:pStyle w:val="Kazalovsebine4"/>
        <w:tabs>
          <w:tab w:val="end" w:leader="dot" w:pos="512pt"/>
        </w:tabs>
        <w:rPr>
          <w:rFonts w:ascii="Calibri" w:hAnsi="Calibri"/>
          <w:sz w:val="22"/>
        </w:rPr>
      </w:pPr>
      <w:hyperlink w:anchor="_Toc256000836" w:history="1">
        <w:r w:rsidR="00A77B3E">
          <w:rPr>
            <w:rStyle w:val="Hiperpovezava"/>
          </w:rPr>
          <w:t>2.1.1.1.1. Ukrepi skladov</w:t>
        </w:r>
        <w:r w:rsidR="00B16CCF">
          <w:tab/>
        </w:r>
        <w:r w:rsidR="00B16CCF">
          <w:fldChar w:fldCharType="begin"/>
        </w:r>
        <w:r w:rsidR="00B16CCF">
          <w:instrText xml:space="preserve"> PAGEREF _Toc256000836 \h </w:instrText>
        </w:r>
        <w:r w:rsidR="00B16CCF">
          <w:fldChar w:fldCharType="separate"/>
        </w:r>
        <w:r w:rsidR="00B16CCF">
          <w:t>107</w:t>
        </w:r>
        <w:r w:rsidR="00B16CCF">
          <w:fldChar w:fldCharType="end"/>
        </w:r>
      </w:hyperlink>
    </w:p>
    <w:p w14:paraId="6B4B8E6B" w14:textId="77777777" w:rsidR="00823317" w:rsidRDefault="001D0AD2">
      <w:pPr>
        <w:pStyle w:val="Kazalovsebine5"/>
        <w:tabs>
          <w:tab w:val="end" w:leader="dot" w:pos="512pt"/>
        </w:tabs>
        <w:rPr>
          <w:rFonts w:ascii="Calibri" w:hAnsi="Calibri"/>
          <w:sz w:val="22"/>
        </w:rPr>
      </w:pPr>
      <w:hyperlink w:anchor="_Toc256000837" w:history="1">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_Toc256000837 \h </w:instrText>
        </w:r>
        <w:r w:rsidR="00B16CCF">
          <w:fldChar w:fldCharType="separate"/>
        </w:r>
        <w:r w:rsidR="00B16CCF">
          <w:t>107</w:t>
        </w:r>
        <w:r w:rsidR="00B16CCF">
          <w:fldChar w:fldCharType="end"/>
        </w:r>
      </w:hyperlink>
    </w:p>
    <w:p w14:paraId="4CA37E7B" w14:textId="77777777" w:rsidR="00823317" w:rsidRDefault="001D0AD2">
      <w:pPr>
        <w:pStyle w:val="Kazalovsebine5"/>
        <w:tabs>
          <w:tab w:val="end" w:leader="dot" w:pos="512pt"/>
        </w:tabs>
        <w:rPr>
          <w:rFonts w:ascii="Calibri" w:hAnsi="Calibri"/>
          <w:sz w:val="22"/>
        </w:rPr>
      </w:pPr>
      <w:hyperlink w:anchor="_Toc256000838" w:history="1">
        <w:r w:rsidR="00A77B3E">
          <w:rPr>
            <w:rStyle w:val="Hiperpovezava"/>
          </w:rPr>
          <w:t>Glavne ciljne skupine – člen 22(3)(d)(iii) uredbe o skupnih določbah:</w:t>
        </w:r>
        <w:r w:rsidR="00B16CCF">
          <w:tab/>
        </w:r>
        <w:r w:rsidR="00B16CCF">
          <w:fldChar w:fldCharType="begin"/>
        </w:r>
        <w:r w:rsidR="00B16CCF">
          <w:instrText xml:space="preserve"> PAGEREF _Toc256000838 \h </w:instrText>
        </w:r>
        <w:r w:rsidR="00B16CCF">
          <w:fldChar w:fldCharType="separate"/>
        </w:r>
        <w:r w:rsidR="00B16CCF">
          <w:t>108</w:t>
        </w:r>
        <w:r w:rsidR="00B16CCF">
          <w:fldChar w:fldCharType="end"/>
        </w:r>
      </w:hyperlink>
    </w:p>
    <w:p w14:paraId="373805D5" w14:textId="77777777" w:rsidR="00823317" w:rsidRDefault="001D0AD2">
      <w:pPr>
        <w:pStyle w:val="Kazalovsebine5"/>
        <w:tabs>
          <w:tab w:val="end" w:leader="dot" w:pos="512pt"/>
        </w:tabs>
        <w:rPr>
          <w:rFonts w:ascii="Calibri" w:hAnsi="Calibri"/>
          <w:sz w:val="22"/>
        </w:rPr>
      </w:pPr>
      <w:hyperlink w:anchor="_Toc256000839" w:history="1">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_Toc256000839 \h </w:instrText>
        </w:r>
        <w:r w:rsidR="00B16CCF">
          <w:fldChar w:fldCharType="separate"/>
        </w:r>
        <w:r w:rsidR="00B16CCF">
          <w:t>109</w:t>
        </w:r>
        <w:r w:rsidR="00B16CCF">
          <w:fldChar w:fldCharType="end"/>
        </w:r>
      </w:hyperlink>
    </w:p>
    <w:p w14:paraId="7B448B5A" w14:textId="77777777" w:rsidR="00823317" w:rsidRDefault="001D0AD2">
      <w:pPr>
        <w:pStyle w:val="Kazalovsebine5"/>
        <w:tabs>
          <w:tab w:val="end" w:leader="dot" w:pos="512pt"/>
        </w:tabs>
        <w:rPr>
          <w:rFonts w:ascii="Calibri" w:hAnsi="Calibri"/>
          <w:sz w:val="22"/>
        </w:rPr>
      </w:pPr>
      <w:hyperlink w:anchor="_Toc256000840" w:history="1">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_Toc256000840 \h </w:instrText>
        </w:r>
        <w:r w:rsidR="00B16CCF">
          <w:fldChar w:fldCharType="separate"/>
        </w:r>
        <w:r w:rsidR="00B16CCF">
          <w:t>109</w:t>
        </w:r>
        <w:r w:rsidR="00B16CCF">
          <w:fldChar w:fldCharType="end"/>
        </w:r>
      </w:hyperlink>
    </w:p>
    <w:p w14:paraId="0FA2E6C5" w14:textId="77777777" w:rsidR="00823317" w:rsidRDefault="001D0AD2">
      <w:pPr>
        <w:pStyle w:val="Kazalovsebine5"/>
        <w:tabs>
          <w:tab w:val="end" w:leader="dot" w:pos="512pt"/>
        </w:tabs>
        <w:rPr>
          <w:rFonts w:ascii="Calibri" w:hAnsi="Calibri"/>
          <w:sz w:val="22"/>
        </w:rPr>
      </w:pPr>
      <w:hyperlink w:anchor="_Toc256000841" w:history="1">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_Toc256000841 \h </w:instrText>
        </w:r>
        <w:r w:rsidR="00B16CCF">
          <w:fldChar w:fldCharType="separate"/>
        </w:r>
        <w:r w:rsidR="00B16CCF">
          <w:t>109</w:t>
        </w:r>
        <w:r w:rsidR="00B16CCF">
          <w:fldChar w:fldCharType="end"/>
        </w:r>
      </w:hyperlink>
    </w:p>
    <w:p w14:paraId="777BDCC5" w14:textId="77777777" w:rsidR="00823317" w:rsidRDefault="001D0AD2">
      <w:pPr>
        <w:pStyle w:val="Kazalovsebine5"/>
        <w:tabs>
          <w:tab w:val="end" w:leader="dot" w:pos="512pt"/>
        </w:tabs>
        <w:rPr>
          <w:rFonts w:ascii="Calibri" w:hAnsi="Calibri"/>
          <w:sz w:val="22"/>
        </w:rPr>
      </w:pPr>
      <w:hyperlink w:anchor="_Toc256000842" w:history="1">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_Toc256000842 \h </w:instrText>
        </w:r>
        <w:r w:rsidR="00B16CCF">
          <w:fldChar w:fldCharType="separate"/>
        </w:r>
        <w:r w:rsidR="00B16CCF">
          <w:t>110</w:t>
        </w:r>
        <w:r w:rsidR="00B16CCF">
          <w:fldChar w:fldCharType="end"/>
        </w:r>
      </w:hyperlink>
    </w:p>
    <w:p w14:paraId="65D15D29" w14:textId="77777777" w:rsidR="00823317" w:rsidRDefault="001D0AD2">
      <w:pPr>
        <w:pStyle w:val="Kazalovsebine4"/>
        <w:tabs>
          <w:tab w:val="end" w:leader="dot" w:pos="512pt"/>
        </w:tabs>
        <w:rPr>
          <w:rFonts w:ascii="Calibri" w:hAnsi="Calibri"/>
          <w:sz w:val="22"/>
        </w:rPr>
      </w:pPr>
      <w:hyperlink w:anchor="_Toc256000843" w:history="1">
        <w:r w:rsidR="00A77B3E">
          <w:rPr>
            <w:rStyle w:val="Hiperpovezava"/>
          </w:rPr>
          <w:t>2.1.1.1.2. Kazalniki</w:t>
        </w:r>
        <w:r w:rsidR="00B16CCF">
          <w:tab/>
        </w:r>
        <w:r w:rsidR="00B16CCF">
          <w:fldChar w:fldCharType="begin"/>
        </w:r>
        <w:r w:rsidR="00B16CCF">
          <w:instrText xml:space="preserve"> PAGEREF _Toc256000843 \h </w:instrText>
        </w:r>
        <w:r w:rsidR="00B16CCF">
          <w:fldChar w:fldCharType="separate"/>
        </w:r>
        <w:r w:rsidR="00B16CCF">
          <w:t>110</w:t>
        </w:r>
        <w:r w:rsidR="00B16CCF">
          <w:fldChar w:fldCharType="end"/>
        </w:r>
      </w:hyperlink>
    </w:p>
    <w:p w14:paraId="2BEFE7CE" w14:textId="77777777" w:rsidR="00823317" w:rsidRDefault="001D0AD2">
      <w:pPr>
        <w:pStyle w:val="Kazalovsebine5"/>
        <w:tabs>
          <w:tab w:val="end" w:leader="dot" w:pos="512pt"/>
        </w:tabs>
        <w:rPr>
          <w:rFonts w:ascii="Calibri" w:hAnsi="Calibri"/>
          <w:sz w:val="22"/>
        </w:rPr>
      </w:pPr>
      <w:hyperlink w:anchor="_Toc256000844" w:history="1">
        <w:r w:rsidR="00A77B3E">
          <w:rPr>
            <w:rStyle w:val="Hiperpovezava"/>
          </w:rPr>
          <w:t>Tabela 2: Kazalniki učinka</w:t>
        </w:r>
        <w:r w:rsidR="00B16CCF">
          <w:tab/>
        </w:r>
        <w:r w:rsidR="00B16CCF">
          <w:fldChar w:fldCharType="begin"/>
        </w:r>
        <w:r w:rsidR="00B16CCF">
          <w:instrText xml:space="preserve"> PAGEREF _Toc256000844 \h </w:instrText>
        </w:r>
        <w:r w:rsidR="00B16CCF">
          <w:fldChar w:fldCharType="separate"/>
        </w:r>
        <w:r w:rsidR="00B16CCF">
          <w:t>110</w:t>
        </w:r>
        <w:r w:rsidR="00B16CCF">
          <w:fldChar w:fldCharType="end"/>
        </w:r>
      </w:hyperlink>
    </w:p>
    <w:p w14:paraId="2D9C919E" w14:textId="77777777" w:rsidR="00823317" w:rsidRDefault="001D0AD2">
      <w:pPr>
        <w:pStyle w:val="Kazalovsebine5"/>
        <w:tabs>
          <w:tab w:val="end" w:leader="dot" w:pos="512pt"/>
        </w:tabs>
        <w:rPr>
          <w:rFonts w:ascii="Calibri" w:hAnsi="Calibri"/>
          <w:sz w:val="22"/>
        </w:rPr>
      </w:pPr>
      <w:hyperlink w:anchor="_Toc256000845" w:history="1">
        <w:r w:rsidR="00A77B3E">
          <w:rPr>
            <w:rStyle w:val="Hiperpovezava"/>
          </w:rPr>
          <w:t>Tabela 3: Kazalniki rezultatov</w:t>
        </w:r>
        <w:r w:rsidR="00B16CCF">
          <w:tab/>
        </w:r>
        <w:r w:rsidR="00B16CCF">
          <w:fldChar w:fldCharType="begin"/>
        </w:r>
        <w:r w:rsidR="00B16CCF">
          <w:instrText xml:space="preserve"> PAGEREF _Toc256000845 \h </w:instrText>
        </w:r>
        <w:r w:rsidR="00B16CCF">
          <w:fldChar w:fldCharType="separate"/>
        </w:r>
        <w:r w:rsidR="00B16CCF">
          <w:t>110</w:t>
        </w:r>
        <w:r w:rsidR="00B16CCF">
          <w:fldChar w:fldCharType="end"/>
        </w:r>
      </w:hyperlink>
    </w:p>
    <w:p w14:paraId="6A8B34AF" w14:textId="77777777" w:rsidR="00823317" w:rsidRDefault="001D0AD2">
      <w:pPr>
        <w:pStyle w:val="Kazalovsebine4"/>
        <w:tabs>
          <w:tab w:val="end" w:leader="dot" w:pos="512pt"/>
        </w:tabs>
        <w:rPr>
          <w:rFonts w:ascii="Calibri" w:hAnsi="Calibri"/>
          <w:sz w:val="22"/>
        </w:rPr>
      </w:pPr>
      <w:hyperlink w:anchor="_Toc256000846" w:history="1">
        <w:r w:rsidR="00A77B3E">
          <w:rPr>
            <w:rStyle w:val="Hiperpovezava"/>
          </w:rPr>
          <w:t>2.1.1.1.3. Okvirna razčlenitev načrtovanih sredstev (EU) glede na vrsto ukrepa</w:t>
        </w:r>
        <w:r w:rsidR="00B16CCF">
          <w:tab/>
        </w:r>
        <w:r w:rsidR="00B16CCF">
          <w:fldChar w:fldCharType="begin"/>
        </w:r>
        <w:r w:rsidR="00B16CCF">
          <w:instrText xml:space="preserve"> PAGEREF _Toc256000846 \h </w:instrText>
        </w:r>
        <w:r w:rsidR="00B16CCF">
          <w:fldChar w:fldCharType="separate"/>
        </w:r>
        <w:r w:rsidR="00B16CCF">
          <w:t>111</w:t>
        </w:r>
        <w:r w:rsidR="00B16CCF">
          <w:fldChar w:fldCharType="end"/>
        </w:r>
      </w:hyperlink>
    </w:p>
    <w:p w14:paraId="7971190E" w14:textId="77777777" w:rsidR="00823317" w:rsidRDefault="001D0AD2">
      <w:pPr>
        <w:pStyle w:val="Kazalovsebine5"/>
        <w:tabs>
          <w:tab w:val="end" w:leader="dot" w:pos="512pt"/>
        </w:tabs>
        <w:rPr>
          <w:rFonts w:ascii="Calibri" w:hAnsi="Calibri"/>
          <w:sz w:val="22"/>
        </w:rPr>
      </w:pPr>
      <w:hyperlink w:anchor="_Toc256000847" w:history="1">
        <w:r w:rsidR="00A77B3E">
          <w:rPr>
            <w:rStyle w:val="Hiperpovezava"/>
          </w:rPr>
          <w:t>Tabela 4: Razsežnost 1 – področje ukrepanja</w:t>
        </w:r>
        <w:r w:rsidR="00B16CCF">
          <w:tab/>
        </w:r>
        <w:r w:rsidR="00B16CCF">
          <w:fldChar w:fldCharType="begin"/>
        </w:r>
        <w:r w:rsidR="00B16CCF">
          <w:instrText xml:space="preserve"> PAGEREF _Toc256000847 \h </w:instrText>
        </w:r>
        <w:r w:rsidR="00B16CCF">
          <w:fldChar w:fldCharType="separate"/>
        </w:r>
        <w:r w:rsidR="00B16CCF">
          <w:t>111</w:t>
        </w:r>
        <w:r w:rsidR="00B16CCF">
          <w:fldChar w:fldCharType="end"/>
        </w:r>
      </w:hyperlink>
    </w:p>
    <w:p w14:paraId="02DB151E" w14:textId="77777777" w:rsidR="00823317" w:rsidRDefault="001D0AD2">
      <w:pPr>
        <w:pStyle w:val="Kazalovsebine5"/>
        <w:tabs>
          <w:tab w:val="end" w:leader="dot" w:pos="512pt"/>
        </w:tabs>
        <w:rPr>
          <w:rFonts w:ascii="Calibri" w:hAnsi="Calibri"/>
          <w:sz w:val="22"/>
        </w:rPr>
      </w:pPr>
      <w:hyperlink w:anchor="_Toc256000848" w:history="1">
        <w:r w:rsidR="00A77B3E">
          <w:rPr>
            <w:rStyle w:val="Hiperpovezava"/>
          </w:rPr>
          <w:t>Tabela 5: Razsežnost 2 – oblika financiranja</w:t>
        </w:r>
        <w:r w:rsidR="00B16CCF">
          <w:tab/>
        </w:r>
        <w:r w:rsidR="00B16CCF">
          <w:fldChar w:fldCharType="begin"/>
        </w:r>
        <w:r w:rsidR="00B16CCF">
          <w:instrText xml:space="preserve"> PAGEREF _Toc256000848 \h </w:instrText>
        </w:r>
        <w:r w:rsidR="00B16CCF">
          <w:fldChar w:fldCharType="separate"/>
        </w:r>
        <w:r w:rsidR="00B16CCF">
          <w:t>111</w:t>
        </w:r>
        <w:r w:rsidR="00B16CCF">
          <w:fldChar w:fldCharType="end"/>
        </w:r>
      </w:hyperlink>
    </w:p>
    <w:p w14:paraId="29C5CA16" w14:textId="77777777" w:rsidR="00823317" w:rsidRDefault="001D0AD2">
      <w:pPr>
        <w:pStyle w:val="Kazalovsebine5"/>
        <w:tabs>
          <w:tab w:val="end" w:leader="dot" w:pos="512pt"/>
        </w:tabs>
        <w:rPr>
          <w:rFonts w:ascii="Calibri" w:hAnsi="Calibri"/>
          <w:sz w:val="22"/>
        </w:rPr>
      </w:pPr>
      <w:hyperlink w:anchor="_Toc256000849" w:history="1">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_Toc256000849 \h </w:instrText>
        </w:r>
        <w:r w:rsidR="00B16CCF">
          <w:fldChar w:fldCharType="separate"/>
        </w:r>
        <w:r w:rsidR="00B16CCF">
          <w:t>112</w:t>
        </w:r>
        <w:r w:rsidR="00B16CCF">
          <w:fldChar w:fldCharType="end"/>
        </w:r>
      </w:hyperlink>
    </w:p>
    <w:p w14:paraId="23E66B96" w14:textId="77777777" w:rsidR="00823317" w:rsidRDefault="001D0AD2">
      <w:pPr>
        <w:pStyle w:val="Kazalovsebine5"/>
        <w:tabs>
          <w:tab w:val="end" w:leader="dot" w:pos="512pt"/>
        </w:tabs>
        <w:rPr>
          <w:rFonts w:ascii="Calibri" w:hAnsi="Calibri"/>
          <w:sz w:val="22"/>
        </w:rPr>
      </w:pPr>
      <w:hyperlink w:anchor="_Toc256000850" w:history="1">
        <w:r w:rsidR="00A77B3E">
          <w:rPr>
            <w:rStyle w:val="Hiperpovezava"/>
          </w:rPr>
          <w:t>Tabela 7: Razsežnost 6 – sekundarna področja ESS+</w:t>
        </w:r>
        <w:r w:rsidR="00B16CCF">
          <w:tab/>
        </w:r>
        <w:r w:rsidR="00B16CCF">
          <w:fldChar w:fldCharType="begin"/>
        </w:r>
        <w:r w:rsidR="00B16CCF">
          <w:instrText xml:space="preserve"> PAGEREF _Toc256000850 \h </w:instrText>
        </w:r>
        <w:r w:rsidR="00B16CCF">
          <w:fldChar w:fldCharType="separate"/>
        </w:r>
        <w:r w:rsidR="00B16CCF">
          <w:t>112</w:t>
        </w:r>
        <w:r w:rsidR="00B16CCF">
          <w:fldChar w:fldCharType="end"/>
        </w:r>
      </w:hyperlink>
    </w:p>
    <w:p w14:paraId="59BA2FCF" w14:textId="77777777" w:rsidR="00823317" w:rsidRDefault="001D0AD2">
      <w:pPr>
        <w:pStyle w:val="Kazalovsebine5"/>
        <w:tabs>
          <w:tab w:val="end" w:leader="dot" w:pos="512pt"/>
        </w:tabs>
        <w:rPr>
          <w:rFonts w:ascii="Calibri" w:hAnsi="Calibri"/>
          <w:sz w:val="22"/>
        </w:rPr>
      </w:pPr>
      <w:hyperlink w:anchor="_Toc256000851" w:history="1">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_Toc256000851 \h </w:instrText>
        </w:r>
        <w:r w:rsidR="00B16CCF">
          <w:fldChar w:fldCharType="separate"/>
        </w:r>
        <w:r w:rsidR="00B16CCF">
          <w:t>112</w:t>
        </w:r>
        <w:r w:rsidR="00B16CCF">
          <w:fldChar w:fldCharType="end"/>
        </w:r>
      </w:hyperlink>
    </w:p>
    <w:p w14:paraId="56C8FBA1" w14:textId="77777777" w:rsidR="00823317" w:rsidRDefault="001D0AD2">
      <w:pPr>
        <w:pStyle w:val="Kazalovsebine3"/>
        <w:tabs>
          <w:tab w:val="end" w:leader="dot" w:pos="512pt"/>
        </w:tabs>
        <w:rPr>
          <w:rFonts w:ascii="Calibri" w:hAnsi="Calibri"/>
          <w:sz w:val="22"/>
        </w:rPr>
      </w:pPr>
      <w:hyperlink w:anchor="_Toc256000852" w:history="1">
        <w:r w:rsidR="00A77B3E">
          <w:rPr>
            <w:rStyle w:val="Hiperpovezava"/>
          </w:rPr>
          <w:t>2.1.1. Prednostna naloga: 11. Razvoj strateških tehnologij za Evropo - STEP</w:t>
        </w:r>
        <w:r w:rsidR="00B16CCF">
          <w:tab/>
        </w:r>
        <w:r w:rsidR="00B16CCF">
          <w:fldChar w:fldCharType="begin"/>
        </w:r>
        <w:r w:rsidR="00B16CCF">
          <w:instrText xml:space="preserve"> PAGEREF _Toc256000852 \h </w:instrText>
        </w:r>
        <w:r w:rsidR="00B16CCF">
          <w:fldChar w:fldCharType="separate"/>
        </w:r>
        <w:r w:rsidR="00B16CCF">
          <w:t>113</w:t>
        </w:r>
        <w:r w:rsidR="00B16CCF">
          <w:fldChar w:fldCharType="end"/>
        </w:r>
      </w:hyperlink>
    </w:p>
    <w:p w14:paraId="776A2ABF" w14:textId="77777777" w:rsidR="00823317" w:rsidRDefault="001D0AD2">
      <w:pPr>
        <w:pStyle w:val="Kazalovsebine4"/>
        <w:tabs>
          <w:tab w:val="end" w:leader="dot" w:pos="512pt"/>
        </w:tabs>
        <w:rPr>
          <w:rFonts w:ascii="Calibri" w:hAnsi="Calibri"/>
          <w:sz w:val="22"/>
        </w:rPr>
      </w:pPr>
      <w:hyperlink w:anchor="_Toc256000853" w:history="1">
        <w:r w:rsidR="00A77B3E">
          <w:rPr>
            <w:rStyle w:val="Hiperpovezava"/>
          </w:rPr>
          <w:t>2.1.1.1. Specifični cilj: RSO1.6. Podpora naložb, ki prispevajo k ciljem platforme za strateške tehnologije za Evropo (v nadaljnjem besedilu: platforma STEP) iz člena 2 Uredbe (EU) 2024/795 Evropskega parlamenta in Sveta. (ESRR)</w:t>
        </w:r>
        <w:r w:rsidR="00B16CCF">
          <w:tab/>
        </w:r>
        <w:r w:rsidR="00B16CCF">
          <w:fldChar w:fldCharType="begin"/>
        </w:r>
        <w:r w:rsidR="00B16CCF">
          <w:instrText xml:space="preserve"> PAGEREF _Toc256000853 \h </w:instrText>
        </w:r>
        <w:r w:rsidR="00B16CCF">
          <w:fldChar w:fldCharType="separate"/>
        </w:r>
        <w:r w:rsidR="00B16CCF">
          <w:t>113</w:t>
        </w:r>
        <w:r w:rsidR="00B16CCF">
          <w:fldChar w:fldCharType="end"/>
        </w:r>
      </w:hyperlink>
    </w:p>
    <w:p w14:paraId="3EF6EABB" w14:textId="77777777" w:rsidR="00823317" w:rsidRDefault="001D0AD2">
      <w:pPr>
        <w:pStyle w:val="Kazalovsebine4"/>
        <w:tabs>
          <w:tab w:val="end" w:leader="dot" w:pos="512pt"/>
        </w:tabs>
        <w:rPr>
          <w:rFonts w:ascii="Calibri" w:hAnsi="Calibri"/>
          <w:sz w:val="22"/>
        </w:rPr>
      </w:pPr>
      <w:hyperlink w:anchor="_Toc256000854" w:history="1">
        <w:r w:rsidR="00A77B3E">
          <w:rPr>
            <w:rStyle w:val="Hiperpovezava"/>
          </w:rPr>
          <w:t>2.1.1.1.1. Ukrepi skladov</w:t>
        </w:r>
        <w:r w:rsidR="00B16CCF">
          <w:tab/>
        </w:r>
        <w:r w:rsidR="00B16CCF">
          <w:fldChar w:fldCharType="begin"/>
        </w:r>
        <w:r w:rsidR="00B16CCF">
          <w:instrText xml:space="preserve"> PAGEREF _Toc256000854 \h </w:instrText>
        </w:r>
        <w:r w:rsidR="00B16CCF">
          <w:fldChar w:fldCharType="separate"/>
        </w:r>
        <w:r w:rsidR="00B16CCF">
          <w:t>113</w:t>
        </w:r>
        <w:r w:rsidR="00B16CCF">
          <w:fldChar w:fldCharType="end"/>
        </w:r>
      </w:hyperlink>
    </w:p>
    <w:p w14:paraId="2197DFD4" w14:textId="77777777" w:rsidR="00823317" w:rsidRDefault="001D0AD2">
      <w:pPr>
        <w:pStyle w:val="Kazalovsebine5"/>
        <w:tabs>
          <w:tab w:val="end" w:leader="dot" w:pos="512pt"/>
        </w:tabs>
        <w:rPr>
          <w:rFonts w:ascii="Calibri" w:hAnsi="Calibri"/>
          <w:sz w:val="22"/>
        </w:rPr>
      </w:pPr>
      <w:hyperlink w:anchor="_Toc256000855" w:history="1">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_Toc256000855 \h </w:instrText>
        </w:r>
        <w:r w:rsidR="00B16CCF">
          <w:fldChar w:fldCharType="separate"/>
        </w:r>
        <w:r w:rsidR="00B16CCF">
          <w:t>113</w:t>
        </w:r>
        <w:r w:rsidR="00B16CCF">
          <w:fldChar w:fldCharType="end"/>
        </w:r>
      </w:hyperlink>
    </w:p>
    <w:p w14:paraId="5A727DF6" w14:textId="77777777" w:rsidR="00823317" w:rsidRDefault="001D0AD2">
      <w:pPr>
        <w:pStyle w:val="Kazalovsebine5"/>
        <w:tabs>
          <w:tab w:val="end" w:leader="dot" w:pos="512pt"/>
        </w:tabs>
        <w:rPr>
          <w:rFonts w:ascii="Calibri" w:hAnsi="Calibri"/>
          <w:sz w:val="22"/>
        </w:rPr>
      </w:pPr>
      <w:hyperlink w:anchor="_Toc256000856" w:history="1">
        <w:r w:rsidR="00A77B3E">
          <w:rPr>
            <w:rStyle w:val="Hiperpovezava"/>
          </w:rPr>
          <w:t>Glavne ciljne skupine – člen 22(3)(d)(iii) uredbe o skupnih določbah:</w:t>
        </w:r>
        <w:r w:rsidR="00B16CCF">
          <w:tab/>
        </w:r>
        <w:r w:rsidR="00B16CCF">
          <w:fldChar w:fldCharType="begin"/>
        </w:r>
        <w:r w:rsidR="00B16CCF">
          <w:instrText xml:space="preserve"> PAGEREF _Toc256000856 \h </w:instrText>
        </w:r>
        <w:r w:rsidR="00B16CCF">
          <w:fldChar w:fldCharType="separate"/>
        </w:r>
        <w:r w:rsidR="00B16CCF">
          <w:t>114</w:t>
        </w:r>
        <w:r w:rsidR="00B16CCF">
          <w:fldChar w:fldCharType="end"/>
        </w:r>
      </w:hyperlink>
    </w:p>
    <w:p w14:paraId="75573E2D" w14:textId="77777777" w:rsidR="00823317" w:rsidRDefault="001D0AD2">
      <w:pPr>
        <w:pStyle w:val="Kazalovsebine5"/>
        <w:tabs>
          <w:tab w:val="end" w:leader="dot" w:pos="512pt"/>
        </w:tabs>
        <w:rPr>
          <w:rFonts w:ascii="Calibri" w:hAnsi="Calibri"/>
          <w:sz w:val="22"/>
        </w:rPr>
      </w:pPr>
      <w:hyperlink w:anchor="_Toc256000857" w:history="1">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_Toc256000857 \h </w:instrText>
        </w:r>
        <w:r w:rsidR="00B16CCF">
          <w:fldChar w:fldCharType="separate"/>
        </w:r>
        <w:r w:rsidR="00B16CCF">
          <w:t>115</w:t>
        </w:r>
        <w:r w:rsidR="00B16CCF">
          <w:fldChar w:fldCharType="end"/>
        </w:r>
      </w:hyperlink>
    </w:p>
    <w:p w14:paraId="2EF92F32" w14:textId="77777777" w:rsidR="00823317" w:rsidRDefault="001D0AD2">
      <w:pPr>
        <w:pStyle w:val="Kazalovsebine5"/>
        <w:tabs>
          <w:tab w:val="end" w:leader="dot" w:pos="512pt"/>
        </w:tabs>
        <w:rPr>
          <w:rFonts w:ascii="Calibri" w:hAnsi="Calibri"/>
          <w:sz w:val="22"/>
        </w:rPr>
      </w:pPr>
      <w:hyperlink w:anchor="_Toc256000858" w:history="1">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_Toc256000858 \h </w:instrText>
        </w:r>
        <w:r w:rsidR="00B16CCF">
          <w:fldChar w:fldCharType="separate"/>
        </w:r>
        <w:r w:rsidR="00B16CCF">
          <w:t>115</w:t>
        </w:r>
        <w:r w:rsidR="00B16CCF">
          <w:fldChar w:fldCharType="end"/>
        </w:r>
      </w:hyperlink>
    </w:p>
    <w:p w14:paraId="28946BE7" w14:textId="77777777" w:rsidR="00823317" w:rsidRDefault="001D0AD2">
      <w:pPr>
        <w:pStyle w:val="Kazalovsebine5"/>
        <w:tabs>
          <w:tab w:val="end" w:leader="dot" w:pos="512pt"/>
        </w:tabs>
        <w:rPr>
          <w:rFonts w:ascii="Calibri" w:hAnsi="Calibri"/>
          <w:sz w:val="22"/>
        </w:rPr>
      </w:pPr>
      <w:hyperlink w:anchor="_Toc256000859" w:history="1">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_Toc256000859 \h </w:instrText>
        </w:r>
        <w:r w:rsidR="00B16CCF">
          <w:fldChar w:fldCharType="separate"/>
        </w:r>
        <w:r w:rsidR="00B16CCF">
          <w:t>115</w:t>
        </w:r>
        <w:r w:rsidR="00B16CCF">
          <w:fldChar w:fldCharType="end"/>
        </w:r>
      </w:hyperlink>
    </w:p>
    <w:p w14:paraId="60FC557B" w14:textId="77777777" w:rsidR="00823317" w:rsidRDefault="001D0AD2">
      <w:pPr>
        <w:pStyle w:val="Kazalovsebine5"/>
        <w:tabs>
          <w:tab w:val="end" w:leader="dot" w:pos="512pt"/>
        </w:tabs>
        <w:rPr>
          <w:rFonts w:ascii="Calibri" w:hAnsi="Calibri"/>
          <w:sz w:val="22"/>
        </w:rPr>
      </w:pPr>
      <w:hyperlink w:anchor="_Toc256000860" w:history="1">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_Toc256000860 \h </w:instrText>
        </w:r>
        <w:r w:rsidR="00B16CCF">
          <w:fldChar w:fldCharType="separate"/>
        </w:r>
        <w:r w:rsidR="00B16CCF">
          <w:t>116</w:t>
        </w:r>
        <w:r w:rsidR="00B16CCF">
          <w:fldChar w:fldCharType="end"/>
        </w:r>
      </w:hyperlink>
    </w:p>
    <w:p w14:paraId="4B684459" w14:textId="77777777" w:rsidR="00823317" w:rsidRDefault="001D0AD2">
      <w:pPr>
        <w:pStyle w:val="Kazalovsebine4"/>
        <w:tabs>
          <w:tab w:val="end" w:leader="dot" w:pos="512pt"/>
        </w:tabs>
        <w:rPr>
          <w:rFonts w:ascii="Calibri" w:hAnsi="Calibri"/>
          <w:sz w:val="22"/>
        </w:rPr>
      </w:pPr>
      <w:hyperlink w:anchor="_Toc256000861" w:history="1">
        <w:r w:rsidR="00A77B3E">
          <w:rPr>
            <w:rStyle w:val="Hiperpovezava"/>
          </w:rPr>
          <w:t>2.1.1.1.2. Kazalniki</w:t>
        </w:r>
        <w:r w:rsidR="00B16CCF">
          <w:tab/>
        </w:r>
        <w:r w:rsidR="00B16CCF">
          <w:fldChar w:fldCharType="begin"/>
        </w:r>
        <w:r w:rsidR="00B16CCF">
          <w:instrText xml:space="preserve"> PAGEREF _Toc256000861 \h </w:instrText>
        </w:r>
        <w:r w:rsidR="00B16CCF">
          <w:fldChar w:fldCharType="separate"/>
        </w:r>
        <w:r w:rsidR="00B16CCF">
          <w:t>116</w:t>
        </w:r>
        <w:r w:rsidR="00B16CCF">
          <w:fldChar w:fldCharType="end"/>
        </w:r>
      </w:hyperlink>
    </w:p>
    <w:p w14:paraId="7A12DD0D" w14:textId="77777777" w:rsidR="00823317" w:rsidRDefault="001D0AD2">
      <w:pPr>
        <w:pStyle w:val="Kazalovsebine5"/>
        <w:tabs>
          <w:tab w:val="end" w:leader="dot" w:pos="512pt"/>
        </w:tabs>
        <w:rPr>
          <w:rFonts w:ascii="Calibri" w:hAnsi="Calibri"/>
          <w:sz w:val="22"/>
        </w:rPr>
      </w:pPr>
      <w:hyperlink w:anchor="_Toc256000862" w:history="1">
        <w:r w:rsidR="00A77B3E">
          <w:rPr>
            <w:rStyle w:val="Hiperpovezava"/>
          </w:rPr>
          <w:t>Tabela 2: Kazalniki učinka</w:t>
        </w:r>
        <w:r w:rsidR="00B16CCF">
          <w:tab/>
        </w:r>
        <w:r w:rsidR="00B16CCF">
          <w:fldChar w:fldCharType="begin"/>
        </w:r>
        <w:r w:rsidR="00B16CCF">
          <w:instrText xml:space="preserve"> PAGEREF _Toc256000862 \h </w:instrText>
        </w:r>
        <w:r w:rsidR="00B16CCF">
          <w:fldChar w:fldCharType="separate"/>
        </w:r>
        <w:r w:rsidR="00B16CCF">
          <w:t>116</w:t>
        </w:r>
        <w:r w:rsidR="00B16CCF">
          <w:fldChar w:fldCharType="end"/>
        </w:r>
      </w:hyperlink>
    </w:p>
    <w:p w14:paraId="40B729F1" w14:textId="77777777" w:rsidR="00823317" w:rsidRDefault="001D0AD2">
      <w:pPr>
        <w:pStyle w:val="Kazalovsebine5"/>
        <w:tabs>
          <w:tab w:val="end" w:leader="dot" w:pos="512pt"/>
        </w:tabs>
        <w:rPr>
          <w:rFonts w:ascii="Calibri" w:hAnsi="Calibri"/>
          <w:sz w:val="22"/>
        </w:rPr>
      </w:pPr>
      <w:hyperlink w:anchor="_Toc256000863" w:history="1">
        <w:r w:rsidR="00A77B3E">
          <w:rPr>
            <w:rStyle w:val="Hiperpovezava"/>
          </w:rPr>
          <w:t>Tabela 3: Kazalniki rezultatov</w:t>
        </w:r>
        <w:r w:rsidR="00B16CCF">
          <w:tab/>
        </w:r>
        <w:r w:rsidR="00B16CCF">
          <w:fldChar w:fldCharType="begin"/>
        </w:r>
        <w:r w:rsidR="00B16CCF">
          <w:instrText xml:space="preserve"> PAGEREF _Toc256000863 \h </w:instrText>
        </w:r>
        <w:r w:rsidR="00B16CCF">
          <w:fldChar w:fldCharType="separate"/>
        </w:r>
        <w:r w:rsidR="00B16CCF">
          <w:t>117</w:t>
        </w:r>
        <w:r w:rsidR="00B16CCF">
          <w:fldChar w:fldCharType="end"/>
        </w:r>
      </w:hyperlink>
    </w:p>
    <w:p w14:paraId="4DD0E3E2" w14:textId="77777777" w:rsidR="00823317" w:rsidRDefault="001D0AD2">
      <w:pPr>
        <w:pStyle w:val="Kazalovsebine4"/>
        <w:tabs>
          <w:tab w:val="end" w:leader="dot" w:pos="512pt"/>
        </w:tabs>
        <w:rPr>
          <w:rFonts w:ascii="Calibri" w:hAnsi="Calibri"/>
          <w:sz w:val="22"/>
        </w:rPr>
      </w:pPr>
      <w:hyperlink w:anchor="_Toc256000864" w:history="1">
        <w:r w:rsidR="00A77B3E">
          <w:rPr>
            <w:rStyle w:val="Hiperpovezava"/>
          </w:rPr>
          <w:t>2.1.1.1.3. Okvirna razčlenitev načrtovanih sredstev (EU) glede na vrsto ukrepa</w:t>
        </w:r>
        <w:r w:rsidR="00B16CCF">
          <w:tab/>
        </w:r>
        <w:r w:rsidR="00B16CCF">
          <w:fldChar w:fldCharType="begin"/>
        </w:r>
        <w:r w:rsidR="00B16CCF">
          <w:instrText xml:space="preserve"> PAGEREF _Toc256000864 \h </w:instrText>
        </w:r>
        <w:r w:rsidR="00B16CCF">
          <w:fldChar w:fldCharType="separate"/>
        </w:r>
        <w:r w:rsidR="00B16CCF">
          <w:t>118</w:t>
        </w:r>
        <w:r w:rsidR="00B16CCF">
          <w:fldChar w:fldCharType="end"/>
        </w:r>
      </w:hyperlink>
    </w:p>
    <w:p w14:paraId="61C32D11" w14:textId="77777777" w:rsidR="00823317" w:rsidRDefault="001D0AD2">
      <w:pPr>
        <w:pStyle w:val="Kazalovsebine5"/>
        <w:tabs>
          <w:tab w:val="end" w:leader="dot" w:pos="512pt"/>
        </w:tabs>
        <w:rPr>
          <w:rFonts w:ascii="Calibri" w:hAnsi="Calibri"/>
          <w:sz w:val="22"/>
        </w:rPr>
      </w:pPr>
      <w:hyperlink w:anchor="_Toc256000865" w:history="1">
        <w:r w:rsidR="00A77B3E">
          <w:rPr>
            <w:rStyle w:val="Hiperpovezava"/>
          </w:rPr>
          <w:t>Tabela 4: Razsežnost 1 – področje ukrepanja</w:t>
        </w:r>
        <w:r w:rsidR="00B16CCF">
          <w:tab/>
        </w:r>
        <w:r w:rsidR="00B16CCF">
          <w:fldChar w:fldCharType="begin"/>
        </w:r>
        <w:r w:rsidR="00B16CCF">
          <w:instrText xml:space="preserve"> PAGEREF _Toc256000865 \h </w:instrText>
        </w:r>
        <w:r w:rsidR="00B16CCF">
          <w:fldChar w:fldCharType="separate"/>
        </w:r>
        <w:r w:rsidR="00B16CCF">
          <w:t>118</w:t>
        </w:r>
        <w:r w:rsidR="00B16CCF">
          <w:fldChar w:fldCharType="end"/>
        </w:r>
      </w:hyperlink>
    </w:p>
    <w:p w14:paraId="17A4C875" w14:textId="77777777" w:rsidR="00823317" w:rsidRDefault="001D0AD2">
      <w:pPr>
        <w:pStyle w:val="Kazalovsebine5"/>
        <w:tabs>
          <w:tab w:val="end" w:leader="dot" w:pos="512pt"/>
        </w:tabs>
        <w:rPr>
          <w:rFonts w:ascii="Calibri" w:hAnsi="Calibri"/>
          <w:sz w:val="22"/>
        </w:rPr>
      </w:pPr>
      <w:hyperlink w:anchor="_Toc256000866" w:history="1">
        <w:r w:rsidR="00A77B3E">
          <w:rPr>
            <w:rStyle w:val="Hiperpovezava"/>
          </w:rPr>
          <w:t>Tabela 5: Razsežnost 2 – oblika financiranja</w:t>
        </w:r>
        <w:r w:rsidR="00B16CCF">
          <w:tab/>
        </w:r>
        <w:r w:rsidR="00B16CCF">
          <w:fldChar w:fldCharType="begin"/>
        </w:r>
        <w:r w:rsidR="00B16CCF">
          <w:instrText xml:space="preserve"> PAGEREF _Toc256000866 \h </w:instrText>
        </w:r>
        <w:r w:rsidR="00B16CCF">
          <w:fldChar w:fldCharType="separate"/>
        </w:r>
        <w:r w:rsidR="00B16CCF">
          <w:t>119</w:t>
        </w:r>
        <w:r w:rsidR="00B16CCF">
          <w:fldChar w:fldCharType="end"/>
        </w:r>
      </w:hyperlink>
    </w:p>
    <w:p w14:paraId="27AAFDD5" w14:textId="77777777" w:rsidR="00823317" w:rsidRDefault="001D0AD2">
      <w:pPr>
        <w:pStyle w:val="Kazalovsebine5"/>
        <w:tabs>
          <w:tab w:val="end" w:leader="dot" w:pos="512pt"/>
        </w:tabs>
        <w:rPr>
          <w:rFonts w:ascii="Calibri" w:hAnsi="Calibri"/>
          <w:sz w:val="22"/>
        </w:rPr>
      </w:pPr>
      <w:hyperlink w:anchor="_Toc256000867" w:history="1">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_Toc256000867 \h </w:instrText>
        </w:r>
        <w:r w:rsidR="00B16CCF">
          <w:fldChar w:fldCharType="separate"/>
        </w:r>
        <w:r w:rsidR="00B16CCF">
          <w:t>120</w:t>
        </w:r>
        <w:r w:rsidR="00B16CCF">
          <w:fldChar w:fldCharType="end"/>
        </w:r>
      </w:hyperlink>
    </w:p>
    <w:p w14:paraId="65D8993C" w14:textId="77777777" w:rsidR="00823317" w:rsidRDefault="001D0AD2">
      <w:pPr>
        <w:pStyle w:val="Kazalovsebine5"/>
        <w:tabs>
          <w:tab w:val="end" w:leader="dot" w:pos="512pt"/>
        </w:tabs>
        <w:rPr>
          <w:rFonts w:ascii="Calibri" w:hAnsi="Calibri"/>
          <w:sz w:val="22"/>
        </w:rPr>
      </w:pPr>
      <w:hyperlink w:anchor="_Toc256000868" w:history="1">
        <w:r w:rsidR="00A77B3E">
          <w:rPr>
            <w:rStyle w:val="Hiperpovezava"/>
          </w:rPr>
          <w:t>Tabela 7: Razsežnost 6 – sekundarna področja ESS+</w:t>
        </w:r>
        <w:r w:rsidR="00B16CCF">
          <w:tab/>
        </w:r>
        <w:r w:rsidR="00B16CCF">
          <w:fldChar w:fldCharType="begin"/>
        </w:r>
        <w:r w:rsidR="00B16CCF">
          <w:instrText xml:space="preserve"> PAGEREF _Toc256000868 \h </w:instrText>
        </w:r>
        <w:r w:rsidR="00B16CCF">
          <w:fldChar w:fldCharType="separate"/>
        </w:r>
        <w:r w:rsidR="00B16CCF">
          <w:t>120</w:t>
        </w:r>
        <w:r w:rsidR="00B16CCF">
          <w:fldChar w:fldCharType="end"/>
        </w:r>
      </w:hyperlink>
    </w:p>
    <w:p w14:paraId="417B903A" w14:textId="77777777" w:rsidR="00823317" w:rsidRDefault="001D0AD2">
      <w:pPr>
        <w:pStyle w:val="Kazalovsebine5"/>
        <w:tabs>
          <w:tab w:val="end" w:leader="dot" w:pos="512pt"/>
        </w:tabs>
        <w:rPr>
          <w:rFonts w:ascii="Calibri" w:hAnsi="Calibri"/>
          <w:sz w:val="22"/>
        </w:rPr>
      </w:pPr>
      <w:hyperlink w:anchor="_Toc256000869" w:history="1">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_Toc256000869 \h </w:instrText>
        </w:r>
        <w:r w:rsidR="00B16CCF">
          <w:fldChar w:fldCharType="separate"/>
        </w:r>
        <w:r w:rsidR="00B16CCF">
          <w:t>120</w:t>
        </w:r>
        <w:r w:rsidR="00B16CCF">
          <w:fldChar w:fldCharType="end"/>
        </w:r>
      </w:hyperlink>
    </w:p>
    <w:p w14:paraId="3C58DD75" w14:textId="77777777" w:rsidR="00823317" w:rsidRDefault="001D0AD2">
      <w:pPr>
        <w:pStyle w:val="Kazalovsebine3"/>
        <w:tabs>
          <w:tab w:val="end" w:leader="dot" w:pos="512pt"/>
        </w:tabs>
        <w:rPr>
          <w:rFonts w:ascii="Calibri" w:hAnsi="Calibri"/>
          <w:sz w:val="22"/>
        </w:rPr>
      </w:pPr>
      <w:hyperlink w:anchor="_Toc256000870" w:history="1">
        <w:r w:rsidR="00A77B3E">
          <w:rPr>
            <w:rStyle w:val="Hiperpovezava"/>
          </w:rPr>
          <w:t>2.1.1. Prednostna naloga: 3. Zelena preobrazba za podnebno nevtralnost</w:t>
        </w:r>
        <w:r w:rsidR="00B16CCF">
          <w:tab/>
        </w:r>
        <w:r w:rsidR="00B16CCF">
          <w:fldChar w:fldCharType="begin"/>
        </w:r>
        <w:r w:rsidR="00B16CCF">
          <w:instrText xml:space="preserve"> PAGEREF _Toc256000870 \h </w:instrText>
        </w:r>
        <w:r w:rsidR="00B16CCF">
          <w:fldChar w:fldCharType="separate"/>
        </w:r>
        <w:r w:rsidR="00B16CCF">
          <w:t>121</w:t>
        </w:r>
        <w:r w:rsidR="00B16CCF">
          <w:fldChar w:fldCharType="end"/>
        </w:r>
      </w:hyperlink>
    </w:p>
    <w:p w14:paraId="3834A9EC" w14:textId="77777777" w:rsidR="00823317" w:rsidRDefault="001D0AD2">
      <w:pPr>
        <w:pStyle w:val="Kazalovsebine4"/>
        <w:tabs>
          <w:tab w:val="end" w:leader="dot" w:pos="512pt"/>
        </w:tabs>
        <w:rPr>
          <w:rFonts w:ascii="Calibri" w:hAnsi="Calibri"/>
          <w:sz w:val="22"/>
        </w:rPr>
      </w:pPr>
      <w:hyperlink w:anchor="_Toc256000871" w:history="1">
        <w:r w:rsidR="00A77B3E">
          <w:rPr>
            <w:rStyle w:val="Hiperpovezava"/>
          </w:rPr>
          <w:t>2.1.1.1. Specifični cilj: RSO2.1. Spodbujanje energijske učinkovitosti in zmanjševanje emisij toplogrednih plinov (ESRR)</w:t>
        </w:r>
        <w:r w:rsidR="00B16CCF">
          <w:tab/>
        </w:r>
        <w:r w:rsidR="00B16CCF">
          <w:fldChar w:fldCharType="begin"/>
        </w:r>
        <w:r w:rsidR="00B16CCF">
          <w:instrText xml:space="preserve"> PAGEREF _Toc256000871 \h </w:instrText>
        </w:r>
        <w:r w:rsidR="00B16CCF">
          <w:fldChar w:fldCharType="separate"/>
        </w:r>
        <w:r w:rsidR="00B16CCF">
          <w:t>121</w:t>
        </w:r>
        <w:r w:rsidR="00B16CCF">
          <w:fldChar w:fldCharType="end"/>
        </w:r>
      </w:hyperlink>
    </w:p>
    <w:p w14:paraId="57678319" w14:textId="77777777" w:rsidR="00823317" w:rsidRDefault="001D0AD2">
      <w:pPr>
        <w:pStyle w:val="Kazalovsebine4"/>
        <w:tabs>
          <w:tab w:val="end" w:leader="dot" w:pos="512pt"/>
        </w:tabs>
        <w:rPr>
          <w:rFonts w:ascii="Calibri" w:hAnsi="Calibri"/>
          <w:sz w:val="22"/>
        </w:rPr>
      </w:pPr>
      <w:hyperlink w:anchor="_Toc256000872" w:history="1">
        <w:r w:rsidR="00A77B3E">
          <w:rPr>
            <w:rStyle w:val="Hiperpovezava"/>
          </w:rPr>
          <w:t>2.1.1.1.1. Ukrepi skladov</w:t>
        </w:r>
        <w:r w:rsidR="00B16CCF">
          <w:tab/>
        </w:r>
        <w:r w:rsidR="00B16CCF">
          <w:fldChar w:fldCharType="begin"/>
        </w:r>
        <w:r w:rsidR="00B16CCF">
          <w:instrText xml:space="preserve"> PAGEREF _Toc256000872 \h </w:instrText>
        </w:r>
        <w:r w:rsidR="00B16CCF">
          <w:fldChar w:fldCharType="separate"/>
        </w:r>
        <w:r w:rsidR="00B16CCF">
          <w:t>121</w:t>
        </w:r>
        <w:r w:rsidR="00B16CCF">
          <w:fldChar w:fldCharType="end"/>
        </w:r>
      </w:hyperlink>
    </w:p>
    <w:p w14:paraId="391D310C" w14:textId="77777777" w:rsidR="00823317" w:rsidRDefault="001D0AD2">
      <w:pPr>
        <w:pStyle w:val="Kazalovsebine5"/>
        <w:tabs>
          <w:tab w:val="end" w:leader="dot" w:pos="512pt"/>
        </w:tabs>
        <w:rPr>
          <w:rFonts w:ascii="Calibri" w:hAnsi="Calibri"/>
          <w:sz w:val="22"/>
        </w:rPr>
      </w:pPr>
      <w:hyperlink w:anchor="_Toc256000873" w:history="1">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_Toc256000873 \h </w:instrText>
        </w:r>
        <w:r w:rsidR="00B16CCF">
          <w:fldChar w:fldCharType="separate"/>
        </w:r>
        <w:r w:rsidR="00B16CCF">
          <w:t>121</w:t>
        </w:r>
        <w:r w:rsidR="00B16CCF">
          <w:fldChar w:fldCharType="end"/>
        </w:r>
      </w:hyperlink>
    </w:p>
    <w:p w14:paraId="2FEF6078" w14:textId="77777777" w:rsidR="00823317" w:rsidRDefault="001D0AD2">
      <w:pPr>
        <w:pStyle w:val="Kazalovsebine5"/>
        <w:tabs>
          <w:tab w:val="end" w:leader="dot" w:pos="512pt"/>
        </w:tabs>
        <w:rPr>
          <w:rFonts w:ascii="Calibri" w:hAnsi="Calibri"/>
          <w:sz w:val="22"/>
        </w:rPr>
      </w:pPr>
      <w:hyperlink w:anchor="_Toc256000874" w:history="1">
        <w:r w:rsidR="00A77B3E">
          <w:rPr>
            <w:rStyle w:val="Hiperpovezava"/>
          </w:rPr>
          <w:t>Glavne ciljne skupine – člen 22(3)(d)(iii) uredbe o skupnih določbah:</w:t>
        </w:r>
        <w:r w:rsidR="00B16CCF">
          <w:tab/>
        </w:r>
        <w:r w:rsidR="00B16CCF">
          <w:fldChar w:fldCharType="begin"/>
        </w:r>
        <w:r w:rsidR="00B16CCF">
          <w:instrText xml:space="preserve"> PAGEREF _Toc256000874 \h </w:instrText>
        </w:r>
        <w:r w:rsidR="00B16CCF">
          <w:fldChar w:fldCharType="separate"/>
        </w:r>
        <w:r w:rsidR="00B16CCF">
          <w:t>122</w:t>
        </w:r>
        <w:r w:rsidR="00B16CCF">
          <w:fldChar w:fldCharType="end"/>
        </w:r>
      </w:hyperlink>
    </w:p>
    <w:p w14:paraId="0D549D89" w14:textId="77777777" w:rsidR="00823317" w:rsidRDefault="001D0AD2">
      <w:pPr>
        <w:pStyle w:val="Kazalovsebine5"/>
        <w:tabs>
          <w:tab w:val="end" w:leader="dot" w:pos="512pt"/>
        </w:tabs>
        <w:rPr>
          <w:rFonts w:ascii="Calibri" w:hAnsi="Calibri"/>
          <w:sz w:val="22"/>
        </w:rPr>
      </w:pPr>
      <w:hyperlink w:anchor="_Toc256000875" w:history="1">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_Toc256000875 \h </w:instrText>
        </w:r>
        <w:r w:rsidR="00B16CCF">
          <w:fldChar w:fldCharType="separate"/>
        </w:r>
        <w:r w:rsidR="00B16CCF">
          <w:t>122</w:t>
        </w:r>
        <w:r w:rsidR="00B16CCF">
          <w:fldChar w:fldCharType="end"/>
        </w:r>
      </w:hyperlink>
    </w:p>
    <w:p w14:paraId="022C3E41" w14:textId="77777777" w:rsidR="00823317" w:rsidRDefault="001D0AD2">
      <w:pPr>
        <w:pStyle w:val="Kazalovsebine5"/>
        <w:tabs>
          <w:tab w:val="end" w:leader="dot" w:pos="512pt"/>
        </w:tabs>
        <w:rPr>
          <w:rFonts w:ascii="Calibri" w:hAnsi="Calibri"/>
          <w:sz w:val="22"/>
        </w:rPr>
      </w:pPr>
      <w:hyperlink w:anchor="_Toc256000876" w:history="1">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_Toc256000876 \h </w:instrText>
        </w:r>
        <w:r w:rsidR="00B16CCF">
          <w:fldChar w:fldCharType="separate"/>
        </w:r>
        <w:r w:rsidR="00B16CCF">
          <w:t>123</w:t>
        </w:r>
        <w:r w:rsidR="00B16CCF">
          <w:fldChar w:fldCharType="end"/>
        </w:r>
      </w:hyperlink>
    </w:p>
    <w:p w14:paraId="765D00E7" w14:textId="77777777" w:rsidR="00823317" w:rsidRDefault="001D0AD2">
      <w:pPr>
        <w:pStyle w:val="Kazalovsebine5"/>
        <w:tabs>
          <w:tab w:val="end" w:leader="dot" w:pos="512pt"/>
        </w:tabs>
        <w:rPr>
          <w:rFonts w:ascii="Calibri" w:hAnsi="Calibri"/>
          <w:sz w:val="22"/>
        </w:rPr>
      </w:pPr>
      <w:hyperlink w:anchor="_Toc256000877" w:history="1">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_Toc256000877 \h </w:instrText>
        </w:r>
        <w:r w:rsidR="00B16CCF">
          <w:fldChar w:fldCharType="separate"/>
        </w:r>
        <w:r w:rsidR="00B16CCF">
          <w:t>123</w:t>
        </w:r>
        <w:r w:rsidR="00B16CCF">
          <w:fldChar w:fldCharType="end"/>
        </w:r>
      </w:hyperlink>
    </w:p>
    <w:p w14:paraId="68F88E16" w14:textId="77777777" w:rsidR="00823317" w:rsidRDefault="001D0AD2">
      <w:pPr>
        <w:pStyle w:val="Kazalovsebine5"/>
        <w:tabs>
          <w:tab w:val="end" w:leader="dot" w:pos="512pt"/>
        </w:tabs>
        <w:rPr>
          <w:rFonts w:ascii="Calibri" w:hAnsi="Calibri"/>
          <w:sz w:val="22"/>
        </w:rPr>
      </w:pPr>
      <w:hyperlink w:anchor="_Toc256000878" w:history="1">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_Toc256000878 \h </w:instrText>
        </w:r>
        <w:r w:rsidR="00B16CCF">
          <w:fldChar w:fldCharType="separate"/>
        </w:r>
        <w:r w:rsidR="00B16CCF">
          <w:t>123</w:t>
        </w:r>
        <w:r w:rsidR="00B16CCF">
          <w:fldChar w:fldCharType="end"/>
        </w:r>
      </w:hyperlink>
    </w:p>
    <w:p w14:paraId="226FCF9D" w14:textId="77777777" w:rsidR="00823317" w:rsidRDefault="001D0AD2">
      <w:pPr>
        <w:pStyle w:val="Kazalovsebine4"/>
        <w:tabs>
          <w:tab w:val="end" w:leader="dot" w:pos="512pt"/>
        </w:tabs>
        <w:rPr>
          <w:rFonts w:ascii="Calibri" w:hAnsi="Calibri"/>
          <w:sz w:val="22"/>
        </w:rPr>
      </w:pPr>
      <w:hyperlink w:anchor="_Toc256000879" w:history="1">
        <w:r w:rsidR="00A77B3E">
          <w:rPr>
            <w:rStyle w:val="Hiperpovezava"/>
          </w:rPr>
          <w:t>2.1.1.1.2. Kazalniki</w:t>
        </w:r>
        <w:r w:rsidR="00B16CCF">
          <w:tab/>
        </w:r>
        <w:r w:rsidR="00B16CCF">
          <w:fldChar w:fldCharType="begin"/>
        </w:r>
        <w:r w:rsidR="00B16CCF">
          <w:instrText xml:space="preserve"> PAGEREF _Toc256000879 \h </w:instrText>
        </w:r>
        <w:r w:rsidR="00B16CCF">
          <w:fldChar w:fldCharType="separate"/>
        </w:r>
        <w:r w:rsidR="00B16CCF">
          <w:t>124</w:t>
        </w:r>
        <w:r w:rsidR="00B16CCF">
          <w:fldChar w:fldCharType="end"/>
        </w:r>
      </w:hyperlink>
    </w:p>
    <w:p w14:paraId="367C89E9" w14:textId="77777777" w:rsidR="00823317" w:rsidRDefault="001D0AD2">
      <w:pPr>
        <w:pStyle w:val="Kazalovsebine5"/>
        <w:tabs>
          <w:tab w:val="end" w:leader="dot" w:pos="512pt"/>
        </w:tabs>
        <w:rPr>
          <w:rFonts w:ascii="Calibri" w:hAnsi="Calibri"/>
          <w:sz w:val="22"/>
        </w:rPr>
      </w:pPr>
      <w:hyperlink w:anchor="_Toc256000880" w:history="1">
        <w:r w:rsidR="00A77B3E">
          <w:rPr>
            <w:rStyle w:val="Hiperpovezava"/>
          </w:rPr>
          <w:t>Tabela 2: Kazalniki učinka</w:t>
        </w:r>
        <w:r w:rsidR="00B16CCF">
          <w:tab/>
        </w:r>
        <w:r w:rsidR="00B16CCF">
          <w:fldChar w:fldCharType="begin"/>
        </w:r>
        <w:r w:rsidR="00B16CCF">
          <w:instrText xml:space="preserve"> PAGEREF _Toc256000880 \h </w:instrText>
        </w:r>
        <w:r w:rsidR="00B16CCF">
          <w:fldChar w:fldCharType="separate"/>
        </w:r>
        <w:r w:rsidR="00B16CCF">
          <w:t>124</w:t>
        </w:r>
        <w:r w:rsidR="00B16CCF">
          <w:fldChar w:fldCharType="end"/>
        </w:r>
      </w:hyperlink>
    </w:p>
    <w:p w14:paraId="62C37B3F" w14:textId="77777777" w:rsidR="00823317" w:rsidRDefault="001D0AD2">
      <w:pPr>
        <w:pStyle w:val="Kazalovsebine5"/>
        <w:tabs>
          <w:tab w:val="end" w:leader="dot" w:pos="512pt"/>
        </w:tabs>
        <w:rPr>
          <w:rFonts w:ascii="Calibri" w:hAnsi="Calibri"/>
          <w:sz w:val="22"/>
        </w:rPr>
      </w:pPr>
      <w:hyperlink w:anchor="_Toc256000881" w:history="1">
        <w:r w:rsidR="00A77B3E">
          <w:rPr>
            <w:rStyle w:val="Hiperpovezava"/>
          </w:rPr>
          <w:t>Tabela 3: Kazalniki rezultatov</w:t>
        </w:r>
        <w:r w:rsidR="00B16CCF">
          <w:tab/>
        </w:r>
        <w:r w:rsidR="00B16CCF">
          <w:fldChar w:fldCharType="begin"/>
        </w:r>
        <w:r w:rsidR="00B16CCF">
          <w:instrText xml:space="preserve"> PAGEREF _Toc256000881 \h </w:instrText>
        </w:r>
        <w:r w:rsidR="00B16CCF">
          <w:fldChar w:fldCharType="separate"/>
        </w:r>
        <w:r w:rsidR="00B16CCF">
          <w:t>124</w:t>
        </w:r>
        <w:r w:rsidR="00B16CCF">
          <w:fldChar w:fldCharType="end"/>
        </w:r>
      </w:hyperlink>
    </w:p>
    <w:p w14:paraId="005C044B" w14:textId="77777777" w:rsidR="00823317" w:rsidRDefault="001D0AD2">
      <w:pPr>
        <w:pStyle w:val="Kazalovsebine4"/>
        <w:tabs>
          <w:tab w:val="end" w:leader="dot" w:pos="512pt"/>
        </w:tabs>
        <w:rPr>
          <w:rFonts w:ascii="Calibri" w:hAnsi="Calibri"/>
          <w:sz w:val="22"/>
        </w:rPr>
      </w:pPr>
      <w:hyperlink w:anchor="_Toc256000882" w:history="1">
        <w:r w:rsidR="00A77B3E">
          <w:rPr>
            <w:rStyle w:val="Hiperpovezava"/>
          </w:rPr>
          <w:t>2.1.1.1.3. Okvirna razčlenitev načrtovanih sredstev (EU) glede na vrsto ukrepa</w:t>
        </w:r>
        <w:r w:rsidR="00B16CCF">
          <w:tab/>
        </w:r>
        <w:r w:rsidR="00B16CCF">
          <w:fldChar w:fldCharType="begin"/>
        </w:r>
        <w:r w:rsidR="00B16CCF">
          <w:instrText xml:space="preserve"> PAGEREF _Toc256000882 \h </w:instrText>
        </w:r>
        <w:r w:rsidR="00B16CCF">
          <w:fldChar w:fldCharType="separate"/>
        </w:r>
        <w:r w:rsidR="00B16CCF">
          <w:t>125</w:t>
        </w:r>
        <w:r w:rsidR="00B16CCF">
          <w:fldChar w:fldCharType="end"/>
        </w:r>
      </w:hyperlink>
    </w:p>
    <w:p w14:paraId="651D7401" w14:textId="77777777" w:rsidR="00823317" w:rsidRDefault="001D0AD2">
      <w:pPr>
        <w:pStyle w:val="Kazalovsebine5"/>
        <w:tabs>
          <w:tab w:val="end" w:leader="dot" w:pos="512pt"/>
        </w:tabs>
        <w:rPr>
          <w:rFonts w:ascii="Calibri" w:hAnsi="Calibri"/>
          <w:sz w:val="22"/>
        </w:rPr>
      </w:pPr>
      <w:hyperlink w:anchor="_Toc256000883" w:history="1">
        <w:r w:rsidR="00A77B3E">
          <w:rPr>
            <w:rStyle w:val="Hiperpovezava"/>
          </w:rPr>
          <w:t>Tabela 4: Razsežnost 1 – področje ukrepanja</w:t>
        </w:r>
        <w:r w:rsidR="00B16CCF">
          <w:tab/>
        </w:r>
        <w:r w:rsidR="00B16CCF">
          <w:fldChar w:fldCharType="begin"/>
        </w:r>
        <w:r w:rsidR="00B16CCF">
          <w:instrText xml:space="preserve"> PAGEREF _Toc256000883 \h </w:instrText>
        </w:r>
        <w:r w:rsidR="00B16CCF">
          <w:fldChar w:fldCharType="separate"/>
        </w:r>
        <w:r w:rsidR="00B16CCF">
          <w:t>125</w:t>
        </w:r>
        <w:r w:rsidR="00B16CCF">
          <w:fldChar w:fldCharType="end"/>
        </w:r>
      </w:hyperlink>
    </w:p>
    <w:p w14:paraId="35F84480" w14:textId="77777777" w:rsidR="00823317" w:rsidRDefault="001D0AD2">
      <w:pPr>
        <w:pStyle w:val="Kazalovsebine5"/>
        <w:tabs>
          <w:tab w:val="end" w:leader="dot" w:pos="512pt"/>
        </w:tabs>
        <w:rPr>
          <w:rFonts w:ascii="Calibri" w:hAnsi="Calibri"/>
          <w:sz w:val="22"/>
        </w:rPr>
      </w:pPr>
      <w:hyperlink w:anchor="_Toc256000884" w:history="1">
        <w:r w:rsidR="00A77B3E">
          <w:rPr>
            <w:rStyle w:val="Hiperpovezava"/>
          </w:rPr>
          <w:t>Tabela 5: Razsežnost 2 – oblika financiranja</w:t>
        </w:r>
        <w:r w:rsidR="00B16CCF">
          <w:tab/>
        </w:r>
        <w:r w:rsidR="00B16CCF">
          <w:fldChar w:fldCharType="begin"/>
        </w:r>
        <w:r w:rsidR="00B16CCF">
          <w:instrText xml:space="preserve"> PAGEREF _Toc256000884 \h </w:instrText>
        </w:r>
        <w:r w:rsidR="00B16CCF">
          <w:fldChar w:fldCharType="separate"/>
        </w:r>
        <w:r w:rsidR="00B16CCF">
          <w:t>125</w:t>
        </w:r>
        <w:r w:rsidR="00B16CCF">
          <w:fldChar w:fldCharType="end"/>
        </w:r>
      </w:hyperlink>
    </w:p>
    <w:p w14:paraId="1068A736" w14:textId="77777777" w:rsidR="00823317" w:rsidRDefault="001D0AD2">
      <w:pPr>
        <w:pStyle w:val="Kazalovsebine5"/>
        <w:tabs>
          <w:tab w:val="end" w:leader="dot" w:pos="512pt"/>
        </w:tabs>
        <w:rPr>
          <w:rFonts w:ascii="Calibri" w:hAnsi="Calibri"/>
          <w:sz w:val="22"/>
        </w:rPr>
      </w:pPr>
      <w:hyperlink w:anchor="_Toc256000885" w:history="1">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_Toc256000885 \h </w:instrText>
        </w:r>
        <w:r w:rsidR="00B16CCF">
          <w:fldChar w:fldCharType="separate"/>
        </w:r>
        <w:r w:rsidR="00B16CCF">
          <w:t>126</w:t>
        </w:r>
        <w:r w:rsidR="00B16CCF">
          <w:fldChar w:fldCharType="end"/>
        </w:r>
      </w:hyperlink>
    </w:p>
    <w:p w14:paraId="19E38BC0" w14:textId="77777777" w:rsidR="00823317" w:rsidRDefault="001D0AD2">
      <w:pPr>
        <w:pStyle w:val="Kazalovsebine5"/>
        <w:tabs>
          <w:tab w:val="end" w:leader="dot" w:pos="512pt"/>
        </w:tabs>
        <w:rPr>
          <w:rFonts w:ascii="Calibri" w:hAnsi="Calibri"/>
          <w:sz w:val="22"/>
        </w:rPr>
      </w:pPr>
      <w:hyperlink w:anchor="_Toc256000886" w:history="1">
        <w:r w:rsidR="00A77B3E">
          <w:rPr>
            <w:rStyle w:val="Hiperpovezava"/>
          </w:rPr>
          <w:t>Tabela 7: Razsežnost 6 – sekundarna področja ESS+</w:t>
        </w:r>
        <w:r w:rsidR="00B16CCF">
          <w:tab/>
        </w:r>
        <w:r w:rsidR="00B16CCF">
          <w:fldChar w:fldCharType="begin"/>
        </w:r>
        <w:r w:rsidR="00B16CCF">
          <w:instrText xml:space="preserve"> PAGEREF _Toc256000886 \h </w:instrText>
        </w:r>
        <w:r w:rsidR="00B16CCF">
          <w:fldChar w:fldCharType="separate"/>
        </w:r>
        <w:r w:rsidR="00B16CCF">
          <w:t>126</w:t>
        </w:r>
        <w:r w:rsidR="00B16CCF">
          <w:fldChar w:fldCharType="end"/>
        </w:r>
      </w:hyperlink>
    </w:p>
    <w:p w14:paraId="49750304" w14:textId="77777777" w:rsidR="00823317" w:rsidRDefault="001D0AD2">
      <w:pPr>
        <w:pStyle w:val="Kazalovsebine5"/>
        <w:tabs>
          <w:tab w:val="end" w:leader="dot" w:pos="512pt"/>
        </w:tabs>
        <w:rPr>
          <w:rFonts w:ascii="Calibri" w:hAnsi="Calibri"/>
          <w:sz w:val="22"/>
        </w:rPr>
      </w:pPr>
      <w:hyperlink w:anchor="_Toc256000887" w:history="1">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_Toc256000887 \h </w:instrText>
        </w:r>
        <w:r w:rsidR="00B16CCF">
          <w:fldChar w:fldCharType="separate"/>
        </w:r>
        <w:r w:rsidR="00B16CCF">
          <w:t>126</w:t>
        </w:r>
        <w:r w:rsidR="00B16CCF">
          <w:fldChar w:fldCharType="end"/>
        </w:r>
      </w:hyperlink>
    </w:p>
    <w:p w14:paraId="2901881F" w14:textId="77777777" w:rsidR="00823317" w:rsidRDefault="001D0AD2">
      <w:pPr>
        <w:pStyle w:val="Kazalovsebine4"/>
        <w:tabs>
          <w:tab w:val="end" w:leader="dot" w:pos="512pt"/>
        </w:tabs>
        <w:rPr>
          <w:rFonts w:ascii="Calibri" w:hAnsi="Calibri"/>
          <w:sz w:val="22"/>
        </w:rPr>
      </w:pPr>
      <w:hyperlink w:anchor="_Toc256000888" w:history="1">
        <w:r w:rsidR="00A77B3E">
          <w:rPr>
            <w:rStyle w:val="Hiperpovezava"/>
          </w:rPr>
          <w:t>2.1.1.1. Specifični cilj: RSO2.2. Spodbujanje energije iz obnovljivih virov v skladu z Direktivo (EU) 2018/2001 o spodbujanju uporabe energije iz obnovljivih virov [1], vključno s trajnostnimi merili, določenimi v Direktivi (ESRR)</w:t>
        </w:r>
        <w:r w:rsidR="00B16CCF">
          <w:tab/>
        </w:r>
        <w:r w:rsidR="00B16CCF">
          <w:fldChar w:fldCharType="begin"/>
        </w:r>
        <w:r w:rsidR="00B16CCF">
          <w:instrText xml:space="preserve"> PAGEREF _Toc256000888 \h </w:instrText>
        </w:r>
        <w:r w:rsidR="00B16CCF">
          <w:fldChar w:fldCharType="separate"/>
        </w:r>
        <w:r w:rsidR="00B16CCF">
          <w:t>127</w:t>
        </w:r>
        <w:r w:rsidR="00B16CCF">
          <w:fldChar w:fldCharType="end"/>
        </w:r>
      </w:hyperlink>
    </w:p>
    <w:p w14:paraId="3ACFD4AB" w14:textId="77777777" w:rsidR="00823317" w:rsidRDefault="001D0AD2">
      <w:pPr>
        <w:pStyle w:val="Kazalovsebine4"/>
        <w:tabs>
          <w:tab w:val="end" w:leader="dot" w:pos="512pt"/>
        </w:tabs>
        <w:rPr>
          <w:rFonts w:ascii="Calibri" w:hAnsi="Calibri"/>
          <w:sz w:val="22"/>
        </w:rPr>
      </w:pPr>
      <w:hyperlink w:anchor="_Toc256000889" w:history="1">
        <w:r w:rsidR="00A77B3E">
          <w:rPr>
            <w:rStyle w:val="Hiperpovezava"/>
          </w:rPr>
          <w:t>2.1.1.1.1. Ukrepi skladov</w:t>
        </w:r>
        <w:r w:rsidR="00B16CCF">
          <w:tab/>
        </w:r>
        <w:r w:rsidR="00B16CCF">
          <w:fldChar w:fldCharType="begin"/>
        </w:r>
        <w:r w:rsidR="00B16CCF">
          <w:instrText xml:space="preserve"> PAGEREF _Toc256000889 \h </w:instrText>
        </w:r>
        <w:r w:rsidR="00B16CCF">
          <w:fldChar w:fldCharType="separate"/>
        </w:r>
        <w:r w:rsidR="00B16CCF">
          <w:t>127</w:t>
        </w:r>
        <w:r w:rsidR="00B16CCF">
          <w:fldChar w:fldCharType="end"/>
        </w:r>
      </w:hyperlink>
    </w:p>
    <w:p w14:paraId="521E81EE" w14:textId="77777777" w:rsidR="00823317" w:rsidRDefault="001D0AD2">
      <w:pPr>
        <w:pStyle w:val="Kazalovsebine5"/>
        <w:tabs>
          <w:tab w:val="end" w:leader="dot" w:pos="512pt"/>
        </w:tabs>
        <w:rPr>
          <w:rFonts w:ascii="Calibri" w:hAnsi="Calibri"/>
          <w:sz w:val="22"/>
        </w:rPr>
      </w:pPr>
      <w:hyperlink w:anchor="_Toc256000890" w:history="1">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_Toc256000890 \h </w:instrText>
        </w:r>
        <w:r w:rsidR="00B16CCF">
          <w:fldChar w:fldCharType="separate"/>
        </w:r>
        <w:r w:rsidR="00B16CCF">
          <w:t>127</w:t>
        </w:r>
        <w:r w:rsidR="00B16CCF">
          <w:fldChar w:fldCharType="end"/>
        </w:r>
      </w:hyperlink>
    </w:p>
    <w:p w14:paraId="776B712F" w14:textId="77777777" w:rsidR="00823317" w:rsidRDefault="001D0AD2">
      <w:pPr>
        <w:pStyle w:val="Kazalovsebine5"/>
        <w:tabs>
          <w:tab w:val="end" w:leader="dot" w:pos="512pt"/>
        </w:tabs>
        <w:rPr>
          <w:rFonts w:ascii="Calibri" w:hAnsi="Calibri"/>
          <w:sz w:val="22"/>
        </w:rPr>
      </w:pPr>
      <w:hyperlink w:anchor="_Toc256000891" w:history="1">
        <w:r w:rsidR="00A77B3E">
          <w:rPr>
            <w:rStyle w:val="Hiperpovezava"/>
          </w:rPr>
          <w:t>Glavne ciljne skupine – člen 22(3)(d)(iii) uredbe o skupnih določbah:</w:t>
        </w:r>
        <w:r w:rsidR="00B16CCF">
          <w:tab/>
        </w:r>
        <w:r w:rsidR="00B16CCF">
          <w:fldChar w:fldCharType="begin"/>
        </w:r>
        <w:r w:rsidR="00B16CCF">
          <w:instrText xml:space="preserve"> PAGEREF _Toc256000891 \h </w:instrText>
        </w:r>
        <w:r w:rsidR="00B16CCF">
          <w:fldChar w:fldCharType="separate"/>
        </w:r>
        <w:r w:rsidR="00B16CCF">
          <w:t>129</w:t>
        </w:r>
        <w:r w:rsidR="00B16CCF">
          <w:fldChar w:fldCharType="end"/>
        </w:r>
      </w:hyperlink>
    </w:p>
    <w:p w14:paraId="6FE1FD3A" w14:textId="77777777" w:rsidR="00823317" w:rsidRDefault="001D0AD2">
      <w:pPr>
        <w:pStyle w:val="Kazalovsebine5"/>
        <w:tabs>
          <w:tab w:val="end" w:leader="dot" w:pos="512pt"/>
        </w:tabs>
        <w:rPr>
          <w:rFonts w:ascii="Calibri" w:hAnsi="Calibri"/>
          <w:sz w:val="22"/>
        </w:rPr>
      </w:pPr>
      <w:hyperlink w:anchor="_Toc256000892" w:history="1">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_Toc256000892 \h </w:instrText>
        </w:r>
        <w:r w:rsidR="00B16CCF">
          <w:fldChar w:fldCharType="separate"/>
        </w:r>
        <w:r w:rsidR="00B16CCF">
          <w:t>129</w:t>
        </w:r>
        <w:r w:rsidR="00B16CCF">
          <w:fldChar w:fldCharType="end"/>
        </w:r>
      </w:hyperlink>
    </w:p>
    <w:p w14:paraId="4BBC7C4D" w14:textId="77777777" w:rsidR="00823317" w:rsidRDefault="001D0AD2">
      <w:pPr>
        <w:pStyle w:val="Kazalovsebine5"/>
        <w:tabs>
          <w:tab w:val="end" w:leader="dot" w:pos="512pt"/>
        </w:tabs>
        <w:rPr>
          <w:rFonts w:ascii="Calibri" w:hAnsi="Calibri"/>
          <w:sz w:val="22"/>
        </w:rPr>
      </w:pPr>
      <w:hyperlink w:anchor="_Toc256000893" w:history="1">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_Toc256000893 \h </w:instrText>
        </w:r>
        <w:r w:rsidR="00B16CCF">
          <w:fldChar w:fldCharType="separate"/>
        </w:r>
        <w:r w:rsidR="00B16CCF">
          <w:t>129</w:t>
        </w:r>
        <w:r w:rsidR="00B16CCF">
          <w:fldChar w:fldCharType="end"/>
        </w:r>
      </w:hyperlink>
    </w:p>
    <w:p w14:paraId="18F974E9" w14:textId="77777777" w:rsidR="00823317" w:rsidRDefault="001D0AD2">
      <w:pPr>
        <w:pStyle w:val="Kazalovsebine5"/>
        <w:tabs>
          <w:tab w:val="end" w:leader="dot" w:pos="512pt"/>
        </w:tabs>
        <w:rPr>
          <w:rFonts w:ascii="Calibri" w:hAnsi="Calibri"/>
          <w:sz w:val="22"/>
        </w:rPr>
      </w:pPr>
      <w:hyperlink w:anchor="_Toc256000894" w:history="1">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_Toc256000894 \h </w:instrText>
        </w:r>
        <w:r w:rsidR="00B16CCF">
          <w:fldChar w:fldCharType="separate"/>
        </w:r>
        <w:r w:rsidR="00B16CCF">
          <w:t>129</w:t>
        </w:r>
        <w:r w:rsidR="00B16CCF">
          <w:fldChar w:fldCharType="end"/>
        </w:r>
      </w:hyperlink>
    </w:p>
    <w:p w14:paraId="3506C771" w14:textId="77777777" w:rsidR="00823317" w:rsidRDefault="001D0AD2">
      <w:pPr>
        <w:pStyle w:val="Kazalovsebine5"/>
        <w:tabs>
          <w:tab w:val="end" w:leader="dot" w:pos="512pt"/>
        </w:tabs>
        <w:rPr>
          <w:rFonts w:ascii="Calibri" w:hAnsi="Calibri"/>
          <w:sz w:val="22"/>
        </w:rPr>
      </w:pPr>
      <w:hyperlink w:anchor="_Toc256000895" w:history="1">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_Toc256000895 \h </w:instrText>
        </w:r>
        <w:r w:rsidR="00B16CCF">
          <w:fldChar w:fldCharType="separate"/>
        </w:r>
        <w:r w:rsidR="00B16CCF">
          <w:t>130</w:t>
        </w:r>
        <w:r w:rsidR="00B16CCF">
          <w:fldChar w:fldCharType="end"/>
        </w:r>
      </w:hyperlink>
    </w:p>
    <w:p w14:paraId="601E07C0" w14:textId="77777777" w:rsidR="00823317" w:rsidRDefault="001D0AD2">
      <w:pPr>
        <w:pStyle w:val="Kazalovsebine4"/>
        <w:tabs>
          <w:tab w:val="end" w:leader="dot" w:pos="512pt"/>
        </w:tabs>
        <w:rPr>
          <w:rFonts w:ascii="Calibri" w:hAnsi="Calibri"/>
          <w:sz w:val="22"/>
        </w:rPr>
      </w:pPr>
      <w:hyperlink w:anchor="_Toc256000896" w:history="1">
        <w:r w:rsidR="00A77B3E">
          <w:rPr>
            <w:rStyle w:val="Hiperpovezava"/>
          </w:rPr>
          <w:t>2.1.1.1.2. Kazalniki</w:t>
        </w:r>
        <w:r w:rsidR="00B16CCF">
          <w:tab/>
        </w:r>
        <w:r w:rsidR="00B16CCF">
          <w:fldChar w:fldCharType="begin"/>
        </w:r>
        <w:r w:rsidR="00B16CCF">
          <w:instrText xml:space="preserve"> PAGEREF _Toc256000896 \h </w:instrText>
        </w:r>
        <w:r w:rsidR="00B16CCF">
          <w:fldChar w:fldCharType="separate"/>
        </w:r>
        <w:r w:rsidR="00B16CCF">
          <w:t>130</w:t>
        </w:r>
        <w:r w:rsidR="00B16CCF">
          <w:fldChar w:fldCharType="end"/>
        </w:r>
      </w:hyperlink>
    </w:p>
    <w:p w14:paraId="7B1C3873" w14:textId="77777777" w:rsidR="00823317" w:rsidRDefault="001D0AD2">
      <w:pPr>
        <w:pStyle w:val="Kazalovsebine5"/>
        <w:tabs>
          <w:tab w:val="end" w:leader="dot" w:pos="512pt"/>
        </w:tabs>
        <w:rPr>
          <w:rFonts w:ascii="Calibri" w:hAnsi="Calibri"/>
          <w:sz w:val="22"/>
        </w:rPr>
      </w:pPr>
      <w:hyperlink w:anchor="_Toc256000897" w:history="1">
        <w:r w:rsidR="00A77B3E">
          <w:rPr>
            <w:rStyle w:val="Hiperpovezava"/>
          </w:rPr>
          <w:t>Tabela 2: Kazalniki učinka</w:t>
        </w:r>
        <w:r w:rsidR="00B16CCF">
          <w:tab/>
        </w:r>
        <w:r w:rsidR="00B16CCF">
          <w:fldChar w:fldCharType="begin"/>
        </w:r>
        <w:r w:rsidR="00B16CCF">
          <w:instrText xml:space="preserve"> PAGEREF _Toc256000897 \h </w:instrText>
        </w:r>
        <w:r w:rsidR="00B16CCF">
          <w:fldChar w:fldCharType="separate"/>
        </w:r>
        <w:r w:rsidR="00B16CCF">
          <w:t>130</w:t>
        </w:r>
        <w:r w:rsidR="00B16CCF">
          <w:fldChar w:fldCharType="end"/>
        </w:r>
      </w:hyperlink>
    </w:p>
    <w:p w14:paraId="04AE7C9B" w14:textId="77777777" w:rsidR="00823317" w:rsidRDefault="001D0AD2">
      <w:pPr>
        <w:pStyle w:val="Kazalovsebine5"/>
        <w:tabs>
          <w:tab w:val="end" w:leader="dot" w:pos="512pt"/>
        </w:tabs>
        <w:rPr>
          <w:rFonts w:ascii="Calibri" w:hAnsi="Calibri"/>
          <w:sz w:val="22"/>
        </w:rPr>
      </w:pPr>
      <w:hyperlink w:anchor="_Toc256000898" w:history="1">
        <w:r w:rsidR="00A77B3E">
          <w:rPr>
            <w:rStyle w:val="Hiperpovezava"/>
          </w:rPr>
          <w:t>Tabela 3: Kazalniki rezultatov</w:t>
        </w:r>
        <w:r w:rsidR="00B16CCF">
          <w:tab/>
        </w:r>
        <w:r w:rsidR="00B16CCF">
          <w:fldChar w:fldCharType="begin"/>
        </w:r>
        <w:r w:rsidR="00B16CCF">
          <w:instrText xml:space="preserve"> PAGEREF _Toc256000898 \h </w:instrText>
        </w:r>
        <w:r w:rsidR="00B16CCF">
          <w:fldChar w:fldCharType="separate"/>
        </w:r>
        <w:r w:rsidR="00B16CCF">
          <w:t>130</w:t>
        </w:r>
        <w:r w:rsidR="00B16CCF">
          <w:fldChar w:fldCharType="end"/>
        </w:r>
      </w:hyperlink>
    </w:p>
    <w:p w14:paraId="34EEFE48" w14:textId="77777777" w:rsidR="00823317" w:rsidRDefault="001D0AD2">
      <w:pPr>
        <w:pStyle w:val="Kazalovsebine4"/>
        <w:tabs>
          <w:tab w:val="end" w:leader="dot" w:pos="512pt"/>
        </w:tabs>
        <w:rPr>
          <w:rFonts w:ascii="Calibri" w:hAnsi="Calibri"/>
          <w:sz w:val="22"/>
        </w:rPr>
      </w:pPr>
      <w:hyperlink w:anchor="_Toc256000899" w:history="1">
        <w:r w:rsidR="00A77B3E">
          <w:rPr>
            <w:rStyle w:val="Hiperpovezava"/>
          </w:rPr>
          <w:t>2.1.1.1.3. Okvirna razčlenitev načrtovanih sredstev (EU) glede na vrsto ukrepa</w:t>
        </w:r>
        <w:r w:rsidR="00B16CCF">
          <w:tab/>
        </w:r>
        <w:r w:rsidR="00B16CCF">
          <w:fldChar w:fldCharType="begin"/>
        </w:r>
        <w:r w:rsidR="00B16CCF">
          <w:instrText xml:space="preserve"> PAGEREF _Toc256000899 \h </w:instrText>
        </w:r>
        <w:r w:rsidR="00B16CCF">
          <w:fldChar w:fldCharType="separate"/>
        </w:r>
        <w:r w:rsidR="00B16CCF">
          <w:t>131</w:t>
        </w:r>
        <w:r w:rsidR="00B16CCF">
          <w:fldChar w:fldCharType="end"/>
        </w:r>
      </w:hyperlink>
    </w:p>
    <w:p w14:paraId="4F9DDDEE" w14:textId="77777777" w:rsidR="00823317" w:rsidRDefault="001D0AD2">
      <w:pPr>
        <w:pStyle w:val="Kazalovsebine5"/>
        <w:tabs>
          <w:tab w:val="end" w:leader="dot" w:pos="512pt"/>
        </w:tabs>
        <w:rPr>
          <w:rFonts w:ascii="Calibri" w:hAnsi="Calibri"/>
          <w:sz w:val="22"/>
        </w:rPr>
      </w:pPr>
      <w:hyperlink w:anchor="_Toc256000900" w:history="1">
        <w:r w:rsidR="00A77B3E">
          <w:rPr>
            <w:rStyle w:val="Hiperpovezava"/>
          </w:rPr>
          <w:t>Tabela 4: Razsežnost 1 – področje ukrepanja</w:t>
        </w:r>
        <w:r w:rsidR="00B16CCF">
          <w:tab/>
        </w:r>
        <w:r w:rsidR="00B16CCF">
          <w:fldChar w:fldCharType="begin"/>
        </w:r>
        <w:r w:rsidR="00B16CCF">
          <w:instrText xml:space="preserve"> PAGEREF _Toc256000900 \h </w:instrText>
        </w:r>
        <w:r w:rsidR="00B16CCF">
          <w:fldChar w:fldCharType="separate"/>
        </w:r>
        <w:r w:rsidR="00B16CCF">
          <w:t>131</w:t>
        </w:r>
        <w:r w:rsidR="00B16CCF">
          <w:fldChar w:fldCharType="end"/>
        </w:r>
      </w:hyperlink>
    </w:p>
    <w:p w14:paraId="7657E221" w14:textId="77777777" w:rsidR="00823317" w:rsidRDefault="001D0AD2">
      <w:pPr>
        <w:pStyle w:val="Kazalovsebine5"/>
        <w:tabs>
          <w:tab w:val="end" w:leader="dot" w:pos="512pt"/>
        </w:tabs>
        <w:rPr>
          <w:rFonts w:ascii="Calibri" w:hAnsi="Calibri"/>
          <w:sz w:val="22"/>
        </w:rPr>
      </w:pPr>
      <w:hyperlink w:anchor="_Toc256000901" w:history="1">
        <w:r w:rsidR="00A77B3E">
          <w:rPr>
            <w:rStyle w:val="Hiperpovezava"/>
          </w:rPr>
          <w:t>Tabela 5: Razsežnost 2 – oblika financiranja</w:t>
        </w:r>
        <w:r w:rsidR="00B16CCF">
          <w:tab/>
        </w:r>
        <w:r w:rsidR="00B16CCF">
          <w:fldChar w:fldCharType="begin"/>
        </w:r>
        <w:r w:rsidR="00B16CCF">
          <w:instrText xml:space="preserve"> PAGEREF _Toc256000901 \h </w:instrText>
        </w:r>
        <w:r w:rsidR="00B16CCF">
          <w:fldChar w:fldCharType="separate"/>
        </w:r>
        <w:r w:rsidR="00B16CCF">
          <w:t>131</w:t>
        </w:r>
        <w:r w:rsidR="00B16CCF">
          <w:fldChar w:fldCharType="end"/>
        </w:r>
      </w:hyperlink>
    </w:p>
    <w:p w14:paraId="248AF0B2" w14:textId="77777777" w:rsidR="00823317" w:rsidRDefault="001D0AD2">
      <w:pPr>
        <w:pStyle w:val="Kazalovsebine5"/>
        <w:tabs>
          <w:tab w:val="end" w:leader="dot" w:pos="512pt"/>
        </w:tabs>
        <w:rPr>
          <w:rFonts w:ascii="Calibri" w:hAnsi="Calibri"/>
          <w:sz w:val="22"/>
        </w:rPr>
      </w:pPr>
      <w:hyperlink w:anchor="_Toc256000902" w:history="1">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_Toc256000902 \h </w:instrText>
        </w:r>
        <w:r w:rsidR="00B16CCF">
          <w:fldChar w:fldCharType="separate"/>
        </w:r>
        <w:r w:rsidR="00B16CCF">
          <w:t>131</w:t>
        </w:r>
        <w:r w:rsidR="00B16CCF">
          <w:fldChar w:fldCharType="end"/>
        </w:r>
      </w:hyperlink>
    </w:p>
    <w:p w14:paraId="014094F0" w14:textId="77777777" w:rsidR="00823317" w:rsidRDefault="001D0AD2">
      <w:pPr>
        <w:pStyle w:val="Kazalovsebine5"/>
        <w:tabs>
          <w:tab w:val="end" w:leader="dot" w:pos="512pt"/>
        </w:tabs>
        <w:rPr>
          <w:rFonts w:ascii="Calibri" w:hAnsi="Calibri"/>
          <w:sz w:val="22"/>
        </w:rPr>
      </w:pPr>
      <w:hyperlink w:anchor="_Toc256000903" w:history="1">
        <w:r w:rsidR="00A77B3E">
          <w:rPr>
            <w:rStyle w:val="Hiperpovezava"/>
          </w:rPr>
          <w:t>Tabela 7: Razsežnost 6 – sekundarna področja ESS+</w:t>
        </w:r>
        <w:r w:rsidR="00B16CCF">
          <w:tab/>
        </w:r>
        <w:r w:rsidR="00B16CCF">
          <w:fldChar w:fldCharType="begin"/>
        </w:r>
        <w:r w:rsidR="00B16CCF">
          <w:instrText xml:space="preserve"> PAGEREF _Toc256000903 \h </w:instrText>
        </w:r>
        <w:r w:rsidR="00B16CCF">
          <w:fldChar w:fldCharType="separate"/>
        </w:r>
        <w:r w:rsidR="00B16CCF">
          <w:t>132</w:t>
        </w:r>
        <w:r w:rsidR="00B16CCF">
          <w:fldChar w:fldCharType="end"/>
        </w:r>
      </w:hyperlink>
    </w:p>
    <w:p w14:paraId="259E7E7A" w14:textId="77777777" w:rsidR="00823317" w:rsidRDefault="001D0AD2">
      <w:pPr>
        <w:pStyle w:val="Kazalovsebine5"/>
        <w:tabs>
          <w:tab w:val="end" w:leader="dot" w:pos="512pt"/>
        </w:tabs>
        <w:rPr>
          <w:rFonts w:ascii="Calibri" w:hAnsi="Calibri"/>
          <w:sz w:val="22"/>
        </w:rPr>
      </w:pPr>
      <w:hyperlink w:anchor="_Toc256000904" w:history="1">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_Toc256000904 \h </w:instrText>
        </w:r>
        <w:r w:rsidR="00B16CCF">
          <w:fldChar w:fldCharType="separate"/>
        </w:r>
        <w:r w:rsidR="00B16CCF">
          <w:t>132</w:t>
        </w:r>
        <w:r w:rsidR="00B16CCF">
          <w:fldChar w:fldCharType="end"/>
        </w:r>
      </w:hyperlink>
    </w:p>
    <w:p w14:paraId="4C66C625" w14:textId="77777777" w:rsidR="00823317" w:rsidRDefault="001D0AD2">
      <w:pPr>
        <w:pStyle w:val="Kazalovsebine4"/>
        <w:tabs>
          <w:tab w:val="end" w:leader="dot" w:pos="512pt"/>
        </w:tabs>
        <w:rPr>
          <w:rFonts w:ascii="Calibri" w:hAnsi="Calibri"/>
          <w:sz w:val="22"/>
        </w:rPr>
      </w:pPr>
      <w:hyperlink w:anchor="_Toc256000905" w:history="1">
        <w:r w:rsidR="00A77B3E">
          <w:rPr>
            <w:rStyle w:val="Hiperpovezava"/>
          </w:rPr>
          <w:t>2.1.1.1. Specifični cilj: RSO2.4. Spodbujanje prilagajanja podnebnim spremembam in preprečevanja tveganja nesreč ter odpornosti, ob upoštevanju ekosistemskih pristopov (ESRR)</w:t>
        </w:r>
        <w:r w:rsidR="00B16CCF">
          <w:tab/>
        </w:r>
        <w:r w:rsidR="00B16CCF">
          <w:fldChar w:fldCharType="begin"/>
        </w:r>
        <w:r w:rsidR="00B16CCF">
          <w:instrText xml:space="preserve"> PAGEREF _Toc256000905 \h </w:instrText>
        </w:r>
        <w:r w:rsidR="00B16CCF">
          <w:fldChar w:fldCharType="separate"/>
        </w:r>
        <w:r w:rsidR="00B16CCF">
          <w:t>133</w:t>
        </w:r>
        <w:r w:rsidR="00B16CCF">
          <w:fldChar w:fldCharType="end"/>
        </w:r>
      </w:hyperlink>
    </w:p>
    <w:p w14:paraId="1DCC44C9" w14:textId="77777777" w:rsidR="00823317" w:rsidRDefault="001D0AD2">
      <w:pPr>
        <w:pStyle w:val="Kazalovsebine4"/>
        <w:tabs>
          <w:tab w:val="end" w:leader="dot" w:pos="512pt"/>
        </w:tabs>
        <w:rPr>
          <w:rFonts w:ascii="Calibri" w:hAnsi="Calibri"/>
          <w:sz w:val="22"/>
        </w:rPr>
      </w:pPr>
      <w:hyperlink w:anchor="_Toc256000906" w:history="1">
        <w:r w:rsidR="00A77B3E">
          <w:rPr>
            <w:rStyle w:val="Hiperpovezava"/>
          </w:rPr>
          <w:t>2.1.1.1.1. Ukrepi skladov</w:t>
        </w:r>
        <w:r w:rsidR="00B16CCF">
          <w:tab/>
        </w:r>
        <w:r w:rsidR="00B16CCF">
          <w:fldChar w:fldCharType="begin"/>
        </w:r>
        <w:r w:rsidR="00B16CCF">
          <w:instrText xml:space="preserve"> PAGEREF _Toc256000906 \h </w:instrText>
        </w:r>
        <w:r w:rsidR="00B16CCF">
          <w:fldChar w:fldCharType="separate"/>
        </w:r>
        <w:r w:rsidR="00B16CCF">
          <w:t>133</w:t>
        </w:r>
        <w:r w:rsidR="00B16CCF">
          <w:fldChar w:fldCharType="end"/>
        </w:r>
      </w:hyperlink>
    </w:p>
    <w:p w14:paraId="40778BD1" w14:textId="77777777" w:rsidR="00823317" w:rsidRDefault="001D0AD2">
      <w:pPr>
        <w:pStyle w:val="Kazalovsebine5"/>
        <w:tabs>
          <w:tab w:val="end" w:leader="dot" w:pos="512pt"/>
        </w:tabs>
        <w:rPr>
          <w:rFonts w:ascii="Calibri" w:hAnsi="Calibri"/>
          <w:sz w:val="22"/>
        </w:rPr>
      </w:pPr>
      <w:hyperlink w:anchor="_Toc256000907" w:history="1">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_Toc256000907 \h </w:instrText>
        </w:r>
        <w:r w:rsidR="00B16CCF">
          <w:fldChar w:fldCharType="separate"/>
        </w:r>
        <w:r w:rsidR="00B16CCF">
          <w:t>133</w:t>
        </w:r>
        <w:r w:rsidR="00B16CCF">
          <w:fldChar w:fldCharType="end"/>
        </w:r>
      </w:hyperlink>
    </w:p>
    <w:p w14:paraId="453B9EA0" w14:textId="77777777" w:rsidR="00823317" w:rsidRDefault="001D0AD2">
      <w:pPr>
        <w:pStyle w:val="Kazalovsebine5"/>
        <w:tabs>
          <w:tab w:val="end" w:leader="dot" w:pos="512pt"/>
        </w:tabs>
        <w:rPr>
          <w:rFonts w:ascii="Calibri" w:hAnsi="Calibri"/>
          <w:sz w:val="22"/>
        </w:rPr>
      </w:pPr>
      <w:hyperlink w:anchor="_Toc256000908" w:history="1">
        <w:r w:rsidR="00A77B3E">
          <w:rPr>
            <w:rStyle w:val="Hiperpovezava"/>
          </w:rPr>
          <w:t>Glavne ciljne skupine – člen 22(3)(d)(iii) uredbe o skupnih določbah:</w:t>
        </w:r>
        <w:r w:rsidR="00B16CCF">
          <w:tab/>
        </w:r>
        <w:r w:rsidR="00B16CCF">
          <w:fldChar w:fldCharType="begin"/>
        </w:r>
        <w:r w:rsidR="00B16CCF">
          <w:instrText xml:space="preserve"> PAGEREF _Toc256000908 \h </w:instrText>
        </w:r>
        <w:r w:rsidR="00B16CCF">
          <w:fldChar w:fldCharType="separate"/>
        </w:r>
        <w:r w:rsidR="00B16CCF">
          <w:t>134</w:t>
        </w:r>
        <w:r w:rsidR="00B16CCF">
          <w:fldChar w:fldCharType="end"/>
        </w:r>
      </w:hyperlink>
    </w:p>
    <w:p w14:paraId="1B4147D4" w14:textId="77777777" w:rsidR="00823317" w:rsidRDefault="001D0AD2">
      <w:pPr>
        <w:pStyle w:val="Kazalovsebine5"/>
        <w:tabs>
          <w:tab w:val="end" w:leader="dot" w:pos="512pt"/>
        </w:tabs>
        <w:rPr>
          <w:rFonts w:ascii="Calibri" w:hAnsi="Calibri"/>
          <w:sz w:val="22"/>
        </w:rPr>
      </w:pPr>
      <w:hyperlink w:anchor="_Toc256000909" w:history="1">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_Toc256000909 \h </w:instrText>
        </w:r>
        <w:r w:rsidR="00B16CCF">
          <w:fldChar w:fldCharType="separate"/>
        </w:r>
        <w:r w:rsidR="00B16CCF">
          <w:t>135</w:t>
        </w:r>
        <w:r w:rsidR="00B16CCF">
          <w:fldChar w:fldCharType="end"/>
        </w:r>
      </w:hyperlink>
    </w:p>
    <w:p w14:paraId="326D527A" w14:textId="77777777" w:rsidR="00823317" w:rsidRDefault="001D0AD2">
      <w:pPr>
        <w:pStyle w:val="Kazalovsebine5"/>
        <w:tabs>
          <w:tab w:val="end" w:leader="dot" w:pos="512pt"/>
        </w:tabs>
        <w:rPr>
          <w:rFonts w:ascii="Calibri" w:hAnsi="Calibri"/>
          <w:sz w:val="22"/>
        </w:rPr>
      </w:pPr>
      <w:hyperlink w:anchor="_Toc256000910" w:history="1">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_Toc256000910 \h </w:instrText>
        </w:r>
        <w:r w:rsidR="00B16CCF">
          <w:fldChar w:fldCharType="separate"/>
        </w:r>
        <w:r w:rsidR="00B16CCF">
          <w:t>135</w:t>
        </w:r>
        <w:r w:rsidR="00B16CCF">
          <w:fldChar w:fldCharType="end"/>
        </w:r>
      </w:hyperlink>
    </w:p>
    <w:p w14:paraId="2701F095" w14:textId="77777777" w:rsidR="00823317" w:rsidRDefault="001D0AD2">
      <w:pPr>
        <w:pStyle w:val="Kazalovsebine5"/>
        <w:tabs>
          <w:tab w:val="end" w:leader="dot" w:pos="512pt"/>
        </w:tabs>
        <w:rPr>
          <w:rFonts w:ascii="Calibri" w:hAnsi="Calibri"/>
          <w:sz w:val="22"/>
        </w:rPr>
      </w:pPr>
      <w:hyperlink w:anchor="_Toc256000911" w:history="1">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_Toc256000911 \h </w:instrText>
        </w:r>
        <w:r w:rsidR="00B16CCF">
          <w:fldChar w:fldCharType="separate"/>
        </w:r>
        <w:r w:rsidR="00B16CCF">
          <w:t>135</w:t>
        </w:r>
        <w:r w:rsidR="00B16CCF">
          <w:fldChar w:fldCharType="end"/>
        </w:r>
      </w:hyperlink>
    </w:p>
    <w:p w14:paraId="10774AF0" w14:textId="77777777" w:rsidR="00823317" w:rsidRDefault="001D0AD2">
      <w:pPr>
        <w:pStyle w:val="Kazalovsebine5"/>
        <w:tabs>
          <w:tab w:val="end" w:leader="dot" w:pos="512pt"/>
        </w:tabs>
        <w:rPr>
          <w:rFonts w:ascii="Calibri" w:hAnsi="Calibri"/>
          <w:sz w:val="22"/>
        </w:rPr>
      </w:pPr>
      <w:hyperlink w:anchor="_Toc256000912" w:history="1">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_Toc256000912 \h </w:instrText>
        </w:r>
        <w:r w:rsidR="00B16CCF">
          <w:fldChar w:fldCharType="separate"/>
        </w:r>
        <w:r w:rsidR="00B16CCF">
          <w:t>136</w:t>
        </w:r>
        <w:r w:rsidR="00B16CCF">
          <w:fldChar w:fldCharType="end"/>
        </w:r>
      </w:hyperlink>
    </w:p>
    <w:p w14:paraId="4B82A59D" w14:textId="77777777" w:rsidR="00823317" w:rsidRDefault="001D0AD2">
      <w:pPr>
        <w:pStyle w:val="Kazalovsebine4"/>
        <w:tabs>
          <w:tab w:val="end" w:leader="dot" w:pos="512pt"/>
        </w:tabs>
        <w:rPr>
          <w:rFonts w:ascii="Calibri" w:hAnsi="Calibri"/>
          <w:sz w:val="22"/>
        </w:rPr>
      </w:pPr>
      <w:hyperlink w:anchor="_Toc256000913" w:history="1">
        <w:r w:rsidR="00A77B3E">
          <w:rPr>
            <w:rStyle w:val="Hiperpovezava"/>
          </w:rPr>
          <w:t>2.1.1.1.2. Kazalniki</w:t>
        </w:r>
        <w:r w:rsidR="00B16CCF">
          <w:tab/>
        </w:r>
        <w:r w:rsidR="00B16CCF">
          <w:fldChar w:fldCharType="begin"/>
        </w:r>
        <w:r w:rsidR="00B16CCF">
          <w:instrText xml:space="preserve"> PAGEREF _Toc256000913 \h </w:instrText>
        </w:r>
        <w:r w:rsidR="00B16CCF">
          <w:fldChar w:fldCharType="separate"/>
        </w:r>
        <w:r w:rsidR="00B16CCF">
          <w:t>136</w:t>
        </w:r>
        <w:r w:rsidR="00B16CCF">
          <w:fldChar w:fldCharType="end"/>
        </w:r>
      </w:hyperlink>
    </w:p>
    <w:p w14:paraId="6E185C5D" w14:textId="77777777" w:rsidR="00823317" w:rsidRDefault="001D0AD2">
      <w:pPr>
        <w:pStyle w:val="Kazalovsebine5"/>
        <w:tabs>
          <w:tab w:val="end" w:leader="dot" w:pos="512pt"/>
        </w:tabs>
        <w:rPr>
          <w:rFonts w:ascii="Calibri" w:hAnsi="Calibri"/>
          <w:sz w:val="22"/>
        </w:rPr>
      </w:pPr>
      <w:hyperlink w:anchor="_Toc256000914" w:history="1">
        <w:r w:rsidR="00A77B3E">
          <w:rPr>
            <w:rStyle w:val="Hiperpovezava"/>
          </w:rPr>
          <w:t>Tabela 2: Kazalniki učinka</w:t>
        </w:r>
        <w:r w:rsidR="00B16CCF">
          <w:tab/>
        </w:r>
        <w:r w:rsidR="00B16CCF">
          <w:fldChar w:fldCharType="begin"/>
        </w:r>
        <w:r w:rsidR="00B16CCF">
          <w:instrText xml:space="preserve"> PAGEREF _Toc256000914 \h </w:instrText>
        </w:r>
        <w:r w:rsidR="00B16CCF">
          <w:fldChar w:fldCharType="separate"/>
        </w:r>
        <w:r w:rsidR="00B16CCF">
          <w:t>136</w:t>
        </w:r>
        <w:r w:rsidR="00B16CCF">
          <w:fldChar w:fldCharType="end"/>
        </w:r>
      </w:hyperlink>
    </w:p>
    <w:p w14:paraId="379C3DF1" w14:textId="77777777" w:rsidR="00823317" w:rsidRDefault="001D0AD2">
      <w:pPr>
        <w:pStyle w:val="Kazalovsebine5"/>
        <w:tabs>
          <w:tab w:val="end" w:leader="dot" w:pos="512pt"/>
        </w:tabs>
        <w:rPr>
          <w:rFonts w:ascii="Calibri" w:hAnsi="Calibri"/>
          <w:sz w:val="22"/>
        </w:rPr>
      </w:pPr>
      <w:hyperlink w:anchor="_Toc256000915" w:history="1">
        <w:r w:rsidR="00A77B3E">
          <w:rPr>
            <w:rStyle w:val="Hiperpovezava"/>
          </w:rPr>
          <w:t>Tabela 3: Kazalniki rezultatov</w:t>
        </w:r>
        <w:r w:rsidR="00B16CCF">
          <w:tab/>
        </w:r>
        <w:r w:rsidR="00B16CCF">
          <w:fldChar w:fldCharType="begin"/>
        </w:r>
        <w:r w:rsidR="00B16CCF">
          <w:instrText xml:space="preserve"> PAGEREF _Toc256000915 \h </w:instrText>
        </w:r>
        <w:r w:rsidR="00B16CCF">
          <w:fldChar w:fldCharType="separate"/>
        </w:r>
        <w:r w:rsidR="00B16CCF">
          <w:t>136</w:t>
        </w:r>
        <w:r w:rsidR="00B16CCF">
          <w:fldChar w:fldCharType="end"/>
        </w:r>
      </w:hyperlink>
    </w:p>
    <w:p w14:paraId="00011E99" w14:textId="77777777" w:rsidR="00823317" w:rsidRDefault="001D0AD2">
      <w:pPr>
        <w:pStyle w:val="Kazalovsebine4"/>
        <w:tabs>
          <w:tab w:val="end" w:leader="dot" w:pos="512pt"/>
        </w:tabs>
        <w:rPr>
          <w:rFonts w:ascii="Calibri" w:hAnsi="Calibri"/>
          <w:sz w:val="22"/>
        </w:rPr>
      </w:pPr>
      <w:hyperlink w:anchor="_Toc256000916" w:history="1">
        <w:r w:rsidR="00A77B3E">
          <w:rPr>
            <w:rStyle w:val="Hiperpovezava"/>
          </w:rPr>
          <w:t>2.1.1.1.3. Okvirna razčlenitev načrtovanih sredstev (EU) glede na vrsto ukrepa</w:t>
        </w:r>
        <w:r w:rsidR="00B16CCF">
          <w:tab/>
        </w:r>
        <w:r w:rsidR="00B16CCF">
          <w:fldChar w:fldCharType="begin"/>
        </w:r>
        <w:r w:rsidR="00B16CCF">
          <w:instrText xml:space="preserve"> PAGEREF _Toc256000916 \h </w:instrText>
        </w:r>
        <w:r w:rsidR="00B16CCF">
          <w:fldChar w:fldCharType="separate"/>
        </w:r>
        <w:r w:rsidR="00B16CCF">
          <w:t>137</w:t>
        </w:r>
        <w:r w:rsidR="00B16CCF">
          <w:fldChar w:fldCharType="end"/>
        </w:r>
      </w:hyperlink>
    </w:p>
    <w:p w14:paraId="45FF711B" w14:textId="77777777" w:rsidR="00823317" w:rsidRDefault="001D0AD2">
      <w:pPr>
        <w:pStyle w:val="Kazalovsebine5"/>
        <w:tabs>
          <w:tab w:val="end" w:leader="dot" w:pos="512pt"/>
        </w:tabs>
        <w:rPr>
          <w:rFonts w:ascii="Calibri" w:hAnsi="Calibri"/>
          <w:sz w:val="22"/>
        </w:rPr>
      </w:pPr>
      <w:hyperlink w:anchor="_Toc256000917" w:history="1">
        <w:r w:rsidR="00A77B3E">
          <w:rPr>
            <w:rStyle w:val="Hiperpovezava"/>
          </w:rPr>
          <w:t>Tabela 4: Razsežnost 1 – področje ukrepanja</w:t>
        </w:r>
        <w:r w:rsidR="00B16CCF">
          <w:tab/>
        </w:r>
        <w:r w:rsidR="00B16CCF">
          <w:fldChar w:fldCharType="begin"/>
        </w:r>
        <w:r w:rsidR="00B16CCF">
          <w:instrText xml:space="preserve"> PAGEREF _Toc256000917 \h </w:instrText>
        </w:r>
        <w:r w:rsidR="00B16CCF">
          <w:fldChar w:fldCharType="separate"/>
        </w:r>
        <w:r w:rsidR="00B16CCF">
          <w:t>137</w:t>
        </w:r>
        <w:r w:rsidR="00B16CCF">
          <w:fldChar w:fldCharType="end"/>
        </w:r>
      </w:hyperlink>
    </w:p>
    <w:p w14:paraId="73A2E203" w14:textId="77777777" w:rsidR="00823317" w:rsidRDefault="001D0AD2">
      <w:pPr>
        <w:pStyle w:val="Kazalovsebine5"/>
        <w:tabs>
          <w:tab w:val="end" w:leader="dot" w:pos="512pt"/>
        </w:tabs>
        <w:rPr>
          <w:rFonts w:ascii="Calibri" w:hAnsi="Calibri"/>
          <w:sz w:val="22"/>
        </w:rPr>
      </w:pPr>
      <w:hyperlink w:anchor="_Toc256000918" w:history="1">
        <w:r w:rsidR="00A77B3E">
          <w:rPr>
            <w:rStyle w:val="Hiperpovezava"/>
          </w:rPr>
          <w:t>Tabela 5: Razsežnost 2 – oblika financiranja</w:t>
        </w:r>
        <w:r w:rsidR="00B16CCF">
          <w:tab/>
        </w:r>
        <w:r w:rsidR="00B16CCF">
          <w:fldChar w:fldCharType="begin"/>
        </w:r>
        <w:r w:rsidR="00B16CCF">
          <w:instrText xml:space="preserve"> PAGEREF _Toc256000918 \h </w:instrText>
        </w:r>
        <w:r w:rsidR="00B16CCF">
          <w:fldChar w:fldCharType="separate"/>
        </w:r>
        <w:r w:rsidR="00B16CCF">
          <w:t>137</w:t>
        </w:r>
        <w:r w:rsidR="00B16CCF">
          <w:fldChar w:fldCharType="end"/>
        </w:r>
      </w:hyperlink>
    </w:p>
    <w:p w14:paraId="4AC5868C" w14:textId="77777777" w:rsidR="00823317" w:rsidRDefault="001D0AD2">
      <w:pPr>
        <w:pStyle w:val="Kazalovsebine5"/>
        <w:tabs>
          <w:tab w:val="end" w:leader="dot" w:pos="512pt"/>
        </w:tabs>
        <w:rPr>
          <w:rFonts w:ascii="Calibri" w:hAnsi="Calibri"/>
          <w:sz w:val="22"/>
        </w:rPr>
      </w:pPr>
      <w:hyperlink w:anchor="_Toc256000919" w:history="1">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_Toc256000919 \h </w:instrText>
        </w:r>
        <w:r w:rsidR="00B16CCF">
          <w:fldChar w:fldCharType="separate"/>
        </w:r>
        <w:r w:rsidR="00B16CCF">
          <w:t>137</w:t>
        </w:r>
        <w:r w:rsidR="00B16CCF">
          <w:fldChar w:fldCharType="end"/>
        </w:r>
      </w:hyperlink>
    </w:p>
    <w:p w14:paraId="16C793A3" w14:textId="77777777" w:rsidR="00823317" w:rsidRDefault="001D0AD2">
      <w:pPr>
        <w:pStyle w:val="Kazalovsebine5"/>
        <w:tabs>
          <w:tab w:val="end" w:leader="dot" w:pos="512pt"/>
        </w:tabs>
        <w:rPr>
          <w:rFonts w:ascii="Calibri" w:hAnsi="Calibri"/>
          <w:sz w:val="22"/>
        </w:rPr>
      </w:pPr>
      <w:hyperlink w:anchor="_Toc256000920" w:history="1">
        <w:r w:rsidR="00A77B3E">
          <w:rPr>
            <w:rStyle w:val="Hiperpovezava"/>
          </w:rPr>
          <w:t>Tabela 7: Razsežnost 6 – sekundarna področja ESS+</w:t>
        </w:r>
        <w:r w:rsidR="00B16CCF">
          <w:tab/>
        </w:r>
        <w:r w:rsidR="00B16CCF">
          <w:fldChar w:fldCharType="begin"/>
        </w:r>
        <w:r w:rsidR="00B16CCF">
          <w:instrText xml:space="preserve"> PAGEREF _Toc256000920 \h </w:instrText>
        </w:r>
        <w:r w:rsidR="00B16CCF">
          <w:fldChar w:fldCharType="separate"/>
        </w:r>
        <w:r w:rsidR="00B16CCF">
          <w:t>137</w:t>
        </w:r>
        <w:r w:rsidR="00B16CCF">
          <w:fldChar w:fldCharType="end"/>
        </w:r>
      </w:hyperlink>
    </w:p>
    <w:p w14:paraId="0177817A" w14:textId="77777777" w:rsidR="00823317" w:rsidRDefault="001D0AD2">
      <w:pPr>
        <w:pStyle w:val="Kazalovsebine5"/>
        <w:tabs>
          <w:tab w:val="end" w:leader="dot" w:pos="512pt"/>
        </w:tabs>
        <w:rPr>
          <w:rFonts w:ascii="Calibri" w:hAnsi="Calibri"/>
          <w:sz w:val="22"/>
        </w:rPr>
      </w:pPr>
      <w:hyperlink w:anchor="_Toc256000921" w:history="1">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_Toc256000921 \h </w:instrText>
        </w:r>
        <w:r w:rsidR="00B16CCF">
          <w:fldChar w:fldCharType="separate"/>
        </w:r>
        <w:r w:rsidR="00B16CCF">
          <w:t>138</w:t>
        </w:r>
        <w:r w:rsidR="00B16CCF">
          <w:fldChar w:fldCharType="end"/>
        </w:r>
      </w:hyperlink>
    </w:p>
    <w:p w14:paraId="60AECDB4" w14:textId="77777777" w:rsidR="00823317" w:rsidRDefault="001D0AD2">
      <w:pPr>
        <w:pStyle w:val="Kazalovsebine4"/>
        <w:tabs>
          <w:tab w:val="end" w:leader="dot" w:pos="512pt"/>
        </w:tabs>
        <w:rPr>
          <w:rFonts w:ascii="Calibri" w:hAnsi="Calibri"/>
          <w:sz w:val="22"/>
        </w:rPr>
      </w:pPr>
      <w:hyperlink w:anchor="_Toc256000922" w:history="1">
        <w:r w:rsidR="00A77B3E">
          <w:rPr>
            <w:rStyle w:val="Hiperpovezava"/>
          </w:rPr>
          <w:t>2.1.1.1. Specifični cilj: RSO2.6. Spodbujanje prehoda na krožno gospodarstvo, gospodarno z viri (ESRR)</w:t>
        </w:r>
        <w:r w:rsidR="00B16CCF">
          <w:tab/>
        </w:r>
        <w:r w:rsidR="00B16CCF">
          <w:fldChar w:fldCharType="begin"/>
        </w:r>
        <w:r w:rsidR="00B16CCF">
          <w:instrText xml:space="preserve"> PAGEREF _Toc256000922 \h </w:instrText>
        </w:r>
        <w:r w:rsidR="00B16CCF">
          <w:fldChar w:fldCharType="separate"/>
        </w:r>
        <w:r w:rsidR="00B16CCF">
          <w:t>139</w:t>
        </w:r>
        <w:r w:rsidR="00B16CCF">
          <w:fldChar w:fldCharType="end"/>
        </w:r>
      </w:hyperlink>
    </w:p>
    <w:p w14:paraId="2D166EED" w14:textId="77777777" w:rsidR="00823317" w:rsidRDefault="001D0AD2">
      <w:pPr>
        <w:pStyle w:val="Kazalovsebine4"/>
        <w:tabs>
          <w:tab w:val="end" w:leader="dot" w:pos="512pt"/>
        </w:tabs>
        <w:rPr>
          <w:rFonts w:ascii="Calibri" w:hAnsi="Calibri"/>
          <w:sz w:val="22"/>
        </w:rPr>
      </w:pPr>
      <w:hyperlink w:anchor="_Toc256000923" w:history="1">
        <w:r w:rsidR="00A77B3E">
          <w:rPr>
            <w:rStyle w:val="Hiperpovezava"/>
          </w:rPr>
          <w:t>2.1.1.1.1. Ukrepi skladov</w:t>
        </w:r>
        <w:r w:rsidR="00B16CCF">
          <w:tab/>
        </w:r>
        <w:r w:rsidR="00B16CCF">
          <w:fldChar w:fldCharType="begin"/>
        </w:r>
        <w:r w:rsidR="00B16CCF">
          <w:instrText xml:space="preserve"> PAGEREF _Toc256000923 \h </w:instrText>
        </w:r>
        <w:r w:rsidR="00B16CCF">
          <w:fldChar w:fldCharType="separate"/>
        </w:r>
        <w:r w:rsidR="00B16CCF">
          <w:t>139</w:t>
        </w:r>
        <w:r w:rsidR="00B16CCF">
          <w:fldChar w:fldCharType="end"/>
        </w:r>
      </w:hyperlink>
    </w:p>
    <w:p w14:paraId="50AA34B1" w14:textId="77777777" w:rsidR="00823317" w:rsidRDefault="001D0AD2">
      <w:pPr>
        <w:pStyle w:val="Kazalovsebine5"/>
        <w:tabs>
          <w:tab w:val="end" w:leader="dot" w:pos="512pt"/>
        </w:tabs>
        <w:rPr>
          <w:rFonts w:ascii="Calibri" w:hAnsi="Calibri"/>
          <w:sz w:val="22"/>
        </w:rPr>
      </w:pPr>
      <w:hyperlink w:anchor="_Toc256000924" w:history="1">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_Toc256000924 \h </w:instrText>
        </w:r>
        <w:r w:rsidR="00B16CCF">
          <w:fldChar w:fldCharType="separate"/>
        </w:r>
        <w:r w:rsidR="00B16CCF">
          <w:t>139</w:t>
        </w:r>
        <w:r w:rsidR="00B16CCF">
          <w:fldChar w:fldCharType="end"/>
        </w:r>
      </w:hyperlink>
    </w:p>
    <w:p w14:paraId="2CB445CA" w14:textId="77777777" w:rsidR="00823317" w:rsidRDefault="001D0AD2">
      <w:pPr>
        <w:pStyle w:val="Kazalovsebine5"/>
        <w:tabs>
          <w:tab w:val="end" w:leader="dot" w:pos="512pt"/>
        </w:tabs>
        <w:rPr>
          <w:rFonts w:ascii="Calibri" w:hAnsi="Calibri"/>
          <w:sz w:val="22"/>
        </w:rPr>
      </w:pPr>
      <w:hyperlink w:anchor="_Toc256000925" w:history="1">
        <w:r w:rsidR="00A77B3E">
          <w:rPr>
            <w:rStyle w:val="Hiperpovezava"/>
          </w:rPr>
          <w:t>Glavne ciljne skupine – člen 22(3)(d)(iii) uredbe o skupnih določbah:</w:t>
        </w:r>
        <w:r w:rsidR="00B16CCF">
          <w:tab/>
        </w:r>
        <w:r w:rsidR="00B16CCF">
          <w:fldChar w:fldCharType="begin"/>
        </w:r>
        <w:r w:rsidR="00B16CCF">
          <w:instrText xml:space="preserve"> PAGEREF _Toc256000925 \h </w:instrText>
        </w:r>
        <w:r w:rsidR="00B16CCF">
          <w:fldChar w:fldCharType="separate"/>
        </w:r>
        <w:r w:rsidR="00B16CCF">
          <w:t>140</w:t>
        </w:r>
        <w:r w:rsidR="00B16CCF">
          <w:fldChar w:fldCharType="end"/>
        </w:r>
      </w:hyperlink>
    </w:p>
    <w:p w14:paraId="1AE627E8" w14:textId="77777777" w:rsidR="00823317" w:rsidRDefault="001D0AD2">
      <w:pPr>
        <w:pStyle w:val="Kazalovsebine5"/>
        <w:tabs>
          <w:tab w:val="end" w:leader="dot" w:pos="512pt"/>
        </w:tabs>
        <w:rPr>
          <w:rFonts w:ascii="Calibri" w:hAnsi="Calibri"/>
          <w:sz w:val="22"/>
        </w:rPr>
      </w:pPr>
      <w:hyperlink w:anchor="_Toc256000926" w:history="1">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_Toc256000926 \h </w:instrText>
        </w:r>
        <w:r w:rsidR="00B16CCF">
          <w:fldChar w:fldCharType="separate"/>
        </w:r>
        <w:r w:rsidR="00B16CCF">
          <w:t>140</w:t>
        </w:r>
        <w:r w:rsidR="00B16CCF">
          <w:fldChar w:fldCharType="end"/>
        </w:r>
      </w:hyperlink>
    </w:p>
    <w:p w14:paraId="0A95BABD" w14:textId="77777777" w:rsidR="00823317" w:rsidRDefault="001D0AD2">
      <w:pPr>
        <w:pStyle w:val="Kazalovsebine5"/>
        <w:tabs>
          <w:tab w:val="end" w:leader="dot" w:pos="512pt"/>
        </w:tabs>
        <w:rPr>
          <w:rFonts w:ascii="Calibri" w:hAnsi="Calibri"/>
          <w:sz w:val="22"/>
        </w:rPr>
      </w:pPr>
      <w:hyperlink w:anchor="_Toc256000927" w:history="1">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_Toc256000927 \h </w:instrText>
        </w:r>
        <w:r w:rsidR="00B16CCF">
          <w:fldChar w:fldCharType="separate"/>
        </w:r>
        <w:r w:rsidR="00B16CCF">
          <w:t>141</w:t>
        </w:r>
        <w:r w:rsidR="00B16CCF">
          <w:fldChar w:fldCharType="end"/>
        </w:r>
      </w:hyperlink>
    </w:p>
    <w:p w14:paraId="2D2994C4" w14:textId="77777777" w:rsidR="00823317" w:rsidRDefault="001D0AD2">
      <w:pPr>
        <w:pStyle w:val="Kazalovsebine5"/>
        <w:tabs>
          <w:tab w:val="end" w:leader="dot" w:pos="512pt"/>
        </w:tabs>
        <w:rPr>
          <w:rFonts w:ascii="Calibri" w:hAnsi="Calibri"/>
          <w:sz w:val="22"/>
        </w:rPr>
      </w:pPr>
      <w:hyperlink w:anchor="_Toc256000928" w:history="1">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_Toc256000928 \h </w:instrText>
        </w:r>
        <w:r w:rsidR="00B16CCF">
          <w:fldChar w:fldCharType="separate"/>
        </w:r>
        <w:r w:rsidR="00B16CCF">
          <w:t>141</w:t>
        </w:r>
        <w:r w:rsidR="00B16CCF">
          <w:fldChar w:fldCharType="end"/>
        </w:r>
      </w:hyperlink>
    </w:p>
    <w:p w14:paraId="2F3CEE35" w14:textId="77777777" w:rsidR="00823317" w:rsidRDefault="001D0AD2">
      <w:pPr>
        <w:pStyle w:val="Kazalovsebine5"/>
        <w:tabs>
          <w:tab w:val="end" w:leader="dot" w:pos="512pt"/>
        </w:tabs>
        <w:rPr>
          <w:rFonts w:ascii="Calibri" w:hAnsi="Calibri"/>
          <w:sz w:val="22"/>
        </w:rPr>
      </w:pPr>
      <w:hyperlink w:anchor="_Toc256000929" w:history="1">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_Toc256000929 \h </w:instrText>
        </w:r>
        <w:r w:rsidR="00B16CCF">
          <w:fldChar w:fldCharType="separate"/>
        </w:r>
        <w:r w:rsidR="00B16CCF">
          <w:t>141</w:t>
        </w:r>
        <w:r w:rsidR="00B16CCF">
          <w:fldChar w:fldCharType="end"/>
        </w:r>
      </w:hyperlink>
    </w:p>
    <w:p w14:paraId="4F8B3A46" w14:textId="77777777" w:rsidR="00823317" w:rsidRDefault="001D0AD2">
      <w:pPr>
        <w:pStyle w:val="Kazalovsebine4"/>
        <w:tabs>
          <w:tab w:val="end" w:leader="dot" w:pos="512pt"/>
        </w:tabs>
        <w:rPr>
          <w:rFonts w:ascii="Calibri" w:hAnsi="Calibri"/>
          <w:sz w:val="22"/>
        </w:rPr>
      </w:pPr>
      <w:hyperlink w:anchor="_Toc256000930" w:history="1">
        <w:r w:rsidR="00A77B3E">
          <w:rPr>
            <w:rStyle w:val="Hiperpovezava"/>
          </w:rPr>
          <w:t>2.1.1.1.2. Kazalniki</w:t>
        </w:r>
        <w:r w:rsidR="00B16CCF">
          <w:tab/>
        </w:r>
        <w:r w:rsidR="00B16CCF">
          <w:fldChar w:fldCharType="begin"/>
        </w:r>
        <w:r w:rsidR="00B16CCF">
          <w:instrText xml:space="preserve"> PAGEREF _Toc256000930 \h </w:instrText>
        </w:r>
        <w:r w:rsidR="00B16CCF">
          <w:fldChar w:fldCharType="separate"/>
        </w:r>
        <w:r w:rsidR="00B16CCF">
          <w:t>142</w:t>
        </w:r>
        <w:r w:rsidR="00B16CCF">
          <w:fldChar w:fldCharType="end"/>
        </w:r>
      </w:hyperlink>
    </w:p>
    <w:p w14:paraId="2B477329" w14:textId="77777777" w:rsidR="00823317" w:rsidRDefault="001D0AD2">
      <w:pPr>
        <w:pStyle w:val="Kazalovsebine5"/>
        <w:tabs>
          <w:tab w:val="end" w:leader="dot" w:pos="512pt"/>
        </w:tabs>
        <w:rPr>
          <w:rFonts w:ascii="Calibri" w:hAnsi="Calibri"/>
          <w:sz w:val="22"/>
        </w:rPr>
      </w:pPr>
      <w:hyperlink w:anchor="_Toc256000931" w:history="1">
        <w:r w:rsidR="00A77B3E">
          <w:rPr>
            <w:rStyle w:val="Hiperpovezava"/>
          </w:rPr>
          <w:t>Tabela 2: Kazalniki učinka</w:t>
        </w:r>
        <w:r w:rsidR="00B16CCF">
          <w:tab/>
        </w:r>
        <w:r w:rsidR="00B16CCF">
          <w:fldChar w:fldCharType="begin"/>
        </w:r>
        <w:r w:rsidR="00B16CCF">
          <w:instrText xml:space="preserve"> PAGEREF _Toc256000931 \h </w:instrText>
        </w:r>
        <w:r w:rsidR="00B16CCF">
          <w:fldChar w:fldCharType="separate"/>
        </w:r>
        <w:r w:rsidR="00B16CCF">
          <w:t>142</w:t>
        </w:r>
        <w:r w:rsidR="00B16CCF">
          <w:fldChar w:fldCharType="end"/>
        </w:r>
      </w:hyperlink>
    </w:p>
    <w:p w14:paraId="6F19BCAA" w14:textId="77777777" w:rsidR="00823317" w:rsidRDefault="001D0AD2">
      <w:pPr>
        <w:pStyle w:val="Kazalovsebine5"/>
        <w:tabs>
          <w:tab w:val="end" w:leader="dot" w:pos="512pt"/>
        </w:tabs>
        <w:rPr>
          <w:rFonts w:ascii="Calibri" w:hAnsi="Calibri"/>
          <w:sz w:val="22"/>
        </w:rPr>
      </w:pPr>
      <w:hyperlink w:anchor="_Toc256000932" w:history="1">
        <w:r w:rsidR="00A77B3E">
          <w:rPr>
            <w:rStyle w:val="Hiperpovezava"/>
          </w:rPr>
          <w:t>Tabela 3: Kazalniki rezultatov</w:t>
        </w:r>
        <w:r w:rsidR="00B16CCF">
          <w:tab/>
        </w:r>
        <w:r w:rsidR="00B16CCF">
          <w:fldChar w:fldCharType="begin"/>
        </w:r>
        <w:r w:rsidR="00B16CCF">
          <w:instrText xml:space="preserve"> PAGEREF _Toc256000932 \h </w:instrText>
        </w:r>
        <w:r w:rsidR="00B16CCF">
          <w:fldChar w:fldCharType="separate"/>
        </w:r>
        <w:r w:rsidR="00B16CCF">
          <w:t>142</w:t>
        </w:r>
        <w:r w:rsidR="00B16CCF">
          <w:fldChar w:fldCharType="end"/>
        </w:r>
      </w:hyperlink>
    </w:p>
    <w:p w14:paraId="4967BE9E" w14:textId="77777777" w:rsidR="00823317" w:rsidRDefault="001D0AD2">
      <w:pPr>
        <w:pStyle w:val="Kazalovsebine4"/>
        <w:tabs>
          <w:tab w:val="end" w:leader="dot" w:pos="512pt"/>
        </w:tabs>
        <w:rPr>
          <w:rFonts w:ascii="Calibri" w:hAnsi="Calibri"/>
          <w:sz w:val="22"/>
        </w:rPr>
      </w:pPr>
      <w:hyperlink w:anchor="_Toc256000933" w:history="1">
        <w:r w:rsidR="00A77B3E">
          <w:rPr>
            <w:rStyle w:val="Hiperpovezava"/>
          </w:rPr>
          <w:t>2.1.1.1.3. Okvirna razčlenitev načrtovanih sredstev (EU) glede na vrsto ukrepa</w:t>
        </w:r>
        <w:r w:rsidR="00B16CCF">
          <w:tab/>
        </w:r>
        <w:r w:rsidR="00B16CCF">
          <w:fldChar w:fldCharType="begin"/>
        </w:r>
        <w:r w:rsidR="00B16CCF">
          <w:instrText xml:space="preserve"> PAGEREF _Toc256000933 \h </w:instrText>
        </w:r>
        <w:r w:rsidR="00B16CCF">
          <w:fldChar w:fldCharType="separate"/>
        </w:r>
        <w:r w:rsidR="00B16CCF">
          <w:t>143</w:t>
        </w:r>
        <w:r w:rsidR="00B16CCF">
          <w:fldChar w:fldCharType="end"/>
        </w:r>
      </w:hyperlink>
    </w:p>
    <w:p w14:paraId="2C088CCA" w14:textId="77777777" w:rsidR="00823317" w:rsidRDefault="001D0AD2">
      <w:pPr>
        <w:pStyle w:val="Kazalovsebine5"/>
        <w:tabs>
          <w:tab w:val="end" w:leader="dot" w:pos="512pt"/>
        </w:tabs>
        <w:rPr>
          <w:rFonts w:ascii="Calibri" w:hAnsi="Calibri"/>
          <w:sz w:val="22"/>
        </w:rPr>
      </w:pPr>
      <w:hyperlink w:anchor="_Toc256000934" w:history="1">
        <w:r w:rsidR="00A77B3E">
          <w:rPr>
            <w:rStyle w:val="Hiperpovezava"/>
          </w:rPr>
          <w:t>Tabela 4: Razsežnost 1 – področje ukrepanja</w:t>
        </w:r>
        <w:r w:rsidR="00B16CCF">
          <w:tab/>
        </w:r>
        <w:r w:rsidR="00B16CCF">
          <w:fldChar w:fldCharType="begin"/>
        </w:r>
        <w:r w:rsidR="00B16CCF">
          <w:instrText xml:space="preserve"> PAGEREF _Toc256000934 \h </w:instrText>
        </w:r>
        <w:r w:rsidR="00B16CCF">
          <w:fldChar w:fldCharType="separate"/>
        </w:r>
        <w:r w:rsidR="00B16CCF">
          <w:t>143</w:t>
        </w:r>
        <w:r w:rsidR="00B16CCF">
          <w:fldChar w:fldCharType="end"/>
        </w:r>
      </w:hyperlink>
    </w:p>
    <w:p w14:paraId="5F0DEF9B" w14:textId="77777777" w:rsidR="00823317" w:rsidRDefault="001D0AD2">
      <w:pPr>
        <w:pStyle w:val="Kazalovsebine5"/>
        <w:tabs>
          <w:tab w:val="end" w:leader="dot" w:pos="512pt"/>
        </w:tabs>
        <w:rPr>
          <w:rFonts w:ascii="Calibri" w:hAnsi="Calibri"/>
          <w:sz w:val="22"/>
        </w:rPr>
      </w:pPr>
      <w:hyperlink w:anchor="_Toc256000935" w:history="1">
        <w:r w:rsidR="00A77B3E">
          <w:rPr>
            <w:rStyle w:val="Hiperpovezava"/>
          </w:rPr>
          <w:t>Tabela 5: Razsežnost 2 – oblika financiranja</w:t>
        </w:r>
        <w:r w:rsidR="00B16CCF">
          <w:tab/>
        </w:r>
        <w:r w:rsidR="00B16CCF">
          <w:fldChar w:fldCharType="begin"/>
        </w:r>
        <w:r w:rsidR="00B16CCF">
          <w:instrText xml:space="preserve"> PAGEREF _Toc256000935 \h </w:instrText>
        </w:r>
        <w:r w:rsidR="00B16CCF">
          <w:fldChar w:fldCharType="separate"/>
        </w:r>
        <w:r w:rsidR="00B16CCF">
          <w:t>143</w:t>
        </w:r>
        <w:r w:rsidR="00B16CCF">
          <w:fldChar w:fldCharType="end"/>
        </w:r>
      </w:hyperlink>
    </w:p>
    <w:p w14:paraId="34ADFF6D" w14:textId="77777777" w:rsidR="00823317" w:rsidRDefault="001D0AD2">
      <w:pPr>
        <w:pStyle w:val="Kazalovsebine5"/>
        <w:tabs>
          <w:tab w:val="end" w:leader="dot" w:pos="512pt"/>
        </w:tabs>
        <w:rPr>
          <w:rFonts w:ascii="Calibri" w:hAnsi="Calibri"/>
          <w:sz w:val="22"/>
        </w:rPr>
      </w:pPr>
      <w:hyperlink w:anchor="_Toc256000936" w:history="1">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_Toc256000936 \h </w:instrText>
        </w:r>
        <w:r w:rsidR="00B16CCF">
          <w:fldChar w:fldCharType="separate"/>
        </w:r>
        <w:r w:rsidR="00B16CCF">
          <w:t>143</w:t>
        </w:r>
        <w:r w:rsidR="00B16CCF">
          <w:fldChar w:fldCharType="end"/>
        </w:r>
      </w:hyperlink>
    </w:p>
    <w:p w14:paraId="122CC494" w14:textId="77777777" w:rsidR="00823317" w:rsidRDefault="001D0AD2">
      <w:pPr>
        <w:pStyle w:val="Kazalovsebine5"/>
        <w:tabs>
          <w:tab w:val="end" w:leader="dot" w:pos="512pt"/>
        </w:tabs>
        <w:rPr>
          <w:rFonts w:ascii="Calibri" w:hAnsi="Calibri"/>
          <w:sz w:val="22"/>
        </w:rPr>
      </w:pPr>
      <w:hyperlink w:anchor="_Toc256000937" w:history="1">
        <w:r w:rsidR="00A77B3E">
          <w:rPr>
            <w:rStyle w:val="Hiperpovezava"/>
          </w:rPr>
          <w:t>Tabela 7: Razsežnost 6 – sekundarna področja ESS+</w:t>
        </w:r>
        <w:r w:rsidR="00B16CCF">
          <w:tab/>
        </w:r>
        <w:r w:rsidR="00B16CCF">
          <w:fldChar w:fldCharType="begin"/>
        </w:r>
        <w:r w:rsidR="00B16CCF">
          <w:instrText xml:space="preserve"> PAGEREF _Toc256000937 \h </w:instrText>
        </w:r>
        <w:r w:rsidR="00B16CCF">
          <w:fldChar w:fldCharType="separate"/>
        </w:r>
        <w:r w:rsidR="00B16CCF">
          <w:t>144</w:t>
        </w:r>
        <w:r w:rsidR="00B16CCF">
          <w:fldChar w:fldCharType="end"/>
        </w:r>
      </w:hyperlink>
    </w:p>
    <w:p w14:paraId="5A7E1C49" w14:textId="77777777" w:rsidR="00823317" w:rsidRDefault="001D0AD2">
      <w:pPr>
        <w:pStyle w:val="Kazalovsebine5"/>
        <w:tabs>
          <w:tab w:val="end" w:leader="dot" w:pos="512pt"/>
        </w:tabs>
        <w:rPr>
          <w:rFonts w:ascii="Calibri" w:hAnsi="Calibri"/>
          <w:sz w:val="22"/>
        </w:rPr>
      </w:pPr>
      <w:hyperlink w:anchor="_Toc256000938" w:history="1">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_Toc256000938 \h </w:instrText>
        </w:r>
        <w:r w:rsidR="00B16CCF">
          <w:fldChar w:fldCharType="separate"/>
        </w:r>
        <w:r w:rsidR="00B16CCF">
          <w:t>144</w:t>
        </w:r>
        <w:r w:rsidR="00B16CCF">
          <w:fldChar w:fldCharType="end"/>
        </w:r>
      </w:hyperlink>
    </w:p>
    <w:p w14:paraId="330FF10A" w14:textId="77777777" w:rsidR="00823317" w:rsidRDefault="001D0AD2">
      <w:pPr>
        <w:pStyle w:val="Kazalovsebine4"/>
        <w:tabs>
          <w:tab w:val="end" w:leader="dot" w:pos="512pt"/>
        </w:tabs>
        <w:rPr>
          <w:rFonts w:ascii="Calibri" w:hAnsi="Calibri"/>
          <w:sz w:val="22"/>
        </w:rPr>
      </w:pPr>
      <w:hyperlink w:anchor="_Toc256000939" w:history="1">
        <w:r w:rsidR="00A77B3E">
          <w:rPr>
            <w:rStyle w:val="Hiperpovezava"/>
          </w:rPr>
          <w:t>2.1.1.1. Specifični cilj: RSO2.7. Izboljšanje varstva in ohranjanja narave ter biotske raznovrstnosti in zelene infrastrukture, tudi v mestnem okolju, in zmanjšanje vseh oblik onesnaževanja (ESRR)</w:t>
        </w:r>
        <w:r w:rsidR="00B16CCF">
          <w:tab/>
        </w:r>
        <w:r w:rsidR="00B16CCF">
          <w:fldChar w:fldCharType="begin"/>
        </w:r>
        <w:r w:rsidR="00B16CCF">
          <w:instrText xml:space="preserve"> PAGEREF _Toc256000939 \h </w:instrText>
        </w:r>
        <w:r w:rsidR="00B16CCF">
          <w:fldChar w:fldCharType="separate"/>
        </w:r>
        <w:r w:rsidR="00B16CCF">
          <w:t>145</w:t>
        </w:r>
        <w:r w:rsidR="00B16CCF">
          <w:fldChar w:fldCharType="end"/>
        </w:r>
      </w:hyperlink>
    </w:p>
    <w:p w14:paraId="059EE248" w14:textId="77777777" w:rsidR="00823317" w:rsidRDefault="001D0AD2">
      <w:pPr>
        <w:pStyle w:val="Kazalovsebine4"/>
        <w:tabs>
          <w:tab w:val="end" w:leader="dot" w:pos="512pt"/>
        </w:tabs>
        <w:rPr>
          <w:rFonts w:ascii="Calibri" w:hAnsi="Calibri"/>
          <w:sz w:val="22"/>
        </w:rPr>
      </w:pPr>
      <w:hyperlink w:anchor="_Toc256000940" w:history="1">
        <w:r w:rsidR="00A77B3E">
          <w:rPr>
            <w:rStyle w:val="Hiperpovezava"/>
          </w:rPr>
          <w:t>2.1.1.1.1. Ukrepi skladov</w:t>
        </w:r>
        <w:r w:rsidR="00B16CCF">
          <w:tab/>
        </w:r>
        <w:r w:rsidR="00B16CCF">
          <w:fldChar w:fldCharType="begin"/>
        </w:r>
        <w:r w:rsidR="00B16CCF">
          <w:instrText xml:space="preserve"> PAGEREF _Toc256000940 \h </w:instrText>
        </w:r>
        <w:r w:rsidR="00B16CCF">
          <w:fldChar w:fldCharType="separate"/>
        </w:r>
        <w:r w:rsidR="00B16CCF">
          <w:t>145</w:t>
        </w:r>
        <w:r w:rsidR="00B16CCF">
          <w:fldChar w:fldCharType="end"/>
        </w:r>
      </w:hyperlink>
    </w:p>
    <w:p w14:paraId="3B5B88DF" w14:textId="77777777" w:rsidR="00823317" w:rsidRDefault="001D0AD2">
      <w:pPr>
        <w:pStyle w:val="Kazalovsebine5"/>
        <w:tabs>
          <w:tab w:val="end" w:leader="dot" w:pos="512pt"/>
        </w:tabs>
        <w:rPr>
          <w:rFonts w:ascii="Calibri" w:hAnsi="Calibri"/>
          <w:sz w:val="22"/>
        </w:rPr>
      </w:pPr>
      <w:hyperlink w:anchor="_Toc256000941" w:history="1">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_Toc256000941 \h </w:instrText>
        </w:r>
        <w:r w:rsidR="00B16CCF">
          <w:fldChar w:fldCharType="separate"/>
        </w:r>
        <w:r w:rsidR="00B16CCF">
          <w:t>145</w:t>
        </w:r>
        <w:r w:rsidR="00B16CCF">
          <w:fldChar w:fldCharType="end"/>
        </w:r>
      </w:hyperlink>
    </w:p>
    <w:p w14:paraId="419EAD00" w14:textId="77777777" w:rsidR="00823317" w:rsidRDefault="001D0AD2">
      <w:pPr>
        <w:pStyle w:val="Kazalovsebine5"/>
        <w:tabs>
          <w:tab w:val="end" w:leader="dot" w:pos="512pt"/>
        </w:tabs>
        <w:rPr>
          <w:rFonts w:ascii="Calibri" w:hAnsi="Calibri"/>
          <w:sz w:val="22"/>
        </w:rPr>
      </w:pPr>
      <w:hyperlink w:anchor="_Toc256000942" w:history="1">
        <w:r w:rsidR="00A77B3E">
          <w:rPr>
            <w:rStyle w:val="Hiperpovezava"/>
          </w:rPr>
          <w:t>Glavne ciljne skupine – člen 22(3)(d)(iii) uredbe o skupnih določbah:</w:t>
        </w:r>
        <w:r w:rsidR="00B16CCF">
          <w:tab/>
        </w:r>
        <w:r w:rsidR="00B16CCF">
          <w:fldChar w:fldCharType="begin"/>
        </w:r>
        <w:r w:rsidR="00B16CCF">
          <w:instrText xml:space="preserve"> PAGEREF _Toc256000942 \h </w:instrText>
        </w:r>
        <w:r w:rsidR="00B16CCF">
          <w:fldChar w:fldCharType="separate"/>
        </w:r>
        <w:r w:rsidR="00B16CCF">
          <w:t>146</w:t>
        </w:r>
        <w:r w:rsidR="00B16CCF">
          <w:fldChar w:fldCharType="end"/>
        </w:r>
      </w:hyperlink>
    </w:p>
    <w:p w14:paraId="7F5FB89B" w14:textId="77777777" w:rsidR="00823317" w:rsidRDefault="001D0AD2">
      <w:pPr>
        <w:pStyle w:val="Kazalovsebine5"/>
        <w:tabs>
          <w:tab w:val="end" w:leader="dot" w:pos="512pt"/>
        </w:tabs>
        <w:rPr>
          <w:rFonts w:ascii="Calibri" w:hAnsi="Calibri"/>
          <w:sz w:val="22"/>
        </w:rPr>
      </w:pPr>
      <w:hyperlink w:anchor="_Toc256000943" w:history="1">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_Toc256000943 \h </w:instrText>
        </w:r>
        <w:r w:rsidR="00B16CCF">
          <w:fldChar w:fldCharType="separate"/>
        </w:r>
        <w:r w:rsidR="00B16CCF">
          <w:t>147</w:t>
        </w:r>
        <w:r w:rsidR="00B16CCF">
          <w:fldChar w:fldCharType="end"/>
        </w:r>
      </w:hyperlink>
    </w:p>
    <w:p w14:paraId="163A09D2" w14:textId="77777777" w:rsidR="00823317" w:rsidRDefault="001D0AD2">
      <w:pPr>
        <w:pStyle w:val="Kazalovsebine5"/>
        <w:tabs>
          <w:tab w:val="end" w:leader="dot" w:pos="512pt"/>
        </w:tabs>
        <w:rPr>
          <w:rFonts w:ascii="Calibri" w:hAnsi="Calibri"/>
          <w:sz w:val="22"/>
        </w:rPr>
      </w:pPr>
      <w:hyperlink w:anchor="_Toc256000944" w:history="1">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_Toc256000944 \h </w:instrText>
        </w:r>
        <w:r w:rsidR="00B16CCF">
          <w:fldChar w:fldCharType="separate"/>
        </w:r>
        <w:r w:rsidR="00B16CCF">
          <w:t>147</w:t>
        </w:r>
        <w:r w:rsidR="00B16CCF">
          <w:fldChar w:fldCharType="end"/>
        </w:r>
      </w:hyperlink>
    </w:p>
    <w:p w14:paraId="4B978C57" w14:textId="77777777" w:rsidR="00823317" w:rsidRDefault="001D0AD2">
      <w:pPr>
        <w:pStyle w:val="Kazalovsebine5"/>
        <w:tabs>
          <w:tab w:val="end" w:leader="dot" w:pos="512pt"/>
        </w:tabs>
        <w:rPr>
          <w:rFonts w:ascii="Calibri" w:hAnsi="Calibri"/>
          <w:sz w:val="22"/>
        </w:rPr>
      </w:pPr>
      <w:hyperlink w:anchor="_Toc256000945" w:history="1">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_Toc256000945 \h </w:instrText>
        </w:r>
        <w:r w:rsidR="00B16CCF">
          <w:fldChar w:fldCharType="separate"/>
        </w:r>
        <w:r w:rsidR="00B16CCF">
          <w:t>148</w:t>
        </w:r>
        <w:r w:rsidR="00B16CCF">
          <w:fldChar w:fldCharType="end"/>
        </w:r>
      </w:hyperlink>
    </w:p>
    <w:p w14:paraId="0FEFB149" w14:textId="77777777" w:rsidR="00823317" w:rsidRDefault="001D0AD2">
      <w:pPr>
        <w:pStyle w:val="Kazalovsebine5"/>
        <w:tabs>
          <w:tab w:val="end" w:leader="dot" w:pos="512pt"/>
        </w:tabs>
        <w:rPr>
          <w:rFonts w:ascii="Calibri" w:hAnsi="Calibri"/>
          <w:sz w:val="22"/>
        </w:rPr>
      </w:pPr>
      <w:hyperlink w:anchor="_Toc256000946" w:history="1">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_Toc256000946 \h </w:instrText>
        </w:r>
        <w:r w:rsidR="00B16CCF">
          <w:fldChar w:fldCharType="separate"/>
        </w:r>
        <w:r w:rsidR="00B16CCF">
          <w:t>148</w:t>
        </w:r>
        <w:r w:rsidR="00B16CCF">
          <w:fldChar w:fldCharType="end"/>
        </w:r>
      </w:hyperlink>
    </w:p>
    <w:p w14:paraId="79710286" w14:textId="77777777" w:rsidR="00823317" w:rsidRDefault="001D0AD2">
      <w:pPr>
        <w:pStyle w:val="Kazalovsebine4"/>
        <w:tabs>
          <w:tab w:val="end" w:leader="dot" w:pos="512pt"/>
        </w:tabs>
        <w:rPr>
          <w:rFonts w:ascii="Calibri" w:hAnsi="Calibri"/>
          <w:sz w:val="22"/>
        </w:rPr>
      </w:pPr>
      <w:hyperlink w:anchor="_Toc256000947" w:history="1">
        <w:r w:rsidR="00A77B3E">
          <w:rPr>
            <w:rStyle w:val="Hiperpovezava"/>
          </w:rPr>
          <w:t>2.1.1.1.2. Kazalniki</w:t>
        </w:r>
        <w:r w:rsidR="00B16CCF">
          <w:tab/>
        </w:r>
        <w:r w:rsidR="00B16CCF">
          <w:fldChar w:fldCharType="begin"/>
        </w:r>
        <w:r w:rsidR="00B16CCF">
          <w:instrText xml:space="preserve"> PAGEREF _Toc256000947 \h </w:instrText>
        </w:r>
        <w:r w:rsidR="00B16CCF">
          <w:fldChar w:fldCharType="separate"/>
        </w:r>
        <w:r w:rsidR="00B16CCF">
          <w:t>148</w:t>
        </w:r>
        <w:r w:rsidR="00B16CCF">
          <w:fldChar w:fldCharType="end"/>
        </w:r>
      </w:hyperlink>
    </w:p>
    <w:p w14:paraId="7F7ADA0B" w14:textId="77777777" w:rsidR="00823317" w:rsidRDefault="001D0AD2">
      <w:pPr>
        <w:pStyle w:val="Kazalovsebine5"/>
        <w:tabs>
          <w:tab w:val="end" w:leader="dot" w:pos="512pt"/>
        </w:tabs>
        <w:rPr>
          <w:rFonts w:ascii="Calibri" w:hAnsi="Calibri"/>
          <w:sz w:val="22"/>
        </w:rPr>
      </w:pPr>
      <w:hyperlink w:anchor="_Toc256000948" w:history="1">
        <w:r w:rsidR="00A77B3E">
          <w:rPr>
            <w:rStyle w:val="Hiperpovezava"/>
          </w:rPr>
          <w:t>Tabela 2: Kazalniki učinka</w:t>
        </w:r>
        <w:r w:rsidR="00B16CCF">
          <w:tab/>
        </w:r>
        <w:r w:rsidR="00B16CCF">
          <w:fldChar w:fldCharType="begin"/>
        </w:r>
        <w:r w:rsidR="00B16CCF">
          <w:instrText xml:space="preserve"> PAGEREF _Toc256000948 \h </w:instrText>
        </w:r>
        <w:r w:rsidR="00B16CCF">
          <w:fldChar w:fldCharType="separate"/>
        </w:r>
        <w:r w:rsidR="00B16CCF">
          <w:t>148</w:t>
        </w:r>
        <w:r w:rsidR="00B16CCF">
          <w:fldChar w:fldCharType="end"/>
        </w:r>
      </w:hyperlink>
    </w:p>
    <w:p w14:paraId="270BD281" w14:textId="77777777" w:rsidR="00823317" w:rsidRDefault="001D0AD2">
      <w:pPr>
        <w:pStyle w:val="Kazalovsebine5"/>
        <w:tabs>
          <w:tab w:val="end" w:leader="dot" w:pos="512pt"/>
        </w:tabs>
        <w:rPr>
          <w:rFonts w:ascii="Calibri" w:hAnsi="Calibri"/>
          <w:sz w:val="22"/>
        </w:rPr>
      </w:pPr>
      <w:hyperlink w:anchor="_Toc256000949" w:history="1">
        <w:r w:rsidR="00A77B3E">
          <w:rPr>
            <w:rStyle w:val="Hiperpovezava"/>
          </w:rPr>
          <w:t>Tabela 3: Kazalniki rezultatov</w:t>
        </w:r>
        <w:r w:rsidR="00B16CCF">
          <w:tab/>
        </w:r>
        <w:r w:rsidR="00B16CCF">
          <w:fldChar w:fldCharType="begin"/>
        </w:r>
        <w:r w:rsidR="00B16CCF">
          <w:instrText xml:space="preserve"> PAGEREF _Toc256000949 \h </w:instrText>
        </w:r>
        <w:r w:rsidR="00B16CCF">
          <w:fldChar w:fldCharType="separate"/>
        </w:r>
        <w:r w:rsidR="00B16CCF">
          <w:t>149</w:t>
        </w:r>
        <w:r w:rsidR="00B16CCF">
          <w:fldChar w:fldCharType="end"/>
        </w:r>
      </w:hyperlink>
    </w:p>
    <w:p w14:paraId="0B97781B" w14:textId="77777777" w:rsidR="00823317" w:rsidRDefault="001D0AD2">
      <w:pPr>
        <w:pStyle w:val="Kazalovsebine4"/>
        <w:tabs>
          <w:tab w:val="end" w:leader="dot" w:pos="512pt"/>
        </w:tabs>
        <w:rPr>
          <w:rFonts w:ascii="Calibri" w:hAnsi="Calibri"/>
          <w:sz w:val="22"/>
        </w:rPr>
      </w:pPr>
      <w:hyperlink w:anchor="_Toc256000950" w:history="1">
        <w:r w:rsidR="00A77B3E">
          <w:rPr>
            <w:rStyle w:val="Hiperpovezava"/>
          </w:rPr>
          <w:t>2.1.1.1.3. Okvirna razčlenitev načrtovanih sredstev (EU) glede na vrsto ukrepa</w:t>
        </w:r>
        <w:r w:rsidR="00B16CCF">
          <w:tab/>
        </w:r>
        <w:r w:rsidR="00B16CCF">
          <w:fldChar w:fldCharType="begin"/>
        </w:r>
        <w:r w:rsidR="00B16CCF">
          <w:instrText xml:space="preserve"> PAGEREF _Toc256000950 \h </w:instrText>
        </w:r>
        <w:r w:rsidR="00B16CCF">
          <w:fldChar w:fldCharType="separate"/>
        </w:r>
        <w:r w:rsidR="00B16CCF">
          <w:t>150</w:t>
        </w:r>
        <w:r w:rsidR="00B16CCF">
          <w:fldChar w:fldCharType="end"/>
        </w:r>
      </w:hyperlink>
    </w:p>
    <w:p w14:paraId="4CE76419" w14:textId="77777777" w:rsidR="00823317" w:rsidRDefault="001D0AD2">
      <w:pPr>
        <w:pStyle w:val="Kazalovsebine5"/>
        <w:tabs>
          <w:tab w:val="end" w:leader="dot" w:pos="512pt"/>
        </w:tabs>
        <w:rPr>
          <w:rFonts w:ascii="Calibri" w:hAnsi="Calibri"/>
          <w:sz w:val="22"/>
        </w:rPr>
      </w:pPr>
      <w:hyperlink w:anchor="_Toc256000951" w:history="1">
        <w:r w:rsidR="00A77B3E">
          <w:rPr>
            <w:rStyle w:val="Hiperpovezava"/>
          </w:rPr>
          <w:t>Tabela 4: Razsežnost 1 – področje ukrepanja</w:t>
        </w:r>
        <w:r w:rsidR="00B16CCF">
          <w:tab/>
        </w:r>
        <w:r w:rsidR="00B16CCF">
          <w:fldChar w:fldCharType="begin"/>
        </w:r>
        <w:r w:rsidR="00B16CCF">
          <w:instrText xml:space="preserve"> PAGEREF _Toc256000951 \h </w:instrText>
        </w:r>
        <w:r w:rsidR="00B16CCF">
          <w:fldChar w:fldCharType="separate"/>
        </w:r>
        <w:r w:rsidR="00B16CCF">
          <w:t>150</w:t>
        </w:r>
        <w:r w:rsidR="00B16CCF">
          <w:fldChar w:fldCharType="end"/>
        </w:r>
      </w:hyperlink>
    </w:p>
    <w:p w14:paraId="63F7E713" w14:textId="77777777" w:rsidR="00823317" w:rsidRDefault="001D0AD2">
      <w:pPr>
        <w:pStyle w:val="Kazalovsebine5"/>
        <w:tabs>
          <w:tab w:val="end" w:leader="dot" w:pos="512pt"/>
        </w:tabs>
        <w:rPr>
          <w:rFonts w:ascii="Calibri" w:hAnsi="Calibri"/>
          <w:sz w:val="22"/>
        </w:rPr>
      </w:pPr>
      <w:hyperlink w:anchor="_Toc256000952" w:history="1">
        <w:r w:rsidR="00A77B3E">
          <w:rPr>
            <w:rStyle w:val="Hiperpovezava"/>
          </w:rPr>
          <w:t>Tabela 5: Razsežnost 2 – oblika financiranja</w:t>
        </w:r>
        <w:r w:rsidR="00B16CCF">
          <w:tab/>
        </w:r>
        <w:r w:rsidR="00B16CCF">
          <w:fldChar w:fldCharType="begin"/>
        </w:r>
        <w:r w:rsidR="00B16CCF">
          <w:instrText xml:space="preserve"> PAGEREF _Toc256000952 \h </w:instrText>
        </w:r>
        <w:r w:rsidR="00B16CCF">
          <w:fldChar w:fldCharType="separate"/>
        </w:r>
        <w:r w:rsidR="00B16CCF">
          <w:t>150</w:t>
        </w:r>
        <w:r w:rsidR="00B16CCF">
          <w:fldChar w:fldCharType="end"/>
        </w:r>
      </w:hyperlink>
    </w:p>
    <w:p w14:paraId="3868B57F" w14:textId="77777777" w:rsidR="00823317" w:rsidRDefault="001D0AD2">
      <w:pPr>
        <w:pStyle w:val="Kazalovsebine5"/>
        <w:tabs>
          <w:tab w:val="end" w:leader="dot" w:pos="512pt"/>
        </w:tabs>
        <w:rPr>
          <w:rFonts w:ascii="Calibri" w:hAnsi="Calibri"/>
          <w:sz w:val="22"/>
        </w:rPr>
      </w:pPr>
      <w:hyperlink w:anchor="_Toc256000953" w:history="1">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_Toc256000953 \h </w:instrText>
        </w:r>
        <w:r w:rsidR="00B16CCF">
          <w:fldChar w:fldCharType="separate"/>
        </w:r>
        <w:r w:rsidR="00B16CCF">
          <w:t>150</w:t>
        </w:r>
        <w:r w:rsidR="00B16CCF">
          <w:fldChar w:fldCharType="end"/>
        </w:r>
      </w:hyperlink>
    </w:p>
    <w:p w14:paraId="24078AB3" w14:textId="77777777" w:rsidR="00823317" w:rsidRDefault="001D0AD2">
      <w:pPr>
        <w:pStyle w:val="Kazalovsebine5"/>
        <w:tabs>
          <w:tab w:val="end" w:leader="dot" w:pos="512pt"/>
        </w:tabs>
        <w:rPr>
          <w:rFonts w:ascii="Calibri" w:hAnsi="Calibri"/>
          <w:sz w:val="22"/>
        </w:rPr>
      </w:pPr>
      <w:hyperlink w:anchor="_Toc256000954" w:history="1">
        <w:r w:rsidR="00A77B3E">
          <w:rPr>
            <w:rStyle w:val="Hiperpovezava"/>
          </w:rPr>
          <w:t>Tabela 7: Razsežnost 6 – sekundarna področja ESS+</w:t>
        </w:r>
        <w:r w:rsidR="00B16CCF">
          <w:tab/>
        </w:r>
        <w:r w:rsidR="00B16CCF">
          <w:fldChar w:fldCharType="begin"/>
        </w:r>
        <w:r w:rsidR="00B16CCF">
          <w:instrText xml:space="preserve"> PAGEREF _Toc256000954 \h </w:instrText>
        </w:r>
        <w:r w:rsidR="00B16CCF">
          <w:fldChar w:fldCharType="separate"/>
        </w:r>
        <w:r w:rsidR="00B16CCF">
          <w:t>151</w:t>
        </w:r>
        <w:r w:rsidR="00B16CCF">
          <w:fldChar w:fldCharType="end"/>
        </w:r>
      </w:hyperlink>
    </w:p>
    <w:p w14:paraId="5060CC65" w14:textId="77777777" w:rsidR="00823317" w:rsidRDefault="001D0AD2">
      <w:pPr>
        <w:pStyle w:val="Kazalovsebine5"/>
        <w:tabs>
          <w:tab w:val="end" w:leader="dot" w:pos="512pt"/>
        </w:tabs>
        <w:rPr>
          <w:rFonts w:ascii="Calibri" w:hAnsi="Calibri"/>
          <w:sz w:val="22"/>
        </w:rPr>
      </w:pPr>
      <w:hyperlink w:anchor="_Toc256000955" w:history="1">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_Toc256000955 \h </w:instrText>
        </w:r>
        <w:r w:rsidR="00B16CCF">
          <w:fldChar w:fldCharType="separate"/>
        </w:r>
        <w:r w:rsidR="00B16CCF">
          <w:t>151</w:t>
        </w:r>
        <w:r w:rsidR="00B16CCF">
          <w:fldChar w:fldCharType="end"/>
        </w:r>
      </w:hyperlink>
    </w:p>
    <w:p w14:paraId="2C8E1097" w14:textId="77777777" w:rsidR="00823317" w:rsidRDefault="001D0AD2">
      <w:pPr>
        <w:pStyle w:val="Kazalovsebine4"/>
        <w:tabs>
          <w:tab w:val="end" w:leader="dot" w:pos="512pt"/>
        </w:tabs>
        <w:rPr>
          <w:rFonts w:ascii="Calibri" w:hAnsi="Calibri"/>
          <w:sz w:val="22"/>
        </w:rPr>
      </w:pPr>
      <w:hyperlink w:anchor="_Toc256000956" w:history="1">
        <w:r w:rsidR="00A77B3E">
          <w:rPr>
            <w:rStyle w:val="Hiperpovezava"/>
          </w:rPr>
          <w:t>2.1.1.1. Specifični cilj: RSO2.1. Spodbujanje energijske učinkovitosti in zmanjševanje emisij toplogrednih plinov (Kohezijski sklad)</w:t>
        </w:r>
        <w:r w:rsidR="00B16CCF">
          <w:tab/>
        </w:r>
        <w:r w:rsidR="00B16CCF">
          <w:fldChar w:fldCharType="begin"/>
        </w:r>
        <w:r w:rsidR="00B16CCF">
          <w:instrText xml:space="preserve"> PAGEREF _Toc256000956 \h </w:instrText>
        </w:r>
        <w:r w:rsidR="00B16CCF">
          <w:fldChar w:fldCharType="separate"/>
        </w:r>
        <w:r w:rsidR="00B16CCF">
          <w:t>152</w:t>
        </w:r>
        <w:r w:rsidR="00B16CCF">
          <w:fldChar w:fldCharType="end"/>
        </w:r>
      </w:hyperlink>
    </w:p>
    <w:p w14:paraId="611F38C9" w14:textId="77777777" w:rsidR="00823317" w:rsidRDefault="001D0AD2">
      <w:pPr>
        <w:pStyle w:val="Kazalovsebine4"/>
        <w:tabs>
          <w:tab w:val="end" w:leader="dot" w:pos="512pt"/>
        </w:tabs>
        <w:rPr>
          <w:rFonts w:ascii="Calibri" w:hAnsi="Calibri"/>
          <w:sz w:val="22"/>
        </w:rPr>
      </w:pPr>
      <w:hyperlink w:anchor="_Toc256000957" w:history="1">
        <w:r w:rsidR="00A77B3E">
          <w:rPr>
            <w:rStyle w:val="Hiperpovezava"/>
          </w:rPr>
          <w:t>2.1.1.1.1. Ukrepi skladov</w:t>
        </w:r>
        <w:r w:rsidR="00B16CCF">
          <w:tab/>
        </w:r>
        <w:r w:rsidR="00B16CCF">
          <w:fldChar w:fldCharType="begin"/>
        </w:r>
        <w:r w:rsidR="00B16CCF">
          <w:instrText xml:space="preserve"> PAGEREF _Toc256000957 \h </w:instrText>
        </w:r>
        <w:r w:rsidR="00B16CCF">
          <w:fldChar w:fldCharType="separate"/>
        </w:r>
        <w:r w:rsidR="00B16CCF">
          <w:t>152</w:t>
        </w:r>
        <w:r w:rsidR="00B16CCF">
          <w:fldChar w:fldCharType="end"/>
        </w:r>
      </w:hyperlink>
    </w:p>
    <w:p w14:paraId="05D25F40" w14:textId="77777777" w:rsidR="00823317" w:rsidRDefault="001D0AD2">
      <w:pPr>
        <w:pStyle w:val="Kazalovsebine5"/>
        <w:tabs>
          <w:tab w:val="end" w:leader="dot" w:pos="512pt"/>
        </w:tabs>
        <w:rPr>
          <w:rFonts w:ascii="Calibri" w:hAnsi="Calibri"/>
          <w:sz w:val="22"/>
        </w:rPr>
      </w:pPr>
      <w:hyperlink w:anchor="_Toc256000958" w:history="1">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_Toc256000958 \h </w:instrText>
        </w:r>
        <w:r w:rsidR="00B16CCF">
          <w:fldChar w:fldCharType="separate"/>
        </w:r>
        <w:r w:rsidR="00B16CCF">
          <w:t>152</w:t>
        </w:r>
        <w:r w:rsidR="00B16CCF">
          <w:fldChar w:fldCharType="end"/>
        </w:r>
      </w:hyperlink>
    </w:p>
    <w:p w14:paraId="729CC0C3" w14:textId="77777777" w:rsidR="00823317" w:rsidRDefault="001D0AD2">
      <w:pPr>
        <w:pStyle w:val="Kazalovsebine5"/>
        <w:tabs>
          <w:tab w:val="end" w:leader="dot" w:pos="512pt"/>
        </w:tabs>
        <w:rPr>
          <w:rFonts w:ascii="Calibri" w:hAnsi="Calibri"/>
          <w:sz w:val="22"/>
        </w:rPr>
      </w:pPr>
      <w:hyperlink w:anchor="_Toc256000959" w:history="1">
        <w:r w:rsidR="00A77B3E">
          <w:rPr>
            <w:rStyle w:val="Hiperpovezava"/>
          </w:rPr>
          <w:t>Glavne ciljne skupine – člen 22(3)(d)(iii) uredbe o skupnih določbah:</w:t>
        </w:r>
        <w:r w:rsidR="00B16CCF">
          <w:tab/>
        </w:r>
        <w:r w:rsidR="00B16CCF">
          <w:fldChar w:fldCharType="begin"/>
        </w:r>
        <w:r w:rsidR="00B16CCF">
          <w:instrText xml:space="preserve"> PAGEREF _Toc256000959 \h </w:instrText>
        </w:r>
        <w:r w:rsidR="00B16CCF">
          <w:fldChar w:fldCharType="separate"/>
        </w:r>
        <w:r w:rsidR="00B16CCF">
          <w:t>153</w:t>
        </w:r>
        <w:r w:rsidR="00B16CCF">
          <w:fldChar w:fldCharType="end"/>
        </w:r>
      </w:hyperlink>
    </w:p>
    <w:p w14:paraId="029BE09F" w14:textId="77777777" w:rsidR="00823317" w:rsidRDefault="001D0AD2">
      <w:pPr>
        <w:pStyle w:val="Kazalovsebine5"/>
        <w:tabs>
          <w:tab w:val="end" w:leader="dot" w:pos="512pt"/>
        </w:tabs>
        <w:rPr>
          <w:rFonts w:ascii="Calibri" w:hAnsi="Calibri"/>
          <w:sz w:val="22"/>
        </w:rPr>
      </w:pPr>
      <w:hyperlink w:anchor="_Toc256000960" w:history="1">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_Toc256000960 \h </w:instrText>
        </w:r>
        <w:r w:rsidR="00B16CCF">
          <w:fldChar w:fldCharType="separate"/>
        </w:r>
        <w:r w:rsidR="00B16CCF">
          <w:t>153</w:t>
        </w:r>
        <w:r w:rsidR="00B16CCF">
          <w:fldChar w:fldCharType="end"/>
        </w:r>
      </w:hyperlink>
    </w:p>
    <w:p w14:paraId="3104D6E8" w14:textId="77777777" w:rsidR="00823317" w:rsidRDefault="001D0AD2">
      <w:pPr>
        <w:pStyle w:val="Kazalovsebine5"/>
        <w:tabs>
          <w:tab w:val="end" w:leader="dot" w:pos="512pt"/>
        </w:tabs>
        <w:rPr>
          <w:rFonts w:ascii="Calibri" w:hAnsi="Calibri"/>
          <w:sz w:val="22"/>
        </w:rPr>
      </w:pPr>
      <w:hyperlink w:anchor="_Toc256000961" w:history="1">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_Toc256000961 \h </w:instrText>
        </w:r>
        <w:r w:rsidR="00B16CCF">
          <w:fldChar w:fldCharType="separate"/>
        </w:r>
        <w:r w:rsidR="00B16CCF">
          <w:t>154</w:t>
        </w:r>
        <w:r w:rsidR="00B16CCF">
          <w:fldChar w:fldCharType="end"/>
        </w:r>
      </w:hyperlink>
    </w:p>
    <w:p w14:paraId="21B53D08" w14:textId="77777777" w:rsidR="00823317" w:rsidRDefault="001D0AD2">
      <w:pPr>
        <w:pStyle w:val="Kazalovsebine5"/>
        <w:tabs>
          <w:tab w:val="end" w:leader="dot" w:pos="512pt"/>
        </w:tabs>
        <w:rPr>
          <w:rFonts w:ascii="Calibri" w:hAnsi="Calibri"/>
          <w:sz w:val="22"/>
        </w:rPr>
      </w:pPr>
      <w:hyperlink w:anchor="_Toc256000962" w:history="1">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_Toc256000962 \h </w:instrText>
        </w:r>
        <w:r w:rsidR="00B16CCF">
          <w:fldChar w:fldCharType="separate"/>
        </w:r>
        <w:r w:rsidR="00B16CCF">
          <w:t>154</w:t>
        </w:r>
        <w:r w:rsidR="00B16CCF">
          <w:fldChar w:fldCharType="end"/>
        </w:r>
      </w:hyperlink>
    </w:p>
    <w:p w14:paraId="40F30F9B" w14:textId="77777777" w:rsidR="00823317" w:rsidRDefault="001D0AD2">
      <w:pPr>
        <w:pStyle w:val="Kazalovsebine5"/>
        <w:tabs>
          <w:tab w:val="end" w:leader="dot" w:pos="512pt"/>
        </w:tabs>
        <w:rPr>
          <w:rFonts w:ascii="Calibri" w:hAnsi="Calibri"/>
          <w:sz w:val="22"/>
        </w:rPr>
      </w:pPr>
      <w:hyperlink w:anchor="_Toc256000963" w:history="1">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_Toc256000963 \h </w:instrText>
        </w:r>
        <w:r w:rsidR="00B16CCF">
          <w:fldChar w:fldCharType="separate"/>
        </w:r>
        <w:r w:rsidR="00B16CCF">
          <w:t>154</w:t>
        </w:r>
        <w:r w:rsidR="00B16CCF">
          <w:fldChar w:fldCharType="end"/>
        </w:r>
      </w:hyperlink>
    </w:p>
    <w:p w14:paraId="47AA93E3" w14:textId="77777777" w:rsidR="00823317" w:rsidRDefault="001D0AD2">
      <w:pPr>
        <w:pStyle w:val="Kazalovsebine4"/>
        <w:tabs>
          <w:tab w:val="end" w:leader="dot" w:pos="512pt"/>
        </w:tabs>
        <w:rPr>
          <w:rFonts w:ascii="Calibri" w:hAnsi="Calibri"/>
          <w:sz w:val="22"/>
        </w:rPr>
      </w:pPr>
      <w:hyperlink w:anchor="_Toc256000964" w:history="1">
        <w:r w:rsidR="00A77B3E">
          <w:rPr>
            <w:rStyle w:val="Hiperpovezava"/>
          </w:rPr>
          <w:t>2.1.1.1.2. Kazalniki</w:t>
        </w:r>
        <w:r w:rsidR="00B16CCF">
          <w:tab/>
        </w:r>
        <w:r w:rsidR="00B16CCF">
          <w:fldChar w:fldCharType="begin"/>
        </w:r>
        <w:r w:rsidR="00B16CCF">
          <w:instrText xml:space="preserve"> PAGEREF _Toc256000964 \h </w:instrText>
        </w:r>
        <w:r w:rsidR="00B16CCF">
          <w:fldChar w:fldCharType="separate"/>
        </w:r>
        <w:r w:rsidR="00B16CCF">
          <w:t>154</w:t>
        </w:r>
        <w:r w:rsidR="00B16CCF">
          <w:fldChar w:fldCharType="end"/>
        </w:r>
      </w:hyperlink>
    </w:p>
    <w:p w14:paraId="75F8387D" w14:textId="77777777" w:rsidR="00823317" w:rsidRDefault="001D0AD2">
      <w:pPr>
        <w:pStyle w:val="Kazalovsebine5"/>
        <w:tabs>
          <w:tab w:val="end" w:leader="dot" w:pos="512pt"/>
        </w:tabs>
        <w:rPr>
          <w:rFonts w:ascii="Calibri" w:hAnsi="Calibri"/>
          <w:sz w:val="22"/>
        </w:rPr>
      </w:pPr>
      <w:hyperlink w:anchor="_Toc256000965" w:history="1">
        <w:r w:rsidR="00A77B3E">
          <w:rPr>
            <w:rStyle w:val="Hiperpovezava"/>
          </w:rPr>
          <w:t>Tabela 2: Kazalniki učinka</w:t>
        </w:r>
        <w:r w:rsidR="00B16CCF">
          <w:tab/>
        </w:r>
        <w:r w:rsidR="00B16CCF">
          <w:fldChar w:fldCharType="begin"/>
        </w:r>
        <w:r w:rsidR="00B16CCF">
          <w:instrText xml:space="preserve"> PAGEREF _Toc256000965 \h </w:instrText>
        </w:r>
        <w:r w:rsidR="00B16CCF">
          <w:fldChar w:fldCharType="separate"/>
        </w:r>
        <w:r w:rsidR="00B16CCF">
          <w:t>154</w:t>
        </w:r>
        <w:r w:rsidR="00B16CCF">
          <w:fldChar w:fldCharType="end"/>
        </w:r>
      </w:hyperlink>
    </w:p>
    <w:p w14:paraId="4E9C091F" w14:textId="77777777" w:rsidR="00823317" w:rsidRDefault="001D0AD2">
      <w:pPr>
        <w:pStyle w:val="Kazalovsebine5"/>
        <w:tabs>
          <w:tab w:val="end" w:leader="dot" w:pos="512pt"/>
        </w:tabs>
        <w:rPr>
          <w:rFonts w:ascii="Calibri" w:hAnsi="Calibri"/>
          <w:sz w:val="22"/>
        </w:rPr>
      </w:pPr>
      <w:hyperlink w:anchor="_Toc256000966" w:history="1">
        <w:r w:rsidR="00A77B3E">
          <w:rPr>
            <w:rStyle w:val="Hiperpovezava"/>
          </w:rPr>
          <w:t>Tabela 3: Kazalniki rezultatov</w:t>
        </w:r>
        <w:r w:rsidR="00B16CCF">
          <w:tab/>
        </w:r>
        <w:r w:rsidR="00B16CCF">
          <w:fldChar w:fldCharType="begin"/>
        </w:r>
        <w:r w:rsidR="00B16CCF">
          <w:instrText xml:space="preserve"> PAGEREF _Toc256000966 \h </w:instrText>
        </w:r>
        <w:r w:rsidR="00B16CCF">
          <w:fldChar w:fldCharType="separate"/>
        </w:r>
        <w:r w:rsidR="00B16CCF">
          <w:t>155</w:t>
        </w:r>
        <w:r w:rsidR="00B16CCF">
          <w:fldChar w:fldCharType="end"/>
        </w:r>
      </w:hyperlink>
    </w:p>
    <w:p w14:paraId="5316D1E3" w14:textId="77777777" w:rsidR="00823317" w:rsidRDefault="001D0AD2">
      <w:pPr>
        <w:pStyle w:val="Kazalovsebine4"/>
        <w:tabs>
          <w:tab w:val="end" w:leader="dot" w:pos="512pt"/>
        </w:tabs>
        <w:rPr>
          <w:rFonts w:ascii="Calibri" w:hAnsi="Calibri"/>
          <w:sz w:val="22"/>
        </w:rPr>
      </w:pPr>
      <w:hyperlink w:anchor="_Toc256000967" w:history="1">
        <w:r w:rsidR="00A77B3E">
          <w:rPr>
            <w:rStyle w:val="Hiperpovezava"/>
          </w:rPr>
          <w:t>2.1.1.1.3. Okvirna razčlenitev načrtovanih sredstev (EU) glede na vrsto ukrepa</w:t>
        </w:r>
        <w:r w:rsidR="00B16CCF">
          <w:tab/>
        </w:r>
        <w:r w:rsidR="00B16CCF">
          <w:fldChar w:fldCharType="begin"/>
        </w:r>
        <w:r w:rsidR="00B16CCF">
          <w:instrText xml:space="preserve"> PAGEREF _Toc256000967 \h </w:instrText>
        </w:r>
        <w:r w:rsidR="00B16CCF">
          <w:fldChar w:fldCharType="separate"/>
        </w:r>
        <w:r w:rsidR="00B16CCF">
          <w:t>155</w:t>
        </w:r>
        <w:r w:rsidR="00B16CCF">
          <w:fldChar w:fldCharType="end"/>
        </w:r>
      </w:hyperlink>
    </w:p>
    <w:p w14:paraId="2D7ED353" w14:textId="77777777" w:rsidR="00823317" w:rsidRDefault="001D0AD2">
      <w:pPr>
        <w:pStyle w:val="Kazalovsebine5"/>
        <w:tabs>
          <w:tab w:val="end" w:leader="dot" w:pos="512pt"/>
        </w:tabs>
        <w:rPr>
          <w:rFonts w:ascii="Calibri" w:hAnsi="Calibri"/>
          <w:sz w:val="22"/>
        </w:rPr>
      </w:pPr>
      <w:hyperlink w:anchor="_Toc256000968" w:history="1">
        <w:r w:rsidR="00A77B3E">
          <w:rPr>
            <w:rStyle w:val="Hiperpovezava"/>
          </w:rPr>
          <w:t>Tabela 4: Razsežnost 1 – področje ukrepanja</w:t>
        </w:r>
        <w:r w:rsidR="00B16CCF">
          <w:tab/>
        </w:r>
        <w:r w:rsidR="00B16CCF">
          <w:fldChar w:fldCharType="begin"/>
        </w:r>
        <w:r w:rsidR="00B16CCF">
          <w:instrText xml:space="preserve"> PAGEREF _Toc256000968 \h </w:instrText>
        </w:r>
        <w:r w:rsidR="00B16CCF">
          <w:fldChar w:fldCharType="separate"/>
        </w:r>
        <w:r w:rsidR="00B16CCF">
          <w:t>155</w:t>
        </w:r>
        <w:r w:rsidR="00B16CCF">
          <w:fldChar w:fldCharType="end"/>
        </w:r>
      </w:hyperlink>
    </w:p>
    <w:p w14:paraId="757DD32B" w14:textId="77777777" w:rsidR="00823317" w:rsidRDefault="001D0AD2">
      <w:pPr>
        <w:pStyle w:val="Kazalovsebine5"/>
        <w:tabs>
          <w:tab w:val="end" w:leader="dot" w:pos="512pt"/>
        </w:tabs>
        <w:rPr>
          <w:rFonts w:ascii="Calibri" w:hAnsi="Calibri"/>
          <w:sz w:val="22"/>
        </w:rPr>
      </w:pPr>
      <w:hyperlink w:anchor="_Toc256000969" w:history="1">
        <w:r w:rsidR="00A77B3E">
          <w:rPr>
            <w:rStyle w:val="Hiperpovezava"/>
          </w:rPr>
          <w:t>Tabela 5: Razsežnost 2 – oblika financiranja</w:t>
        </w:r>
        <w:r w:rsidR="00B16CCF">
          <w:tab/>
        </w:r>
        <w:r w:rsidR="00B16CCF">
          <w:fldChar w:fldCharType="begin"/>
        </w:r>
        <w:r w:rsidR="00B16CCF">
          <w:instrText xml:space="preserve"> PAGEREF _Toc256000969 \h </w:instrText>
        </w:r>
        <w:r w:rsidR="00B16CCF">
          <w:fldChar w:fldCharType="separate"/>
        </w:r>
        <w:r w:rsidR="00B16CCF">
          <w:t>155</w:t>
        </w:r>
        <w:r w:rsidR="00B16CCF">
          <w:fldChar w:fldCharType="end"/>
        </w:r>
      </w:hyperlink>
    </w:p>
    <w:p w14:paraId="771B056A" w14:textId="77777777" w:rsidR="00823317" w:rsidRDefault="001D0AD2">
      <w:pPr>
        <w:pStyle w:val="Kazalovsebine5"/>
        <w:tabs>
          <w:tab w:val="end" w:leader="dot" w:pos="512pt"/>
        </w:tabs>
        <w:rPr>
          <w:rFonts w:ascii="Calibri" w:hAnsi="Calibri"/>
          <w:sz w:val="22"/>
        </w:rPr>
      </w:pPr>
      <w:hyperlink w:anchor="_Toc256000970" w:history="1">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_Toc256000970 \h </w:instrText>
        </w:r>
        <w:r w:rsidR="00B16CCF">
          <w:fldChar w:fldCharType="separate"/>
        </w:r>
        <w:r w:rsidR="00B16CCF">
          <w:t>155</w:t>
        </w:r>
        <w:r w:rsidR="00B16CCF">
          <w:fldChar w:fldCharType="end"/>
        </w:r>
      </w:hyperlink>
    </w:p>
    <w:p w14:paraId="62ABA9D1" w14:textId="77777777" w:rsidR="00823317" w:rsidRDefault="001D0AD2">
      <w:pPr>
        <w:pStyle w:val="Kazalovsebine5"/>
        <w:tabs>
          <w:tab w:val="end" w:leader="dot" w:pos="512pt"/>
        </w:tabs>
        <w:rPr>
          <w:rFonts w:ascii="Calibri" w:hAnsi="Calibri"/>
          <w:sz w:val="22"/>
        </w:rPr>
      </w:pPr>
      <w:hyperlink w:anchor="_Toc256000971" w:history="1">
        <w:r w:rsidR="00A77B3E">
          <w:rPr>
            <w:rStyle w:val="Hiperpovezava"/>
          </w:rPr>
          <w:t>Tabela 7: Razsežnost 6 – sekundarna področja ESS+</w:t>
        </w:r>
        <w:r w:rsidR="00B16CCF">
          <w:tab/>
        </w:r>
        <w:r w:rsidR="00B16CCF">
          <w:fldChar w:fldCharType="begin"/>
        </w:r>
        <w:r w:rsidR="00B16CCF">
          <w:instrText xml:space="preserve"> PAGEREF _Toc256000971 \h </w:instrText>
        </w:r>
        <w:r w:rsidR="00B16CCF">
          <w:fldChar w:fldCharType="separate"/>
        </w:r>
        <w:r w:rsidR="00B16CCF">
          <w:t>156</w:t>
        </w:r>
        <w:r w:rsidR="00B16CCF">
          <w:fldChar w:fldCharType="end"/>
        </w:r>
      </w:hyperlink>
    </w:p>
    <w:p w14:paraId="6E9EAFEF" w14:textId="77777777" w:rsidR="00823317" w:rsidRDefault="001D0AD2">
      <w:pPr>
        <w:pStyle w:val="Kazalovsebine5"/>
        <w:tabs>
          <w:tab w:val="end" w:leader="dot" w:pos="512pt"/>
        </w:tabs>
        <w:rPr>
          <w:rFonts w:ascii="Calibri" w:hAnsi="Calibri"/>
          <w:sz w:val="22"/>
        </w:rPr>
      </w:pPr>
      <w:hyperlink w:anchor="_Toc256000972" w:history="1">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_Toc256000972 \h </w:instrText>
        </w:r>
        <w:r w:rsidR="00B16CCF">
          <w:fldChar w:fldCharType="separate"/>
        </w:r>
        <w:r w:rsidR="00B16CCF">
          <w:t>156</w:t>
        </w:r>
        <w:r w:rsidR="00B16CCF">
          <w:fldChar w:fldCharType="end"/>
        </w:r>
      </w:hyperlink>
    </w:p>
    <w:p w14:paraId="58D04B13" w14:textId="77777777" w:rsidR="00823317" w:rsidRDefault="001D0AD2">
      <w:pPr>
        <w:pStyle w:val="Kazalovsebine4"/>
        <w:tabs>
          <w:tab w:val="end" w:leader="dot" w:pos="512pt"/>
        </w:tabs>
        <w:rPr>
          <w:rFonts w:ascii="Calibri" w:hAnsi="Calibri"/>
          <w:sz w:val="22"/>
        </w:rPr>
      </w:pPr>
      <w:hyperlink w:anchor="_Toc256000973" w:history="1">
        <w:r w:rsidR="00A77B3E">
          <w:rPr>
            <w:rStyle w:val="Hiperpovezava"/>
          </w:rPr>
          <w:t>2.1.1.1. Specifični cilj: RSO2.2. Spodbujanje energije iz obnovljivih virov v skladu z Direktivo (EU) 2018/2001 o spodbujanju uporabe energije iz obnovljivih virov [1], vključno s trajnostnimi merili, določenimi v Direktivi (Kohezijski sklad)</w:t>
        </w:r>
        <w:r w:rsidR="00B16CCF">
          <w:tab/>
        </w:r>
        <w:r w:rsidR="00B16CCF">
          <w:fldChar w:fldCharType="begin"/>
        </w:r>
        <w:r w:rsidR="00B16CCF">
          <w:instrText xml:space="preserve"> PAGEREF _Toc256000973 \h </w:instrText>
        </w:r>
        <w:r w:rsidR="00B16CCF">
          <w:fldChar w:fldCharType="separate"/>
        </w:r>
        <w:r w:rsidR="00B16CCF">
          <w:t>157</w:t>
        </w:r>
        <w:r w:rsidR="00B16CCF">
          <w:fldChar w:fldCharType="end"/>
        </w:r>
      </w:hyperlink>
    </w:p>
    <w:p w14:paraId="49DCFD6E" w14:textId="77777777" w:rsidR="00823317" w:rsidRDefault="001D0AD2">
      <w:pPr>
        <w:pStyle w:val="Kazalovsebine4"/>
        <w:tabs>
          <w:tab w:val="end" w:leader="dot" w:pos="512pt"/>
        </w:tabs>
        <w:rPr>
          <w:rFonts w:ascii="Calibri" w:hAnsi="Calibri"/>
          <w:sz w:val="22"/>
        </w:rPr>
      </w:pPr>
      <w:hyperlink w:anchor="_Toc256000974" w:history="1">
        <w:r w:rsidR="00A77B3E">
          <w:rPr>
            <w:rStyle w:val="Hiperpovezava"/>
          </w:rPr>
          <w:t>2.1.1.1.1. Ukrepi skladov</w:t>
        </w:r>
        <w:r w:rsidR="00B16CCF">
          <w:tab/>
        </w:r>
        <w:r w:rsidR="00B16CCF">
          <w:fldChar w:fldCharType="begin"/>
        </w:r>
        <w:r w:rsidR="00B16CCF">
          <w:instrText xml:space="preserve"> PAGEREF _Toc256000974 \h </w:instrText>
        </w:r>
        <w:r w:rsidR="00B16CCF">
          <w:fldChar w:fldCharType="separate"/>
        </w:r>
        <w:r w:rsidR="00B16CCF">
          <w:t>157</w:t>
        </w:r>
        <w:r w:rsidR="00B16CCF">
          <w:fldChar w:fldCharType="end"/>
        </w:r>
      </w:hyperlink>
    </w:p>
    <w:p w14:paraId="3DF34385" w14:textId="77777777" w:rsidR="00823317" w:rsidRDefault="001D0AD2">
      <w:pPr>
        <w:pStyle w:val="Kazalovsebine5"/>
        <w:tabs>
          <w:tab w:val="end" w:leader="dot" w:pos="512pt"/>
        </w:tabs>
        <w:rPr>
          <w:rFonts w:ascii="Calibri" w:hAnsi="Calibri"/>
          <w:sz w:val="22"/>
        </w:rPr>
      </w:pPr>
      <w:hyperlink w:anchor="_Toc256000975" w:history="1">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_Toc256000975 \h </w:instrText>
        </w:r>
        <w:r w:rsidR="00B16CCF">
          <w:fldChar w:fldCharType="separate"/>
        </w:r>
        <w:r w:rsidR="00B16CCF">
          <w:t>157</w:t>
        </w:r>
        <w:r w:rsidR="00B16CCF">
          <w:fldChar w:fldCharType="end"/>
        </w:r>
      </w:hyperlink>
    </w:p>
    <w:p w14:paraId="387227FF" w14:textId="77777777" w:rsidR="00823317" w:rsidRDefault="001D0AD2">
      <w:pPr>
        <w:pStyle w:val="Kazalovsebine5"/>
        <w:tabs>
          <w:tab w:val="end" w:leader="dot" w:pos="512pt"/>
        </w:tabs>
        <w:rPr>
          <w:rFonts w:ascii="Calibri" w:hAnsi="Calibri"/>
          <w:sz w:val="22"/>
        </w:rPr>
      </w:pPr>
      <w:hyperlink w:anchor="_Toc256000976" w:history="1">
        <w:r w:rsidR="00A77B3E">
          <w:rPr>
            <w:rStyle w:val="Hiperpovezava"/>
          </w:rPr>
          <w:t>Glavne ciljne skupine – člen 22(3)(d)(iii) uredbe o skupnih določbah:</w:t>
        </w:r>
        <w:r w:rsidR="00B16CCF">
          <w:tab/>
        </w:r>
        <w:r w:rsidR="00B16CCF">
          <w:fldChar w:fldCharType="begin"/>
        </w:r>
        <w:r w:rsidR="00B16CCF">
          <w:instrText xml:space="preserve"> PAGEREF _Toc256000976 \h </w:instrText>
        </w:r>
        <w:r w:rsidR="00B16CCF">
          <w:fldChar w:fldCharType="separate"/>
        </w:r>
        <w:r w:rsidR="00B16CCF">
          <w:t>158</w:t>
        </w:r>
        <w:r w:rsidR="00B16CCF">
          <w:fldChar w:fldCharType="end"/>
        </w:r>
      </w:hyperlink>
    </w:p>
    <w:p w14:paraId="0E7543F2" w14:textId="77777777" w:rsidR="00823317" w:rsidRDefault="001D0AD2">
      <w:pPr>
        <w:pStyle w:val="Kazalovsebine5"/>
        <w:tabs>
          <w:tab w:val="end" w:leader="dot" w:pos="512pt"/>
        </w:tabs>
        <w:rPr>
          <w:rFonts w:ascii="Calibri" w:hAnsi="Calibri"/>
          <w:sz w:val="22"/>
        </w:rPr>
      </w:pPr>
      <w:hyperlink w:anchor="_Toc256000977" w:history="1">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_Toc256000977 \h </w:instrText>
        </w:r>
        <w:r w:rsidR="00B16CCF">
          <w:fldChar w:fldCharType="separate"/>
        </w:r>
        <w:r w:rsidR="00B16CCF">
          <w:t>158</w:t>
        </w:r>
        <w:r w:rsidR="00B16CCF">
          <w:fldChar w:fldCharType="end"/>
        </w:r>
      </w:hyperlink>
    </w:p>
    <w:p w14:paraId="43BC5A61" w14:textId="77777777" w:rsidR="00823317" w:rsidRDefault="001D0AD2">
      <w:pPr>
        <w:pStyle w:val="Kazalovsebine5"/>
        <w:tabs>
          <w:tab w:val="end" w:leader="dot" w:pos="512pt"/>
        </w:tabs>
        <w:rPr>
          <w:rFonts w:ascii="Calibri" w:hAnsi="Calibri"/>
          <w:sz w:val="22"/>
        </w:rPr>
      </w:pPr>
      <w:hyperlink w:anchor="_Toc256000978" w:history="1">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_Toc256000978 \h </w:instrText>
        </w:r>
        <w:r w:rsidR="00B16CCF">
          <w:fldChar w:fldCharType="separate"/>
        </w:r>
        <w:r w:rsidR="00B16CCF">
          <w:t>159</w:t>
        </w:r>
        <w:r w:rsidR="00B16CCF">
          <w:fldChar w:fldCharType="end"/>
        </w:r>
      </w:hyperlink>
    </w:p>
    <w:p w14:paraId="2BE40F4F" w14:textId="77777777" w:rsidR="00823317" w:rsidRDefault="001D0AD2">
      <w:pPr>
        <w:pStyle w:val="Kazalovsebine5"/>
        <w:tabs>
          <w:tab w:val="end" w:leader="dot" w:pos="512pt"/>
        </w:tabs>
        <w:rPr>
          <w:rFonts w:ascii="Calibri" w:hAnsi="Calibri"/>
          <w:sz w:val="22"/>
        </w:rPr>
      </w:pPr>
      <w:hyperlink w:anchor="_Toc256000979" w:history="1">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_Toc256000979 \h </w:instrText>
        </w:r>
        <w:r w:rsidR="00B16CCF">
          <w:fldChar w:fldCharType="separate"/>
        </w:r>
        <w:r w:rsidR="00B16CCF">
          <w:t>159</w:t>
        </w:r>
        <w:r w:rsidR="00B16CCF">
          <w:fldChar w:fldCharType="end"/>
        </w:r>
      </w:hyperlink>
    </w:p>
    <w:p w14:paraId="672C1BE5" w14:textId="77777777" w:rsidR="00823317" w:rsidRDefault="001D0AD2">
      <w:pPr>
        <w:pStyle w:val="Kazalovsebine5"/>
        <w:tabs>
          <w:tab w:val="end" w:leader="dot" w:pos="512pt"/>
        </w:tabs>
        <w:rPr>
          <w:rFonts w:ascii="Calibri" w:hAnsi="Calibri"/>
          <w:sz w:val="22"/>
        </w:rPr>
      </w:pPr>
      <w:hyperlink w:anchor="_Toc256000980" w:history="1">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_Toc256000980 \h </w:instrText>
        </w:r>
        <w:r w:rsidR="00B16CCF">
          <w:fldChar w:fldCharType="separate"/>
        </w:r>
        <w:r w:rsidR="00B16CCF">
          <w:t>159</w:t>
        </w:r>
        <w:r w:rsidR="00B16CCF">
          <w:fldChar w:fldCharType="end"/>
        </w:r>
      </w:hyperlink>
    </w:p>
    <w:p w14:paraId="223703FF" w14:textId="77777777" w:rsidR="00823317" w:rsidRDefault="001D0AD2">
      <w:pPr>
        <w:pStyle w:val="Kazalovsebine4"/>
        <w:tabs>
          <w:tab w:val="end" w:leader="dot" w:pos="512pt"/>
        </w:tabs>
        <w:rPr>
          <w:rFonts w:ascii="Calibri" w:hAnsi="Calibri"/>
          <w:sz w:val="22"/>
        </w:rPr>
      </w:pPr>
      <w:hyperlink w:anchor="_Toc256000981" w:history="1">
        <w:r w:rsidR="00A77B3E">
          <w:rPr>
            <w:rStyle w:val="Hiperpovezava"/>
          </w:rPr>
          <w:t>2.1.1.1.2. Kazalniki</w:t>
        </w:r>
        <w:r w:rsidR="00B16CCF">
          <w:tab/>
        </w:r>
        <w:r w:rsidR="00B16CCF">
          <w:fldChar w:fldCharType="begin"/>
        </w:r>
        <w:r w:rsidR="00B16CCF">
          <w:instrText xml:space="preserve"> PAGEREF _Toc256000981 \h </w:instrText>
        </w:r>
        <w:r w:rsidR="00B16CCF">
          <w:fldChar w:fldCharType="separate"/>
        </w:r>
        <w:r w:rsidR="00B16CCF">
          <w:t>159</w:t>
        </w:r>
        <w:r w:rsidR="00B16CCF">
          <w:fldChar w:fldCharType="end"/>
        </w:r>
      </w:hyperlink>
    </w:p>
    <w:p w14:paraId="33A12561" w14:textId="77777777" w:rsidR="00823317" w:rsidRDefault="001D0AD2">
      <w:pPr>
        <w:pStyle w:val="Kazalovsebine5"/>
        <w:tabs>
          <w:tab w:val="end" w:leader="dot" w:pos="512pt"/>
        </w:tabs>
        <w:rPr>
          <w:rFonts w:ascii="Calibri" w:hAnsi="Calibri"/>
          <w:sz w:val="22"/>
        </w:rPr>
      </w:pPr>
      <w:hyperlink w:anchor="_Toc256000982" w:history="1">
        <w:r w:rsidR="00A77B3E">
          <w:rPr>
            <w:rStyle w:val="Hiperpovezava"/>
          </w:rPr>
          <w:t>Tabela 2: Kazalniki učinka</w:t>
        </w:r>
        <w:r w:rsidR="00B16CCF">
          <w:tab/>
        </w:r>
        <w:r w:rsidR="00B16CCF">
          <w:fldChar w:fldCharType="begin"/>
        </w:r>
        <w:r w:rsidR="00B16CCF">
          <w:instrText xml:space="preserve"> PAGEREF _Toc256000982 \h </w:instrText>
        </w:r>
        <w:r w:rsidR="00B16CCF">
          <w:fldChar w:fldCharType="separate"/>
        </w:r>
        <w:r w:rsidR="00B16CCF">
          <w:t>159</w:t>
        </w:r>
        <w:r w:rsidR="00B16CCF">
          <w:fldChar w:fldCharType="end"/>
        </w:r>
      </w:hyperlink>
    </w:p>
    <w:p w14:paraId="4823C89D" w14:textId="77777777" w:rsidR="00823317" w:rsidRDefault="001D0AD2">
      <w:pPr>
        <w:pStyle w:val="Kazalovsebine5"/>
        <w:tabs>
          <w:tab w:val="end" w:leader="dot" w:pos="512pt"/>
        </w:tabs>
        <w:rPr>
          <w:rFonts w:ascii="Calibri" w:hAnsi="Calibri"/>
          <w:sz w:val="22"/>
        </w:rPr>
      </w:pPr>
      <w:hyperlink w:anchor="_Toc256000983" w:history="1">
        <w:r w:rsidR="00A77B3E">
          <w:rPr>
            <w:rStyle w:val="Hiperpovezava"/>
          </w:rPr>
          <w:t>Tabela 3: Kazalniki rezultatov</w:t>
        </w:r>
        <w:r w:rsidR="00B16CCF">
          <w:tab/>
        </w:r>
        <w:r w:rsidR="00B16CCF">
          <w:fldChar w:fldCharType="begin"/>
        </w:r>
        <w:r w:rsidR="00B16CCF">
          <w:instrText xml:space="preserve"> PAGEREF _Toc256000983 \h </w:instrText>
        </w:r>
        <w:r w:rsidR="00B16CCF">
          <w:fldChar w:fldCharType="separate"/>
        </w:r>
        <w:r w:rsidR="00B16CCF">
          <w:t>159</w:t>
        </w:r>
        <w:r w:rsidR="00B16CCF">
          <w:fldChar w:fldCharType="end"/>
        </w:r>
      </w:hyperlink>
    </w:p>
    <w:p w14:paraId="1FD408BA" w14:textId="77777777" w:rsidR="00823317" w:rsidRDefault="001D0AD2">
      <w:pPr>
        <w:pStyle w:val="Kazalovsebine4"/>
        <w:tabs>
          <w:tab w:val="end" w:leader="dot" w:pos="512pt"/>
        </w:tabs>
        <w:rPr>
          <w:rFonts w:ascii="Calibri" w:hAnsi="Calibri"/>
          <w:sz w:val="22"/>
        </w:rPr>
      </w:pPr>
      <w:hyperlink w:anchor="_Toc256000984" w:history="1">
        <w:r w:rsidR="00A77B3E">
          <w:rPr>
            <w:rStyle w:val="Hiperpovezava"/>
          </w:rPr>
          <w:t>2.1.1.1.3. Okvirna razčlenitev načrtovanih sredstev (EU) glede na vrsto ukrepa</w:t>
        </w:r>
        <w:r w:rsidR="00B16CCF">
          <w:tab/>
        </w:r>
        <w:r w:rsidR="00B16CCF">
          <w:fldChar w:fldCharType="begin"/>
        </w:r>
        <w:r w:rsidR="00B16CCF">
          <w:instrText xml:space="preserve"> PAGEREF _Toc256000984 \h </w:instrText>
        </w:r>
        <w:r w:rsidR="00B16CCF">
          <w:fldChar w:fldCharType="separate"/>
        </w:r>
        <w:r w:rsidR="00B16CCF">
          <w:t>160</w:t>
        </w:r>
        <w:r w:rsidR="00B16CCF">
          <w:fldChar w:fldCharType="end"/>
        </w:r>
      </w:hyperlink>
    </w:p>
    <w:p w14:paraId="245F8B4F" w14:textId="77777777" w:rsidR="00823317" w:rsidRDefault="001D0AD2">
      <w:pPr>
        <w:pStyle w:val="Kazalovsebine5"/>
        <w:tabs>
          <w:tab w:val="end" w:leader="dot" w:pos="512pt"/>
        </w:tabs>
        <w:rPr>
          <w:rFonts w:ascii="Calibri" w:hAnsi="Calibri"/>
          <w:sz w:val="22"/>
        </w:rPr>
      </w:pPr>
      <w:hyperlink w:anchor="_Toc256000985" w:history="1">
        <w:r w:rsidR="00A77B3E">
          <w:rPr>
            <w:rStyle w:val="Hiperpovezava"/>
          </w:rPr>
          <w:t>Tabela 4: Razsežnost 1 – področje ukrepanja</w:t>
        </w:r>
        <w:r w:rsidR="00B16CCF">
          <w:tab/>
        </w:r>
        <w:r w:rsidR="00B16CCF">
          <w:fldChar w:fldCharType="begin"/>
        </w:r>
        <w:r w:rsidR="00B16CCF">
          <w:instrText xml:space="preserve"> PAGEREF _Toc256000985 \h </w:instrText>
        </w:r>
        <w:r w:rsidR="00B16CCF">
          <w:fldChar w:fldCharType="separate"/>
        </w:r>
        <w:r w:rsidR="00B16CCF">
          <w:t>160</w:t>
        </w:r>
        <w:r w:rsidR="00B16CCF">
          <w:fldChar w:fldCharType="end"/>
        </w:r>
      </w:hyperlink>
    </w:p>
    <w:p w14:paraId="007010F9" w14:textId="77777777" w:rsidR="00823317" w:rsidRDefault="001D0AD2">
      <w:pPr>
        <w:pStyle w:val="Kazalovsebine5"/>
        <w:tabs>
          <w:tab w:val="end" w:leader="dot" w:pos="512pt"/>
        </w:tabs>
        <w:rPr>
          <w:rFonts w:ascii="Calibri" w:hAnsi="Calibri"/>
          <w:sz w:val="22"/>
        </w:rPr>
      </w:pPr>
      <w:hyperlink w:anchor="_Toc256000986" w:history="1">
        <w:r w:rsidR="00A77B3E">
          <w:rPr>
            <w:rStyle w:val="Hiperpovezava"/>
          </w:rPr>
          <w:t>Tabela 5: Razsežnost 2 – oblika financiranja</w:t>
        </w:r>
        <w:r w:rsidR="00B16CCF">
          <w:tab/>
        </w:r>
        <w:r w:rsidR="00B16CCF">
          <w:fldChar w:fldCharType="begin"/>
        </w:r>
        <w:r w:rsidR="00B16CCF">
          <w:instrText xml:space="preserve"> PAGEREF _Toc256000986 \h </w:instrText>
        </w:r>
        <w:r w:rsidR="00B16CCF">
          <w:fldChar w:fldCharType="separate"/>
        </w:r>
        <w:r w:rsidR="00B16CCF">
          <w:t>160</w:t>
        </w:r>
        <w:r w:rsidR="00B16CCF">
          <w:fldChar w:fldCharType="end"/>
        </w:r>
      </w:hyperlink>
    </w:p>
    <w:p w14:paraId="6647C791" w14:textId="77777777" w:rsidR="00823317" w:rsidRDefault="001D0AD2">
      <w:pPr>
        <w:pStyle w:val="Kazalovsebine5"/>
        <w:tabs>
          <w:tab w:val="end" w:leader="dot" w:pos="512pt"/>
        </w:tabs>
        <w:rPr>
          <w:rFonts w:ascii="Calibri" w:hAnsi="Calibri"/>
          <w:sz w:val="22"/>
        </w:rPr>
      </w:pPr>
      <w:hyperlink w:anchor="_Toc256000987" w:history="1">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_Toc256000987 \h </w:instrText>
        </w:r>
        <w:r w:rsidR="00B16CCF">
          <w:fldChar w:fldCharType="separate"/>
        </w:r>
        <w:r w:rsidR="00B16CCF">
          <w:t>160</w:t>
        </w:r>
        <w:r w:rsidR="00B16CCF">
          <w:fldChar w:fldCharType="end"/>
        </w:r>
      </w:hyperlink>
    </w:p>
    <w:p w14:paraId="6ABFFED5" w14:textId="77777777" w:rsidR="00823317" w:rsidRDefault="001D0AD2">
      <w:pPr>
        <w:pStyle w:val="Kazalovsebine5"/>
        <w:tabs>
          <w:tab w:val="end" w:leader="dot" w:pos="512pt"/>
        </w:tabs>
        <w:rPr>
          <w:rFonts w:ascii="Calibri" w:hAnsi="Calibri"/>
          <w:sz w:val="22"/>
        </w:rPr>
      </w:pPr>
      <w:hyperlink w:anchor="_Toc256000988" w:history="1">
        <w:r w:rsidR="00A77B3E">
          <w:rPr>
            <w:rStyle w:val="Hiperpovezava"/>
          </w:rPr>
          <w:t>Tabela 7: Razsežnost 6 – sekundarna področja ESS+</w:t>
        </w:r>
        <w:r w:rsidR="00B16CCF">
          <w:tab/>
        </w:r>
        <w:r w:rsidR="00B16CCF">
          <w:fldChar w:fldCharType="begin"/>
        </w:r>
        <w:r w:rsidR="00B16CCF">
          <w:instrText xml:space="preserve"> PAGEREF _Toc256000988 \h </w:instrText>
        </w:r>
        <w:r w:rsidR="00B16CCF">
          <w:fldChar w:fldCharType="separate"/>
        </w:r>
        <w:r w:rsidR="00B16CCF">
          <w:t>160</w:t>
        </w:r>
        <w:r w:rsidR="00B16CCF">
          <w:fldChar w:fldCharType="end"/>
        </w:r>
      </w:hyperlink>
    </w:p>
    <w:p w14:paraId="62A03207" w14:textId="77777777" w:rsidR="00823317" w:rsidRDefault="001D0AD2">
      <w:pPr>
        <w:pStyle w:val="Kazalovsebine5"/>
        <w:tabs>
          <w:tab w:val="end" w:leader="dot" w:pos="512pt"/>
        </w:tabs>
        <w:rPr>
          <w:rFonts w:ascii="Calibri" w:hAnsi="Calibri"/>
          <w:sz w:val="22"/>
        </w:rPr>
      </w:pPr>
      <w:hyperlink w:anchor="_Toc256000989" w:history="1">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_Toc256000989 \h </w:instrText>
        </w:r>
        <w:r w:rsidR="00B16CCF">
          <w:fldChar w:fldCharType="separate"/>
        </w:r>
        <w:r w:rsidR="00B16CCF">
          <w:t>161</w:t>
        </w:r>
        <w:r w:rsidR="00B16CCF">
          <w:fldChar w:fldCharType="end"/>
        </w:r>
      </w:hyperlink>
    </w:p>
    <w:p w14:paraId="36AC3207" w14:textId="77777777" w:rsidR="00823317" w:rsidRDefault="001D0AD2">
      <w:pPr>
        <w:pStyle w:val="Kazalovsebine4"/>
        <w:tabs>
          <w:tab w:val="end" w:leader="dot" w:pos="512pt"/>
        </w:tabs>
        <w:rPr>
          <w:rFonts w:ascii="Calibri" w:hAnsi="Calibri"/>
          <w:sz w:val="22"/>
        </w:rPr>
      </w:pPr>
      <w:hyperlink w:anchor="_Toc256000990" w:history="1">
        <w:r w:rsidR="00A77B3E">
          <w:rPr>
            <w:rStyle w:val="Hiperpovezava"/>
          </w:rPr>
          <w:t>2.1.1.1. Specifični cilj: RSO2.4. Spodbujanje prilagajanja podnebnim spremembam in preprečevanja tveganja nesreč ter odpornosti, ob upoštevanju ekosistemskih pristopov (Kohezijski sklad)</w:t>
        </w:r>
        <w:r w:rsidR="00B16CCF">
          <w:tab/>
        </w:r>
        <w:r w:rsidR="00B16CCF">
          <w:fldChar w:fldCharType="begin"/>
        </w:r>
        <w:r w:rsidR="00B16CCF">
          <w:instrText xml:space="preserve"> PAGEREF _Toc256000990 \h </w:instrText>
        </w:r>
        <w:r w:rsidR="00B16CCF">
          <w:fldChar w:fldCharType="separate"/>
        </w:r>
        <w:r w:rsidR="00B16CCF">
          <w:t>162</w:t>
        </w:r>
        <w:r w:rsidR="00B16CCF">
          <w:fldChar w:fldCharType="end"/>
        </w:r>
      </w:hyperlink>
    </w:p>
    <w:p w14:paraId="0707F736" w14:textId="77777777" w:rsidR="00823317" w:rsidRDefault="001D0AD2">
      <w:pPr>
        <w:pStyle w:val="Kazalovsebine4"/>
        <w:tabs>
          <w:tab w:val="end" w:leader="dot" w:pos="512pt"/>
        </w:tabs>
        <w:rPr>
          <w:rFonts w:ascii="Calibri" w:hAnsi="Calibri"/>
          <w:sz w:val="22"/>
        </w:rPr>
      </w:pPr>
      <w:hyperlink w:anchor="_Toc256000991" w:history="1">
        <w:r w:rsidR="00A77B3E">
          <w:rPr>
            <w:rStyle w:val="Hiperpovezava"/>
          </w:rPr>
          <w:t>2.1.1.1.1. Ukrepi skladov</w:t>
        </w:r>
        <w:r w:rsidR="00B16CCF">
          <w:tab/>
        </w:r>
        <w:r w:rsidR="00B16CCF">
          <w:fldChar w:fldCharType="begin"/>
        </w:r>
        <w:r w:rsidR="00B16CCF">
          <w:instrText xml:space="preserve"> PAGEREF _Toc256000991 \h </w:instrText>
        </w:r>
        <w:r w:rsidR="00B16CCF">
          <w:fldChar w:fldCharType="separate"/>
        </w:r>
        <w:r w:rsidR="00B16CCF">
          <w:t>162</w:t>
        </w:r>
        <w:r w:rsidR="00B16CCF">
          <w:fldChar w:fldCharType="end"/>
        </w:r>
      </w:hyperlink>
    </w:p>
    <w:p w14:paraId="57A37CBA" w14:textId="77777777" w:rsidR="00823317" w:rsidRDefault="001D0AD2">
      <w:pPr>
        <w:pStyle w:val="Kazalovsebine5"/>
        <w:tabs>
          <w:tab w:val="end" w:leader="dot" w:pos="512pt"/>
        </w:tabs>
        <w:rPr>
          <w:rFonts w:ascii="Calibri" w:hAnsi="Calibri"/>
          <w:sz w:val="22"/>
        </w:rPr>
      </w:pPr>
      <w:hyperlink w:anchor="_Toc256000992" w:history="1">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_Toc256000992 \h </w:instrText>
        </w:r>
        <w:r w:rsidR="00B16CCF">
          <w:fldChar w:fldCharType="separate"/>
        </w:r>
        <w:r w:rsidR="00B16CCF">
          <w:t>162</w:t>
        </w:r>
        <w:r w:rsidR="00B16CCF">
          <w:fldChar w:fldCharType="end"/>
        </w:r>
      </w:hyperlink>
    </w:p>
    <w:p w14:paraId="35F4C88F" w14:textId="77777777" w:rsidR="00823317" w:rsidRDefault="001D0AD2">
      <w:pPr>
        <w:pStyle w:val="Kazalovsebine5"/>
        <w:tabs>
          <w:tab w:val="end" w:leader="dot" w:pos="512pt"/>
        </w:tabs>
        <w:rPr>
          <w:rFonts w:ascii="Calibri" w:hAnsi="Calibri"/>
          <w:sz w:val="22"/>
        </w:rPr>
      </w:pPr>
      <w:hyperlink w:anchor="_Toc256000993" w:history="1">
        <w:r w:rsidR="00A77B3E">
          <w:rPr>
            <w:rStyle w:val="Hiperpovezava"/>
          </w:rPr>
          <w:t>Glavne ciljne skupine – člen 22(3)(d)(iii) uredbe o skupnih določbah:</w:t>
        </w:r>
        <w:r w:rsidR="00B16CCF">
          <w:tab/>
        </w:r>
        <w:r w:rsidR="00B16CCF">
          <w:fldChar w:fldCharType="begin"/>
        </w:r>
        <w:r w:rsidR="00B16CCF">
          <w:instrText xml:space="preserve"> PAGEREF _Toc256000993 \h </w:instrText>
        </w:r>
        <w:r w:rsidR="00B16CCF">
          <w:fldChar w:fldCharType="separate"/>
        </w:r>
        <w:r w:rsidR="00B16CCF">
          <w:t>164</w:t>
        </w:r>
        <w:r w:rsidR="00B16CCF">
          <w:fldChar w:fldCharType="end"/>
        </w:r>
      </w:hyperlink>
    </w:p>
    <w:p w14:paraId="0ABED963" w14:textId="77777777" w:rsidR="00823317" w:rsidRDefault="001D0AD2">
      <w:pPr>
        <w:pStyle w:val="Kazalovsebine5"/>
        <w:tabs>
          <w:tab w:val="end" w:leader="dot" w:pos="512pt"/>
        </w:tabs>
        <w:rPr>
          <w:rFonts w:ascii="Calibri" w:hAnsi="Calibri"/>
          <w:sz w:val="22"/>
        </w:rPr>
      </w:pPr>
      <w:hyperlink w:anchor="_Toc256000994" w:history="1">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_Toc256000994 \h </w:instrText>
        </w:r>
        <w:r w:rsidR="00B16CCF">
          <w:fldChar w:fldCharType="separate"/>
        </w:r>
        <w:r w:rsidR="00B16CCF">
          <w:t>164</w:t>
        </w:r>
        <w:r w:rsidR="00B16CCF">
          <w:fldChar w:fldCharType="end"/>
        </w:r>
      </w:hyperlink>
    </w:p>
    <w:p w14:paraId="56A670B9" w14:textId="77777777" w:rsidR="00823317" w:rsidRDefault="001D0AD2">
      <w:pPr>
        <w:pStyle w:val="Kazalovsebine5"/>
        <w:tabs>
          <w:tab w:val="end" w:leader="dot" w:pos="512pt"/>
        </w:tabs>
        <w:rPr>
          <w:rFonts w:ascii="Calibri" w:hAnsi="Calibri"/>
          <w:sz w:val="22"/>
        </w:rPr>
      </w:pPr>
      <w:hyperlink w:anchor="_Toc256000995" w:history="1">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_Toc256000995 \h </w:instrText>
        </w:r>
        <w:r w:rsidR="00B16CCF">
          <w:fldChar w:fldCharType="separate"/>
        </w:r>
        <w:r w:rsidR="00B16CCF">
          <w:t>165</w:t>
        </w:r>
        <w:r w:rsidR="00B16CCF">
          <w:fldChar w:fldCharType="end"/>
        </w:r>
      </w:hyperlink>
    </w:p>
    <w:p w14:paraId="4A3F472B" w14:textId="77777777" w:rsidR="00823317" w:rsidRDefault="001D0AD2">
      <w:pPr>
        <w:pStyle w:val="Kazalovsebine5"/>
        <w:tabs>
          <w:tab w:val="end" w:leader="dot" w:pos="512pt"/>
        </w:tabs>
        <w:rPr>
          <w:rFonts w:ascii="Calibri" w:hAnsi="Calibri"/>
          <w:sz w:val="22"/>
        </w:rPr>
      </w:pPr>
      <w:hyperlink w:anchor="_Toc256000996" w:history="1">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_Toc256000996 \h </w:instrText>
        </w:r>
        <w:r w:rsidR="00B16CCF">
          <w:fldChar w:fldCharType="separate"/>
        </w:r>
        <w:r w:rsidR="00B16CCF">
          <w:t>165</w:t>
        </w:r>
        <w:r w:rsidR="00B16CCF">
          <w:fldChar w:fldCharType="end"/>
        </w:r>
      </w:hyperlink>
    </w:p>
    <w:p w14:paraId="789A0DEA" w14:textId="77777777" w:rsidR="00823317" w:rsidRDefault="001D0AD2">
      <w:pPr>
        <w:pStyle w:val="Kazalovsebine5"/>
        <w:tabs>
          <w:tab w:val="end" w:leader="dot" w:pos="512pt"/>
        </w:tabs>
        <w:rPr>
          <w:rFonts w:ascii="Calibri" w:hAnsi="Calibri"/>
          <w:sz w:val="22"/>
        </w:rPr>
      </w:pPr>
      <w:hyperlink w:anchor="_Toc256000997" w:history="1">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_Toc256000997 \h </w:instrText>
        </w:r>
        <w:r w:rsidR="00B16CCF">
          <w:fldChar w:fldCharType="separate"/>
        </w:r>
        <w:r w:rsidR="00B16CCF">
          <w:t>165</w:t>
        </w:r>
        <w:r w:rsidR="00B16CCF">
          <w:fldChar w:fldCharType="end"/>
        </w:r>
      </w:hyperlink>
    </w:p>
    <w:p w14:paraId="4914CD48" w14:textId="77777777" w:rsidR="00823317" w:rsidRDefault="001D0AD2">
      <w:pPr>
        <w:pStyle w:val="Kazalovsebine4"/>
        <w:tabs>
          <w:tab w:val="end" w:leader="dot" w:pos="512pt"/>
        </w:tabs>
        <w:rPr>
          <w:rFonts w:ascii="Calibri" w:hAnsi="Calibri"/>
          <w:sz w:val="22"/>
        </w:rPr>
      </w:pPr>
      <w:hyperlink w:anchor="_Toc256000998" w:history="1">
        <w:r w:rsidR="00A77B3E">
          <w:rPr>
            <w:rStyle w:val="Hiperpovezava"/>
          </w:rPr>
          <w:t>2.1.1.1.2. Kazalniki</w:t>
        </w:r>
        <w:r w:rsidR="00B16CCF">
          <w:tab/>
        </w:r>
        <w:r w:rsidR="00B16CCF">
          <w:fldChar w:fldCharType="begin"/>
        </w:r>
        <w:r w:rsidR="00B16CCF">
          <w:instrText xml:space="preserve"> PAGEREF _Toc256000998 \h </w:instrText>
        </w:r>
        <w:r w:rsidR="00B16CCF">
          <w:fldChar w:fldCharType="separate"/>
        </w:r>
        <w:r w:rsidR="00B16CCF">
          <w:t>166</w:t>
        </w:r>
        <w:r w:rsidR="00B16CCF">
          <w:fldChar w:fldCharType="end"/>
        </w:r>
      </w:hyperlink>
    </w:p>
    <w:p w14:paraId="3E1425FD" w14:textId="77777777" w:rsidR="00823317" w:rsidRDefault="001D0AD2">
      <w:pPr>
        <w:pStyle w:val="Kazalovsebine5"/>
        <w:tabs>
          <w:tab w:val="end" w:leader="dot" w:pos="512pt"/>
        </w:tabs>
        <w:rPr>
          <w:rFonts w:ascii="Calibri" w:hAnsi="Calibri"/>
          <w:sz w:val="22"/>
        </w:rPr>
      </w:pPr>
      <w:hyperlink w:anchor="_Toc256000999" w:history="1">
        <w:r w:rsidR="00A77B3E">
          <w:rPr>
            <w:rStyle w:val="Hiperpovezava"/>
          </w:rPr>
          <w:t>Tabela 2: Kazalniki učinka</w:t>
        </w:r>
        <w:r w:rsidR="00B16CCF">
          <w:tab/>
        </w:r>
        <w:r w:rsidR="00B16CCF">
          <w:fldChar w:fldCharType="begin"/>
        </w:r>
        <w:r w:rsidR="00B16CCF">
          <w:instrText xml:space="preserve"> PAGEREF _Toc256000999 \h </w:instrText>
        </w:r>
        <w:r w:rsidR="00B16CCF">
          <w:fldChar w:fldCharType="separate"/>
        </w:r>
        <w:r w:rsidR="00B16CCF">
          <w:t>166</w:t>
        </w:r>
        <w:r w:rsidR="00B16CCF">
          <w:fldChar w:fldCharType="end"/>
        </w:r>
      </w:hyperlink>
    </w:p>
    <w:p w14:paraId="260224CB" w14:textId="77777777" w:rsidR="00823317" w:rsidRDefault="001D0AD2">
      <w:pPr>
        <w:pStyle w:val="Kazalovsebine5"/>
        <w:tabs>
          <w:tab w:val="end" w:leader="dot" w:pos="512pt"/>
        </w:tabs>
        <w:rPr>
          <w:rFonts w:ascii="Calibri" w:hAnsi="Calibri"/>
          <w:sz w:val="22"/>
        </w:rPr>
      </w:pPr>
      <w:hyperlink w:anchor="_Toc256001000" w:history="1">
        <w:r w:rsidR="00A77B3E">
          <w:rPr>
            <w:rStyle w:val="Hiperpovezava"/>
          </w:rPr>
          <w:t>Tabela 3: Kazalniki rezultatov</w:t>
        </w:r>
        <w:r w:rsidR="00B16CCF">
          <w:tab/>
        </w:r>
        <w:r w:rsidR="00B16CCF">
          <w:fldChar w:fldCharType="begin"/>
        </w:r>
        <w:r w:rsidR="00B16CCF">
          <w:instrText xml:space="preserve"> PAGEREF _Toc256001000 \h </w:instrText>
        </w:r>
        <w:r w:rsidR="00B16CCF">
          <w:fldChar w:fldCharType="separate"/>
        </w:r>
        <w:r w:rsidR="00B16CCF">
          <w:t>166</w:t>
        </w:r>
        <w:r w:rsidR="00B16CCF">
          <w:fldChar w:fldCharType="end"/>
        </w:r>
      </w:hyperlink>
    </w:p>
    <w:p w14:paraId="3B4A36F8" w14:textId="77777777" w:rsidR="00823317" w:rsidRDefault="001D0AD2">
      <w:pPr>
        <w:pStyle w:val="Kazalovsebine4"/>
        <w:tabs>
          <w:tab w:val="end" w:leader="dot" w:pos="512pt"/>
        </w:tabs>
        <w:rPr>
          <w:rFonts w:ascii="Calibri" w:hAnsi="Calibri"/>
          <w:sz w:val="22"/>
        </w:rPr>
      </w:pPr>
      <w:hyperlink w:anchor="_Toc256001001" w:history="1">
        <w:r w:rsidR="00A77B3E">
          <w:rPr>
            <w:rStyle w:val="Hiperpovezava"/>
          </w:rPr>
          <w:t>2.1.1.1.3. Okvirna razčlenitev načrtovanih sredstev (EU) glede na vrsto ukrepa</w:t>
        </w:r>
        <w:r w:rsidR="00B16CCF">
          <w:tab/>
        </w:r>
        <w:r w:rsidR="00B16CCF">
          <w:fldChar w:fldCharType="begin"/>
        </w:r>
        <w:r w:rsidR="00B16CCF">
          <w:instrText xml:space="preserve"> PAGEREF _Toc256001001 \h </w:instrText>
        </w:r>
        <w:r w:rsidR="00B16CCF">
          <w:fldChar w:fldCharType="separate"/>
        </w:r>
        <w:r w:rsidR="00B16CCF">
          <w:t>167</w:t>
        </w:r>
        <w:r w:rsidR="00B16CCF">
          <w:fldChar w:fldCharType="end"/>
        </w:r>
      </w:hyperlink>
    </w:p>
    <w:p w14:paraId="292B9CEA" w14:textId="77777777" w:rsidR="00823317" w:rsidRDefault="001D0AD2">
      <w:pPr>
        <w:pStyle w:val="Kazalovsebine5"/>
        <w:tabs>
          <w:tab w:val="end" w:leader="dot" w:pos="512pt"/>
        </w:tabs>
        <w:rPr>
          <w:rFonts w:ascii="Calibri" w:hAnsi="Calibri"/>
          <w:sz w:val="22"/>
        </w:rPr>
      </w:pPr>
      <w:hyperlink w:anchor="_Toc256001002" w:history="1">
        <w:r w:rsidR="00A77B3E">
          <w:rPr>
            <w:rStyle w:val="Hiperpovezava"/>
          </w:rPr>
          <w:t>Tabela 4: Razsežnost 1 – področje ukrepanja</w:t>
        </w:r>
        <w:r w:rsidR="00B16CCF">
          <w:tab/>
        </w:r>
        <w:r w:rsidR="00B16CCF">
          <w:fldChar w:fldCharType="begin"/>
        </w:r>
        <w:r w:rsidR="00B16CCF">
          <w:instrText xml:space="preserve"> PAGEREF _Toc256001002 \h </w:instrText>
        </w:r>
        <w:r w:rsidR="00B16CCF">
          <w:fldChar w:fldCharType="separate"/>
        </w:r>
        <w:r w:rsidR="00B16CCF">
          <w:t>167</w:t>
        </w:r>
        <w:r w:rsidR="00B16CCF">
          <w:fldChar w:fldCharType="end"/>
        </w:r>
      </w:hyperlink>
    </w:p>
    <w:p w14:paraId="092F882A" w14:textId="77777777" w:rsidR="00823317" w:rsidRDefault="001D0AD2">
      <w:pPr>
        <w:pStyle w:val="Kazalovsebine5"/>
        <w:tabs>
          <w:tab w:val="end" w:leader="dot" w:pos="512pt"/>
        </w:tabs>
        <w:rPr>
          <w:rFonts w:ascii="Calibri" w:hAnsi="Calibri"/>
          <w:sz w:val="22"/>
        </w:rPr>
      </w:pPr>
      <w:hyperlink w:anchor="_Toc256001003" w:history="1">
        <w:r w:rsidR="00A77B3E">
          <w:rPr>
            <w:rStyle w:val="Hiperpovezava"/>
          </w:rPr>
          <w:t>Tabela 5: Razsežnost 2 – oblika financiranja</w:t>
        </w:r>
        <w:r w:rsidR="00B16CCF">
          <w:tab/>
        </w:r>
        <w:r w:rsidR="00B16CCF">
          <w:fldChar w:fldCharType="begin"/>
        </w:r>
        <w:r w:rsidR="00B16CCF">
          <w:instrText xml:space="preserve"> PAGEREF _Toc256001003 \h </w:instrText>
        </w:r>
        <w:r w:rsidR="00B16CCF">
          <w:fldChar w:fldCharType="separate"/>
        </w:r>
        <w:r w:rsidR="00B16CCF">
          <w:t>168</w:t>
        </w:r>
        <w:r w:rsidR="00B16CCF">
          <w:fldChar w:fldCharType="end"/>
        </w:r>
      </w:hyperlink>
    </w:p>
    <w:p w14:paraId="7F876DD9" w14:textId="77777777" w:rsidR="00823317" w:rsidRDefault="001D0AD2">
      <w:pPr>
        <w:pStyle w:val="Kazalovsebine5"/>
        <w:tabs>
          <w:tab w:val="end" w:leader="dot" w:pos="512pt"/>
        </w:tabs>
        <w:rPr>
          <w:rFonts w:ascii="Calibri" w:hAnsi="Calibri"/>
          <w:sz w:val="22"/>
        </w:rPr>
      </w:pPr>
      <w:hyperlink w:anchor="_Toc256001004" w:history="1">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_Toc256001004 \h </w:instrText>
        </w:r>
        <w:r w:rsidR="00B16CCF">
          <w:fldChar w:fldCharType="separate"/>
        </w:r>
        <w:r w:rsidR="00B16CCF">
          <w:t>168</w:t>
        </w:r>
        <w:r w:rsidR="00B16CCF">
          <w:fldChar w:fldCharType="end"/>
        </w:r>
      </w:hyperlink>
    </w:p>
    <w:p w14:paraId="098E1FB0" w14:textId="77777777" w:rsidR="00823317" w:rsidRDefault="001D0AD2">
      <w:pPr>
        <w:pStyle w:val="Kazalovsebine5"/>
        <w:tabs>
          <w:tab w:val="end" w:leader="dot" w:pos="512pt"/>
        </w:tabs>
        <w:rPr>
          <w:rFonts w:ascii="Calibri" w:hAnsi="Calibri"/>
          <w:sz w:val="22"/>
        </w:rPr>
      </w:pPr>
      <w:hyperlink w:anchor="_Toc256001005" w:history="1">
        <w:r w:rsidR="00A77B3E">
          <w:rPr>
            <w:rStyle w:val="Hiperpovezava"/>
          </w:rPr>
          <w:t>Tabela 7: Razsežnost 6 – sekundarna področja ESS+</w:t>
        </w:r>
        <w:r w:rsidR="00B16CCF">
          <w:tab/>
        </w:r>
        <w:r w:rsidR="00B16CCF">
          <w:fldChar w:fldCharType="begin"/>
        </w:r>
        <w:r w:rsidR="00B16CCF">
          <w:instrText xml:space="preserve"> PAGEREF _Toc256001005 \h </w:instrText>
        </w:r>
        <w:r w:rsidR="00B16CCF">
          <w:fldChar w:fldCharType="separate"/>
        </w:r>
        <w:r w:rsidR="00B16CCF">
          <w:t>168</w:t>
        </w:r>
        <w:r w:rsidR="00B16CCF">
          <w:fldChar w:fldCharType="end"/>
        </w:r>
      </w:hyperlink>
    </w:p>
    <w:p w14:paraId="2C624E2C" w14:textId="77777777" w:rsidR="00823317" w:rsidRDefault="001D0AD2">
      <w:pPr>
        <w:pStyle w:val="Kazalovsebine5"/>
        <w:tabs>
          <w:tab w:val="end" w:leader="dot" w:pos="512pt"/>
        </w:tabs>
        <w:rPr>
          <w:rFonts w:ascii="Calibri" w:hAnsi="Calibri"/>
          <w:sz w:val="22"/>
        </w:rPr>
      </w:pPr>
      <w:hyperlink w:anchor="_Toc256001006" w:history="1">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_Toc256001006 \h </w:instrText>
        </w:r>
        <w:r w:rsidR="00B16CCF">
          <w:fldChar w:fldCharType="separate"/>
        </w:r>
        <w:r w:rsidR="00B16CCF">
          <w:t>168</w:t>
        </w:r>
        <w:r w:rsidR="00B16CCF">
          <w:fldChar w:fldCharType="end"/>
        </w:r>
      </w:hyperlink>
    </w:p>
    <w:p w14:paraId="525DC068" w14:textId="77777777" w:rsidR="00823317" w:rsidRDefault="001D0AD2">
      <w:pPr>
        <w:pStyle w:val="Kazalovsebine4"/>
        <w:tabs>
          <w:tab w:val="end" w:leader="dot" w:pos="512pt"/>
        </w:tabs>
        <w:rPr>
          <w:rFonts w:ascii="Calibri" w:hAnsi="Calibri"/>
          <w:sz w:val="22"/>
        </w:rPr>
      </w:pPr>
      <w:hyperlink w:anchor="_Toc256001007" w:history="1">
        <w:r w:rsidR="00A77B3E">
          <w:rPr>
            <w:rStyle w:val="Hiperpovezava"/>
          </w:rPr>
          <w:t>2.1.1.1. Specifični cilj: RSO2.5. Spodbujanje dostopa do vode in trajnostnega gospodarjenja z vodnimi viri (Kohezijski sklad)</w:t>
        </w:r>
        <w:r w:rsidR="00B16CCF">
          <w:tab/>
        </w:r>
        <w:r w:rsidR="00B16CCF">
          <w:fldChar w:fldCharType="begin"/>
        </w:r>
        <w:r w:rsidR="00B16CCF">
          <w:instrText xml:space="preserve"> PAGEREF _Toc256001007 \h </w:instrText>
        </w:r>
        <w:r w:rsidR="00B16CCF">
          <w:fldChar w:fldCharType="separate"/>
        </w:r>
        <w:r w:rsidR="00B16CCF">
          <w:t>169</w:t>
        </w:r>
        <w:r w:rsidR="00B16CCF">
          <w:fldChar w:fldCharType="end"/>
        </w:r>
      </w:hyperlink>
    </w:p>
    <w:p w14:paraId="71AB2820" w14:textId="77777777" w:rsidR="00823317" w:rsidRDefault="001D0AD2">
      <w:pPr>
        <w:pStyle w:val="Kazalovsebine4"/>
        <w:tabs>
          <w:tab w:val="end" w:leader="dot" w:pos="512pt"/>
        </w:tabs>
        <w:rPr>
          <w:rFonts w:ascii="Calibri" w:hAnsi="Calibri"/>
          <w:sz w:val="22"/>
        </w:rPr>
      </w:pPr>
      <w:hyperlink w:anchor="_Toc256001008" w:history="1">
        <w:r w:rsidR="00A77B3E">
          <w:rPr>
            <w:rStyle w:val="Hiperpovezava"/>
          </w:rPr>
          <w:t>2.1.1.1.1. Ukrepi skladov</w:t>
        </w:r>
        <w:r w:rsidR="00B16CCF">
          <w:tab/>
        </w:r>
        <w:r w:rsidR="00B16CCF">
          <w:fldChar w:fldCharType="begin"/>
        </w:r>
        <w:r w:rsidR="00B16CCF">
          <w:instrText xml:space="preserve"> PAGEREF _Toc256001008 \h </w:instrText>
        </w:r>
        <w:r w:rsidR="00B16CCF">
          <w:fldChar w:fldCharType="separate"/>
        </w:r>
        <w:r w:rsidR="00B16CCF">
          <w:t>169</w:t>
        </w:r>
        <w:r w:rsidR="00B16CCF">
          <w:fldChar w:fldCharType="end"/>
        </w:r>
      </w:hyperlink>
    </w:p>
    <w:p w14:paraId="4E2F455E" w14:textId="77777777" w:rsidR="00823317" w:rsidRDefault="001D0AD2">
      <w:pPr>
        <w:pStyle w:val="Kazalovsebine5"/>
        <w:tabs>
          <w:tab w:val="end" w:leader="dot" w:pos="512pt"/>
        </w:tabs>
        <w:rPr>
          <w:rFonts w:ascii="Calibri" w:hAnsi="Calibri"/>
          <w:sz w:val="22"/>
        </w:rPr>
      </w:pPr>
      <w:hyperlink w:anchor="_Toc256001009" w:history="1">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_Toc256001009 \h </w:instrText>
        </w:r>
        <w:r w:rsidR="00B16CCF">
          <w:fldChar w:fldCharType="separate"/>
        </w:r>
        <w:r w:rsidR="00B16CCF">
          <w:t>169</w:t>
        </w:r>
        <w:r w:rsidR="00B16CCF">
          <w:fldChar w:fldCharType="end"/>
        </w:r>
      </w:hyperlink>
    </w:p>
    <w:p w14:paraId="0684F6CD" w14:textId="77777777" w:rsidR="00823317" w:rsidRDefault="001D0AD2">
      <w:pPr>
        <w:pStyle w:val="Kazalovsebine5"/>
        <w:tabs>
          <w:tab w:val="end" w:leader="dot" w:pos="512pt"/>
        </w:tabs>
        <w:rPr>
          <w:rFonts w:ascii="Calibri" w:hAnsi="Calibri"/>
          <w:sz w:val="22"/>
        </w:rPr>
      </w:pPr>
      <w:hyperlink w:anchor="_Toc256001010" w:history="1">
        <w:r w:rsidR="00A77B3E">
          <w:rPr>
            <w:rStyle w:val="Hiperpovezava"/>
          </w:rPr>
          <w:t>Glavne ciljne skupine – člen 22(3)(d)(iii) uredbe o skupnih določbah:</w:t>
        </w:r>
        <w:r w:rsidR="00B16CCF">
          <w:tab/>
        </w:r>
        <w:r w:rsidR="00B16CCF">
          <w:fldChar w:fldCharType="begin"/>
        </w:r>
        <w:r w:rsidR="00B16CCF">
          <w:instrText xml:space="preserve"> PAGEREF _Toc256001010 \h </w:instrText>
        </w:r>
        <w:r w:rsidR="00B16CCF">
          <w:fldChar w:fldCharType="separate"/>
        </w:r>
        <w:r w:rsidR="00B16CCF">
          <w:t>170</w:t>
        </w:r>
        <w:r w:rsidR="00B16CCF">
          <w:fldChar w:fldCharType="end"/>
        </w:r>
      </w:hyperlink>
    </w:p>
    <w:p w14:paraId="35FCCD2C" w14:textId="77777777" w:rsidR="00823317" w:rsidRDefault="001D0AD2">
      <w:pPr>
        <w:pStyle w:val="Kazalovsebine5"/>
        <w:tabs>
          <w:tab w:val="end" w:leader="dot" w:pos="512pt"/>
        </w:tabs>
        <w:rPr>
          <w:rFonts w:ascii="Calibri" w:hAnsi="Calibri"/>
          <w:sz w:val="22"/>
        </w:rPr>
      </w:pPr>
      <w:hyperlink w:anchor="_Toc256001011" w:history="1">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_Toc256001011 \h </w:instrText>
        </w:r>
        <w:r w:rsidR="00B16CCF">
          <w:fldChar w:fldCharType="separate"/>
        </w:r>
        <w:r w:rsidR="00B16CCF">
          <w:t>170</w:t>
        </w:r>
        <w:r w:rsidR="00B16CCF">
          <w:fldChar w:fldCharType="end"/>
        </w:r>
      </w:hyperlink>
    </w:p>
    <w:p w14:paraId="3E57DB63" w14:textId="77777777" w:rsidR="00823317" w:rsidRDefault="001D0AD2">
      <w:pPr>
        <w:pStyle w:val="Kazalovsebine5"/>
        <w:tabs>
          <w:tab w:val="end" w:leader="dot" w:pos="512pt"/>
        </w:tabs>
        <w:rPr>
          <w:rFonts w:ascii="Calibri" w:hAnsi="Calibri"/>
          <w:sz w:val="22"/>
        </w:rPr>
      </w:pPr>
      <w:hyperlink w:anchor="_Toc256001012" w:history="1">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_Toc256001012 \h </w:instrText>
        </w:r>
        <w:r w:rsidR="00B16CCF">
          <w:fldChar w:fldCharType="separate"/>
        </w:r>
        <w:r w:rsidR="00B16CCF">
          <w:t>171</w:t>
        </w:r>
        <w:r w:rsidR="00B16CCF">
          <w:fldChar w:fldCharType="end"/>
        </w:r>
      </w:hyperlink>
    </w:p>
    <w:p w14:paraId="4B884CF7" w14:textId="77777777" w:rsidR="00823317" w:rsidRDefault="001D0AD2">
      <w:pPr>
        <w:pStyle w:val="Kazalovsebine5"/>
        <w:tabs>
          <w:tab w:val="end" w:leader="dot" w:pos="512pt"/>
        </w:tabs>
        <w:rPr>
          <w:rFonts w:ascii="Calibri" w:hAnsi="Calibri"/>
          <w:sz w:val="22"/>
        </w:rPr>
      </w:pPr>
      <w:hyperlink w:anchor="_Toc256001013" w:history="1">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_Toc256001013 \h </w:instrText>
        </w:r>
        <w:r w:rsidR="00B16CCF">
          <w:fldChar w:fldCharType="separate"/>
        </w:r>
        <w:r w:rsidR="00B16CCF">
          <w:t>171</w:t>
        </w:r>
        <w:r w:rsidR="00B16CCF">
          <w:fldChar w:fldCharType="end"/>
        </w:r>
      </w:hyperlink>
    </w:p>
    <w:p w14:paraId="46FD7E11" w14:textId="77777777" w:rsidR="00823317" w:rsidRDefault="001D0AD2">
      <w:pPr>
        <w:pStyle w:val="Kazalovsebine5"/>
        <w:tabs>
          <w:tab w:val="end" w:leader="dot" w:pos="512pt"/>
        </w:tabs>
        <w:rPr>
          <w:rFonts w:ascii="Calibri" w:hAnsi="Calibri"/>
          <w:sz w:val="22"/>
        </w:rPr>
      </w:pPr>
      <w:hyperlink w:anchor="_Toc256001014" w:history="1">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_Toc256001014 \h </w:instrText>
        </w:r>
        <w:r w:rsidR="00B16CCF">
          <w:fldChar w:fldCharType="separate"/>
        </w:r>
        <w:r w:rsidR="00B16CCF">
          <w:t>171</w:t>
        </w:r>
        <w:r w:rsidR="00B16CCF">
          <w:fldChar w:fldCharType="end"/>
        </w:r>
      </w:hyperlink>
    </w:p>
    <w:p w14:paraId="05DA1FF5" w14:textId="77777777" w:rsidR="00823317" w:rsidRDefault="001D0AD2">
      <w:pPr>
        <w:pStyle w:val="Kazalovsebine4"/>
        <w:tabs>
          <w:tab w:val="end" w:leader="dot" w:pos="512pt"/>
        </w:tabs>
        <w:rPr>
          <w:rFonts w:ascii="Calibri" w:hAnsi="Calibri"/>
          <w:sz w:val="22"/>
        </w:rPr>
      </w:pPr>
      <w:hyperlink w:anchor="_Toc256001015" w:history="1">
        <w:r w:rsidR="00A77B3E">
          <w:rPr>
            <w:rStyle w:val="Hiperpovezava"/>
          </w:rPr>
          <w:t>2.1.1.1.2. Kazalniki</w:t>
        </w:r>
        <w:r w:rsidR="00B16CCF">
          <w:tab/>
        </w:r>
        <w:r w:rsidR="00B16CCF">
          <w:fldChar w:fldCharType="begin"/>
        </w:r>
        <w:r w:rsidR="00B16CCF">
          <w:instrText xml:space="preserve"> PAGEREF _Toc256001015 \h </w:instrText>
        </w:r>
        <w:r w:rsidR="00B16CCF">
          <w:fldChar w:fldCharType="separate"/>
        </w:r>
        <w:r w:rsidR="00B16CCF">
          <w:t>172</w:t>
        </w:r>
        <w:r w:rsidR="00B16CCF">
          <w:fldChar w:fldCharType="end"/>
        </w:r>
      </w:hyperlink>
    </w:p>
    <w:p w14:paraId="1C089BF3" w14:textId="77777777" w:rsidR="00823317" w:rsidRDefault="001D0AD2">
      <w:pPr>
        <w:pStyle w:val="Kazalovsebine5"/>
        <w:tabs>
          <w:tab w:val="end" w:leader="dot" w:pos="512pt"/>
        </w:tabs>
        <w:rPr>
          <w:rFonts w:ascii="Calibri" w:hAnsi="Calibri"/>
          <w:sz w:val="22"/>
        </w:rPr>
      </w:pPr>
      <w:hyperlink w:anchor="_Toc256001016" w:history="1">
        <w:r w:rsidR="00A77B3E">
          <w:rPr>
            <w:rStyle w:val="Hiperpovezava"/>
          </w:rPr>
          <w:t>Tabela 2: Kazalniki učinka</w:t>
        </w:r>
        <w:r w:rsidR="00B16CCF">
          <w:tab/>
        </w:r>
        <w:r w:rsidR="00B16CCF">
          <w:fldChar w:fldCharType="begin"/>
        </w:r>
        <w:r w:rsidR="00B16CCF">
          <w:instrText xml:space="preserve"> PAGEREF _Toc256001016 \h </w:instrText>
        </w:r>
        <w:r w:rsidR="00B16CCF">
          <w:fldChar w:fldCharType="separate"/>
        </w:r>
        <w:r w:rsidR="00B16CCF">
          <w:t>172</w:t>
        </w:r>
        <w:r w:rsidR="00B16CCF">
          <w:fldChar w:fldCharType="end"/>
        </w:r>
      </w:hyperlink>
    </w:p>
    <w:p w14:paraId="1153779F" w14:textId="77777777" w:rsidR="00823317" w:rsidRDefault="001D0AD2">
      <w:pPr>
        <w:pStyle w:val="Kazalovsebine5"/>
        <w:tabs>
          <w:tab w:val="end" w:leader="dot" w:pos="512pt"/>
        </w:tabs>
        <w:rPr>
          <w:rFonts w:ascii="Calibri" w:hAnsi="Calibri"/>
          <w:sz w:val="22"/>
        </w:rPr>
      </w:pPr>
      <w:hyperlink w:anchor="_Toc256001017" w:history="1">
        <w:r w:rsidR="00A77B3E">
          <w:rPr>
            <w:rStyle w:val="Hiperpovezava"/>
          </w:rPr>
          <w:t>Tabela 3: Kazalniki rezultatov</w:t>
        </w:r>
        <w:r w:rsidR="00B16CCF">
          <w:tab/>
        </w:r>
        <w:r w:rsidR="00B16CCF">
          <w:fldChar w:fldCharType="begin"/>
        </w:r>
        <w:r w:rsidR="00B16CCF">
          <w:instrText xml:space="preserve"> PAGEREF _Toc256001017 \h </w:instrText>
        </w:r>
        <w:r w:rsidR="00B16CCF">
          <w:fldChar w:fldCharType="separate"/>
        </w:r>
        <w:r w:rsidR="00B16CCF">
          <w:t>172</w:t>
        </w:r>
        <w:r w:rsidR="00B16CCF">
          <w:fldChar w:fldCharType="end"/>
        </w:r>
      </w:hyperlink>
    </w:p>
    <w:p w14:paraId="4A20C708" w14:textId="77777777" w:rsidR="00823317" w:rsidRDefault="001D0AD2">
      <w:pPr>
        <w:pStyle w:val="Kazalovsebine4"/>
        <w:tabs>
          <w:tab w:val="end" w:leader="dot" w:pos="512pt"/>
        </w:tabs>
        <w:rPr>
          <w:rFonts w:ascii="Calibri" w:hAnsi="Calibri"/>
          <w:sz w:val="22"/>
        </w:rPr>
      </w:pPr>
      <w:hyperlink w:anchor="_Toc256001018" w:history="1">
        <w:r w:rsidR="00A77B3E">
          <w:rPr>
            <w:rStyle w:val="Hiperpovezava"/>
          </w:rPr>
          <w:t>2.1.1.1.3. Okvirna razčlenitev načrtovanih sredstev (EU) glede na vrsto ukrepa</w:t>
        </w:r>
        <w:r w:rsidR="00B16CCF">
          <w:tab/>
        </w:r>
        <w:r w:rsidR="00B16CCF">
          <w:fldChar w:fldCharType="begin"/>
        </w:r>
        <w:r w:rsidR="00B16CCF">
          <w:instrText xml:space="preserve"> PAGEREF _Toc256001018 \h </w:instrText>
        </w:r>
        <w:r w:rsidR="00B16CCF">
          <w:fldChar w:fldCharType="separate"/>
        </w:r>
        <w:r w:rsidR="00B16CCF">
          <w:t>172</w:t>
        </w:r>
        <w:r w:rsidR="00B16CCF">
          <w:fldChar w:fldCharType="end"/>
        </w:r>
      </w:hyperlink>
    </w:p>
    <w:p w14:paraId="6680678E" w14:textId="77777777" w:rsidR="00823317" w:rsidRDefault="001D0AD2">
      <w:pPr>
        <w:pStyle w:val="Kazalovsebine5"/>
        <w:tabs>
          <w:tab w:val="end" w:leader="dot" w:pos="512pt"/>
        </w:tabs>
        <w:rPr>
          <w:rFonts w:ascii="Calibri" w:hAnsi="Calibri"/>
          <w:sz w:val="22"/>
        </w:rPr>
      </w:pPr>
      <w:hyperlink w:anchor="_Toc256001019" w:history="1">
        <w:r w:rsidR="00A77B3E">
          <w:rPr>
            <w:rStyle w:val="Hiperpovezava"/>
          </w:rPr>
          <w:t>Tabela 4: Razsežnost 1 – področje ukrepanja</w:t>
        </w:r>
        <w:r w:rsidR="00B16CCF">
          <w:tab/>
        </w:r>
        <w:r w:rsidR="00B16CCF">
          <w:fldChar w:fldCharType="begin"/>
        </w:r>
        <w:r w:rsidR="00B16CCF">
          <w:instrText xml:space="preserve"> PAGEREF _Toc256001019 \h </w:instrText>
        </w:r>
        <w:r w:rsidR="00B16CCF">
          <w:fldChar w:fldCharType="separate"/>
        </w:r>
        <w:r w:rsidR="00B16CCF">
          <w:t>172</w:t>
        </w:r>
        <w:r w:rsidR="00B16CCF">
          <w:fldChar w:fldCharType="end"/>
        </w:r>
      </w:hyperlink>
    </w:p>
    <w:p w14:paraId="671190C5" w14:textId="77777777" w:rsidR="00823317" w:rsidRDefault="001D0AD2">
      <w:pPr>
        <w:pStyle w:val="Kazalovsebine5"/>
        <w:tabs>
          <w:tab w:val="end" w:leader="dot" w:pos="512pt"/>
        </w:tabs>
        <w:rPr>
          <w:rFonts w:ascii="Calibri" w:hAnsi="Calibri"/>
          <w:sz w:val="22"/>
        </w:rPr>
      </w:pPr>
      <w:hyperlink w:anchor="_Toc256001020" w:history="1">
        <w:r w:rsidR="00A77B3E">
          <w:rPr>
            <w:rStyle w:val="Hiperpovezava"/>
          </w:rPr>
          <w:t>Tabela 5: Razsežnost 2 – oblika financiranja</w:t>
        </w:r>
        <w:r w:rsidR="00B16CCF">
          <w:tab/>
        </w:r>
        <w:r w:rsidR="00B16CCF">
          <w:fldChar w:fldCharType="begin"/>
        </w:r>
        <w:r w:rsidR="00B16CCF">
          <w:instrText xml:space="preserve"> PAGEREF _Toc256001020 \h </w:instrText>
        </w:r>
        <w:r w:rsidR="00B16CCF">
          <w:fldChar w:fldCharType="separate"/>
        </w:r>
        <w:r w:rsidR="00B16CCF">
          <w:t>173</w:t>
        </w:r>
        <w:r w:rsidR="00B16CCF">
          <w:fldChar w:fldCharType="end"/>
        </w:r>
      </w:hyperlink>
    </w:p>
    <w:p w14:paraId="27EBBBC5" w14:textId="77777777" w:rsidR="00823317" w:rsidRDefault="001D0AD2">
      <w:pPr>
        <w:pStyle w:val="Kazalovsebine5"/>
        <w:tabs>
          <w:tab w:val="end" w:leader="dot" w:pos="512pt"/>
        </w:tabs>
        <w:rPr>
          <w:rFonts w:ascii="Calibri" w:hAnsi="Calibri"/>
          <w:sz w:val="22"/>
        </w:rPr>
      </w:pPr>
      <w:hyperlink w:anchor="_Toc256001021" w:history="1">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_Toc256001021 \h </w:instrText>
        </w:r>
        <w:r w:rsidR="00B16CCF">
          <w:fldChar w:fldCharType="separate"/>
        </w:r>
        <w:r w:rsidR="00B16CCF">
          <w:t>173</w:t>
        </w:r>
        <w:r w:rsidR="00B16CCF">
          <w:fldChar w:fldCharType="end"/>
        </w:r>
      </w:hyperlink>
    </w:p>
    <w:p w14:paraId="198F451E" w14:textId="77777777" w:rsidR="00823317" w:rsidRDefault="001D0AD2">
      <w:pPr>
        <w:pStyle w:val="Kazalovsebine5"/>
        <w:tabs>
          <w:tab w:val="end" w:leader="dot" w:pos="512pt"/>
        </w:tabs>
        <w:rPr>
          <w:rFonts w:ascii="Calibri" w:hAnsi="Calibri"/>
          <w:sz w:val="22"/>
        </w:rPr>
      </w:pPr>
      <w:hyperlink w:anchor="_Toc256001022" w:history="1">
        <w:r w:rsidR="00A77B3E">
          <w:rPr>
            <w:rStyle w:val="Hiperpovezava"/>
          </w:rPr>
          <w:t>Tabela 7: Razsežnost 6 – sekundarna področja ESS+</w:t>
        </w:r>
        <w:r w:rsidR="00B16CCF">
          <w:tab/>
        </w:r>
        <w:r w:rsidR="00B16CCF">
          <w:fldChar w:fldCharType="begin"/>
        </w:r>
        <w:r w:rsidR="00B16CCF">
          <w:instrText xml:space="preserve"> PAGEREF _Toc256001022 \h </w:instrText>
        </w:r>
        <w:r w:rsidR="00B16CCF">
          <w:fldChar w:fldCharType="separate"/>
        </w:r>
        <w:r w:rsidR="00B16CCF">
          <w:t>173</w:t>
        </w:r>
        <w:r w:rsidR="00B16CCF">
          <w:fldChar w:fldCharType="end"/>
        </w:r>
      </w:hyperlink>
    </w:p>
    <w:p w14:paraId="285B4D7E" w14:textId="77777777" w:rsidR="00823317" w:rsidRDefault="001D0AD2">
      <w:pPr>
        <w:pStyle w:val="Kazalovsebine5"/>
        <w:tabs>
          <w:tab w:val="end" w:leader="dot" w:pos="512pt"/>
        </w:tabs>
        <w:rPr>
          <w:rFonts w:ascii="Calibri" w:hAnsi="Calibri"/>
          <w:sz w:val="22"/>
        </w:rPr>
      </w:pPr>
      <w:hyperlink w:anchor="_Toc256001023" w:history="1">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_Toc256001023 \h </w:instrText>
        </w:r>
        <w:r w:rsidR="00B16CCF">
          <w:fldChar w:fldCharType="separate"/>
        </w:r>
        <w:r w:rsidR="00B16CCF">
          <w:t>173</w:t>
        </w:r>
        <w:r w:rsidR="00B16CCF">
          <w:fldChar w:fldCharType="end"/>
        </w:r>
      </w:hyperlink>
    </w:p>
    <w:p w14:paraId="51B89A16" w14:textId="77777777" w:rsidR="00823317" w:rsidRDefault="001D0AD2">
      <w:pPr>
        <w:pStyle w:val="Kazalovsebine4"/>
        <w:tabs>
          <w:tab w:val="end" w:leader="dot" w:pos="512pt"/>
        </w:tabs>
        <w:rPr>
          <w:rFonts w:ascii="Calibri" w:hAnsi="Calibri"/>
          <w:sz w:val="22"/>
        </w:rPr>
      </w:pPr>
      <w:hyperlink w:anchor="_Toc256001024" w:history="1">
        <w:r w:rsidR="00A77B3E">
          <w:rPr>
            <w:rStyle w:val="Hiperpovezava"/>
          </w:rPr>
          <w:t>2.1.1.1. Specifični cilj: RSO2.7. Izboljšanje varstva in ohranjanja narave ter biotske raznovrstnosti in zelene infrastrukture, tudi v mestnem okolju, in zmanjšanje vseh oblik onesnaževanja (Kohezijski sklad)</w:t>
        </w:r>
        <w:r w:rsidR="00B16CCF">
          <w:tab/>
        </w:r>
        <w:r w:rsidR="00B16CCF">
          <w:fldChar w:fldCharType="begin"/>
        </w:r>
        <w:r w:rsidR="00B16CCF">
          <w:instrText xml:space="preserve"> PAGEREF _Toc256001024 \h </w:instrText>
        </w:r>
        <w:r w:rsidR="00B16CCF">
          <w:fldChar w:fldCharType="separate"/>
        </w:r>
        <w:r w:rsidR="00B16CCF">
          <w:t>174</w:t>
        </w:r>
        <w:r w:rsidR="00B16CCF">
          <w:fldChar w:fldCharType="end"/>
        </w:r>
      </w:hyperlink>
    </w:p>
    <w:p w14:paraId="31FC2A7D" w14:textId="77777777" w:rsidR="00823317" w:rsidRDefault="001D0AD2">
      <w:pPr>
        <w:pStyle w:val="Kazalovsebine4"/>
        <w:tabs>
          <w:tab w:val="end" w:leader="dot" w:pos="512pt"/>
        </w:tabs>
        <w:rPr>
          <w:rFonts w:ascii="Calibri" w:hAnsi="Calibri"/>
          <w:sz w:val="22"/>
        </w:rPr>
      </w:pPr>
      <w:hyperlink w:anchor="_Toc256001025" w:history="1">
        <w:r w:rsidR="00A77B3E">
          <w:rPr>
            <w:rStyle w:val="Hiperpovezava"/>
          </w:rPr>
          <w:t>2.1.1.1.1. Ukrepi skladov</w:t>
        </w:r>
        <w:r w:rsidR="00B16CCF">
          <w:tab/>
        </w:r>
        <w:r w:rsidR="00B16CCF">
          <w:fldChar w:fldCharType="begin"/>
        </w:r>
        <w:r w:rsidR="00B16CCF">
          <w:instrText xml:space="preserve"> PAGEREF _Toc256001025 \h </w:instrText>
        </w:r>
        <w:r w:rsidR="00B16CCF">
          <w:fldChar w:fldCharType="separate"/>
        </w:r>
        <w:r w:rsidR="00B16CCF">
          <w:t>174</w:t>
        </w:r>
        <w:r w:rsidR="00B16CCF">
          <w:fldChar w:fldCharType="end"/>
        </w:r>
      </w:hyperlink>
    </w:p>
    <w:p w14:paraId="31F6D7DA" w14:textId="77777777" w:rsidR="00823317" w:rsidRDefault="001D0AD2">
      <w:pPr>
        <w:pStyle w:val="Kazalovsebine5"/>
        <w:tabs>
          <w:tab w:val="end" w:leader="dot" w:pos="512pt"/>
        </w:tabs>
        <w:rPr>
          <w:rFonts w:ascii="Calibri" w:hAnsi="Calibri"/>
          <w:sz w:val="22"/>
        </w:rPr>
      </w:pPr>
      <w:hyperlink w:anchor="_Toc256001026" w:history="1">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_Toc256001026 \h </w:instrText>
        </w:r>
        <w:r w:rsidR="00B16CCF">
          <w:fldChar w:fldCharType="separate"/>
        </w:r>
        <w:r w:rsidR="00B16CCF">
          <w:t>174</w:t>
        </w:r>
        <w:r w:rsidR="00B16CCF">
          <w:fldChar w:fldCharType="end"/>
        </w:r>
      </w:hyperlink>
    </w:p>
    <w:p w14:paraId="65C382E3" w14:textId="77777777" w:rsidR="00823317" w:rsidRDefault="001D0AD2">
      <w:pPr>
        <w:pStyle w:val="Kazalovsebine5"/>
        <w:tabs>
          <w:tab w:val="end" w:leader="dot" w:pos="512pt"/>
        </w:tabs>
        <w:rPr>
          <w:rFonts w:ascii="Calibri" w:hAnsi="Calibri"/>
          <w:sz w:val="22"/>
        </w:rPr>
      </w:pPr>
      <w:hyperlink w:anchor="_Toc256001027" w:history="1">
        <w:r w:rsidR="00A77B3E">
          <w:rPr>
            <w:rStyle w:val="Hiperpovezava"/>
          </w:rPr>
          <w:t>Glavne ciljne skupine – člen 22(3)(d)(iii) uredbe o skupnih določbah:</w:t>
        </w:r>
        <w:r w:rsidR="00B16CCF">
          <w:tab/>
        </w:r>
        <w:r w:rsidR="00B16CCF">
          <w:fldChar w:fldCharType="begin"/>
        </w:r>
        <w:r w:rsidR="00B16CCF">
          <w:instrText xml:space="preserve"> PAGEREF _Toc256001027 \h </w:instrText>
        </w:r>
        <w:r w:rsidR="00B16CCF">
          <w:fldChar w:fldCharType="separate"/>
        </w:r>
        <w:r w:rsidR="00B16CCF">
          <w:t>174</w:t>
        </w:r>
        <w:r w:rsidR="00B16CCF">
          <w:fldChar w:fldCharType="end"/>
        </w:r>
      </w:hyperlink>
    </w:p>
    <w:p w14:paraId="18811D40" w14:textId="77777777" w:rsidR="00823317" w:rsidRDefault="001D0AD2">
      <w:pPr>
        <w:pStyle w:val="Kazalovsebine5"/>
        <w:tabs>
          <w:tab w:val="end" w:leader="dot" w:pos="512pt"/>
        </w:tabs>
        <w:rPr>
          <w:rFonts w:ascii="Calibri" w:hAnsi="Calibri"/>
          <w:sz w:val="22"/>
        </w:rPr>
      </w:pPr>
      <w:hyperlink w:anchor="_Toc256001028" w:history="1">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_Toc256001028 \h </w:instrText>
        </w:r>
        <w:r w:rsidR="00B16CCF">
          <w:fldChar w:fldCharType="separate"/>
        </w:r>
        <w:r w:rsidR="00B16CCF">
          <w:t>175</w:t>
        </w:r>
        <w:r w:rsidR="00B16CCF">
          <w:fldChar w:fldCharType="end"/>
        </w:r>
      </w:hyperlink>
    </w:p>
    <w:p w14:paraId="2C4BF179" w14:textId="77777777" w:rsidR="00823317" w:rsidRDefault="001D0AD2">
      <w:pPr>
        <w:pStyle w:val="Kazalovsebine5"/>
        <w:tabs>
          <w:tab w:val="end" w:leader="dot" w:pos="512pt"/>
        </w:tabs>
        <w:rPr>
          <w:rFonts w:ascii="Calibri" w:hAnsi="Calibri"/>
          <w:sz w:val="22"/>
        </w:rPr>
      </w:pPr>
      <w:hyperlink w:anchor="_Toc256001029" w:history="1">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_Toc256001029 \h </w:instrText>
        </w:r>
        <w:r w:rsidR="00B16CCF">
          <w:fldChar w:fldCharType="separate"/>
        </w:r>
        <w:r w:rsidR="00B16CCF">
          <w:t>175</w:t>
        </w:r>
        <w:r w:rsidR="00B16CCF">
          <w:fldChar w:fldCharType="end"/>
        </w:r>
      </w:hyperlink>
    </w:p>
    <w:p w14:paraId="787B84E6" w14:textId="77777777" w:rsidR="00823317" w:rsidRDefault="001D0AD2">
      <w:pPr>
        <w:pStyle w:val="Kazalovsebine5"/>
        <w:tabs>
          <w:tab w:val="end" w:leader="dot" w:pos="512pt"/>
        </w:tabs>
        <w:rPr>
          <w:rFonts w:ascii="Calibri" w:hAnsi="Calibri"/>
          <w:sz w:val="22"/>
        </w:rPr>
      </w:pPr>
      <w:hyperlink w:anchor="_Toc256001030" w:history="1">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_Toc256001030 \h </w:instrText>
        </w:r>
        <w:r w:rsidR="00B16CCF">
          <w:fldChar w:fldCharType="separate"/>
        </w:r>
        <w:r w:rsidR="00B16CCF">
          <w:t>175</w:t>
        </w:r>
        <w:r w:rsidR="00B16CCF">
          <w:fldChar w:fldCharType="end"/>
        </w:r>
      </w:hyperlink>
    </w:p>
    <w:p w14:paraId="35A65282" w14:textId="77777777" w:rsidR="00823317" w:rsidRDefault="001D0AD2">
      <w:pPr>
        <w:pStyle w:val="Kazalovsebine5"/>
        <w:tabs>
          <w:tab w:val="end" w:leader="dot" w:pos="512pt"/>
        </w:tabs>
        <w:rPr>
          <w:rFonts w:ascii="Calibri" w:hAnsi="Calibri"/>
          <w:sz w:val="22"/>
        </w:rPr>
      </w:pPr>
      <w:hyperlink w:anchor="_Toc256001031" w:history="1">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_Toc256001031 \h </w:instrText>
        </w:r>
        <w:r w:rsidR="00B16CCF">
          <w:fldChar w:fldCharType="separate"/>
        </w:r>
        <w:r w:rsidR="00B16CCF">
          <w:t>176</w:t>
        </w:r>
        <w:r w:rsidR="00B16CCF">
          <w:fldChar w:fldCharType="end"/>
        </w:r>
      </w:hyperlink>
    </w:p>
    <w:p w14:paraId="48B80EE2" w14:textId="77777777" w:rsidR="00823317" w:rsidRDefault="001D0AD2">
      <w:pPr>
        <w:pStyle w:val="Kazalovsebine4"/>
        <w:tabs>
          <w:tab w:val="end" w:leader="dot" w:pos="512pt"/>
        </w:tabs>
        <w:rPr>
          <w:rFonts w:ascii="Calibri" w:hAnsi="Calibri"/>
          <w:sz w:val="22"/>
        </w:rPr>
      </w:pPr>
      <w:hyperlink w:anchor="_Toc256001032" w:history="1">
        <w:r w:rsidR="00A77B3E">
          <w:rPr>
            <w:rStyle w:val="Hiperpovezava"/>
          </w:rPr>
          <w:t>2.1.1.1.2. Kazalniki</w:t>
        </w:r>
        <w:r w:rsidR="00B16CCF">
          <w:tab/>
        </w:r>
        <w:r w:rsidR="00B16CCF">
          <w:fldChar w:fldCharType="begin"/>
        </w:r>
        <w:r w:rsidR="00B16CCF">
          <w:instrText xml:space="preserve"> PAGEREF _Toc256001032 \h </w:instrText>
        </w:r>
        <w:r w:rsidR="00B16CCF">
          <w:fldChar w:fldCharType="separate"/>
        </w:r>
        <w:r w:rsidR="00B16CCF">
          <w:t>176</w:t>
        </w:r>
        <w:r w:rsidR="00B16CCF">
          <w:fldChar w:fldCharType="end"/>
        </w:r>
      </w:hyperlink>
    </w:p>
    <w:p w14:paraId="581FBCC8" w14:textId="77777777" w:rsidR="00823317" w:rsidRDefault="001D0AD2">
      <w:pPr>
        <w:pStyle w:val="Kazalovsebine5"/>
        <w:tabs>
          <w:tab w:val="end" w:leader="dot" w:pos="512pt"/>
        </w:tabs>
        <w:rPr>
          <w:rFonts w:ascii="Calibri" w:hAnsi="Calibri"/>
          <w:sz w:val="22"/>
        </w:rPr>
      </w:pPr>
      <w:hyperlink w:anchor="_Toc256001033" w:history="1">
        <w:r w:rsidR="00A77B3E">
          <w:rPr>
            <w:rStyle w:val="Hiperpovezava"/>
          </w:rPr>
          <w:t>Tabela 2: Kazalniki učinka</w:t>
        </w:r>
        <w:r w:rsidR="00B16CCF">
          <w:tab/>
        </w:r>
        <w:r w:rsidR="00B16CCF">
          <w:fldChar w:fldCharType="begin"/>
        </w:r>
        <w:r w:rsidR="00B16CCF">
          <w:instrText xml:space="preserve"> PAGEREF _Toc256001033 \h </w:instrText>
        </w:r>
        <w:r w:rsidR="00B16CCF">
          <w:fldChar w:fldCharType="separate"/>
        </w:r>
        <w:r w:rsidR="00B16CCF">
          <w:t>176</w:t>
        </w:r>
        <w:r w:rsidR="00B16CCF">
          <w:fldChar w:fldCharType="end"/>
        </w:r>
      </w:hyperlink>
    </w:p>
    <w:p w14:paraId="549A25D6" w14:textId="77777777" w:rsidR="00823317" w:rsidRDefault="001D0AD2">
      <w:pPr>
        <w:pStyle w:val="Kazalovsebine5"/>
        <w:tabs>
          <w:tab w:val="end" w:leader="dot" w:pos="512pt"/>
        </w:tabs>
        <w:rPr>
          <w:rFonts w:ascii="Calibri" w:hAnsi="Calibri"/>
          <w:sz w:val="22"/>
        </w:rPr>
      </w:pPr>
      <w:hyperlink w:anchor="_Toc256001034" w:history="1">
        <w:r w:rsidR="00A77B3E">
          <w:rPr>
            <w:rStyle w:val="Hiperpovezava"/>
          </w:rPr>
          <w:t>Tabela 3: Kazalniki rezultatov</w:t>
        </w:r>
        <w:r w:rsidR="00B16CCF">
          <w:tab/>
        </w:r>
        <w:r w:rsidR="00B16CCF">
          <w:fldChar w:fldCharType="begin"/>
        </w:r>
        <w:r w:rsidR="00B16CCF">
          <w:instrText xml:space="preserve"> PAGEREF _Toc256001034 \h </w:instrText>
        </w:r>
        <w:r w:rsidR="00B16CCF">
          <w:fldChar w:fldCharType="separate"/>
        </w:r>
        <w:r w:rsidR="00B16CCF">
          <w:t>176</w:t>
        </w:r>
        <w:r w:rsidR="00B16CCF">
          <w:fldChar w:fldCharType="end"/>
        </w:r>
      </w:hyperlink>
    </w:p>
    <w:p w14:paraId="38AA7323" w14:textId="77777777" w:rsidR="00823317" w:rsidRDefault="001D0AD2">
      <w:pPr>
        <w:pStyle w:val="Kazalovsebine4"/>
        <w:tabs>
          <w:tab w:val="end" w:leader="dot" w:pos="512pt"/>
        </w:tabs>
        <w:rPr>
          <w:rFonts w:ascii="Calibri" w:hAnsi="Calibri"/>
          <w:sz w:val="22"/>
        </w:rPr>
      </w:pPr>
      <w:hyperlink w:anchor="_Toc256001035" w:history="1">
        <w:r w:rsidR="00A77B3E">
          <w:rPr>
            <w:rStyle w:val="Hiperpovezava"/>
          </w:rPr>
          <w:t>2.1.1.1.3. Okvirna razčlenitev načrtovanih sredstev (EU) glede na vrsto ukrepa</w:t>
        </w:r>
        <w:r w:rsidR="00B16CCF">
          <w:tab/>
        </w:r>
        <w:r w:rsidR="00B16CCF">
          <w:fldChar w:fldCharType="begin"/>
        </w:r>
        <w:r w:rsidR="00B16CCF">
          <w:instrText xml:space="preserve"> PAGEREF _Toc256001035 \h </w:instrText>
        </w:r>
        <w:r w:rsidR="00B16CCF">
          <w:fldChar w:fldCharType="separate"/>
        </w:r>
        <w:r w:rsidR="00B16CCF">
          <w:t>176</w:t>
        </w:r>
        <w:r w:rsidR="00B16CCF">
          <w:fldChar w:fldCharType="end"/>
        </w:r>
      </w:hyperlink>
    </w:p>
    <w:p w14:paraId="7E0FCADF" w14:textId="77777777" w:rsidR="00823317" w:rsidRDefault="001D0AD2">
      <w:pPr>
        <w:pStyle w:val="Kazalovsebine5"/>
        <w:tabs>
          <w:tab w:val="end" w:leader="dot" w:pos="512pt"/>
        </w:tabs>
        <w:rPr>
          <w:rFonts w:ascii="Calibri" w:hAnsi="Calibri"/>
          <w:sz w:val="22"/>
        </w:rPr>
      </w:pPr>
      <w:hyperlink w:anchor="_Toc256001036" w:history="1">
        <w:r w:rsidR="00A77B3E">
          <w:rPr>
            <w:rStyle w:val="Hiperpovezava"/>
          </w:rPr>
          <w:t>Tabela 4: Razsežnost 1 – področje ukrepanja</w:t>
        </w:r>
        <w:r w:rsidR="00B16CCF">
          <w:tab/>
        </w:r>
        <w:r w:rsidR="00B16CCF">
          <w:fldChar w:fldCharType="begin"/>
        </w:r>
        <w:r w:rsidR="00B16CCF">
          <w:instrText xml:space="preserve"> PAGEREF _Toc256001036 \h </w:instrText>
        </w:r>
        <w:r w:rsidR="00B16CCF">
          <w:fldChar w:fldCharType="separate"/>
        </w:r>
        <w:r w:rsidR="00B16CCF">
          <w:t>176</w:t>
        </w:r>
        <w:r w:rsidR="00B16CCF">
          <w:fldChar w:fldCharType="end"/>
        </w:r>
      </w:hyperlink>
    </w:p>
    <w:p w14:paraId="3EE6BFF4" w14:textId="77777777" w:rsidR="00823317" w:rsidRDefault="001D0AD2">
      <w:pPr>
        <w:pStyle w:val="Kazalovsebine5"/>
        <w:tabs>
          <w:tab w:val="end" w:leader="dot" w:pos="512pt"/>
        </w:tabs>
        <w:rPr>
          <w:rFonts w:ascii="Calibri" w:hAnsi="Calibri"/>
          <w:sz w:val="22"/>
        </w:rPr>
      </w:pPr>
      <w:hyperlink w:anchor="_Toc256001037" w:history="1">
        <w:r w:rsidR="00A77B3E">
          <w:rPr>
            <w:rStyle w:val="Hiperpovezava"/>
          </w:rPr>
          <w:t>Tabela 5: Razsežnost 2 – oblika financiranja</w:t>
        </w:r>
        <w:r w:rsidR="00B16CCF">
          <w:tab/>
        </w:r>
        <w:r w:rsidR="00B16CCF">
          <w:fldChar w:fldCharType="begin"/>
        </w:r>
        <w:r w:rsidR="00B16CCF">
          <w:instrText xml:space="preserve"> PAGEREF _Toc256001037 \h </w:instrText>
        </w:r>
        <w:r w:rsidR="00B16CCF">
          <w:fldChar w:fldCharType="separate"/>
        </w:r>
        <w:r w:rsidR="00B16CCF">
          <w:t>177</w:t>
        </w:r>
        <w:r w:rsidR="00B16CCF">
          <w:fldChar w:fldCharType="end"/>
        </w:r>
      </w:hyperlink>
    </w:p>
    <w:p w14:paraId="355EBFB2" w14:textId="77777777" w:rsidR="00823317" w:rsidRDefault="001D0AD2">
      <w:pPr>
        <w:pStyle w:val="Kazalovsebine5"/>
        <w:tabs>
          <w:tab w:val="end" w:leader="dot" w:pos="512pt"/>
        </w:tabs>
        <w:rPr>
          <w:rFonts w:ascii="Calibri" w:hAnsi="Calibri"/>
          <w:sz w:val="22"/>
        </w:rPr>
      </w:pPr>
      <w:hyperlink w:anchor="_Toc256001038" w:history="1">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_Toc256001038 \h </w:instrText>
        </w:r>
        <w:r w:rsidR="00B16CCF">
          <w:fldChar w:fldCharType="separate"/>
        </w:r>
        <w:r w:rsidR="00B16CCF">
          <w:t>177</w:t>
        </w:r>
        <w:r w:rsidR="00B16CCF">
          <w:fldChar w:fldCharType="end"/>
        </w:r>
      </w:hyperlink>
    </w:p>
    <w:p w14:paraId="0EECD128" w14:textId="77777777" w:rsidR="00823317" w:rsidRDefault="001D0AD2">
      <w:pPr>
        <w:pStyle w:val="Kazalovsebine5"/>
        <w:tabs>
          <w:tab w:val="end" w:leader="dot" w:pos="512pt"/>
        </w:tabs>
        <w:rPr>
          <w:rFonts w:ascii="Calibri" w:hAnsi="Calibri"/>
          <w:sz w:val="22"/>
        </w:rPr>
      </w:pPr>
      <w:hyperlink w:anchor="_Toc256001039" w:history="1">
        <w:r w:rsidR="00A77B3E">
          <w:rPr>
            <w:rStyle w:val="Hiperpovezava"/>
          </w:rPr>
          <w:t>Tabela 7: Razsežnost 6 – sekundarna področja ESS+</w:t>
        </w:r>
        <w:r w:rsidR="00B16CCF">
          <w:tab/>
        </w:r>
        <w:r w:rsidR="00B16CCF">
          <w:fldChar w:fldCharType="begin"/>
        </w:r>
        <w:r w:rsidR="00B16CCF">
          <w:instrText xml:space="preserve"> PAGEREF _Toc256001039 \h </w:instrText>
        </w:r>
        <w:r w:rsidR="00B16CCF">
          <w:fldChar w:fldCharType="separate"/>
        </w:r>
        <w:r w:rsidR="00B16CCF">
          <w:t>177</w:t>
        </w:r>
        <w:r w:rsidR="00B16CCF">
          <w:fldChar w:fldCharType="end"/>
        </w:r>
      </w:hyperlink>
    </w:p>
    <w:p w14:paraId="2E209591" w14:textId="77777777" w:rsidR="00823317" w:rsidRDefault="001D0AD2">
      <w:pPr>
        <w:pStyle w:val="Kazalovsebine5"/>
        <w:tabs>
          <w:tab w:val="end" w:leader="dot" w:pos="512pt"/>
        </w:tabs>
        <w:rPr>
          <w:rFonts w:ascii="Calibri" w:hAnsi="Calibri"/>
          <w:sz w:val="22"/>
        </w:rPr>
      </w:pPr>
      <w:hyperlink w:anchor="_Toc256001040" w:history="1">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_Toc256001040 \h </w:instrText>
        </w:r>
        <w:r w:rsidR="00B16CCF">
          <w:fldChar w:fldCharType="separate"/>
        </w:r>
        <w:r w:rsidR="00B16CCF">
          <w:t>177</w:t>
        </w:r>
        <w:r w:rsidR="00B16CCF">
          <w:fldChar w:fldCharType="end"/>
        </w:r>
      </w:hyperlink>
    </w:p>
    <w:p w14:paraId="3316B1B2" w14:textId="77777777" w:rsidR="00823317" w:rsidRDefault="001D0AD2">
      <w:pPr>
        <w:pStyle w:val="Kazalovsebine3"/>
        <w:tabs>
          <w:tab w:val="end" w:leader="dot" w:pos="512pt"/>
        </w:tabs>
        <w:rPr>
          <w:rFonts w:ascii="Calibri" w:hAnsi="Calibri"/>
          <w:sz w:val="22"/>
        </w:rPr>
      </w:pPr>
      <w:hyperlink w:anchor="_Toc256001041" w:history="1">
        <w:r w:rsidR="00A77B3E">
          <w:rPr>
            <w:rStyle w:val="Hiperpovezava"/>
          </w:rPr>
          <w:t>2.1.1. Prednostna naloga: 4. Trajnostna mobilnost (Specifični cilj za mestno mobilnost, določen v točki (viii) člena 3(1)(b) uredbe o ESRR in Kohezijskem skladu)</w:t>
        </w:r>
        <w:r w:rsidR="00B16CCF">
          <w:tab/>
        </w:r>
        <w:r w:rsidR="00B16CCF">
          <w:fldChar w:fldCharType="begin"/>
        </w:r>
        <w:r w:rsidR="00B16CCF">
          <w:instrText xml:space="preserve"> PAGEREF _Toc256001041 \h </w:instrText>
        </w:r>
        <w:r w:rsidR="00B16CCF">
          <w:fldChar w:fldCharType="separate"/>
        </w:r>
        <w:r w:rsidR="00B16CCF">
          <w:t>178</w:t>
        </w:r>
        <w:r w:rsidR="00B16CCF">
          <w:fldChar w:fldCharType="end"/>
        </w:r>
      </w:hyperlink>
    </w:p>
    <w:p w14:paraId="08ABC139" w14:textId="77777777" w:rsidR="00823317" w:rsidRDefault="001D0AD2">
      <w:pPr>
        <w:pStyle w:val="Kazalovsebine4"/>
        <w:tabs>
          <w:tab w:val="end" w:leader="dot" w:pos="512pt"/>
        </w:tabs>
        <w:rPr>
          <w:rFonts w:ascii="Calibri" w:hAnsi="Calibri"/>
          <w:sz w:val="22"/>
        </w:rPr>
      </w:pPr>
      <w:hyperlink w:anchor="_Toc256001042" w:history="1">
        <w:r w:rsidR="00A77B3E">
          <w:rPr>
            <w:rStyle w:val="Hiperpovezava"/>
          </w:rPr>
          <w:t>2.1.1.1. Specifični cilj: RSO2.8. Spodbujanje trajnostne večmodalne mestne mobilnosti v okviru prehoda na gospodarstvo z ničelno stopnjo neto emisij ogljika (ESRR)</w:t>
        </w:r>
        <w:r w:rsidR="00B16CCF">
          <w:tab/>
        </w:r>
        <w:r w:rsidR="00B16CCF">
          <w:fldChar w:fldCharType="begin"/>
        </w:r>
        <w:r w:rsidR="00B16CCF">
          <w:instrText xml:space="preserve"> PAGEREF _Toc256001042 \h </w:instrText>
        </w:r>
        <w:r w:rsidR="00B16CCF">
          <w:fldChar w:fldCharType="separate"/>
        </w:r>
        <w:r w:rsidR="00B16CCF">
          <w:t>178</w:t>
        </w:r>
        <w:r w:rsidR="00B16CCF">
          <w:fldChar w:fldCharType="end"/>
        </w:r>
      </w:hyperlink>
    </w:p>
    <w:p w14:paraId="40206D17" w14:textId="77777777" w:rsidR="00823317" w:rsidRDefault="001D0AD2">
      <w:pPr>
        <w:pStyle w:val="Kazalovsebine4"/>
        <w:tabs>
          <w:tab w:val="end" w:leader="dot" w:pos="512pt"/>
        </w:tabs>
        <w:rPr>
          <w:rFonts w:ascii="Calibri" w:hAnsi="Calibri"/>
          <w:sz w:val="22"/>
        </w:rPr>
      </w:pPr>
      <w:hyperlink w:anchor="_Toc256001043" w:history="1">
        <w:r w:rsidR="00A77B3E">
          <w:rPr>
            <w:rStyle w:val="Hiperpovezava"/>
          </w:rPr>
          <w:t>2.1.1.1.1. Ukrepi skladov</w:t>
        </w:r>
        <w:r w:rsidR="00B16CCF">
          <w:tab/>
        </w:r>
        <w:r w:rsidR="00B16CCF">
          <w:fldChar w:fldCharType="begin"/>
        </w:r>
        <w:r w:rsidR="00B16CCF">
          <w:instrText xml:space="preserve"> PAGEREF _Toc256001043 \h </w:instrText>
        </w:r>
        <w:r w:rsidR="00B16CCF">
          <w:fldChar w:fldCharType="separate"/>
        </w:r>
        <w:r w:rsidR="00B16CCF">
          <w:t>178</w:t>
        </w:r>
        <w:r w:rsidR="00B16CCF">
          <w:fldChar w:fldCharType="end"/>
        </w:r>
      </w:hyperlink>
    </w:p>
    <w:p w14:paraId="3705ECD7" w14:textId="77777777" w:rsidR="00823317" w:rsidRDefault="001D0AD2">
      <w:pPr>
        <w:pStyle w:val="Kazalovsebine5"/>
        <w:tabs>
          <w:tab w:val="end" w:leader="dot" w:pos="512pt"/>
        </w:tabs>
        <w:rPr>
          <w:rFonts w:ascii="Calibri" w:hAnsi="Calibri"/>
          <w:sz w:val="22"/>
        </w:rPr>
      </w:pPr>
      <w:hyperlink w:anchor="_Toc256001044" w:history="1">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_Toc256001044 \h </w:instrText>
        </w:r>
        <w:r w:rsidR="00B16CCF">
          <w:fldChar w:fldCharType="separate"/>
        </w:r>
        <w:r w:rsidR="00B16CCF">
          <w:t>178</w:t>
        </w:r>
        <w:r w:rsidR="00B16CCF">
          <w:fldChar w:fldCharType="end"/>
        </w:r>
      </w:hyperlink>
    </w:p>
    <w:p w14:paraId="795BB3A4" w14:textId="77777777" w:rsidR="00823317" w:rsidRDefault="001D0AD2">
      <w:pPr>
        <w:pStyle w:val="Kazalovsebine5"/>
        <w:tabs>
          <w:tab w:val="end" w:leader="dot" w:pos="512pt"/>
        </w:tabs>
        <w:rPr>
          <w:rFonts w:ascii="Calibri" w:hAnsi="Calibri"/>
          <w:sz w:val="22"/>
        </w:rPr>
      </w:pPr>
      <w:hyperlink w:anchor="_Toc256001045" w:history="1">
        <w:r w:rsidR="00A77B3E">
          <w:rPr>
            <w:rStyle w:val="Hiperpovezava"/>
          </w:rPr>
          <w:t>Glavne ciljne skupine – člen 22(3)(d)(iii) uredbe o skupnih določbah:</w:t>
        </w:r>
        <w:r w:rsidR="00B16CCF">
          <w:tab/>
        </w:r>
        <w:r w:rsidR="00B16CCF">
          <w:fldChar w:fldCharType="begin"/>
        </w:r>
        <w:r w:rsidR="00B16CCF">
          <w:instrText xml:space="preserve"> PAGEREF _Toc256001045 \h </w:instrText>
        </w:r>
        <w:r w:rsidR="00B16CCF">
          <w:fldChar w:fldCharType="separate"/>
        </w:r>
        <w:r w:rsidR="00B16CCF">
          <w:t>180</w:t>
        </w:r>
        <w:r w:rsidR="00B16CCF">
          <w:fldChar w:fldCharType="end"/>
        </w:r>
      </w:hyperlink>
    </w:p>
    <w:p w14:paraId="4E079BFB" w14:textId="77777777" w:rsidR="00823317" w:rsidRDefault="001D0AD2">
      <w:pPr>
        <w:pStyle w:val="Kazalovsebine5"/>
        <w:tabs>
          <w:tab w:val="end" w:leader="dot" w:pos="512pt"/>
        </w:tabs>
        <w:rPr>
          <w:rFonts w:ascii="Calibri" w:hAnsi="Calibri"/>
          <w:sz w:val="22"/>
        </w:rPr>
      </w:pPr>
      <w:hyperlink w:anchor="_Toc256001046" w:history="1">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_Toc256001046 \h </w:instrText>
        </w:r>
        <w:r w:rsidR="00B16CCF">
          <w:fldChar w:fldCharType="separate"/>
        </w:r>
        <w:r w:rsidR="00B16CCF">
          <w:t>180</w:t>
        </w:r>
        <w:r w:rsidR="00B16CCF">
          <w:fldChar w:fldCharType="end"/>
        </w:r>
      </w:hyperlink>
    </w:p>
    <w:p w14:paraId="14F7BA56" w14:textId="77777777" w:rsidR="00823317" w:rsidRDefault="001D0AD2">
      <w:pPr>
        <w:pStyle w:val="Kazalovsebine5"/>
        <w:tabs>
          <w:tab w:val="end" w:leader="dot" w:pos="512pt"/>
        </w:tabs>
        <w:rPr>
          <w:rFonts w:ascii="Calibri" w:hAnsi="Calibri"/>
          <w:sz w:val="22"/>
        </w:rPr>
      </w:pPr>
      <w:hyperlink w:anchor="_Toc256001047" w:history="1">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_Toc256001047 \h </w:instrText>
        </w:r>
        <w:r w:rsidR="00B16CCF">
          <w:fldChar w:fldCharType="separate"/>
        </w:r>
        <w:r w:rsidR="00B16CCF">
          <w:t>180</w:t>
        </w:r>
        <w:r w:rsidR="00B16CCF">
          <w:fldChar w:fldCharType="end"/>
        </w:r>
      </w:hyperlink>
    </w:p>
    <w:p w14:paraId="7EB43A06" w14:textId="77777777" w:rsidR="00823317" w:rsidRDefault="001D0AD2">
      <w:pPr>
        <w:pStyle w:val="Kazalovsebine5"/>
        <w:tabs>
          <w:tab w:val="end" w:leader="dot" w:pos="512pt"/>
        </w:tabs>
        <w:rPr>
          <w:rFonts w:ascii="Calibri" w:hAnsi="Calibri"/>
          <w:sz w:val="22"/>
        </w:rPr>
      </w:pPr>
      <w:hyperlink w:anchor="_Toc256001048" w:history="1">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_Toc256001048 \h </w:instrText>
        </w:r>
        <w:r w:rsidR="00B16CCF">
          <w:fldChar w:fldCharType="separate"/>
        </w:r>
        <w:r w:rsidR="00B16CCF">
          <w:t>181</w:t>
        </w:r>
        <w:r w:rsidR="00B16CCF">
          <w:fldChar w:fldCharType="end"/>
        </w:r>
      </w:hyperlink>
    </w:p>
    <w:p w14:paraId="6322EEA4" w14:textId="77777777" w:rsidR="00823317" w:rsidRDefault="001D0AD2">
      <w:pPr>
        <w:pStyle w:val="Kazalovsebine5"/>
        <w:tabs>
          <w:tab w:val="end" w:leader="dot" w:pos="512pt"/>
        </w:tabs>
        <w:rPr>
          <w:rFonts w:ascii="Calibri" w:hAnsi="Calibri"/>
          <w:sz w:val="22"/>
        </w:rPr>
      </w:pPr>
      <w:hyperlink w:anchor="_Toc256001049" w:history="1">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_Toc256001049 \h </w:instrText>
        </w:r>
        <w:r w:rsidR="00B16CCF">
          <w:fldChar w:fldCharType="separate"/>
        </w:r>
        <w:r w:rsidR="00B16CCF">
          <w:t>181</w:t>
        </w:r>
        <w:r w:rsidR="00B16CCF">
          <w:fldChar w:fldCharType="end"/>
        </w:r>
      </w:hyperlink>
    </w:p>
    <w:p w14:paraId="4E29EA29" w14:textId="77777777" w:rsidR="00823317" w:rsidRDefault="001D0AD2">
      <w:pPr>
        <w:pStyle w:val="Kazalovsebine4"/>
        <w:tabs>
          <w:tab w:val="end" w:leader="dot" w:pos="512pt"/>
        </w:tabs>
        <w:rPr>
          <w:rFonts w:ascii="Calibri" w:hAnsi="Calibri"/>
          <w:sz w:val="22"/>
        </w:rPr>
      </w:pPr>
      <w:hyperlink w:anchor="_Toc256001050" w:history="1">
        <w:r w:rsidR="00A77B3E">
          <w:rPr>
            <w:rStyle w:val="Hiperpovezava"/>
          </w:rPr>
          <w:t>2.1.1.1.2. Kazalniki</w:t>
        </w:r>
        <w:r w:rsidR="00B16CCF">
          <w:tab/>
        </w:r>
        <w:r w:rsidR="00B16CCF">
          <w:fldChar w:fldCharType="begin"/>
        </w:r>
        <w:r w:rsidR="00B16CCF">
          <w:instrText xml:space="preserve"> PAGEREF _Toc256001050 \h </w:instrText>
        </w:r>
        <w:r w:rsidR="00B16CCF">
          <w:fldChar w:fldCharType="separate"/>
        </w:r>
        <w:r w:rsidR="00B16CCF">
          <w:t>181</w:t>
        </w:r>
        <w:r w:rsidR="00B16CCF">
          <w:fldChar w:fldCharType="end"/>
        </w:r>
      </w:hyperlink>
    </w:p>
    <w:p w14:paraId="390905E8" w14:textId="77777777" w:rsidR="00823317" w:rsidRDefault="001D0AD2">
      <w:pPr>
        <w:pStyle w:val="Kazalovsebine5"/>
        <w:tabs>
          <w:tab w:val="end" w:leader="dot" w:pos="512pt"/>
        </w:tabs>
        <w:rPr>
          <w:rFonts w:ascii="Calibri" w:hAnsi="Calibri"/>
          <w:sz w:val="22"/>
        </w:rPr>
      </w:pPr>
      <w:hyperlink w:anchor="_Toc256001051" w:history="1">
        <w:r w:rsidR="00A77B3E">
          <w:rPr>
            <w:rStyle w:val="Hiperpovezava"/>
          </w:rPr>
          <w:t>Tabela 2: Kazalniki učinka</w:t>
        </w:r>
        <w:r w:rsidR="00B16CCF">
          <w:tab/>
        </w:r>
        <w:r w:rsidR="00B16CCF">
          <w:fldChar w:fldCharType="begin"/>
        </w:r>
        <w:r w:rsidR="00B16CCF">
          <w:instrText xml:space="preserve"> PAGEREF _Toc256001051 \h </w:instrText>
        </w:r>
        <w:r w:rsidR="00B16CCF">
          <w:fldChar w:fldCharType="separate"/>
        </w:r>
        <w:r w:rsidR="00B16CCF">
          <w:t>181</w:t>
        </w:r>
        <w:r w:rsidR="00B16CCF">
          <w:fldChar w:fldCharType="end"/>
        </w:r>
      </w:hyperlink>
    </w:p>
    <w:p w14:paraId="2A34550C" w14:textId="77777777" w:rsidR="00823317" w:rsidRDefault="001D0AD2">
      <w:pPr>
        <w:pStyle w:val="Kazalovsebine5"/>
        <w:tabs>
          <w:tab w:val="end" w:leader="dot" w:pos="512pt"/>
        </w:tabs>
        <w:rPr>
          <w:rFonts w:ascii="Calibri" w:hAnsi="Calibri"/>
          <w:sz w:val="22"/>
        </w:rPr>
      </w:pPr>
      <w:hyperlink w:anchor="_Toc256001052" w:history="1">
        <w:r w:rsidR="00A77B3E">
          <w:rPr>
            <w:rStyle w:val="Hiperpovezava"/>
          </w:rPr>
          <w:t>Tabela 3: Kazalniki rezultatov</w:t>
        </w:r>
        <w:r w:rsidR="00B16CCF">
          <w:tab/>
        </w:r>
        <w:r w:rsidR="00B16CCF">
          <w:fldChar w:fldCharType="begin"/>
        </w:r>
        <w:r w:rsidR="00B16CCF">
          <w:instrText xml:space="preserve"> PAGEREF _Toc256001052 \h </w:instrText>
        </w:r>
        <w:r w:rsidR="00B16CCF">
          <w:fldChar w:fldCharType="separate"/>
        </w:r>
        <w:r w:rsidR="00B16CCF">
          <w:t>182</w:t>
        </w:r>
        <w:r w:rsidR="00B16CCF">
          <w:fldChar w:fldCharType="end"/>
        </w:r>
      </w:hyperlink>
    </w:p>
    <w:p w14:paraId="34AF76F1" w14:textId="77777777" w:rsidR="00823317" w:rsidRDefault="001D0AD2">
      <w:pPr>
        <w:pStyle w:val="Kazalovsebine4"/>
        <w:tabs>
          <w:tab w:val="end" w:leader="dot" w:pos="512pt"/>
        </w:tabs>
        <w:rPr>
          <w:rFonts w:ascii="Calibri" w:hAnsi="Calibri"/>
          <w:sz w:val="22"/>
        </w:rPr>
      </w:pPr>
      <w:hyperlink w:anchor="_Toc256001053" w:history="1">
        <w:r w:rsidR="00A77B3E">
          <w:rPr>
            <w:rStyle w:val="Hiperpovezava"/>
          </w:rPr>
          <w:t>2.1.1.1.3. Okvirna razčlenitev načrtovanih sredstev (EU) glede na vrsto ukrepa</w:t>
        </w:r>
        <w:r w:rsidR="00B16CCF">
          <w:tab/>
        </w:r>
        <w:r w:rsidR="00B16CCF">
          <w:fldChar w:fldCharType="begin"/>
        </w:r>
        <w:r w:rsidR="00B16CCF">
          <w:instrText xml:space="preserve"> PAGEREF _Toc256001053 \h </w:instrText>
        </w:r>
        <w:r w:rsidR="00B16CCF">
          <w:fldChar w:fldCharType="separate"/>
        </w:r>
        <w:r w:rsidR="00B16CCF">
          <w:t>182</w:t>
        </w:r>
        <w:r w:rsidR="00B16CCF">
          <w:fldChar w:fldCharType="end"/>
        </w:r>
      </w:hyperlink>
    </w:p>
    <w:p w14:paraId="4A72BD43" w14:textId="77777777" w:rsidR="00823317" w:rsidRDefault="001D0AD2">
      <w:pPr>
        <w:pStyle w:val="Kazalovsebine5"/>
        <w:tabs>
          <w:tab w:val="end" w:leader="dot" w:pos="512pt"/>
        </w:tabs>
        <w:rPr>
          <w:rFonts w:ascii="Calibri" w:hAnsi="Calibri"/>
          <w:sz w:val="22"/>
        </w:rPr>
      </w:pPr>
      <w:hyperlink w:anchor="_Toc256001054" w:history="1">
        <w:r w:rsidR="00A77B3E">
          <w:rPr>
            <w:rStyle w:val="Hiperpovezava"/>
          </w:rPr>
          <w:t>Tabela 4: Razsežnost 1 – področje ukrepanja</w:t>
        </w:r>
        <w:r w:rsidR="00B16CCF">
          <w:tab/>
        </w:r>
        <w:r w:rsidR="00B16CCF">
          <w:fldChar w:fldCharType="begin"/>
        </w:r>
        <w:r w:rsidR="00B16CCF">
          <w:instrText xml:space="preserve"> PAGEREF _Toc256001054 \h </w:instrText>
        </w:r>
        <w:r w:rsidR="00B16CCF">
          <w:fldChar w:fldCharType="separate"/>
        </w:r>
        <w:r w:rsidR="00B16CCF">
          <w:t>182</w:t>
        </w:r>
        <w:r w:rsidR="00B16CCF">
          <w:fldChar w:fldCharType="end"/>
        </w:r>
      </w:hyperlink>
    </w:p>
    <w:p w14:paraId="2ED398A5" w14:textId="77777777" w:rsidR="00823317" w:rsidRDefault="001D0AD2">
      <w:pPr>
        <w:pStyle w:val="Kazalovsebine5"/>
        <w:tabs>
          <w:tab w:val="end" w:leader="dot" w:pos="512pt"/>
        </w:tabs>
        <w:rPr>
          <w:rFonts w:ascii="Calibri" w:hAnsi="Calibri"/>
          <w:sz w:val="22"/>
        </w:rPr>
      </w:pPr>
      <w:hyperlink w:anchor="_Toc256001055" w:history="1">
        <w:r w:rsidR="00A77B3E">
          <w:rPr>
            <w:rStyle w:val="Hiperpovezava"/>
          </w:rPr>
          <w:t>Tabela 5: Razsežnost 2 – oblika financiranja</w:t>
        </w:r>
        <w:r w:rsidR="00B16CCF">
          <w:tab/>
        </w:r>
        <w:r w:rsidR="00B16CCF">
          <w:fldChar w:fldCharType="begin"/>
        </w:r>
        <w:r w:rsidR="00B16CCF">
          <w:instrText xml:space="preserve"> PAGEREF _Toc256001055 \h </w:instrText>
        </w:r>
        <w:r w:rsidR="00B16CCF">
          <w:fldChar w:fldCharType="separate"/>
        </w:r>
        <w:r w:rsidR="00B16CCF">
          <w:t>183</w:t>
        </w:r>
        <w:r w:rsidR="00B16CCF">
          <w:fldChar w:fldCharType="end"/>
        </w:r>
      </w:hyperlink>
    </w:p>
    <w:p w14:paraId="0693BB9A" w14:textId="77777777" w:rsidR="00823317" w:rsidRDefault="001D0AD2">
      <w:pPr>
        <w:pStyle w:val="Kazalovsebine5"/>
        <w:tabs>
          <w:tab w:val="end" w:leader="dot" w:pos="512pt"/>
        </w:tabs>
        <w:rPr>
          <w:rFonts w:ascii="Calibri" w:hAnsi="Calibri"/>
          <w:sz w:val="22"/>
        </w:rPr>
      </w:pPr>
      <w:hyperlink w:anchor="_Toc256001056" w:history="1">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_Toc256001056 \h </w:instrText>
        </w:r>
        <w:r w:rsidR="00B16CCF">
          <w:fldChar w:fldCharType="separate"/>
        </w:r>
        <w:r w:rsidR="00B16CCF">
          <w:t>183</w:t>
        </w:r>
        <w:r w:rsidR="00B16CCF">
          <w:fldChar w:fldCharType="end"/>
        </w:r>
      </w:hyperlink>
    </w:p>
    <w:p w14:paraId="6C90A543" w14:textId="77777777" w:rsidR="00823317" w:rsidRDefault="001D0AD2">
      <w:pPr>
        <w:pStyle w:val="Kazalovsebine5"/>
        <w:tabs>
          <w:tab w:val="end" w:leader="dot" w:pos="512pt"/>
        </w:tabs>
        <w:rPr>
          <w:rFonts w:ascii="Calibri" w:hAnsi="Calibri"/>
          <w:sz w:val="22"/>
        </w:rPr>
      </w:pPr>
      <w:hyperlink w:anchor="_Toc256001057" w:history="1">
        <w:r w:rsidR="00A77B3E">
          <w:rPr>
            <w:rStyle w:val="Hiperpovezava"/>
          </w:rPr>
          <w:t>Tabela 7: Razsežnost 6 – sekundarna področja ESS+</w:t>
        </w:r>
        <w:r w:rsidR="00B16CCF">
          <w:tab/>
        </w:r>
        <w:r w:rsidR="00B16CCF">
          <w:fldChar w:fldCharType="begin"/>
        </w:r>
        <w:r w:rsidR="00B16CCF">
          <w:instrText xml:space="preserve"> PAGEREF _Toc256001057 \h </w:instrText>
        </w:r>
        <w:r w:rsidR="00B16CCF">
          <w:fldChar w:fldCharType="separate"/>
        </w:r>
        <w:r w:rsidR="00B16CCF">
          <w:t>184</w:t>
        </w:r>
        <w:r w:rsidR="00B16CCF">
          <w:fldChar w:fldCharType="end"/>
        </w:r>
      </w:hyperlink>
    </w:p>
    <w:p w14:paraId="0420DC87" w14:textId="77777777" w:rsidR="00823317" w:rsidRDefault="001D0AD2">
      <w:pPr>
        <w:pStyle w:val="Kazalovsebine5"/>
        <w:tabs>
          <w:tab w:val="end" w:leader="dot" w:pos="512pt"/>
        </w:tabs>
        <w:rPr>
          <w:rFonts w:ascii="Calibri" w:hAnsi="Calibri"/>
          <w:sz w:val="22"/>
        </w:rPr>
      </w:pPr>
      <w:hyperlink w:anchor="_Toc256001058" w:history="1">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_Toc256001058 \h </w:instrText>
        </w:r>
        <w:r w:rsidR="00B16CCF">
          <w:fldChar w:fldCharType="separate"/>
        </w:r>
        <w:r w:rsidR="00B16CCF">
          <w:t>184</w:t>
        </w:r>
        <w:r w:rsidR="00B16CCF">
          <w:fldChar w:fldCharType="end"/>
        </w:r>
      </w:hyperlink>
    </w:p>
    <w:p w14:paraId="7BB8CAC8" w14:textId="77777777" w:rsidR="00823317" w:rsidRDefault="001D0AD2">
      <w:pPr>
        <w:pStyle w:val="Kazalovsebine3"/>
        <w:tabs>
          <w:tab w:val="end" w:leader="dot" w:pos="512pt"/>
        </w:tabs>
        <w:rPr>
          <w:rFonts w:ascii="Calibri" w:hAnsi="Calibri"/>
          <w:sz w:val="22"/>
        </w:rPr>
      </w:pPr>
      <w:hyperlink w:anchor="_Toc256001059" w:history="1">
        <w:r w:rsidR="00A77B3E">
          <w:rPr>
            <w:rStyle w:val="Hiperpovezava"/>
          </w:rPr>
          <w:t>2.1.1. Prednostna naloga: 12. Energetski prehod</w:t>
        </w:r>
        <w:r w:rsidR="00B16CCF">
          <w:tab/>
        </w:r>
        <w:r w:rsidR="00B16CCF">
          <w:fldChar w:fldCharType="begin"/>
        </w:r>
        <w:r w:rsidR="00B16CCF">
          <w:instrText xml:space="preserve"> PAGEREF _Toc256001059 \h </w:instrText>
        </w:r>
        <w:r w:rsidR="00B16CCF">
          <w:fldChar w:fldCharType="separate"/>
        </w:r>
        <w:r w:rsidR="00B16CCF">
          <w:t>185</w:t>
        </w:r>
        <w:r w:rsidR="00B16CCF">
          <w:fldChar w:fldCharType="end"/>
        </w:r>
      </w:hyperlink>
    </w:p>
    <w:p w14:paraId="7B484D25" w14:textId="77777777" w:rsidR="00823317" w:rsidRDefault="001D0AD2">
      <w:pPr>
        <w:pStyle w:val="Kazalovsebine4"/>
        <w:tabs>
          <w:tab w:val="end" w:leader="dot" w:pos="512pt"/>
        </w:tabs>
        <w:rPr>
          <w:rFonts w:ascii="Calibri" w:hAnsi="Calibri"/>
          <w:sz w:val="22"/>
        </w:rPr>
      </w:pPr>
      <w:hyperlink w:anchor="_Toc256001060" w:history="1">
        <w:r w:rsidR="00A77B3E">
          <w:rPr>
            <w:rStyle w:val="Hiperpovezava"/>
          </w:rPr>
          <w:t>2.1.1.1. Specifični cilj: RSO2.12. Promoting energy interconnectors and related transmission, distribution, storage and supportive infrastructure, as well as protection of critical energy infrastructure and the deployment of recharging infrastructure (ESRR)</w:t>
        </w:r>
        <w:r w:rsidR="00B16CCF">
          <w:tab/>
        </w:r>
        <w:r w:rsidR="00B16CCF">
          <w:fldChar w:fldCharType="begin"/>
        </w:r>
        <w:r w:rsidR="00B16CCF">
          <w:instrText xml:space="preserve"> PAGEREF _Toc256001060 \h </w:instrText>
        </w:r>
        <w:r w:rsidR="00B16CCF">
          <w:fldChar w:fldCharType="separate"/>
        </w:r>
        <w:r w:rsidR="00B16CCF">
          <w:t>185</w:t>
        </w:r>
        <w:r w:rsidR="00B16CCF">
          <w:fldChar w:fldCharType="end"/>
        </w:r>
      </w:hyperlink>
    </w:p>
    <w:p w14:paraId="1FC47343" w14:textId="77777777" w:rsidR="00823317" w:rsidRDefault="001D0AD2">
      <w:pPr>
        <w:pStyle w:val="Kazalovsebine4"/>
        <w:tabs>
          <w:tab w:val="end" w:leader="dot" w:pos="512pt"/>
        </w:tabs>
        <w:rPr>
          <w:rFonts w:ascii="Calibri" w:hAnsi="Calibri"/>
          <w:sz w:val="22"/>
        </w:rPr>
      </w:pPr>
      <w:hyperlink w:anchor="_Toc256001061" w:history="1">
        <w:r w:rsidR="00A77B3E">
          <w:rPr>
            <w:rStyle w:val="Hiperpovezava"/>
          </w:rPr>
          <w:t>2.1.1.1.1. Ukrepi skladov</w:t>
        </w:r>
        <w:r w:rsidR="00B16CCF">
          <w:tab/>
        </w:r>
        <w:r w:rsidR="00B16CCF">
          <w:fldChar w:fldCharType="begin"/>
        </w:r>
        <w:r w:rsidR="00B16CCF">
          <w:instrText xml:space="preserve"> PAGEREF _Toc256001061 \h </w:instrText>
        </w:r>
        <w:r w:rsidR="00B16CCF">
          <w:fldChar w:fldCharType="separate"/>
        </w:r>
        <w:r w:rsidR="00B16CCF">
          <w:t>185</w:t>
        </w:r>
        <w:r w:rsidR="00B16CCF">
          <w:fldChar w:fldCharType="end"/>
        </w:r>
      </w:hyperlink>
    </w:p>
    <w:p w14:paraId="4E869DB1" w14:textId="77777777" w:rsidR="00823317" w:rsidRDefault="001D0AD2">
      <w:pPr>
        <w:pStyle w:val="Kazalovsebine5"/>
        <w:tabs>
          <w:tab w:val="end" w:leader="dot" w:pos="512pt"/>
        </w:tabs>
        <w:rPr>
          <w:rFonts w:ascii="Calibri" w:hAnsi="Calibri"/>
          <w:sz w:val="22"/>
        </w:rPr>
      </w:pPr>
      <w:hyperlink w:anchor="_Toc256001062" w:history="1">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_Toc256001062 \h </w:instrText>
        </w:r>
        <w:r w:rsidR="00B16CCF">
          <w:fldChar w:fldCharType="separate"/>
        </w:r>
        <w:r w:rsidR="00B16CCF">
          <w:t>185</w:t>
        </w:r>
        <w:r w:rsidR="00B16CCF">
          <w:fldChar w:fldCharType="end"/>
        </w:r>
      </w:hyperlink>
    </w:p>
    <w:p w14:paraId="1D5C6CAA" w14:textId="77777777" w:rsidR="00823317" w:rsidRDefault="001D0AD2">
      <w:pPr>
        <w:pStyle w:val="Kazalovsebine5"/>
        <w:tabs>
          <w:tab w:val="end" w:leader="dot" w:pos="512pt"/>
        </w:tabs>
        <w:rPr>
          <w:rFonts w:ascii="Calibri" w:hAnsi="Calibri"/>
          <w:sz w:val="22"/>
        </w:rPr>
      </w:pPr>
      <w:hyperlink w:anchor="_Toc256001063" w:history="1">
        <w:r w:rsidR="00A77B3E">
          <w:rPr>
            <w:rStyle w:val="Hiperpovezava"/>
          </w:rPr>
          <w:t>Glavne ciljne skupine – člen 22(3)(d)(iii) uredbe o skupnih določbah:</w:t>
        </w:r>
        <w:r w:rsidR="00B16CCF">
          <w:tab/>
        </w:r>
        <w:r w:rsidR="00B16CCF">
          <w:fldChar w:fldCharType="begin"/>
        </w:r>
        <w:r w:rsidR="00B16CCF">
          <w:instrText xml:space="preserve"> PAGEREF _Toc256001063 \h </w:instrText>
        </w:r>
        <w:r w:rsidR="00B16CCF">
          <w:fldChar w:fldCharType="separate"/>
        </w:r>
        <w:r w:rsidR="00B16CCF">
          <w:t>186</w:t>
        </w:r>
        <w:r w:rsidR="00B16CCF">
          <w:fldChar w:fldCharType="end"/>
        </w:r>
      </w:hyperlink>
    </w:p>
    <w:p w14:paraId="7DC175AB" w14:textId="77777777" w:rsidR="00823317" w:rsidRDefault="001D0AD2">
      <w:pPr>
        <w:pStyle w:val="Kazalovsebine5"/>
        <w:tabs>
          <w:tab w:val="end" w:leader="dot" w:pos="512pt"/>
        </w:tabs>
        <w:rPr>
          <w:rFonts w:ascii="Calibri" w:hAnsi="Calibri"/>
          <w:sz w:val="22"/>
        </w:rPr>
      </w:pPr>
      <w:hyperlink w:anchor="_Toc256001064" w:history="1">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_Toc256001064 \h </w:instrText>
        </w:r>
        <w:r w:rsidR="00B16CCF">
          <w:fldChar w:fldCharType="separate"/>
        </w:r>
        <w:r w:rsidR="00B16CCF">
          <w:t>186</w:t>
        </w:r>
        <w:r w:rsidR="00B16CCF">
          <w:fldChar w:fldCharType="end"/>
        </w:r>
      </w:hyperlink>
    </w:p>
    <w:p w14:paraId="01CC1F01" w14:textId="77777777" w:rsidR="00823317" w:rsidRDefault="001D0AD2">
      <w:pPr>
        <w:pStyle w:val="Kazalovsebine5"/>
        <w:tabs>
          <w:tab w:val="end" w:leader="dot" w:pos="512pt"/>
        </w:tabs>
        <w:rPr>
          <w:rFonts w:ascii="Calibri" w:hAnsi="Calibri"/>
          <w:sz w:val="22"/>
        </w:rPr>
      </w:pPr>
      <w:hyperlink w:anchor="_Toc256001065" w:history="1">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_Toc256001065 \h </w:instrText>
        </w:r>
        <w:r w:rsidR="00B16CCF">
          <w:fldChar w:fldCharType="separate"/>
        </w:r>
        <w:r w:rsidR="00B16CCF">
          <w:t>186</w:t>
        </w:r>
        <w:r w:rsidR="00B16CCF">
          <w:fldChar w:fldCharType="end"/>
        </w:r>
      </w:hyperlink>
    </w:p>
    <w:p w14:paraId="0ECE22D6" w14:textId="77777777" w:rsidR="00823317" w:rsidRDefault="001D0AD2">
      <w:pPr>
        <w:pStyle w:val="Kazalovsebine5"/>
        <w:tabs>
          <w:tab w:val="end" w:leader="dot" w:pos="512pt"/>
        </w:tabs>
        <w:rPr>
          <w:rFonts w:ascii="Calibri" w:hAnsi="Calibri"/>
          <w:sz w:val="22"/>
        </w:rPr>
      </w:pPr>
      <w:hyperlink w:anchor="_Toc256001066" w:history="1">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_Toc256001066 \h </w:instrText>
        </w:r>
        <w:r w:rsidR="00B16CCF">
          <w:fldChar w:fldCharType="separate"/>
        </w:r>
        <w:r w:rsidR="00B16CCF">
          <w:t>186</w:t>
        </w:r>
        <w:r w:rsidR="00B16CCF">
          <w:fldChar w:fldCharType="end"/>
        </w:r>
      </w:hyperlink>
    </w:p>
    <w:p w14:paraId="151B2B70" w14:textId="77777777" w:rsidR="00823317" w:rsidRDefault="001D0AD2">
      <w:pPr>
        <w:pStyle w:val="Kazalovsebine5"/>
        <w:tabs>
          <w:tab w:val="end" w:leader="dot" w:pos="512pt"/>
        </w:tabs>
        <w:rPr>
          <w:rFonts w:ascii="Calibri" w:hAnsi="Calibri"/>
          <w:sz w:val="22"/>
        </w:rPr>
      </w:pPr>
      <w:hyperlink w:anchor="_Toc256001067" w:history="1">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_Toc256001067 \h </w:instrText>
        </w:r>
        <w:r w:rsidR="00B16CCF">
          <w:fldChar w:fldCharType="separate"/>
        </w:r>
        <w:r w:rsidR="00B16CCF">
          <w:t>187</w:t>
        </w:r>
        <w:r w:rsidR="00B16CCF">
          <w:fldChar w:fldCharType="end"/>
        </w:r>
      </w:hyperlink>
    </w:p>
    <w:p w14:paraId="4E5E1AF0" w14:textId="77777777" w:rsidR="00823317" w:rsidRDefault="001D0AD2">
      <w:pPr>
        <w:pStyle w:val="Kazalovsebine4"/>
        <w:tabs>
          <w:tab w:val="end" w:leader="dot" w:pos="512pt"/>
        </w:tabs>
        <w:rPr>
          <w:rFonts w:ascii="Calibri" w:hAnsi="Calibri"/>
          <w:sz w:val="22"/>
        </w:rPr>
      </w:pPr>
      <w:hyperlink w:anchor="_Toc256001068" w:history="1">
        <w:r w:rsidR="00A77B3E">
          <w:rPr>
            <w:rStyle w:val="Hiperpovezava"/>
          </w:rPr>
          <w:t>2.1.1.1.2. Kazalniki</w:t>
        </w:r>
        <w:r w:rsidR="00B16CCF">
          <w:tab/>
        </w:r>
        <w:r w:rsidR="00B16CCF">
          <w:fldChar w:fldCharType="begin"/>
        </w:r>
        <w:r w:rsidR="00B16CCF">
          <w:instrText xml:space="preserve"> PAGEREF _Toc256001068 \h </w:instrText>
        </w:r>
        <w:r w:rsidR="00B16CCF">
          <w:fldChar w:fldCharType="separate"/>
        </w:r>
        <w:r w:rsidR="00B16CCF">
          <w:t>187</w:t>
        </w:r>
        <w:r w:rsidR="00B16CCF">
          <w:fldChar w:fldCharType="end"/>
        </w:r>
      </w:hyperlink>
    </w:p>
    <w:p w14:paraId="0B3C4C52" w14:textId="77777777" w:rsidR="00823317" w:rsidRDefault="001D0AD2">
      <w:pPr>
        <w:pStyle w:val="Kazalovsebine5"/>
        <w:tabs>
          <w:tab w:val="end" w:leader="dot" w:pos="512pt"/>
        </w:tabs>
        <w:rPr>
          <w:rFonts w:ascii="Calibri" w:hAnsi="Calibri"/>
          <w:sz w:val="22"/>
        </w:rPr>
      </w:pPr>
      <w:hyperlink w:anchor="_Toc256001069" w:history="1">
        <w:r w:rsidR="00A77B3E">
          <w:rPr>
            <w:rStyle w:val="Hiperpovezava"/>
          </w:rPr>
          <w:t>Tabela 2: Kazalniki učinka</w:t>
        </w:r>
        <w:r w:rsidR="00B16CCF">
          <w:tab/>
        </w:r>
        <w:r w:rsidR="00B16CCF">
          <w:fldChar w:fldCharType="begin"/>
        </w:r>
        <w:r w:rsidR="00B16CCF">
          <w:instrText xml:space="preserve"> PAGEREF _Toc256001069 \h </w:instrText>
        </w:r>
        <w:r w:rsidR="00B16CCF">
          <w:fldChar w:fldCharType="separate"/>
        </w:r>
        <w:r w:rsidR="00B16CCF">
          <w:t>187</w:t>
        </w:r>
        <w:r w:rsidR="00B16CCF">
          <w:fldChar w:fldCharType="end"/>
        </w:r>
      </w:hyperlink>
    </w:p>
    <w:p w14:paraId="2348A52E" w14:textId="77777777" w:rsidR="00823317" w:rsidRDefault="001D0AD2">
      <w:pPr>
        <w:pStyle w:val="Kazalovsebine5"/>
        <w:tabs>
          <w:tab w:val="end" w:leader="dot" w:pos="512pt"/>
        </w:tabs>
        <w:rPr>
          <w:rFonts w:ascii="Calibri" w:hAnsi="Calibri"/>
          <w:sz w:val="22"/>
        </w:rPr>
      </w:pPr>
      <w:hyperlink w:anchor="_Toc256001070" w:history="1">
        <w:r w:rsidR="00A77B3E">
          <w:rPr>
            <w:rStyle w:val="Hiperpovezava"/>
          </w:rPr>
          <w:t>Tabela 3: Kazalniki rezultatov</w:t>
        </w:r>
        <w:r w:rsidR="00B16CCF">
          <w:tab/>
        </w:r>
        <w:r w:rsidR="00B16CCF">
          <w:fldChar w:fldCharType="begin"/>
        </w:r>
        <w:r w:rsidR="00B16CCF">
          <w:instrText xml:space="preserve"> PAGEREF _Toc256001070 \h </w:instrText>
        </w:r>
        <w:r w:rsidR="00B16CCF">
          <w:fldChar w:fldCharType="separate"/>
        </w:r>
        <w:r w:rsidR="00B16CCF">
          <w:t>187</w:t>
        </w:r>
        <w:r w:rsidR="00B16CCF">
          <w:fldChar w:fldCharType="end"/>
        </w:r>
      </w:hyperlink>
    </w:p>
    <w:p w14:paraId="34F5A2D0" w14:textId="77777777" w:rsidR="00823317" w:rsidRDefault="001D0AD2">
      <w:pPr>
        <w:pStyle w:val="Kazalovsebine4"/>
        <w:tabs>
          <w:tab w:val="end" w:leader="dot" w:pos="512pt"/>
        </w:tabs>
        <w:rPr>
          <w:rFonts w:ascii="Calibri" w:hAnsi="Calibri"/>
          <w:sz w:val="22"/>
        </w:rPr>
      </w:pPr>
      <w:hyperlink w:anchor="_Toc256001071" w:history="1">
        <w:r w:rsidR="00A77B3E">
          <w:rPr>
            <w:rStyle w:val="Hiperpovezava"/>
          </w:rPr>
          <w:t>2.1.1.1.3. Okvirna razčlenitev načrtovanih sredstev (EU) glede na vrsto ukrepa</w:t>
        </w:r>
        <w:r w:rsidR="00B16CCF">
          <w:tab/>
        </w:r>
        <w:r w:rsidR="00B16CCF">
          <w:fldChar w:fldCharType="begin"/>
        </w:r>
        <w:r w:rsidR="00B16CCF">
          <w:instrText xml:space="preserve"> PAGEREF _Toc256001071 \h </w:instrText>
        </w:r>
        <w:r w:rsidR="00B16CCF">
          <w:fldChar w:fldCharType="separate"/>
        </w:r>
        <w:r w:rsidR="00B16CCF">
          <w:t>188</w:t>
        </w:r>
        <w:r w:rsidR="00B16CCF">
          <w:fldChar w:fldCharType="end"/>
        </w:r>
      </w:hyperlink>
    </w:p>
    <w:p w14:paraId="4E73DBE1" w14:textId="77777777" w:rsidR="00823317" w:rsidRDefault="001D0AD2">
      <w:pPr>
        <w:pStyle w:val="Kazalovsebine5"/>
        <w:tabs>
          <w:tab w:val="end" w:leader="dot" w:pos="512pt"/>
        </w:tabs>
        <w:rPr>
          <w:rFonts w:ascii="Calibri" w:hAnsi="Calibri"/>
          <w:sz w:val="22"/>
        </w:rPr>
      </w:pPr>
      <w:hyperlink w:anchor="_Toc256001072" w:history="1">
        <w:r w:rsidR="00A77B3E">
          <w:rPr>
            <w:rStyle w:val="Hiperpovezava"/>
          </w:rPr>
          <w:t>Tabela 4: Razsežnost 1 – področje ukrepanja</w:t>
        </w:r>
        <w:r w:rsidR="00B16CCF">
          <w:tab/>
        </w:r>
        <w:r w:rsidR="00B16CCF">
          <w:fldChar w:fldCharType="begin"/>
        </w:r>
        <w:r w:rsidR="00B16CCF">
          <w:instrText xml:space="preserve"> PAGEREF _Toc256001072 \h </w:instrText>
        </w:r>
        <w:r w:rsidR="00B16CCF">
          <w:fldChar w:fldCharType="separate"/>
        </w:r>
        <w:r w:rsidR="00B16CCF">
          <w:t>188</w:t>
        </w:r>
        <w:r w:rsidR="00B16CCF">
          <w:fldChar w:fldCharType="end"/>
        </w:r>
      </w:hyperlink>
    </w:p>
    <w:p w14:paraId="4DC72A2B" w14:textId="77777777" w:rsidR="00823317" w:rsidRDefault="001D0AD2">
      <w:pPr>
        <w:pStyle w:val="Kazalovsebine5"/>
        <w:tabs>
          <w:tab w:val="end" w:leader="dot" w:pos="512pt"/>
        </w:tabs>
        <w:rPr>
          <w:rFonts w:ascii="Calibri" w:hAnsi="Calibri"/>
          <w:sz w:val="22"/>
        </w:rPr>
      </w:pPr>
      <w:hyperlink w:anchor="_Toc256001073" w:history="1">
        <w:r w:rsidR="00A77B3E">
          <w:rPr>
            <w:rStyle w:val="Hiperpovezava"/>
          </w:rPr>
          <w:t>Tabela 5: Razsežnost 2 – oblika financiranja</w:t>
        </w:r>
        <w:r w:rsidR="00B16CCF">
          <w:tab/>
        </w:r>
        <w:r w:rsidR="00B16CCF">
          <w:fldChar w:fldCharType="begin"/>
        </w:r>
        <w:r w:rsidR="00B16CCF">
          <w:instrText xml:space="preserve"> PAGEREF _Toc256001073 \h </w:instrText>
        </w:r>
        <w:r w:rsidR="00B16CCF">
          <w:fldChar w:fldCharType="separate"/>
        </w:r>
        <w:r w:rsidR="00B16CCF">
          <w:t>188</w:t>
        </w:r>
        <w:r w:rsidR="00B16CCF">
          <w:fldChar w:fldCharType="end"/>
        </w:r>
      </w:hyperlink>
    </w:p>
    <w:p w14:paraId="6CA98EE2" w14:textId="77777777" w:rsidR="00823317" w:rsidRDefault="001D0AD2">
      <w:pPr>
        <w:pStyle w:val="Kazalovsebine5"/>
        <w:tabs>
          <w:tab w:val="end" w:leader="dot" w:pos="512pt"/>
        </w:tabs>
        <w:rPr>
          <w:rFonts w:ascii="Calibri" w:hAnsi="Calibri"/>
          <w:sz w:val="22"/>
        </w:rPr>
      </w:pPr>
      <w:hyperlink w:anchor="_Toc256001074" w:history="1">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_Toc256001074 \h </w:instrText>
        </w:r>
        <w:r w:rsidR="00B16CCF">
          <w:fldChar w:fldCharType="separate"/>
        </w:r>
        <w:r w:rsidR="00B16CCF">
          <w:t>188</w:t>
        </w:r>
        <w:r w:rsidR="00B16CCF">
          <w:fldChar w:fldCharType="end"/>
        </w:r>
      </w:hyperlink>
    </w:p>
    <w:p w14:paraId="3FDB5715" w14:textId="77777777" w:rsidR="00823317" w:rsidRDefault="001D0AD2">
      <w:pPr>
        <w:pStyle w:val="Kazalovsebine5"/>
        <w:tabs>
          <w:tab w:val="end" w:leader="dot" w:pos="512pt"/>
        </w:tabs>
        <w:rPr>
          <w:rFonts w:ascii="Calibri" w:hAnsi="Calibri"/>
          <w:sz w:val="22"/>
        </w:rPr>
      </w:pPr>
      <w:hyperlink w:anchor="_Toc256001075" w:history="1">
        <w:r w:rsidR="00A77B3E">
          <w:rPr>
            <w:rStyle w:val="Hiperpovezava"/>
          </w:rPr>
          <w:t>Tabela 7: Razsežnost 6 – sekundarna področja ESS+</w:t>
        </w:r>
        <w:r w:rsidR="00B16CCF">
          <w:tab/>
        </w:r>
        <w:r w:rsidR="00B16CCF">
          <w:fldChar w:fldCharType="begin"/>
        </w:r>
        <w:r w:rsidR="00B16CCF">
          <w:instrText xml:space="preserve"> PAGEREF _Toc256001075 \h </w:instrText>
        </w:r>
        <w:r w:rsidR="00B16CCF">
          <w:fldChar w:fldCharType="separate"/>
        </w:r>
        <w:r w:rsidR="00B16CCF">
          <w:t>188</w:t>
        </w:r>
        <w:r w:rsidR="00B16CCF">
          <w:fldChar w:fldCharType="end"/>
        </w:r>
      </w:hyperlink>
    </w:p>
    <w:p w14:paraId="5CA89885" w14:textId="77777777" w:rsidR="00823317" w:rsidRDefault="001D0AD2">
      <w:pPr>
        <w:pStyle w:val="Kazalovsebine5"/>
        <w:tabs>
          <w:tab w:val="end" w:leader="dot" w:pos="512pt"/>
        </w:tabs>
        <w:rPr>
          <w:rFonts w:ascii="Calibri" w:hAnsi="Calibri"/>
          <w:sz w:val="22"/>
        </w:rPr>
      </w:pPr>
      <w:hyperlink w:anchor="_Toc256001076" w:history="1">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_Toc256001076 \h </w:instrText>
        </w:r>
        <w:r w:rsidR="00B16CCF">
          <w:fldChar w:fldCharType="separate"/>
        </w:r>
        <w:r w:rsidR="00B16CCF">
          <w:t>189</w:t>
        </w:r>
        <w:r w:rsidR="00B16CCF">
          <w:fldChar w:fldCharType="end"/>
        </w:r>
      </w:hyperlink>
    </w:p>
    <w:p w14:paraId="4AF002A1" w14:textId="77777777" w:rsidR="00823317" w:rsidRDefault="001D0AD2">
      <w:pPr>
        <w:pStyle w:val="Kazalovsebine4"/>
        <w:tabs>
          <w:tab w:val="end" w:leader="dot" w:pos="512pt"/>
        </w:tabs>
        <w:rPr>
          <w:rFonts w:ascii="Calibri" w:hAnsi="Calibri"/>
          <w:sz w:val="22"/>
        </w:rPr>
      </w:pPr>
      <w:hyperlink w:anchor="_Toc256001077" w:history="1">
        <w:r w:rsidR="00A77B3E">
          <w:rPr>
            <w:rStyle w:val="Hiperpovezava"/>
          </w:rPr>
          <w:t>2.1.1.1. Specifični cilj: RSO2.12. Promoting energy interconnectors and related transmission, distribution, storage and supportive infrastructure, as well as protection of critical energy infrastructure and the deployment of recharging infrastructure (Kohezijski sklad)</w:t>
        </w:r>
        <w:r w:rsidR="00B16CCF">
          <w:tab/>
        </w:r>
        <w:r w:rsidR="00B16CCF">
          <w:fldChar w:fldCharType="begin"/>
        </w:r>
        <w:r w:rsidR="00B16CCF">
          <w:instrText xml:space="preserve"> PAGEREF _Toc256001077 \h </w:instrText>
        </w:r>
        <w:r w:rsidR="00B16CCF">
          <w:fldChar w:fldCharType="separate"/>
        </w:r>
        <w:r w:rsidR="00B16CCF">
          <w:t>190</w:t>
        </w:r>
        <w:r w:rsidR="00B16CCF">
          <w:fldChar w:fldCharType="end"/>
        </w:r>
      </w:hyperlink>
    </w:p>
    <w:p w14:paraId="74A1ABEF" w14:textId="77777777" w:rsidR="00823317" w:rsidRDefault="001D0AD2">
      <w:pPr>
        <w:pStyle w:val="Kazalovsebine4"/>
        <w:tabs>
          <w:tab w:val="end" w:leader="dot" w:pos="512pt"/>
        </w:tabs>
        <w:rPr>
          <w:rFonts w:ascii="Calibri" w:hAnsi="Calibri"/>
          <w:sz w:val="22"/>
        </w:rPr>
      </w:pPr>
      <w:hyperlink w:anchor="_Toc256001078" w:history="1">
        <w:r w:rsidR="00A77B3E">
          <w:rPr>
            <w:rStyle w:val="Hiperpovezava"/>
          </w:rPr>
          <w:t>2.1.1.1.1. Ukrepi skladov</w:t>
        </w:r>
        <w:r w:rsidR="00B16CCF">
          <w:tab/>
        </w:r>
        <w:r w:rsidR="00B16CCF">
          <w:fldChar w:fldCharType="begin"/>
        </w:r>
        <w:r w:rsidR="00B16CCF">
          <w:instrText xml:space="preserve"> PAGEREF _Toc256001078 \h </w:instrText>
        </w:r>
        <w:r w:rsidR="00B16CCF">
          <w:fldChar w:fldCharType="separate"/>
        </w:r>
        <w:r w:rsidR="00B16CCF">
          <w:t>190</w:t>
        </w:r>
        <w:r w:rsidR="00B16CCF">
          <w:fldChar w:fldCharType="end"/>
        </w:r>
      </w:hyperlink>
    </w:p>
    <w:p w14:paraId="794DDAAB" w14:textId="77777777" w:rsidR="00823317" w:rsidRDefault="001D0AD2">
      <w:pPr>
        <w:pStyle w:val="Kazalovsebine5"/>
        <w:tabs>
          <w:tab w:val="end" w:leader="dot" w:pos="512pt"/>
        </w:tabs>
        <w:rPr>
          <w:rFonts w:ascii="Calibri" w:hAnsi="Calibri"/>
          <w:sz w:val="22"/>
        </w:rPr>
      </w:pPr>
      <w:hyperlink w:anchor="_Toc256001079" w:history="1">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_Toc256001079 \h </w:instrText>
        </w:r>
        <w:r w:rsidR="00B16CCF">
          <w:fldChar w:fldCharType="separate"/>
        </w:r>
        <w:r w:rsidR="00B16CCF">
          <w:t>190</w:t>
        </w:r>
        <w:r w:rsidR="00B16CCF">
          <w:fldChar w:fldCharType="end"/>
        </w:r>
      </w:hyperlink>
    </w:p>
    <w:p w14:paraId="3ACAD339" w14:textId="77777777" w:rsidR="00823317" w:rsidRDefault="001D0AD2">
      <w:pPr>
        <w:pStyle w:val="Kazalovsebine5"/>
        <w:tabs>
          <w:tab w:val="end" w:leader="dot" w:pos="512pt"/>
        </w:tabs>
        <w:rPr>
          <w:rFonts w:ascii="Calibri" w:hAnsi="Calibri"/>
          <w:sz w:val="22"/>
        </w:rPr>
      </w:pPr>
      <w:hyperlink w:anchor="_Toc256001080" w:history="1">
        <w:r w:rsidR="00A77B3E">
          <w:rPr>
            <w:rStyle w:val="Hiperpovezava"/>
          </w:rPr>
          <w:t>Glavne ciljne skupine – člen 22(3)(d)(iii) uredbe o skupnih določbah:</w:t>
        </w:r>
        <w:r w:rsidR="00B16CCF">
          <w:tab/>
        </w:r>
        <w:r w:rsidR="00B16CCF">
          <w:fldChar w:fldCharType="begin"/>
        </w:r>
        <w:r w:rsidR="00B16CCF">
          <w:instrText xml:space="preserve"> PAGEREF _Toc256001080 \h </w:instrText>
        </w:r>
        <w:r w:rsidR="00B16CCF">
          <w:fldChar w:fldCharType="separate"/>
        </w:r>
        <w:r w:rsidR="00B16CCF">
          <w:t>191</w:t>
        </w:r>
        <w:r w:rsidR="00B16CCF">
          <w:fldChar w:fldCharType="end"/>
        </w:r>
      </w:hyperlink>
    </w:p>
    <w:p w14:paraId="12160A5A" w14:textId="77777777" w:rsidR="00823317" w:rsidRDefault="001D0AD2">
      <w:pPr>
        <w:pStyle w:val="Kazalovsebine5"/>
        <w:tabs>
          <w:tab w:val="end" w:leader="dot" w:pos="512pt"/>
        </w:tabs>
        <w:rPr>
          <w:rFonts w:ascii="Calibri" w:hAnsi="Calibri"/>
          <w:sz w:val="22"/>
        </w:rPr>
      </w:pPr>
      <w:hyperlink w:anchor="_Toc256001081" w:history="1">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_Toc256001081 \h </w:instrText>
        </w:r>
        <w:r w:rsidR="00B16CCF">
          <w:fldChar w:fldCharType="separate"/>
        </w:r>
        <w:r w:rsidR="00B16CCF">
          <w:t>191</w:t>
        </w:r>
        <w:r w:rsidR="00B16CCF">
          <w:fldChar w:fldCharType="end"/>
        </w:r>
      </w:hyperlink>
    </w:p>
    <w:p w14:paraId="7297CD99" w14:textId="77777777" w:rsidR="00823317" w:rsidRDefault="001D0AD2">
      <w:pPr>
        <w:pStyle w:val="Kazalovsebine5"/>
        <w:tabs>
          <w:tab w:val="end" w:leader="dot" w:pos="512pt"/>
        </w:tabs>
        <w:rPr>
          <w:rFonts w:ascii="Calibri" w:hAnsi="Calibri"/>
          <w:sz w:val="22"/>
        </w:rPr>
      </w:pPr>
      <w:hyperlink w:anchor="_Toc256001082" w:history="1">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_Toc256001082 \h </w:instrText>
        </w:r>
        <w:r w:rsidR="00B16CCF">
          <w:fldChar w:fldCharType="separate"/>
        </w:r>
        <w:r w:rsidR="00B16CCF">
          <w:t>191</w:t>
        </w:r>
        <w:r w:rsidR="00B16CCF">
          <w:fldChar w:fldCharType="end"/>
        </w:r>
      </w:hyperlink>
    </w:p>
    <w:p w14:paraId="44B75B8C" w14:textId="77777777" w:rsidR="00823317" w:rsidRDefault="001D0AD2">
      <w:pPr>
        <w:pStyle w:val="Kazalovsebine5"/>
        <w:tabs>
          <w:tab w:val="end" w:leader="dot" w:pos="512pt"/>
        </w:tabs>
        <w:rPr>
          <w:rFonts w:ascii="Calibri" w:hAnsi="Calibri"/>
          <w:sz w:val="22"/>
        </w:rPr>
      </w:pPr>
      <w:hyperlink w:anchor="_Toc256001083" w:history="1">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_Toc256001083 \h </w:instrText>
        </w:r>
        <w:r w:rsidR="00B16CCF">
          <w:fldChar w:fldCharType="separate"/>
        </w:r>
        <w:r w:rsidR="00B16CCF">
          <w:t>191</w:t>
        </w:r>
        <w:r w:rsidR="00B16CCF">
          <w:fldChar w:fldCharType="end"/>
        </w:r>
      </w:hyperlink>
    </w:p>
    <w:p w14:paraId="493FD22A" w14:textId="77777777" w:rsidR="00823317" w:rsidRDefault="001D0AD2">
      <w:pPr>
        <w:pStyle w:val="Kazalovsebine5"/>
        <w:tabs>
          <w:tab w:val="end" w:leader="dot" w:pos="512pt"/>
        </w:tabs>
        <w:rPr>
          <w:rFonts w:ascii="Calibri" w:hAnsi="Calibri"/>
          <w:sz w:val="22"/>
        </w:rPr>
      </w:pPr>
      <w:hyperlink w:anchor="_Toc256001084" w:history="1">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_Toc256001084 \h </w:instrText>
        </w:r>
        <w:r w:rsidR="00B16CCF">
          <w:fldChar w:fldCharType="separate"/>
        </w:r>
        <w:r w:rsidR="00B16CCF">
          <w:t>192</w:t>
        </w:r>
        <w:r w:rsidR="00B16CCF">
          <w:fldChar w:fldCharType="end"/>
        </w:r>
      </w:hyperlink>
    </w:p>
    <w:p w14:paraId="306E79F6" w14:textId="77777777" w:rsidR="00823317" w:rsidRDefault="001D0AD2">
      <w:pPr>
        <w:pStyle w:val="Kazalovsebine4"/>
        <w:tabs>
          <w:tab w:val="end" w:leader="dot" w:pos="512pt"/>
        </w:tabs>
        <w:rPr>
          <w:rFonts w:ascii="Calibri" w:hAnsi="Calibri"/>
          <w:sz w:val="22"/>
        </w:rPr>
      </w:pPr>
      <w:hyperlink w:anchor="_Toc256001085" w:history="1">
        <w:r w:rsidR="00A77B3E">
          <w:rPr>
            <w:rStyle w:val="Hiperpovezava"/>
          </w:rPr>
          <w:t>2.1.1.1.2. Kazalniki</w:t>
        </w:r>
        <w:r w:rsidR="00B16CCF">
          <w:tab/>
        </w:r>
        <w:r w:rsidR="00B16CCF">
          <w:fldChar w:fldCharType="begin"/>
        </w:r>
        <w:r w:rsidR="00B16CCF">
          <w:instrText xml:space="preserve"> PAGEREF _Toc256001085 \h </w:instrText>
        </w:r>
        <w:r w:rsidR="00B16CCF">
          <w:fldChar w:fldCharType="separate"/>
        </w:r>
        <w:r w:rsidR="00B16CCF">
          <w:t>192</w:t>
        </w:r>
        <w:r w:rsidR="00B16CCF">
          <w:fldChar w:fldCharType="end"/>
        </w:r>
      </w:hyperlink>
    </w:p>
    <w:p w14:paraId="1949B101" w14:textId="77777777" w:rsidR="00823317" w:rsidRDefault="001D0AD2">
      <w:pPr>
        <w:pStyle w:val="Kazalovsebine5"/>
        <w:tabs>
          <w:tab w:val="end" w:leader="dot" w:pos="512pt"/>
        </w:tabs>
        <w:rPr>
          <w:rFonts w:ascii="Calibri" w:hAnsi="Calibri"/>
          <w:sz w:val="22"/>
        </w:rPr>
      </w:pPr>
      <w:hyperlink w:anchor="_Toc256001086" w:history="1">
        <w:r w:rsidR="00A77B3E">
          <w:rPr>
            <w:rStyle w:val="Hiperpovezava"/>
          </w:rPr>
          <w:t>Tabela 2: Kazalniki učinka</w:t>
        </w:r>
        <w:r w:rsidR="00B16CCF">
          <w:tab/>
        </w:r>
        <w:r w:rsidR="00B16CCF">
          <w:fldChar w:fldCharType="begin"/>
        </w:r>
        <w:r w:rsidR="00B16CCF">
          <w:instrText xml:space="preserve"> PAGEREF _Toc256001086 \h </w:instrText>
        </w:r>
        <w:r w:rsidR="00B16CCF">
          <w:fldChar w:fldCharType="separate"/>
        </w:r>
        <w:r w:rsidR="00B16CCF">
          <w:t>192</w:t>
        </w:r>
        <w:r w:rsidR="00B16CCF">
          <w:fldChar w:fldCharType="end"/>
        </w:r>
      </w:hyperlink>
    </w:p>
    <w:p w14:paraId="3B1836A6" w14:textId="77777777" w:rsidR="00823317" w:rsidRDefault="001D0AD2">
      <w:pPr>
        <w:pStyle w:val="Kazalovsebine5"/>
        <w:tabs>
          <w:tab w:val="end" w:leader="dot" w:pos="512pt"/>
        </w:tabs>
        <w:rPr>
          <w:rFonts w:ascii="Calibri" w:hAnsi="Calibri"/>
          <w:sz w:val="22"/>
        </w:rPr>
      </w:pPr>
      <w:hyperlink w:anchor="_Toc256001087" w:history="1">
        <w:r w:rsidR="00A77B3E">
          <w:rPr>
            <w:rStyle w:val="Hiperpovezava"/>
          </w:rPr>
          <w:t>Tabela 3: Kazalniki rezultatov</w:t>
        </w:r>
        <w:r w:rsidR="00B16CCF">
          <w:tab/>
        </w:r>
        <w:r w:rsidR="00B16CCF">
          <w:fldChar w:fldCharType="begin"/>
        </w:r>
        <w:r w:rsidR="00B16CCF">
          <w:instrText xml:space="preserve"> PAGEREF _Toc256001087 \h </w:instrText>
        </w:r>
        <w:r w:rsidR="00B16CCF">
          <w:fldChar w:fldCharType="separate"/>
        </w:r>
        <w:r w:rsidR="00B16CCF">
          <w:t>192</w:t>
        </w:r>
        <w:r w:rsidR="00B16CCF">
          <w:fldChar w:fldCharType="end"/>
        </w:r>
      </w:hyperlink>
    </w:p>
    <w:p w14:paraId="2AF55C7E" w14:textId="77777777" w:rsidR="00823317" w:rsidRDefault="001D0AD2">
      <w:pPr>
        <w:pStyle w:val="Kazalovsebine4"/>
        <w:tabs>
          <w:tab w:val="end" w:leader="dot" w:pos="512pt"/>
        </w:tabs>
        <w:rPr>
          <w:rFonts w:ascii="Calibri" w:hAnsi="Calibri"/>
          <w:sz w:val="22"/>
        </w:rPr>
      </w:pPr>
      <w:hyperlink w:anchor="_Toc256001088" w:history="1">
        <w:r w:rsidR="00A77B3E">
          <w:rPr>
            <w:rStyle w:val="Hiperpovezava"/>
          </w:rPr>
          <w:t>2.1.1.1.3. Okvirna razčlenitev načrtovanih sredstev (EU) glede na vrsto ukrepa</w:t>
        </w:r>
        <w:r w:rsidR="00B16CCF">
          <w:tab/>
        </w:r>
        <w:r w:rsidR="00B16CCF">
          <w:fldChar w:fldCharType="begin"/>
        </w:r>
        <w:r w:rsidR="00B16CCF">
          <w:instrText xml:space="preserve"> PAGEREF _Toc256001088 \h </w:instrText>
        </w:r>
        <w:r w:rsidR="00B16CCF">
          <w:fldChar w:fldCharType="separate"/>
        </w:r>
        <w:r w:rsidR="00B16CCF">
          <w:t>192</w:t>
        </w:r>
        <w:r w:rsidR="00B16CCF">
          <w:fldChar w:fldCharType="end"/>
        </w:r>
      </w:hyperlink>
    </w:p>
    <w:p w14:paraId="21EA0D9D" w14:textId="77777777" w:rsidR="00823317" w:rsidRDefault="001D0AD2">
      <w:pPr>
        <w:pStyle w:val="Kazalovsebine5"/>
        <w:tabs>
          <w:tab w:val="end" w:leader="dot" w:pos="512pt"/>
        </w:tabs>
        <w:rPr>
          <w:rFonts w:ascii="Calibri" w:hAnsi="Calibri"/>
          <w:sz w:val="22"/>
        </w:rPr>
      </w:pPr>
      <w:hyperlink w:anchor="_Toc256001089" w:history="1">
        <w:r w:rsidR="00A77B3E">
          <w:rPr>
            <w:rStyle w:val="Hiperpovezava"/>
          </w:rPr>
          <w:t>Tabela 4: Razsežnost 1 – področje ukrepanja</w:t>
        </w:r>
        <w:r w:rsidR="00B16CCF">
          <w:tab/>
        </w:r>
        <w:r w:rsidR="00B16CCF">
          <w:fldChar w:fldCharType="begin"/>
        </w:r>
        <w:r w:rsidR="00B16CCF">
          <w:instrText xml:space="preserve"> PAGEREF _Toc256001089 \h </w:instrText>
        </w:r>
        <w:r w:rsidR="00B16CCF">
          <w:fldChar w:fldCharType="separate"/>
        </w:r>
        <w:r w:rsidR="00B16CCF">
          <w:t>192</w:t>
        </w:r>
        <w:r w:rsidR="00B16CCF">
          <w:fldChar w:fldCharType="end"/>
        </w:r>
      </w:hyperlink>
    </w:p>
    <w:p w14:paraId="2B191096" w14:textId="77777777" w:rsidR="00823317" w:rsidRDefault="001D0AD2">
      <w:pPr>
        <w:pStyle w:val="Kazalovsebine5"/>
        <w:tabs>
          <w:tab w:val="end" w:leader="dot" w:pos="512pt"/>
        </w:tabs>
        <w:rPr>
          <w:rFonts w:ascii="Calibri" w:hAnsi="Calibri"/>
          <w:sz w:val="22"/>
        </w:rPr>
      </w:pPr>
      <w:hyperlink w:anchor="_Toc256001090" w:history="1">
        <w:r w:rsidR="00A77B3E">
          <w:rPr>
            <w:rStyle w:val="Hiperpovezava"/>
          </w:rPr>
          <w:t>Tabela 5: Razsežnost 2 – oblika financiranja</w:t>
        </w:r>
        <w:r w:rsidR="00B16CCF">
          <w:tab/>
        </w:r>
        <w:r w:rsidR="00B16CCF">
          <w:fldChar w:fldCharType="begin"/>
        </w:r>
        <w:r w:rsidR="00B16CCF">
          <w:instrText xml:space="preserve"> PAGEREF _Toc256001090 \h </w:instrText>
        </w:r>
        <w:r w:rsidR="00B16CCF">
          <w:fldChar w:fldCharType="separate"/>
        </w:r>
        <w:r w:rsidR="00B16CCF">
          <w:t>193</w:t>
        </w:r>
        <w:r w:rsidR="00B16CCF">
          <w:fldChar w:fldCharType="end"/>
        </w:r>
      </w:hyperlink>
    </w:p>
    <w:p w14:paraId="7B9E0814" w14:textId="77777777" w:rsidR="00823317" w:rsidRDefault="001D0AD2">
      <w:pPr>
        <w:pStyle w:val="Kazalovsebine5"/>
        <w:tabs>
          <w:tab w:val="end" w:leader="dot" w:pos="512pt"/>
        </w:tabs>
        <w:rPr>
          <w:rFonts w:ascii="Calibri" w:hAnsi="Calibri"/>
          <w:sz w:val="22"/>
        </w:rPr>
      </w:pPr>
      <w:hyperlink w:anchor="_Toc256001091" w:history="1">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_Toc256001091 \h </w:instrText>
        </w:r>
        <w:r w:rsidR="00B16CCF">
          <w:fldChar w:fldCharType="separate"/>
        </w:r>
        <w:r w:rsidR="00B16CCF">
          <w:t>193</w:t>
        </w:r>
        <w:r w:rsidR="00B16CCF">
          <w:fldChar w:fldCharType="end"/>
        </w:r>
      </w:hyperlink>
    </w:p>
    <w:p w14:paraId="78A8F34E" w14:textId="77777777" w:rsidR="00823317" w:rsidRDefault="001D0AD2">
      <w:pPr>
        <w:pStyle w:val="Kazalovsebine5"/>
        <w:tabs>
          <w:tab w:val="end" w:leader="dot" w:pos="512pt"/>
        </w:tabs>
        <w:rPr>
          <w:rFonts w:ascii="Calibri" w:hAnsi="Calibri"/>
          <w:sz w:val="22"/>
        </w:rPr>
      </w:pPr>
      <w:hyperlink w:anchor="_Toc256001092" w:history="1">
        <w:r w:rsidR="00A77B3E">
          <w:rPr>
            <w:rStyle w:val="Hiperpovezava"/>
          </w:rPr>
          <w:t>Tabela 7: Razsežnost 6 – sekundarna področja ESS+</w:t>
        </w:r>
        <w:r w:rsidR="00B16CCF">
          <w:tab/>
        </w:r>
        <w:r w:rsidR="00B16CCF">
          <w:fldChar w:fldCharType="begin"/>
        </w:r>
        <w:r w:rsidR="00B16CCF">
          <w:instrText xml:space="preserve"> PAGEREF _Toc256001092 \h </w:instrText>
        </w:r>
        <w:r w:rsidR="00B16CCF">
          <w:fldChar w:fldCharType="separate"/>
        </w:r>
        <w:r w:rsidR="00B16CCF">
          <w:t>193</w:t>
        </w:r>
        <w:r w:rsidR="00B16CCF">
          <w:fldChar w:fldCharType="end"/>
        </w:r>
      </w:hyperlink>
    </w:p>
    <w:p w14:paraId="048AE3E9" w14:textId="77777777" w:rsidR="00823317" w:rsidRDefault="001D0AD2">
      <w:pPr>
        <w:pStyle w:val="Kazalovsebine5"/>
        <w:tabs>
          <w:tab w:val="end" w:leader="dot" w:pos="512pt"/>
        </w:tabs>
        <w:rPr>
          <w:rFonts w:ascii="Calibri" w:hAnsi="Calibri"/>
          <w:sz w:val="22"/>
        </w:rPr>
      </w:pPr>
      <w:hyperlink w:anchor="_Toc256001093" w:history="1">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_Toc256001093 \h </w:instrText>
        </w:r>
        <w:r w:rsidR="00B16CCF">
          <w:fldChar w:fldCharType="separate"/>
        </w:r>
        <w:r w:rsidR="00B16CCF">
          <w:t>193</w:t>
        </w:r>
        <w:r w:rsidR="00B16CCF">
          <w:fldChar w:fldCharType="end"/>
        </w:r>
      </w:hyperlink>
    </w:p>
    <w:p w14:paraId="5F561CC3" w14:textId="77777777" w:rsidR="00823317" w:rsidRDefault="001D0AD2">
      <w:pPr>
        <w:pStyle w:val="Kazalovsebine3"/>
        <w:tabs>
          <w:tab w:val="end" w:leader="dot" w:pos="512pt"/>
        </w:tabs>
        <w:rPr>
          <w:rFonts w:ascii="Calibri" w:hAnsi="Calibri"/>
          <w:sz w:val="22"/>
        </w:rPr>
      </w:pPr>
      <w:hyperlink w:anchor="_Toc256001094" w:history="1">
        <w:r w:rsidR="00A77B3E">
          <w:rPr>
            <w:rStyle w:val="Hiperpovezava"/>
          </w:rPr>
          <w:t>2.1.1. Prednostna naloga: 5. Trajnostna (čez)regionalna mobilnost in povezljivost</w:t>
        </w:r>
        <w:r w:rsidR="00B16CCF">
          <w:tab/>
        </w:r>
        <w:r w:rsidR="00B16CCF">
          <w:fldChar w:fldCharType="begin"/>
        </w:r>
        <w:r w:rsidR="00B16CCF">
          <w:instrText xml:space="preserve"> PAGEREF _Toc256001094 \h </w:instrText>
        </w:r>
        <w:r w:rsidR="00B16CCF">
          <w:fldChar w:fldCharType="separate"/>
        </w:r>
        <w:r w:rsidR="00B16CCF">
          <w:t>194</w:t>
        </w:r>
        <w:r w:rsidR="00B16CCF">
          <w:fldChar w:fldCharType="end"/>
        </w:r>
      </w:hyperlink>
    </w:p>
    <w:p w14:paraId="059A4ABF" w14:textId="77777777" w:rsidR="00823317" w:rsidRDefault="001D0AD2">
      <w:pPr>
        <w:pStyle w:val="Kazalovsebine4"/>
        <w:tabs>
          <w:tab w:val="end" w:leader="dot" w:pos="512pt"/>
        </w:tabs>
        <w:rPr>
          <w:rFonts w:ascii="Calibri" w:hAnsi="Calibri"/>
          <w:sz w:val="22"/>
        </w:rPr>
      </w:pPr>
      <w:hyperlink w:anchor="_Toc256001095" w:history="1">
        <w:r w:rsidR="00A77B3E">
          <w:rPr>
            <w:rStyle w:val="Hiperpovezava"/>
          </w:rPr>
          <w:t>2.1.1.1. Specifični cilj: RSO3.2. Razvoj in krepitev trajnostne, pametne in intermodalne nacionalne, regionalne in lokalne mobilnosti, odporne proti podnebnim spremembam, vključno z boljšim dostopom do omrežja TEN-T in čezmejno mobilnostjo (ESRR)</w:t>
        </w:r>
        <w:r w:rsidR="00B16CCF">
          <w:tab/>
        </w:r>
        <w:r w:rsidR="00B16CCF">
          <w:fldChar w:fldCharType="begin"/>
        </w:r>
        <w:r w:rsidR="00B16CCF">
          <w:instrText xml:space="preserve"> PAGEREF _Toc256001095 \h </w:instrText>
        </w:r>
        <w:r w:rsidR="00B16CCF">
          <w:fldChar w:fldCharType="separate"/>
        </w:r>
        <w:r w:rsidR="00B16CCF">
          <w:t>194</w:t>
        </w:r>
        <w:r w:rsidR="00B16CCF">
          <w:fldChar w:fldCharType="end"/>
        </w:r>
      </w:hyperlink>
    </w:p>
    <w:p w14:paraId="0B323611" w14:textId="77777777" w:rsidR="00823317" w:rsidRDefault="001D0AD2">
      <w:pPr>
        <w:pStyle w:val="Kazalovsebine4"/>
        <w:tabs>
          <w:tab w:val="end" w:leader="dot" w:pos="512pt"/>
        </w:tabs>
        <w:rPr>
          <w:rFonts w:ascii="Calibri" w:hAnsi="Calibri"/>
          <w:sz w:val="22"/>
        </w:rPr>
      </w:pPr>
      <w:hyperlink w:anchor="_Toc256001096" w:history="1">
        <w:r w:rsidR="00A77B3E">
          <w:rPr>
            <w:rStyle w:val="Hiperpovezava"/>
          </w:rPr>
          <w:t>2.1.1.1.1. Ukrepi skladov</w:t>
        </w:r>
        <w:r w:rsidR="00B16CCF">
          <w:tab/>
        </w:r>
        <w:r w:rsidR="00B16CCF">
          <w:fldChar w:fldCharType="begin"/>
        </w:r>
        <w:r w:rsidR="00B16CCF">
          <w:instrText xml:space="preserve"> PAGEREF _Toc256001096 \h </w:instrText>
        </w:r>
        <w:r w:rsidR="00B16CCF">
          <w:fldChar w:fldCharType="separate"/>
        </w:r>
        <w:r w:rsidR="00B16CCF">
          <w:t>194</w:t>
        </w:r>
        <w:r w:rsidR="00B16CCF">
          <w:fldChar w:fldCharType="end"/>
        </w:r>
      </w:hyperlink>
    </w:p>
    <w:p w14:paraId="2050D1E4" w14:textId="77777777" w:rsidR="00823317" w:rsidRDefault="001D0AD2">
      <w:pPr>
        <w:pStyle w:val="Kazalovsebine5"/>
        <w:tabs>
          <w:tab w:val="end" w:leader="dot" w:pos="512pt"/>
        </w:tabs>
        <w:rPr>
          <w:rFonts w:ascii="Calibri" w:hAnsi="Calibri"/>
          <w:sz w:val="22"/>
        </w:rPr>
      </w:pPr>
      <w:hyperlink w:anchor="_Toc256001097" w:history="1">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_Toc256001097 \h </w:instrText>
        </w:r>
        <w:r w:rsidR="00B16CCF">
          <w:fldChar w:fldCharType="separate"/>
        </w:r>
        <w:r w:rsidR="00B16CCF">
          <w:t>194</w:t>
        </w:r>
        <w:r w:rsidR="00B16CCF">
          <w:fldChar w:fldCharType="end"/>
        </w:r>
      </w:hyperlink>
    </w:p>
    <w:p w14:paraId="5790D5A5" w14:textId="77777777" w:rsidR="00823317" w:rsidRDefault="001D0AD2">
      <w:pPr>
        <w:pStyle w:val="Kazalovsebine5"/>
        <w:tabs>
          <w:tab w:val="end" w:leader="dot" w:pos="512pt"/>
        </w:tabs>
        <w:rPr>
          <w:rFonts w:ascii="Calibri" w:hAnsi="Calibri"/>
          <w:sz w:val="22"/>
        </w:rPr>
      </w:pPr>
      <w:hyperlink w:anchor="_Toc256001098" w:history="1">
        <w:r w:rsidR="00A77B3E">
          <w:rPr>
            <w:rStyle w:val="Hiperpovezava"/>
          </w:rPr>
          <w:t>Glavne ciljne skupine – člen 22(3)(d)(iii) uredbe o skupnih določbah:</w:t>
        </w:r>
        <w:r w:rsidR="00B16CCF">
          <w:tab/>
        </w:r>
        <w:r w:rsidR="00B16CCF">
          <w:fldChar w:fldCharType="begin"/>
        </w:r>
        <w:r w:rsidR="00B16CCF">
          <w:instrText xml:space="preserve"> PAGEREF _Toc256001098 \h </w:instrText>
        </w:r>
        <w:r w:rsidR="00B16CCF">
          <w:fldChar w:fldCharType="separate"/>
        </w:r>
        <w:r w:rsidR="00B16CCF">
          <w:t>195</w:t>
        </w:r>
        <w:r w:rsidR="00B16CCF">
          <w:fldChar w:fldCharType="end"/>
        </w:r>
      </w:hyperlink>
    </w:p>
    <w:p w14:paraId="6A60EF29" w14:textId="77777777" w:rsidR="00823317" w:rsidRDefault="001D0AD2">
      <w:pPr>
        <w:pStyle w:val="Kazalovsebine5"/>
        <w:tabs>
          <w:tab w:val="end" w:leader="dot" w:pos="512pt"/>
        </w:tabs>
        <w:rPr>
          <w:rFonts w:ascii="Calibri" w:hAnsi="Calibri"/>
          <w:sz w:val="22"/>
        </w:rPr>
      </w:pPr>
      <w:hyperlink w:anchor="_Toc256001099" w:history="1">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_Toc256001099 \h </w:instrText>
        </w:r>
        <w:r w:rsidR="00B16CCF">
          <w:fldChar w:fldCharType="separate"/>
        </w:r>
        <w:r w:rsidR="00B16CCF">
          <w:t>196</w:t>
        </w:r>
        <w:r w:rsidR="00B16CCF">
          <w:fldChar w:fldCharType="end"/>
        </w:r>
      </w:hyperlink>
    </w:p>
    <w:p w14:paraId="23C3D808" w14:textId="77777777" w:rsidR="00823317" w:rsidRDefault="001D0AD2">
      <w:pPr>
        <w:pStyle w:val="Kazalovsebine5"/>
        <w:tabs>
          <w:tab w:val="end" w:leader="dot" w:pos="512pt"/>
        </w:tabs>
        <w:rPr>
          <w:rFonts w:ascii="Calibri" w:hAnsi="Calibri"/>
          <w:sz w:val="22"/>
        </w:rPr>
      </w:pPr>
      <w:hyperlink w:anchor="_Toc256001100" w:history="1">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_Toc256001100 \h </w:instrText>
        </w:r>
        <w:r w:rsidR="00B16CCF">
          <w:fldChar w:fldCharType="separate"/>
        </w:r>
        <w:r w:rsidR="00B16CCF">
          <w:t>196</w:t>
        </w:r>
        <w:r w:rsidR="00B16CCF">
          <w:fldChar w:fldCharType="end"/>
        </w:r>
      </w:hyperlink>
    </w:p>
    <w:p w14:paraId="2B43601B" w14:textId="77777777" w:rsidR="00823317" w:rsidRDefault="001D0AD2">
      <w:pPr>
        <w:pStyle w:val="Kazalovsebine5"/>
        <w:tabs>
          <w:tab w:val="end" w:leader="dot" w:pos="512pt"/>
        </w:tabs>
        <w:rPr>
          <w:rFonts w:ascii="Calibri" w:hAnsi="Calibri"/>
          <w:sz w:val="22"/>
        </w:rPr>
      </w:pPr>
      <w:hyperlink w:anchor="_Toc256001101" w:history="1">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_Toc256001101 \h </w:instrText>
        </w:r>
        <w:r w:rsidR="00B16CCF">
          <w:fldChar w:fldCharType="separate"/>
        </w:r>
        <w:r w:rsidR="00B16CCF">
          <w:t>197</w:t>
        </w:r>
        <w:r w:rsidR="00B16CCF">
          <w:fldChar w:fldCharType="end"/>
        </w:r>
      </w:hyperlink>
    </w:p>
    <w:p w14:paraId="52CAC44C" w14:textId="77777777" w:rsidR="00823317" w:rsidRDefault="001D0AD2">
      <w:pPr>
        <w:pStyle w:val="Kazalovsebine5"/>
        <w:tabs>
          <w:tab w:val="end" w:leader="dot" w:pos="512pt"/>
        </w:tabs>
        <w:rPr>
          <w:rFonts w:ascii="Calibri" w:hAnsi="Calibri"/>
          <w:sz w:val="22"/>
        </w:rPr>
      </w:pPr>
      <w:hyperlink w:anchor="_Toc256001102" w:history="1">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_Toc256001102 \h </w:instrText>
        </w:r>
        <w:r w:rsidR="00B16CCF">
          <w:fldChar w:fldCharType="separate"/>
        </w:r>
        <w:r w:rsidR="00B16CCF">
          <w:t>197</w:t>
        </w:r>
        <w:r w:rsidR="00B16CCF">
          <w:fldChar w:fldCharType="end"/>
        </w:r>
      </w:hyperlink>
    </w:p>
    <w:p w14:paraId="47D9854E" w14:textId="77777777" w:rsidR="00823317" w:rsidRDefault="001D0AD2">
      <w:pPr>
        <w:pStyle w:val="Kazalovsebine4"/>
        <w:tabs>
          <w:tab w:val="end" w:leader="dot" w:pos="512pt"/>
        </w:tabs>
        <w:rPr>
          <w:rFonts w:ascii="Calibri" w:hAnsi="Calibri"/>
          <w:sz w:val="22"/>
        </w:rPr>
      </w:pPr>
      <w:hyperlink w:anchor="_Toc256001103" w:history="1">
        <w:r w:rsidR="00A77B3E">
          <w:rPr>
            <w:rStyle w:val="Hiperpovezava"/>
          </w:rPr>
          <w:t>2.1.1.1.2. Kazalniki</w:t>
        </w:r>
        <w:r w:rsidR="00B16CCF">
          <w:tab/>
        </w:r>
        <w:r w:rsidR="00B16CCF">
          <w:fldChar w:fldCharType="begin"/>
        </w:r>
        <w:r w:rsidR="00B16CCF">
          <w:instrText xml:space="preserve"> PAGEREF _Toc256001103 \h </w:instrText>
        </w:r>
        <w:r w:rsidR="00B16CCF">
          <w:fldChar w:fldCharType="separate"/>
        </w:r>
        <w:r w:rsidR="00B16CCF">
          <w:t>197</w:t>
        </w:r>
        <w:r w:rsidR="00B16CCF">
          <w:fldChar w:fldCharType="end"/>
        </w:r>
      </w:hyperlink>
    </w:p>
    <w:p w14:paraId="7EDBD82D" w14:textId="77777777" w:rsidR="00823317" w:rsidRDefault="001D0AD2">
      <w:pPr>
        <w:pStyle w:val="Kazalovsebine5"/>
        <w:tabs>
          <w:tab w:val="end" w:leader="dot" w:pos="512pt"/>
        </w:tabs>
        <w:rPr>
          <w:rFonts w:ascii="Calibri" w:hAnsi="Calibri"/>
          <w:sz w:val="22"/>
        </w:rPr>
      </w:pPr>
      <w:hyperlink w:anchor="_Toc256001104" w:history="1">
        <w:r w:rsidR="00A77B3E">
          <w:rPr>
            <w:rStyle w:val="Hiperpovezava"/>
          </w:rPr>
          <w:t>Tabela 2: Kazalniki učinka</w:t>
        </w:r>
        <w:r w:rsidR="00B16CCF">
          <w:tab/>
        </w:r>
        <w:r w:rsidR="00B16CCF">
          <w:fldChar w:fldCharType="begin"/>
        </w:r>
        <w:r w:rsidR="00B16CCF">
          <w:instrText xml:space="preserve"> PAGEREF _Toc256001104 \h </w:instrText>
        </w:r>
        <w:r w:rsidR="00B16CCF">
          <w:fldChar w:fldCharType="separate"/>
        </w:r>
        <w:r w:rsidR="00B16CCF">
          <w:t>197</w:t>
        </w:r>
        <w:r w:rsidR="00B16CCF">
          <w:fldChar w:fldCharType="end"/>
        </w:r>
      </w:hyperlink>
    </w:p>
    <w:p w14:paraId="53012431" w14:textId="77777777" w:rsidR="00823317" w:rsidRDefault="001D0AD2">
      <w:pPr>
        <w:pStyle w:val="Kazalovsebine5"/>
        <w:tabs>
          <w:tab w:val="end" w:leader="dot" w:pos="512pt"/>
        </w:tabs>
        <w:rPr>
          <w:rFonts w:ascii="Calibri" w:hAnsi="Calibri"/>
          <w:sz w:val="22"/>
        </w:rPr>
      </w:pPr>
      <w:hyperlink w:anchor="_Toc256001105" w:history="1">
        <w:r w:rsidR="00A77B3E">
          <w:rPr>
            <w:rStyle w:val="Hiperpovezava"/>
          </w:rPr>
          <w:t>Tabela 3: Kazalniki rezultatov</w:t>
        </w:r>
        <w:r w:rsidR="00B16CCF">
          <w:tab/>
        </w:r>
        <w:r w:rsidR="00B16CCF">
          <w:fldChar w:fldCharType="begin"/>
        </w:r>
        <w:r w:rsidR="00B16CCF">
          <w:instrText xml:space="preserve"> PAGEREF _Toc256001105 \h </w:instrText>
        </w:r>
        <w:r w:rsidR="00B16CCF">
          <w:fldChar w:fldCharType="separate"/>
        </w:r>
        <w:r w:rsidR="00B16CCF">
          <w:t>198</w:t>
        </w:r>
        <w:r w:rsidR="00B16CCF">
          <w:fldChar w:fldCharType="end"/>
        </w:r>
      </w:hyperlink>
    </w:p>
    <w:p w14:paraId="6DD650BA" w14:textId="77777777" w:rsidR="00823317" w:rsidRDefault="001D0AD2">
      <w:pPr>
        <w:pStyle w:val="Kazalovsebine4"/>
        <w:tabs>
          <w:tab w:val="end" w:leader="dot" w:pos="512pt"/>
        </w:tabs>
        <w:rPr>
          <w:rFonts w:ascii="Calibri" w:hAnsi="Calibri"/>
          <w:sz w:val="22"/>
        </w:rPr>
      </w:pPr>
      <w:hyperlink w:anchor="_Toc256001106" w:history="1">
        <w:r w:rsidR="00A77B3E">
          <w:rPr>
            <w:rStyle w:val="Hiperpovezava"/>
          </w:rPr>
          <w:t>2.1.1.1.3. Okvirna razčlenitev načrtovanih sredstev (EU) glede na vrsto ukrepa</w:t>
        </w:r>
        <w:r w:rsidR="00B16CCF">
          <w:tab/>
        </w:r>
        <w:r w:rsidR="00B16CCF">
          <w:fldChar w:fldCharType="begin"/>
        </w:r>
        <w:r w:rsidR="00B16CCF">
          <w:instrText xml:space="preserve"> PAGEREF _Toc256001106 \h </w:instrText>
        </w:r>
        <w:r w:rsidR="00B16CCF">
          <w:fldChar w:fldCharType="separate"/>
        </w:r>
        <w:r w:rsidR="00B16CCF">
          <w:t>198</w:t>
        </w:r>
        <w:r w:rsidR="00B16CCF">
          <w:fldChar w:fldCharType="end"/>
        </w:r>
      </w:hyperlink>
    </w:p>
    <w:p w14:paraId="51E3E31C" w14:textId="77777777" w:rsidR="00823317" w:rsidRDefault="001D0AD2">
      <w:pPr>
        <w:pStyle w:val="Kazalovsebine5"/>
        <w:tabs>
          <w:tab w:val="end" w:leader="dot" w:pos="512pt"/>
        </w:tabs>
        <w:rPr>
          <w:rFonts w:ascii="Calibri" w:hAnsi="Calibri"/>
          <w:sz w:val="22"/>
        </w:rPr>
      </w:pPr>
      <w:hyperlink w:anchor="_Toc256001107" w:history="1">
        <w:r w:rsidR="00A77B3E">
          <w:rPr>
            <w:rStyle w:val="Hiperpovezava"/>
          </w:rPr>
          <w:t>Tabela 4: Razsežnost 1 – področje ukrepanja</w:t>
        </w:r>
        <w:r w:rsidR="00B16CCF">
          <w:tab/>
        </w:r>
        <w:r w:rsidR="00B16CCF">
          <w:fldChar w:fldCharType="begin"/>
        </w:r>
        <w:r w:rsidR="00B16CCF">
          <w:instrText xml:space="preserve"> PAGEREF _Toc256001107 \h </w:instrText>
        </w:r>
        <w:r w:rsidR="00B16CCF">
          <w:fldChar w:fldCharType="separate"/>
        </w:r>
        <w:r w:rsidR="00B16CCF">
          <w:t>198</w:t>
        </w:r>
        <w:r w:rsidR="00B16CCF">
          <w:fldChar w:fldCharType="end"/>
        </w:r>
      </w:hyperlink>
    </w:p>
    <w:p w14:paraId="2E8C869C" w14:textId="77777777" w:rsidR="00823317" w:rsidRDefault="001D0AD2">
      <w:pPr>
        <w:pStyle w:val="Kazalovsebine5"/>
        <w:tabs>
          <w:tab w:val="end" w:leader="dot" w:pos="512pt"/>
        </w:tabs>
        <w:rPr>
          <w:rFonts w:ascii="Calibri" w:hAnsi="Calibri"/>
          <w:sz w:val="22"/>
        </w:rPr>
      </w:pPr>
      <w:hyperlink w:anchor="_Toc256001108" w:history="1">
        <w:r w:rsidR="00A77B3E">
          <w:rPr>
            <w:rStyle w:val="Hiperpovezava"/>
          </w:rPr>
          <w:t>Tabela 5: Razsežnost 2 – oblika financiranja</w:t>
        </w:r>
        <w:r w:rsidR="00B16CCF">
          <w:tab/>
        </w:r>
        <w:r w:rsidR="00B16CCF">
          <w:fldChar w:fldCharType="begin"/>
        </w:r>
        <w:r w:rsidR="00B16CCF">
          <w:instrText xml:space="preserve"> PAGEREF _Toc256001108 \h </w:instrText>
        </w:r>
        <w:r w:rsidR="00B16CCF">
          <w:fldChar w:fldCharType="separate"/>
        </w:r>
        <w:r w:rsidR="00B16CCF">
          <w:t>198</w:t>
        </w:r>
        <w:r w:rsidR="00B16CCF">
          <w:fldChar w:fldCharType="end"/>
        </w:r>
      </w:hyperlink>
    </w:p>
    <w:p w14:paraId="6014D58D" w14:textId="77777777" w:rsidR="00823317" w:rsidRDefault="001D0AD2">
      <w:pPr>
        <w:pStyle w:val="Kazalovsebine5"/>
        <w:tabs>
          <w:tab w:val="end" w:leader="dot" w:pos="512pt"/>
        </w:tabs>
        <w:rPr>
          <w:rFonts w:ascii="Calibri" w:hAnsi="Calibri"/>
          <w:sz w:val="22"/>
        </w:rPr>
      </w:pPr>
      <w:hyperlink w:anchor="_Toc256001109" w:history="1">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_Toc256001109 \h </w:instrText>
        </w:r>
        <w:r w:rsidR="00B16CCF">
          <w:fldChar w:fldCharType="separate"/>
        </w:r>
        <w:r w:rsidR="00B16CCF">
          <w:t>198</w:t>
        </w:r>
        <w:r w:rsidR="00B16CCF">
          <w:fldChar w:fldCharType="end"/>
        </w:r>
      </w:hyperlink>
    </w:p>
    <w:p w14:paraId="1A517BFC" w14:textId="77777777" w:rsidR="00823317" w:rsidRDefault="001D0AD2">
      <w:pPr>
        <w:pStyle w:val="Kazalovsebine5"/>
        <w:tabs>
          <w:tab w:val="end" w:leader="dot" w:pos="512pt"/>
        </w:tabs>
        <w:rPr>
          <w:rFonts w:ascii="Calibri" w:hAnsi="Calibri"/>
          <w:sz w:val="22"/>
        </w:rPr>
      </w:pPr>
      <w:hyperlink w:anchor="_Toc256001110" w:history="1">
        <w:r w:rsidR="00A77B3E">
          <w:rPr>
            <w:rStyle w:val="Hiperpovezava"/>
          </w:rPr>
          <w:t>Tabela 7: Razsežnost 6 – sekundarna področja ESS+</w:t>
        </w:r>
        <w:r w:rsidR="00B16CCF">
          <w:tab/>
        </w:r>
        <w:r w:rsidR="00B16CCF">
          <w:fldChar w:fldCharType="begin"/>
        </w:r>
        <w:r w:rsidR="00B16CCF">
          <w:instrText xml:space="preserve"> PAGEREF _Toc256001110 \h </w:instrText>
        </w:r>
        <w:r w:rsidR="00B16CCF">
          <w:fldChar w:fldCharType="separate"/>
        </w:r>
        <w:r w:rsidR="00B16CCF">
          <w:t>199</w:t>
        </w:r>
        <w:r w:rsidR="00B16CCF">
          <w:fldChar w:fldCharType="end"/>
        </w:r>
      </w:hyperlink>
    </w:p>
    <w:p w14:paraId="430E2C64" w14:textId="77777777" w:rsidR="00823317" w:rsidRDefault="001D0AD2">
      <w:pPr>
        <w:pStyle w:val="Kazalovsebine5"/>
        <w:tabs>
          <w:tab w:val="end" w:leader="dot" w:pos="512pt"/>
        </w:tabs>
        <w:rPr>
          <w:rFonts w:ascii="Calibri" w:hAnsi="Calibri"/>
          <w:sz w:val="22"/>
        </w:rPr>
      </w:pPr>
      <w:hyperlink w:anchor="_Toc256001111" w:history="1">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_Toc256001111 \h </w:instrText>
        </w:r>
        <w:r w:rsidR="00B16CCF">
          <w:fldChar w:fldCharType="separate"/>
        </w:r>
        <w:r w:rsidR="00B16CCF">
          <w:t>199</w:t>
        </w:r>
        <w:r w:rsidR="00B16CCF">
          <w:fldChar w:fldCharType="end"/>
        </w:r>
      </w:hyperlink>
    </w:p>
    <w:p w14:paraId="11C9DADD" w14:textId="77777777" w:rsidR="00823317" w:rsidRDefault="001D0AD2">
      <w:pPr>
        <w:pStyle w:val="Kazalovsebine4"/>
        <w:tabs>
          <w:tab w:val="end" w:leader="dot" w:pos="512pt"/>
        </w:tabs>
        <w:rPr>
          <w:rFonts w:ascii="Calibri" w:hAnsi="Calibri"/>
          <w:sz w:val="22"/>
        </w:rPr>
      </w:pPr>
      <w:hyperlink w:anchor="_Toc256001112" w:history="1">
        <w:r w:rsidR="00A77B3E">
          <w:rPr>
            <w:rStyle w:val="Hiperpovezava"/>
          </w:rPr>
          <w:t>2.1.1.1. Specifični cilj: RSO3.1. Razvoj pametnega, varnega, trajnostnega in intermodalnega omrežja TEN-T, odpornega proti podnebnim spremembam (Kohezijski sklad)</w:t>
        </w:r>
        <w:r w:rsidR="00B16CCF">
          <w:tab/>
        </w:r>
        <w:r w:rsidR="00B16CCF">
          <w:fldChar w:fldCharType="begin"/>
        </w:r>
        <w:r w:rsidR="00B16CCF">
          <w:instrText xml:space="preserve"> PAGEREF _Toc256001112 \h </w:instrText>
        </w:r>
        <w:r w:rsidR="00B16CCF">
          <w:fldChar w:fldCharType="separate"/>
        </w:r>
        <w:r w:rsidR="00B16CCF">
          <w:t>200</w:t>
        </w:r>
        <w:r w:rsidR="00B16CCF">
          <w:fldChar w:fldCharType="end"/>
        </w:r>
      </w:hyperlink>
    </w:p>
    <w:p w14:paraId="07DDFE4B" w14:textId="77777777" w:rsidR="00823317" w:rsidRDefault="001D0AD2">
      <w:pPr>
        <w:pStyle w:val="Kazalovsebine4"/>
        <w:tabs>
          <w:tab w:val="end" w:leader="dot" w:pos="512pt"/>
        </w:tabs>
        <w:rPr>
          <w:rFonts w:ascii="Calibri" w:hAnsi="Calibri"/>
          <w:sz w:val="22"/>
        </w:rPr>
      </w:pPr>
      <w:hyperlink w:anchor="_Toc256001113" w:history="1">
        <w:r w:rsidR="00A77B3E">
          <w:rPr>
            <w:rStyle w:val="Hiperpovezava"/>
          </w:rPr>
          <w:t>2.1.1.1.1. Ukrepi skladov</w:t>
        </w:r>
        <w:r w:rsidR="00B16CCF">
          <w:tab/>
        </w:r>
        <w:r w:rsidR="00B16CCF">
          <w:fldChar w:fldCharType="begin"/>
        </w:r>
        <w:r w:rsidR="00B16CCF">
          <w:instrText xml:space="preserve"> PAGEREF _Toc256001113 \h </w:instrText>
        </w:r>
        <w:r w:rsidR="00B16CCF">
          <w:fldChar w:fldCharType="separate"/>
        </w:r>
        <w:r w:rsidR="00B16CCF">
          <w:t>200</w:t>
        </w:r>
        <w:r w:rsidR="00B16CCF">
          <w:fldChar w:fldCharType="end"/>
        </w:r>
      </w:hyperlink>
    </w:p>
    <w:p w14:paraId="6A714AF3" w14:textId="77777777" w:rsidR="00823317" w:rsidRDefault="001D0AD2">
      <w:pPr>
        <w:pStyle w:val="Kazalovsebine5"/>
        <w:tabs>
          <w:tab w:val="end" w:leader="dot" w:pos="512pt"/>
        </w:tabs>
        <w:rPr>
          <w:rFonts w:ascii="Calibri" w:hAnsi="Calibri"/>
          <w:sz w:val="22"/>
        </w:rPr>
      </w:pPr>
      <w:hyperlink w:anchor="_Toc256001114" w:history="1">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_Toc256001114 \h </w:instrText>
        </w:r>
        <w:r w:rsidR="00B16CCF">
          <w:fldChar w:fldCharType="separate"/>
        </w:r>
        <w:r w:rsidR="00B16CCF">
          <w:t>200</w:t>
        </w:r>
        <w:r w:rsidR="00B16CCF">
          <w:fldChar w:fldCharType="end"/>
        </w:r>
      </w:hyperlink>
    </w:p>
    <w:p w14:paraId="175545F7" w14:textId="77777777" w:rsidR="00823317" w:rsidRDefault="001D0AD2">
      <w:pPr>
        <w:pStyle w:val="Kazalovsebine5"/>
        <w:tabs>
          <w:tab w:val="end" w:leader="dot" w:pos="512pt"/>
        </w:tabs>
        <w:rPr>
          <w:rFonts w:ascii="Calibri" w:hAnsi="Calibri"/>
          <w:sz w:val="22"/>
        </w:rPr>
      </w:pPr>
      <w:hyperlink w:anchor="_Toc256001115" w:history="1">
        <w:r w:rsidR="00A77B3E">
          <w:rPr>
            <w:rStyle w:val="Hiperpovezava"/>
          </w:rPr>
          <w:t>Glavne ciljne skupine – člen 22(3)(d)(iii) uredbe o skupnih določbah:</w:t>
        </w:r>
        <w:r w:rsidR="00B16CCF">
          <w:tab/>
        </w:r>
        <w:r w:rsidR="00B16CCF">
          <w:fldChar w:fldCharType="begin"/>
        </w:r>
        <w:r w:rsidR="00B16CCF">
          <w:instrText xml:space="preserve"> PAGEREF _Toc256001115 \h </w:instrText>
        </w:r>
        <w:r w:rsidR="00B16CCF">
          <w:fldChar w:fldCharType="separate"/>
        </w:r>
        <w:r w:rsidR="00B16CCF">
          <w:t>202</w:t>
        </w:r>
        <w:r w:rsidR="00B16CCF">
          <w:fldChar w:fldCharType="end"/>
        </w:r>
      </w:hyperlink>
    </w:p>
    <w:p w14:paraId="3D69C79B" w14:textId="77777777" w:rsidR="00823317" w:rsidRDefault="001D0AD2">
      <w:pPr>
        <w:pStyle w:val="Kazalovsebine5"/>
        <w:tabs>
          <w:tab w:val="end" w:leader="dot" w:pos="512pt"/>
        </w:tabs>
        <w:rPr>
          <w:rFonts w:ascii="Calibri" w:hAnsi="Calibri"/>
          <w:sz w:val="22"/>
        </w:rPr>
      </w:pPr>
      <w:hyperlink w:anchor="_Toc256001116" w:history="1">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_Toc256001116 \h </w:instrText>
        </w:r>
        <w:r w:rsidR="00B16CCF">
          <w:fldChar w:fldCharType="separate"/>
        </w:r>
        <w:r w:rsidR="00B16CCF">
          <w:t>202</w:t>
        </w:r>
        <w:r w:rsidR="00B16CCF">
          <w:fldChar w:fldCharType="end"/>
        </w:r>
      </w:hyperlink>
    </w:p>
    <w:p w14:paraId="1E1B6BF6" w14:textId="77777777" w:rsidR="00823317" w:rsidRDefault="001D0AD2">
      <w:pPr>
        <w:pStyle w:val="Kazalovsebine5"/>
        <w:tabs>
          <w:tab w:val="end" w:leader="dot" w:pos="512pt"/>
        </w:tabs>
        <w:rPr>
          <w:rFonts w:ascii="Calibri" w:hAnsi="Calibri"/>
          <w:sz w:val="22"/>
        </w:rPr>
      </w:pPr>
      <w:hyperlink w:anchor="_Toc256001117" w:history="1">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_Toc256001117 \h </w:instrText>
        </w:r>
        <w:r w:rsidR="00B16CCF">
          <w:fldChar w:fldCharType="separate"/>
        </w:r>
        <w:r w:rsidR="00B16CCF">
          <w:t>203</w:t>
        </w:r>
        <w:r w:rsidR="00B16CCF">
          <w:fldChar w:fldCharType="end"/>
        </w:r>
      </w:hyperlink>
    </w:p>
    <w:p w14:paraId="1D09905D" w14:textId="77777777" w:rsidR="00823317" w:rsidRDefault="001D0AD2">
      <w:pPr>
        <w:pStyle w:val="Kazalovsebine5"/>
        <w:tabs>
          <w:tab w:val="end" w:leader="dot" w:pos="512pt"/>
        </w:tabs>
        <w:rPr>
          <w:rFonts w:ascii="Calibri" w:hAnsi="Calibri"/>
          <w:sz w:val="22"/>
        </w:rPr>
      </w:pPr>
      <w:hyperlink w:anchor="_Toc256001118" w:history="1">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_Toc256001118 \h </w:instrText>
        </w:r>
        <w:r w:rsidR="00B16CCF">
          <w:fldChar w:fldCharType="separate"/>
        </w:r>
        <w:r w:rsidR="00B16CCF">
          <w:t>203</w:t>
        </w:r>
        <w:r w:rsidR="00B16CCF">
          <w:fldChar w:fldCharType="end"/>
        </w:r>
      </w:hyperlink>
    </w:p>
    <w:p w14:paraId="12F40B04" w14:textId="77777777" w:rsidR="00823317" w:rsidRDefault="001D0AD2">
      <w:pPr>
        <w:pStyle w:val="Kazalovsebine5"/>
        <w:tabs>
          <w:tab w:val="end" w:leader="dot" w:pos="512pt"/>
        </w:tabs>
        <w:rPr>
          <w:rFonts w:ascii="Calibri" w:hAnsi="Calibri"/>
          <w:sz w:val="22"/>
        </w:rPr>
      </w:pPr>
      <w:hyperlink w:anchor="_Toc256001119" w:history="1">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_Toc256001119 \h </w:instrText>
        </w:r>
        <w:r w:rsidR="00B16CCF">
          <w:fldChar w:fldCharType="separate"/>
        </w:r>
        <w:r w:rsidR="00B16CCF">
          <w:t>203</w:t>
        </w:r>
        <w:r w:rsidR="00B16CCF">
          <w:fldChar w:fldCharType="end"/>
        </w:r>
      </w:hyperlink>
    </w:p>
    <w:p w14:paraId="37575A04" w14:textId="77777777" w:rsidR="00823317" w:rsidRDefault="001D0AD2">
      <w:pPr>
        <w:pStyle w:val="Kazalovsebine4"/>
        <w:tabs>
          <w:tab w:val="end" w:leader="dot" w:pos="512pt"/>
        </w:tabs>
        <w:rPr>
          <w:rFonts w:ascii="Calibri" w:hAnsi="Calibri"/>
          <w:sz w:val="22"/>
        </w:rPr>
      </w:pPr>
      <w:hyperlink w:anchor="_Toc256001120" w:history="1">
        <w:r w:rsidR="00A77B3E">
          <w:rPr>
            <w:rStyle w:val="Hiperpovezava"/>
          </w:rPr>
          <w:t>2.1.1.1.2. Kazalniki</w:t>
        </w:r>
        <w:r w:rsidR="00B16CCF">
          <w:tab/>
        </w:r>
        <w:r w:rsidR="00B16CCF">
          <w:fldChar w:fldCharType="begin"/>
        </w:r>
        <w:r w:rsidR="00B16CCF">
          <w:instrText xml:space="preserve"> PAGEREF _Toc256001120 \h </w:instrText>
        </w:r>
        <w:r w:rsidR="00B16CCF">
          <w:fldChar w:fldCharType="separate"/>
        </w:r>
        <w:r w:rsidR="00B16CCF">
          <w:t>204</w:t>
        </w:r>
        <w:r w:rsidR="00B16CCF">
          <w:fldChar w:fldCharType="end"/>
        </w:r>
      </w:hyperlink>
    </w:p>
    <w:p w14:paraId="2D2522D2" w14:textId="77777777" w:rsidR="00823317" w:rsidRDefault="001D0AD2">
      <w:pPr>
        <w:pStyle w:val="Kazalovsebine5"/>
        <w:tabs>
          <w:tab w:val="end" w:leader="dot" w:pos="512pt"/>
        </w:tabs>
        <w:rPr>
          <w:rFonts w:ascii="Calibri" w:hAnsi="Calibri"/>
          <w:sz w:val="22"/>
        </w:rPr>
      </w:pPr>
      <w:hyperlink w:anchor="_Toc256001121" w:history="1">
        <w:r w:rsidR="00A77B3E">
          <w:rPr>
            <w:rStyle w:val="Hiperpovezava"/>
          </w:rPr>
          <w:t>Tabela 2: Kazalniki učinka</w:t>
        </w:r>
        <w:r w:rsidR="00B16CCF">
          <w:tab/>
        </w:r>
        <w:r w:rsidR="00B16CCF">
          <w:fldChar w:fldCharType="begin"/>
        </w:r>
        <w:r w:rsidR="00B16CCF">
          <w:instrText xml:space="preserve"> PAGEREF _Toc256001121 \h </w:instrText>
        </w:r>
        <w:r w:rsidR="00B16CCF">
          <w:fldChar w:fldCharType="separate"/>
        </w:r>
        <w:r w:rsidR="00B16CCF">
          <w:t>204</w:t>
        </w:r>
        <w:r w:rsidR="00B16CCF">
          <w:fldChar w:fldCharType="end"/>
        </w:r>
      </w:hyperlink>
    </w:p>
    <w:p w14:paraId="04B5A431" w14:textId="77777777" w:rsidR="00823317" w:rsidRDefault="001D0AD2">
      <w:pPr>
        <w:pStyle w:val="Kazalovsebine5"/>
        <w:tabs>
          <w:tab w:val="end" w:leader="dot" w:pos="512pt"/>
        </w:tabs>
        <w:rPr>
          <w:rFonts w:ascii="Calibri" w:hAnsi="Calibri"/>
          <w:sz w:val="22"/>
        </w:rPr>
      </w:pPr>
      <w:hyperlink w:anchor="_Toc256001122" w:history="1">
        <w:r w:rsidR="00A77B3E">
          <w:rPr>
            <w:rStyle w:val="Hiperpovezava"/>
          </w:rPr>
          <w:t>Tabela 3: Kazalniki rezultatov</w:t>
        </w:r>
        <w:r w:rsidR="00B16CCF">
          <w:tab/>
        </w:r>
        <w:r w:rsidR="00B16CCF">
          <w:fldChar w:fldCharType="begin"/>
        </w:r>
        <w:r w:rsidR="00B16CCF">
          <w:instrText xml:space="preserve"> PAGEREF _Toc256001122 \h </w:instrText>
        </w:r>
        <w:r w:rsidR="00B16CCF">
          <w:fldChar w:fldCharType="separate"/>
        </w:r>
        <w:r w:rsidR="00B16CCF">
          <w:t>204</w:t>
        </w:r>
        <w:r w:rsidR="00B16CCF">
          <w:fldChar w:fldCharType="end"/>
        </w:r>
      </w:hyperlink>
    </w:p>
    <w:p w14:paraId="47688D5E" w14:textId="77777777" w:rsidR="00823317" w:rsidRDefault="001D0AD2">
      <w:pPr>
        <w:pStyle w:val="Kazalovsebine4"/>
        <w:tabs>
          <w:tab w:val="end" w:leader="dot" w:pos="512pt"/>
        </w:tabs>
        <w:rPr>
          <w:rFonts w:ascii="Calibri" w:hAnsi="Calibri"/>
          <w:sz w:val="22"/>
        </w:rPr>
      </w:pPr>
      <w:hyperlink w:anchor="_Toc256001123" w:history="1">
        <w:r w:rsidR="00A77B3E">
          <w:rPr>
            <w:rStyle w:val="Hiperpovezava"/>
          </w:rPr>
          <w:t>2.1.1.1.3. Okvirna razčlenitev načrtovanih sredstev (EU) glede na vrsto ukrepa</w:t>
        </w:r>
        <w:r w:rsidR="00B16CCF">
          <w:tab/>
        </w:r>
        <w:r w:rsidR="00B16CCF">
          <w:fldChar w:fldCharType="begin"/>
        </w:r>
        <w:r w:rsidR="00B16CCF">
          <w:instrText xml:space="preserve"> PAGEREF _Toc256001123 \h </w:instrText>
        </w:r>
        <w:r w:rsidR="00B16CCF">
          <w:fldChar w:fldCharType="separate"/>
        </w:r>
        <w:r w:rsidR="00B16CCF">
          <w:t>204</w:t>
        </w:r>
        <w:r w:rsidR="00B16CCF">
          <w:fldChar w:fldCharType="end"/>
        </w:r>
      </w:hyperlink>
    </w:p>
    <w:p w14:paraId="11043760" w14:textId="77777777" w:rsidR="00823317" w:rsidRDefault="001D0AD2">
      <w:pPr>
        <w:pStyle w:val="Kazalovsebine5"/>
        <w:tabs>
          <w:tab w:val="end" w:leader="dot" w:pos="512pt"/>
        </w:tabs>
        <w:rPr>
          <w:rFonts w:ascii="Calibri" w:hAnsi="Calibri"/>
          <w:sz w:val="22"/>
        </w:rPr>
      </w:pPr>
      <w:hyperlink w:anchor="_Toc256001124" w:history="1">
        <w:r w:rsidR="00A77B3E">
          <w:rPr>
            <w:rStyle w:val="Hiperpovezava"/>
          </w:rPr>
          <w:t>Tabela 4: Razsežnost 1 – področje ukrepanja</w:t>
        </w:r>
        <w:r w:rsidR="00B16CCF">
          <w:tab/>
        </w:r>
        <w:r w:rsidR="00B16CCF">
          <w:fldChar w:fldCharType="begin"/>
        </w:r>
        <w:r w:rsidR="00B16CCF">
          <w:instrText xml:space="preserve"> PAGEREF _Toc256001124 \h </w:instrText>
        </w:r>
        <w:r w:rsidR="00B16CCF">
          <w:fldChar w:fldCharType="separate"/>
        </w:r>
        <w:r w:rsidR="00B16CCF">
          <w:t>204</w:t>
        </w:r>
        <w:r w:rsidR="00B16CCF">
          <w:fldChar w:fldCharType="end"/>
        </w:r>
      </w:hyperlink>
    </w:p>
    <w:p w14:paraId="69CD2AC0" w14:textId="77777777" w:rsidR="00823317" w:rsidRDefault="001D0AD2">
      <w:pPr>
        <w:pStyle w:val="Kazalovsebine5"/>
        <w:tabs>
          <w:tab w:val="end" w:leader="dot" w:pos="512pt"/>
        </w:tabs>
        <w:rPr>
          <w:rFonts w:ascii="Calibri" w:hAnsi="Calibri"/>
          <w:sz w:val="22"/>
        </w:rPr>
      </w:pPr>
      <w:hyperlink w:anchor="_Toc256001125" w:history="1">
        <w:r w:rsidR="00A77B3E">
          <w:rPr>
            <w:rStyle w:val="Hiperpovezava"/>
          </w:rPr>
          <w:t>Tabela 5: Razsežnost 2 – oblika financiranja</w:t>
        </w:r>
        <w:r w:rsidR="00B16CCF">
          <w:tab/>
        </w:r>
        <w:r w:rsidR="00B16CCF">
          <w:fldChar w:fldCharType="begin"/>
        </w:r>
        <w:r w:rsidR="00B16CCF">
          <w:instrText xml:space="preserve"> PAGEREF _Toc256001125 \h </w:instrText>
        </w:r>
        <w:r w:rsidR="00B16CCF">
          <w:fldChar w:fldCharType="separate"/>
        </w:r>
        <w:r w:rsidR="00B16CCF">
          <w:t>205</w:t>
        </w:r>
        <w:r w:rsidR="00B16CCF">
          <w:fldChar w:fldCharType="end"/>
        </w:r>
      </w:hyperlink>
    </w:p>
    <w:p w14:paraId="7EEDEF86" w14:textId="77777777" w:rsidR="00823317" w:rsidRDefault="001D0AD2">
      <w:pPr>
        <w:pStyle w:val="Kazalovsebine5"/>
        <w:tabs>
          <w:tab w:val="end" w:leader="dot" w:pos="512pt"/>
        </w:tabs>
        <w:rPr>
          <w:rFonts w:ascii="Calibri" w:hAnsi="Calibri"/>
          <w:sz w:val="22"/>
        </w:rPr>
      </w:pPr>
      <w:hyperlink w:anchor="_Toc256001126" w:history="1">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_Toc256001126 \h </w:instrText>
        </w:r>
        <w:r w:rsidR="00B16CCF">
          <w:fldChar w:fldCharType="separate"/>
        </w:r>
        <w:r w:rsidR="00B16CCF">
          <w:t>205</w:t>
        </w:r>
        <w:r w:rsidR="00B16CCF">
          <w:fldChar w:fldCharType="end"/>
        </w:r>
      </w:hyperlink>
    </w:p>
    <w:p w14:paraId="090AD77A" w14:textId="77777777" w:rsidR="00823317" w:rsidRDefault="001D0AD2">
      <w:pPr>
        <w:pStyle w:val="Kazalovsebine5"/>
        <w:tabs>
          <w:tab w:val="end" w:leader="dot" w:pos="512pt"/>
        </w:tabs>
        <w:rPr>
          <w:rFonts w:ascii="Calibri" w:hAnsi="Calibri"/>
          <w:sz w:val="22"/>
        </w:rPr>
      </w:pPr>
      <w:hyperlink w:anchor="_Toc256001127" w:history="1">
        <w:r w:rsidR="00A77B3E">
          <w:rPr>
            <w:rStyle w:val="Hiperpovezava"/>
          </w:rPr>
          <w:t>Tabela 7: Razsežnost 6 – sekundarna področja ESS+</w:t>
        </w:r>
        <w:r w:rsidR="00B16CCF">
          <w:tab/>
        </w:r>
        <w:r w:rsidR="00B16CCF">
          <w:fldChar w:fldCharType="begin"/>
        </w:r>
        <w:r w:rsidR="00B16CCF">
          <w:instrText xml:space="preserve"> PAGEREF _Toc256001127 \h </w:instrText>
        </w:r>
        <w:r w:rsidR="00B16CCF">
          <w:fldChar w:fldCharType="separate"/>
        </w:r>
        <w:r w:rsidR="00B16CCF">
          <w:t>205</w:t>
        </w:r>
        <w:r w:rsidR="00B16CCF">
          <w:fldChar w:fldCharType="end"/>
        </w:r>
      </w:hyperlink>
    </w:p>
    <w:p w14:paraId="7FF91718" w14:textId="77777777" w:rsidR="00823317" w:rsidRDefault="001D0AD2">
      <w:pPr>
        <w:pStyle w:val="Kazalovsebine5"/>
        <w:tabs>
          <w:tab w:val="end" w:leader="dot" w:pos="512pt"/>
        </w:tabs>
        <w:rPr>
          <w:rFonts w:ascii="Calibri" w:hAnsi="Calibri"/>
          <w:sz w:val="22"/>
        </w:rPr>
      </w:pPr>
      <w:hyperlink w:anchor="_Toc256001128" w:history="1">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_Toc256001128 \h </w:instrText>
        </w:r>
        <w:r w:rsidR="00B16CCF">
          <w:fldChar w:fldCharType="separate"/>
        </w:r>
        <w:r w:rsidR="00B16CCF">
          <w:t>205</w:t>
        </w:r>
        <w:r w:rsidR="00B16CCF">
          <w:fldChar w:fldCharType="end"/>
        </w:r>
      </w:hyperlink>
    </w:p>
    <w:p w14:paraId="11F7E144" w14:textId="77777777" w:rsidR="00823317" w:rsidRDefault="001D0AD2">
      <w:pPr>
        <w:pStyle w:val="Kazalovsebine4"/>
        <w:tabs>
          <w:tab w:val="end" w:leader="dot" w:pos="512pt"/>
        </w:tabs>
        <w:rPr>
          <w:rFonts w:ascii="Calibri" w:hAnsi="Calibri"/>
          <w:sz w:val="22"/>
        </w:rPr>
      </w:pPr>
      <w:hyperlink w:anchor="_Toc256001129" w:history="1">
        <w:r w:rsidR="00A77B3E">
          <w:rPr>
            <w:rStyle w:val="Hiperpovezava"/>
          </w:rPr>
          <w:t>2.1.1.1. Specifični cilj: RSO3.2. Razvoj in krepitev trajnostne, pametne in intermodalne nacionalne, regionalne in lokalne mobilnosti, odporne proti podnebnim spremembam, vključno z boljšim dostopom do omrežja TEN-T in čezmejno mobilnostjo (Kohezijski sklad)</w:t>
        </w:r>
        <w:r w:rsidR="00B16CCF">
          <w:tab/>
        </w:r>
        <w:r w:rsidR="00B16CCF">
          <w:fldChar w:fldCharType="begin"/>
        </w:r>
        <w:r w:rsidR="00B16CCF">
          <w:instrText xml:space="preserve"> PAGEREF _Toc256001129 \h </w:instrText>
        </w:r>
        <w:r w:rsidR="00B16CCF">
          <w:fldChar w:fldCharType="separate"/>
        </w:r>
        <w:r w:rsidR="00B16CCF">
          <w:t>206</w:t>
        </w:r>
        <w:r w:rsidR="00B16CCF">
          <w:fldChar w:fldCharType="end"/>
        </w:r>
      </w:hyperlink>
    </w:p>
    <w:p w14:paraId="6D89B6C1" w14:textId="77777777" w:rsidR="00823317" w:rsidRDefault="001D0AD2">
      <w:pPr>
        <w:pStyle w:val="Kazalovsebine4"/>
        <w:tabs>
          <w:tab w:val="end" w:leader="dot" w:pos="512pt"/>
        </w:tabs>
        <w:rPr>
          <w:rFonts w:ascii="Calibri" w:hAnsi="Calibri"/>
          <w:sz w:val="22"/>
        </w:rPr>
      </w:pPr>
      <w:hyperlink w:anchor="_Toc256001130" w:history="1">
        <w:r w:rsidR="00A77B3E">
          <w:rPr>
            <w:rStyle w:val="Hiperpovezava"/>
          </w:rPr>
          <w:t>2.1.1.1.1. Ukrepi skladov</w:t>
        </w:r>
        <w:r w:rsidR="00B16CCF">
          <w:tab/>
        </w:r>
        <w:r w:rsidR="00B16CCF">
          <w:fldChar w:fldCharType="begin"/>
        </w:r>
        <w:r w:rsidR="00B16CCF">
          <w:instrText xml:space="preserve"> PAGEREF _Toc256001130 \h </w:instrText>
        </w:r>
        <w:r w:rsidR="00B16CCF">
          <w:fldChar w:fldCharType="separate"/>
        </w:r>
        <w:r w:rsidR="00B16CCF">
          <w:t>206</w:t>
        </w:r>
        <w:r w:rsidR="00B16CCF">
          <w:fldChar w:fldCharType="end"/>
        </w:r>
      </w:hyperlink>
    </w:p>
    <w:p w14:paraId="57350E23" w14:textId="77777777" w:rsidR="00823317" w:rsidRDefault="001D0AD2">
      <w:pPr>
        <w:pStyle w:val="Kazalovsebine5"/>
        <w:tabs>
          <w:tab w:val="end" w:leader="dot" w:pos="512pt"/>
        </w:tabs>
        <w:rPr>
          <w:rFonts w:ascii="Calibri" w:hAnsi="Calibri"/>
          <w:sz w:val="22"/>
        </w:rPr>
      </w:pPr>
      <w:hyperlink w:anchor="_Toc256001131" w:history="1">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_Toc256001131 \h </w:instrText>
        </w:r>
        <w:r w:rsidR="00B16CCF">
          <w:fldChar w:fldCharType="separate"/>
        </w:r>
        <w:r w:rsidR="00B16CCF">
          <w:t>206</w:t>
        </w:r>
        <w:r w:rsidR="00B16CCF">
          <w:fldChar w:fldCharType="end"/>
        </w:r>
      </w:hyperlink>
    </w:p>
    <w:p w14:paraId="296C30A7" w14:textId="77777777" w:rsidR="00823317" w:rsidRDefault="001D0AD2">
      <w:pPr>
        <w:pStyle w:val="Kazalovsebine5"/>
        <w:tabs>
          <w:tab w:val="end" w:leader="dot" w:pos="512pt"/>
        </w:tabs>
        <w:rPr>
          <w:rFonts w:ascii="Calibri" w:hAnsi="Calibri"/>
          <w:sz w:val="22"/>
        </w:rPr>
      </w:pPr>
      <w:hyperlink w:anchor="_Toc256001132" w:history="1">
        <w:r w:rsidR="00A77B3E">
          <w:rPr>
            <w:rStyle w:val="Hiperpovezava"/>
          </w:rPr>
          <w:t>Glavne ciljne skupine – člen 22(3)(d)(iii) uredbe o skupnih določbah:</w:t>
        </w:r>
        <w:r w:rsidR="00B16CCF">
          <w:tab/>
        </w:r>
        <w:r w:rsidR="00B16CCF">
          <w:fldChar w:fldCharType="begin"/>
        </w:r>
        <w:r w:rsidR="00B16CCF">
          <w:instrText xml:space="preserve"> PAGEREF _Toc256001132 \h </w:instrText>
        </w:r>
        <w:r w:rsidR="00B16CCF">
          <w:fldChar w:fldCharType="separate"/>
        </w:r>
        <w:r w:rsidR="00B16CCF">
          <w:t>208</w:t>
        </w:r>
        <w:r w:rsidR="00B16CCF">
          <w:fldChar w:fldCharType="end"/>
        </w:r>
      </w:hyperlink>
    </w:p>
    <w:p w14:paraId="36934BA3" w14:textId="77777777" w:rsidR="00823317" w:rsidRDefault="001D0AD2">
      <w:pPr>
        <w:pStyle w:val="Kazalovsebine5"/>
        <w:tabs>
          <w:tab w:val="end" w:leader="dot" w:pos="512pt"/>
        </w:tabs>
        <w:rPr>
          <w:rFonts w:ascii="Calibri" w:hAnsi="Calibri"/>
          <w:sz w:val="22"/>
        </w:rPr>
      </w:pPr>
      <w:hyperlink w:anchor="_Toc256001133" w:history="1">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_Toc256001133 \h </w:instrText>
        </w:r>
        <w:r w:rsidR="00B16CCF">
          <w:fldChar w:fldCharType="separate"/>
        </w:r>
        <w:r w:rsidR="00B16CCF">
          <w:t>208</w:t>
        </w:r>
        <w:r w:rsidR="00B16CCF">
          <w:fldChar w:fldCharType="end"/>
        </w:r>
      </w:hyperlink>
    </w:p>
    <w:p w14:paraId="4BC9854E" w14:textId="77777777" w:rsidR="00823317" w:rsidRDefault="001D0AD2">
      <w:pPr>
        <w:pStyle w:val="Kazalovsebine5"/>
        <w:tabs>
          <w:tab w:val="end" w:leader="dot" w:pos="512pt"/>
        </w:tabs>
        <w:rPr>
          <w:rFonts w:ascii="Calibri" w:hAnsi="Calibri"/>
          <w:sz w:val="22"/>
        </w:rPr>
      </w:pPr>
      <w:hyperlink w:anchor="_Toc256001134" w:history="1">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_Toc256001134 \h </w:instrText>
        </w:r>
        <w:r w:rsidR="00B16CCF">
          <w:fldChar w:fldCharType="separate"/>
        </w:r>
        <w:r w:rsidR="00B16CCF">
          <w:t>209</w:t>
        </w:r>
        <w:r w:rsidR="00B16CCF">
          <w:fldChar w:fldCharType="end"/>
        </w:r>
      </w:hyperlink>
    </w:p>
    <w:p w14:paraId="0D0BDA0E" w14:textId="77777777" w:rsidR="00823317" w:rsidRDefault="001D0AD2">
      <w:pPr>
        <w:pStyle w:val="Kazalovsebine5"/>
        <w:tabs>
          <w:tab w:val="end" w:leader="dot" w:pos="512pt"/>
        </w:tabs>
        <w:rPr>
          <w:rFonts w:ascii="Calibri" w:hAnsi="Calibri"/>
          <w:sz w:val="22"/>
        </w:rPr>
      </w:pPr>
      <w:hyperlink w:anchor="_Toc256001135" w:history="1">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_Toc256001135 \h </w:instrText>
        </w:r>
        <w:r w:rsidR="00B16CCF">
          <w:fldChar w:fldCharType="separate"/>
        </w:r>
        <w:r w:rsidR="00B16CCF">
          <w:t>209</w:t>
        </w:r>
        <w:r w:rsidR="00B16CCF">
          <w:fldChar w:fldCharType="end"/>
        </w:r>
      </w:hyperlink>
    </w:p>
    <w:p w14:paraId="1AB900F6" w14:textId="77777777" w:rsidR="00823317" w:rsidRDefault="001D0AD2">
      <w:pPr>
        <w:pStyle w:val="Kazalovsebine5"/>
        <w:tabs>
          <w:tab w:val="end" w:leader="dot" w:pos="512pt"/>
        </w:tabs>
        <w:rPr>
          <w:rFonts w:ascii="Calibri" w:hAnsi="Calibri"/>
          <w:sz w:val="22"/>
        </w:rPr>
      </w:pPr>
      <w:hyperlink w:anchor="_Toc256001136" w:history="1">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_Toc256001136 \h </w:instrText>
        </w:r>
        <w:r w:rsidR="00B16CCF">
          <w:fldChar w:fldCharType="separate"/>
        </w:r>
        <w:r w:rsidR="00B16CCF">
          <w:t>209</w:t>
        </w:r>
        <w:r w:rsidR="00B16CCF">
          <w:fldChar w:fldCharType="end"/>
        </w:r>
      </w:hyperlink>
    </w:p>
    <w:p w14:paraId="4666A7D9" w14:textId="77777777" w:rsidR="00823317" w:rsidRDefault="001D0AD2">
      <w:pPr>
        <w:pStyle w:val="Kazalovsebine4"/>
        <w:tabs>
          <w:tab w:val="end" w:leader="dot" w:pos="512pt"/>
        </w:tabs>
        <w:rPr>
          <w:rFonts w:ascii="Calibri" w:hAnsi="Calibri"/>
          <w:sz w:val="22"/>
        </w:rPr>
      </w:pPr>
      <w:hyperlink w:anchor="_Toc256001137" w:history="1">
        <w:r w:rsidR="00A77B3E">
          <w:rPr>
            <w:rStyle w:val="Hiperpovezava"/>
          </w:rPr>
          <w:t>2.1.1.1.2. Kazalniki</w:t>
        </w:r>
        <w:r w:rsidR="00B16CCF">
          <w:tab/>
        </w:r>
        <w:r w:rsidR="00B16CCF">
          <w:fldChar w:fldCharType="begin"/>
        </w:r>
        <w:r w:rsidR="00B16CCF">
          <w:instrText xml:space="preserve"> PAGEREF _Toc256001137 \h </w:instrText>
        </w:r>
        <w:r w:rsidR="00B16CCF">
          <w:fldChar w:fldCharType="separate"/>
        </w:r>
        <w:r w:rsidR="00B16CCF">
          <w:t>209</w:t>
        </w:r>
        <w:r w:rsidR="00B16CCF">
          <w:fldChar w:fldCharType="end"/>
        </w:r>
      </w:hyperlink>
    </w:p>
    <w:p w14:paraId="6B41F86F" w14:textId="77777777" w:rsidR="00823317" w:rsidRDefault="001D0AD2">
      <w:pPr>
        <w:pStyle w:val="Kazalovsebine5"/>
        <w:tabs>
          <w:tab w:val="end" w:leader="dot" w:pos="512pt"/>
        </w:tabs>
        <w:rPr>
          <w:rFonts w:ascii="Calibri" w:hAnsi="Calibri"/>
          <w:sz w:val="22"/>
        </w:rPr>
      </w:pPr>
      <w:hyperlink w:anchor="_Toc256001138" w:history="1">
        <w:r w:rsidR="00A77B3E">
          <w:rPr>
            <w:rStyle w:val="Hiperpovezava"/>
          </w:rPr>
          <w:t>Tabela 2: Kazalniki učinka</w:t>
        </w:r>
        <w:r w:rsidR="00B16CCF">
          <w:tab/>
        </w:r>
        <w:r w:rsidR="00B16CCF">
          <w:fldChar w:fldCharType="begin"/>
        </w:r>
        <w:r w:rsidR="00B16CCF">
          <w:instrText xml:space="preserve"> PAGEREF _Toc256001138 \h </w:instrText>
        </w:r>
        <w:r w:rsidR="00B16CCF">
          <w:fldChar w:fldCharType="separate"/>
        </w:r>
        <w:r w:rsidR="00B16CCF">
          <w:t>210</w:t>
        </w:r>
        <w:r w:rsidR="00B16CCF">
          <w:fldChar w:fldCharType="end"/>
        </w:r>
      </w:hyperlink>
    </w:p>
    <w:p w14:paraId="5CE4BAE6" w14:textId="77777777" w:rsidR="00823317" w:rsidRDefault="001D0AD2">
      <w:pPr>
        <w:pStyle w:val="Kazalovsebine5"/>
        <w:tabs>
          <w:tab w:val="end" w:leader="dot" w:pos="512pt"/>
        </w:tabs>
        <w:rPr>
          <w:rFonts w:ascii="Calibri" w:hAnsi="Calibri"/>
          <w:sz w:val="22"/>
        </w:rPr>
      </w:pPr>
      <w:hyperlink w:anchor="_Toc256001139" w:history="1">
        <w:r w:rsidR="00A77B3E">
          <w:rPr>
            <w:rStyle w:val="Hiperpovezava"/>
          </w:rPr>
          <w:t>Tabela 3: Kazalniki rezultatov</w:t>
        </w:r>
        <w:r w:rsidR="00B16CCF">
          <w:tab/>
        </w:r>
        <w:r w:rsidR="00B16CCF">
          <w:fldChar w:fldCharType="begin"/>
        </w:r>
        <w:r w:rsidR="00B16CCF">
          <w:instrText xml:space="preserve"> PAGEREF _Toc256001139 \h </w:instrText>
        </w:r>
        <w:r w:rsidR="00B16CCF">
          <w:fldChar w:fldCharType="separate"/>
        </w:r>
        <w:r w:rsidR="00B16CCF">
          <w:t>210</w:t>
        </w:r>
        <w:r w:rsidR="00B16CCF">
          <w:fldChar w:fldCharType="end"/>
        </w:r>
      </w:hyperlink>
    </w:p>
    <w:p w14:paraId="4DE2FE11" w14:textId="77777777" w:rsidR="00823317" w:rsidRDefault="001D0AD2">
      <w:pPr>
        <w:pStyle w:val="Kazalovsebine4"/>
        <w:tabs>
          <w:tab w:val="end" w:leader="dot" w:pos="512pt"/>
        </w:tabs>
        <w:rPr>
          <w:rFonts w:ascii="Calibri" w:hAnsi="Calibri"/>
          <w:sz w:val="22"/>
        </w:rPr>
      </w:pPr>
      <w:hyperlink w:anchor="_Toc256001140" w:history="1">
        <w:r w:rsidR="00A77B3E">
          <w:rPr>
            <w:rStyle w:val="Hiperpovezava"/>
          </w:rPr>
          <w:t>2.1.1.1.3. Okvirna razčlenitev načrtovanih sredstev (EU) glede na vrsto ukrepa</w:t>
        </w:r>
        <w:r w:rsidR="00B16CCF">
          <w:tab/>
        </w:r>
        <w:r w:rsidR="00B16CCF">
          <w:fldChar w:fldCharType="begin"/>
        </w:r>
        <w:r w:rsidR="00B16CCF">
          <w:instrText xml:space="preserve"> PAGEREF _Toc256001140 \h </w:instrText>
        </w:r>
        <w:r w:rsidR="00B16CCF">
          <w:fldChar w:fldCharType="separate"/>
        </w:r>
        <w:r w:rsidR="00B16CCF">
          <w:t>210</w:t>
        </w:r>
        <w:r w:rsidR="00B16CCF">
          <w:fldChar w:fldCharType="end"/>
        </w:r>
      </w:hyperlink>
    </w:p>
    <w:p w14:paraId="1839BD53" w14:textId="77777777" w:rsidR="00823317" w:rsidRDefault="001D0AD2">
      <w:pPr>
        <w:pStyle w:val="Kazalovsebine5"/>
        <w:tabs>
          <w:tab w:val="end" w:leader="dot" w:pos="512pt"/>
        </w:tabs>
        <w:rPr>
          <w:rFonts w:ascii="Calibri" w:hAnsi="Calibri"/>
          <w:sz w:val="22"/>
        </w:rPr>
      </w:pPr>
      <w:hyperlink w:anchor="_Toc256001141" w:history="1">
        <w:r w:rsidR="00A77B3E">
          <w:rPr>
            <w:rStyle w:val="Hiperpovezava"/>
          </w:rPr>
          <w:t>Tabela 4: Razsežnost 1 – področje ukrepanja</w:t>
        </w:r>
        <w:r w:rsidR="00B16CCF">
          <w:tab/>
        </w:r>
        <w:r w:rsidR="00B16CCF">
          <w:fldChar w:fldCharType="begin"/>
        </w:r>
        <w:r w:rsidR="00B16CCF">
          <w:instrText xml:space="preserve"> PAGEREF _Toc256001141 \h </w:instrText>
        </w:r>
        <w:r w:rsidR="00B16CCF">
          <w:fldChar w:fldCharType="separate"/>
        </w:r>
        <w:r w:rsidR="00B16CCF">
          <w:t>210</w:t>
        </w:r>
        <w:r w:rsidR="00B16CCF">
          <w:fldChar w:fldCharType="end"/>
        </w:r>
      </w:hyperlink>
    </w:p>
    <w:p w14:paraId="7A20E93F" w14:textId="77777777" w:rsidR="00823317" w:rsidRDefault="001D0AD2">
      <w:pPr>
        <w:pStyle w:val="Kazalovsebine5"/>
        <w:tabs>
          <w:tab w:val="end" w:leader="dot" w:pos="512pt"/>
        </w:tabs>
        <w:rPr>
          <w:rFonts w:ascii="Calibri" w:hAnsi="Calibri"/>
          <w:sz w:val="22"/>
        </w:rPr>
      </w:pPr>
      <w:hyperlink w:anchor="_Toc256001142" w:history="1">
        <w:r w:rsidR="00A77B3E">
          <w:rPr>
            <w:rStyle w:val="Hiperpovezava"/>
          </w:rPr>
          <w:t>Tabela 5: Razsežnost 2 – oblika financiranja</w:t>
        </w:r>
        <w:r w:rsidR="00B16CCF">
          <w:tab/>
        </w:r>
        <w:r w:rsidR="00B16CCF">
          <w:fldChar w:fldCharType="begin"/>
        </w:r>
        <w:r w:rsidR="00B16CCF">
          <w:instrText xml:space="preserve"> PAGEREF _Toc256001142 \h </w:instrText>
        </w:r>
        <w:r w:rsidR="00B16CCF">
          <w:fldChar w:fldCharType="separate"/>
        </w:r>
        <w:r w:rsidR="00B16CCF">
          <w:t>210</w:t>
        </w:r>
        <w:r w:rsidR="00B16CCF">
          <w:fldChar w:fldCharType="end"/>
        </w:r>
      </w:hyperlink>
    </w:p>
    <w:p w14:paraId="5BA11CC2" w14:textId="77777777" w:rsidR="00823317" w:rsidRDefault="001D0AD2">
      <w:pPr>
        <w:pStyle w:val="Kazalovsebine5"/>
        <w:tabs>
          <w:tab w:val="end" w:leader="dot" w:pos="512pt"/>
        </w:tabs>
        <w:rPr>
          <w:rFonts w:ascii="Calibri" w:hAnsi="Calibri"/>
          <w:sz w:val="22"/>
        </w:rPr>
      </w:pPr>
      <w:hyperlink w:anchor="_Toc256001143" w:history="1">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_Toc256001143 \h </w:instrText>
        </w:r>
        <w:r w:rsidR="00B16CCF">
          <w:fldChar w:fldCharType="separate"/>
        </w:r>
        <w:r w:rsidR="00B16CCF">
          <w:t>211</w:t>
        </w:r>
        <w:r w:rsidR="00B16CCF">
          <w:fldChar w:fldCharType="end"/>
        </w:r>
      </w:hyperlink>
    </w:p>
    <w:p w14:paraId="4ED91684" w14:textId="77777777" w:rsidR="00823317" w:rsidRDefault="001D0AD2">
      <w:pPr>
        <w:pStyle w:val="Kazalovsebine5"/>
        <w:tabs>
          <w:tab w:val="end" w:leader="dot" w:pos="512pt"/>
        </w:tabs>
        <w:rPr>
          <w:rFonts w:ascii="Calibri" w:hAnsi="Calibri"/>
          <w:sz w:val="22"/>
        </w:rPr>
      </w:pPr>
      <w:hyperlink w:anchor="_Toc256001144" w:history="1">
        <w:r w:rsidR="00A77B3E">
          <w:rPr>
            <w:rStyle w:val="Hiperpovezava"/>
          </w:rPr>
          <w:t>Tabela 7: Razsežnost 6 – sekundarna področja ESS+</w:t>
        </w:r>
        <w:r w:rsidR="00B16CCF">
          <w:tab/>
        </w:r>
        <w:r w:rsidR="00B16CCF">
          <w:fldChar w:fldCharType="begin"/>
        </w:r>
        <w:r w:rsidR="00B16CCF">
          <w:instrText xml:space="preserve"> PAGEREF _Toc256001144 \h </w:instrText>
        </w:r>
        <w:r w:rsidR="00B16CCF">
          <w:fldChar w:fldCharType="separate"/>
        </w:r>
        <w:r w:rsidR="00B16CCF">
          <w:t>211</w:t>
        </w:r>
        <w:r w:rsidR="00B16CCF">
          <w:fldChar w:fldCharType="end"/>
        </w:r>
      </w:hyperlink>
    </w:p>
    <w:p w14:paraId="7941B033" w14:textId="77777777" w:rsidR="00823317" w:rsidRDefault="001D0AD2">
      <w:pPr>
        <w:pStyle w:val="Kazalovsebine5"/>
        <w:tabs>
          <w:tab w:val="end" w:leader="dot" w:pos="512pt"/>
        </w:tabs>
        <w:rPr>
          <w:rFonts w:ascii="Calibri" w:hAnsi="Calibri"/>
          <w:sz w:val="22"/>
        </w:rPr>
      </w:pPr>
      <w:hyperlink w:anchor="_Toc256001145" w:history="1">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_Toc256001145 \h </w:instrText>
        </w:r>
        <w:r w:rsidR="00B16CCF">
          <w:fldChar w:fldCharType="separate"/>
        </w:r>
        <w:r w:rsidR="00B16CCF">
          <w:t>211</w:t>
        </w:r>
        <w:r w:rsidR="00B16CCF">
          <w:fldChar w:fldCharType="end"/>
        </w:r>
      </w:hyperlink>
    </w:p>
    <w:p w14:paraId="68118418" w14:textId="77777777" w:rsidR="00823317" w:rsidRDefault="001D0AD2">
      <w:pPr>
        <w:pStyle w:val="Kazalovsebine3"/>
        <w:tabs>
          <w:tab w:val="end" w:leader="dot" w:pos="512pt"/>
        </w:tabs>
        <w:rPr>
          <w:rFonts w:ascii="Calibri" w:hAnsi="Calibri"/>
          <w:sz w:val="22"/>
        </w:rPr>
      </w:pPr>
      <w:hyperlink w:anchor="_Toc256001146" w:history="1">
        <w:r w:rsidR="00A77B3E">
          <w:rPr>
            <w:rStyle w:val="Hiperpovezava"/>
          </w:rPr>
          <w:t>2.1.1. Prednostna naloga: 13. Dvojna raba</w:t>
        </w:r>
        <w:r w:rsidR="00B16CCF">
          <w:tab/>
        </w:r>
        <w:r w:rsidR="00B16CCF">
          <w:fldChar w:fldCharType="begin"/>
        </w:r>
        <w:r w:rsidR="00B16CCF">
          <w:instrText xml:space="preserve"> PAGEREF _Toc256001146 \h </w:instrText>
        </w:r>
        <w:r w:rsidR="00B16CCF">
          <w:fldChar w:fldCharType="separate"/>
        </w:r>
        <w:r w:rsidR="00B16CCF">
          <w:t>212</w:t>
        </w:r>
        <w:r w:rsidR="00B16CCF">
          <w:fldChar w:fldCharType="end"/>
        </w:r>
      </w:hyperlink>
    </w:p>
    <w:p w14:paraId="03057865" w14:textId="77777777" w:rsidR="00823317" w:rsidRDefault="001D0AD2">
      <w:pPr>
        <w:pStyle w:val="Kazalovsebine4"/>
        <w:tabs>
          <w:tab w:val="end" w:leader="dot" w:pos="512pt"/>
        </w:tabs>
        <w:rPr>
          <w:rFonts w:ascii="Calibri" w:hAnsi="Calibri"/>
          <w:sz w:val="22"/>
        </w:rPr>
      </w:pPr>
      <w:hyperlink w:anchor="_Toc256001147" w:history="1">
        <w:r w:rsidR="00A77B3E">
          <w:rPr>
            <w:rStyle w:val="Hiperpovezava"/>
          </w:rPr>
          <w:t>2.1.1.1. Specifični cilj: RSO3.3. Razvoj odporne obrambne infrastrukture, prednostno tiste z dvojno rabo, tudi za spodbujanje vojaške mobilnosti v Uniji, ter izboljšanje civilne pripravljenosti (ESRR)</w:t>
        </w:r>
        <w:r w:rsidR="00B16CCF">
          <w:tab/>
        </w:r>
        <w:r w:rsidR="00B16CCF">
          <w:fldChar w:fldCharType="begin"/>
        </w:r>
        <w:r w:rsidR="00B16CCF">
          <w:instrText xml:space="preserve"> PAGEREF _Toc256001147 \h </w:instrText>
        </w:r>
        <w:r w:rsidR="00B16CCF">
          <w:fldChar w:fldCharType="separate"/>
        </w:r>
        <w:r w:rsidR="00B16CCF">
          <w:t>212</w:t>
        </w:r>
        <w:r w:rsidR="00B16CCF">
          <w:fldChar w:fldCharType="end"/>
        </w:r>
      </w:hyperlink>
    </w:p>
    <w:p w14:paraId="03E86ED8" w14:textId="77777777" w:rsidR="00823317" w:rsidRDefault="001D0AD2">
      <w:pPr>
        <w:pStyle w:val="Kazalovsebine4"/>
        <w:tabs>
          <w:tab w:val="end" w:leader="dot" w:pos="512pt"/>
        </w:tabs>
        <w:rPr>
          <w:rFonts w:ascii="Calibri" w:hAnsi="Calibri"/>
          <w:sz w:val="22"/>
        </w:rPr>
      </w:pPr>
      <w:hyperlink w:anchor="_Toc256001148" w:history="1">
        <w:r w:rsidR="00A77B3E">
          <w:rPr>
            <w:rStyle w:val="Hiperpovezava"/>
          </w:rPr>
          <w:t>2.1.1.1.1. Ukrepi skladov</w:t>
        </w:r>
        <w:r w:rsidR="00B16CCF">
          <w:tab/>
        </w:r>
        <w:r w:rsidR="00B16CCF">
          <w:fldChar w:fldCharType="begin"/>
        </w:r>
        <w:r w:rsidR="00B16CCF">
          <w:instrText xml:space="preserve"> PAGEREF _Toc256001148 \h </w:instrText>
        </w:r>
        <w:r w:rsidR="00B16CCF">
          <w:fldChar w:fldCharType="separate"/>
        </w:r>
        <w:r w:rsidR="00B16CCF">
          <w:t>212</w:t>
        </w:r>
        <w:r w:rsidR="00B16CCF">
          <w:fldChar w:fldCharType="end"/>
        </w:r>
      </w:hyperlink>
    </w:p>
    <w:p w14:paraId="06F11823" w14:textId="77777777" w:rsidR="00823317" w:rsidRDefault="001D0AD2">
      <w:pPr>
        <w:pStyle w:val="Kazalovsebine5"/>
        <w:tabs>
          <w:tab w:val="end" w:leader="dot" w:pos="512pt"/>
        </w:tabs>
        <w:rPr>
          <w:rFonts w:ascii="Calibri" w:hAnsi="Calibri"/>
          <w:sz w:val="22"/>
        </w:rPr>
      </w:pPr>
      <w:hyperlink w:anchor="_Toc256001149" w:history="1">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_Toc256001149 \h </w:instrText>
        </w:r>
        <w:r w:rsidR="00B16CCF">
          <w:fldChar w:fldCharType="separate"/>
        </w:r>
        <w:r w:rsidR="00B16CCF">
          <w:t>212</w:t>
        </w:r>
        <w:r w:rsidR="00B16CCF">
          <w:fldChar w:fldCharType="end"/>
        </w:r>
      </w:hyperlink>
    </w:p>
    <w:p w14:paraId="6A379BA5" w14:textId="77777777" w:rsidR="00823317" w:rsidRDefault="001D0AD2">
      <w:pPr>
        <w:pStyle w:val="Kazalovsebine5"/>
        <w:tabs>
          <w:tab w:val="end" w:leader="dot" w:pos="512pt"/>
        </w:tabs>
        <w:rPr>
          <w:rFonts w:ascii="Calibri" w:hAnsi="Calibri"/>
          <w:sz w:val="22"/>
        </w:rPr>
      </w:pPr>
      <w:hyperlink w:anchor="_Toc256001150" w:history="1">
        <w:r w:rsidR="00A77B3E">
          <w:rPr>
            <w:rStyle w:val="Hiperpovezava"/>
          </w:rPr>
          <w:t>Glavne ciljne skupine – člen 22(3)(d)(iii) uredbe o skupnih določbah:</w:t>
        </w:r>
        <w:r w:rsidR="00B16CCF">
          <w:tab/>
        </w:r>
        <w:r w:rsidR="00B16CCF">
          <w:fldChar w:fldCharType="begin"/>
        </w:r>
        <w:r w:rsidR="00B16CCF">
          <w:instrText xml:space="preserve"> PAGEREF _Toc256001150 \h </w:instrText>
        </w:r>
        <w:r w:rsidR="00B16CCF">
          <w:fldChar w:fldCharType="separate"/>
        </w:r>
        <w:r w:rsidR="00B16CCF">
          <w:t>214</w:t>
        </w:r>
        <w:r w:rsidR="00B16CCF">
          <w:fldChar w:fldCharType="end"/>
        </w:r>
      </w:hyperlink>
    </w:p>
    <w:p w14:paraId="725AE893" w14:textId="77777777" w:rsidR="00823317" w:rsidRDefault="001D0AD2">
      <w:pPr>
        <w:pStyle w:val="Kazalovsebine5"/>
        <w:tabs>
          <w:tab w:val="end" w:leader="dot" w:pos="512pt"/>
        </w:tabs>
        <w:rPr>
          <w:rFonts w:ascii="Calibri" w:hAnsi="Calibri"/>
          <w:sz w:val="22"/>
        </w:rPr>
      </w:pPr>
      <w:hyperlink w:anchor="_Toc256001151" w:history="1">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_Toc256001151 \h </w:instrText>
        </w:r>
        <w:r w:rsidR="00B16CCF">
          <w:fldChar w:fldCharType="separate"/>
        </w:r>
        <w:r w:rsidR="00B16CCF">
          <w:t>214</w:t>
        </w:r>
        <w:r w:rsidR="00B16CCF">
          <w:fldChar w:fldCharType="end"/>
        </w:r>
      </w:hyperlink>
    </w:p>
    <w:p w14:paraId="24994E55" w14:textId="77777777" w:rsidR="00823317" w:rsidRDefault="001D0AD2">
      <w:pPr>
        <w:pStyle w:val="Kazalovsebine5"/>
        <w:tabs>
          <w:tab w:val="end" w:leader="dot" w:pos="512pt"/>
        </w:tabs>
        <w:rPr>
          <w:rFonts w:ascii="Calibri" w:hAnsi="Calibri"/>
          <w:sz w:val="22"/>
        </w:rPr>
      </w:pPr>
      <w:hyperlink w:anchor="_Toc256001152" w:history="1">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_Toc256001152 \h </w:instrText>
        </w:r>
        <w:r w:rsidR="00B16CCF">
          <w:fldChar w:fldCharType="separate"/>
        </w:r>
        <w:r w:rsidR="00B16CCF">
          <w:t>215</w:t>
        </w:r>
        <w:r w:rsidR="00B16CCF">
          <w:fldChar w:fldCharType="end"/>
        </w:r>
      </w:hyperlink>
    </w:p>
    <w:p w14:paraId="285EE155" w14:textId="77777777" w:rsidR="00823317" w:rsidRDefault="001D0AD2">
      <w:pPr>
        <w:pStyle w:val="Kazalovsebine5"/>
        <w:tabs>
          <w:tab w:val="end" w:leader="dot" w:pos="512pt"/>
        </w:tabs>
        <w:rPr>
          <w:rFonts w:ascii="Calibri" w:hAnsi="Calibri"/>
          <w:sz w:val="22"/>
        </w:rPr>
      </w:pPr>
      <w:hyperlink w:anchor="_Toc256001153" w:history="1">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_Toc256001153 \h </w:instrText>
        </w:r>
        <w:r w:rsidR="00B16CCF">
          <w:fldChar w:fldCharType="separate"/>
        </w:r>
        <w:r w:rsidR="00B16CCF">
          <w:t>215</w:t>
        </w:r>
        <w:r w:rsidR="00B16CCF">
          <w:fldChar w:fldCharType="end"/>
        </w:r>
      </w:hyperlink>
    </w:p>
    <w:p w14:paraId="5AF7342C" w14:textId="77777777" w:rsidR="00823317" w:rsidRDefault="001D0AD2">
      <w:pPr>
        <w:pStyle w:val="Kazalovsebine5"/>
        <w:tabs>
          <w:tab w:val="end" w:leader="dot" w:pos="512pt"/>
        </w:tabs>
        <w:rPr>
          <w:rFonts w:ascii="Calibri" w:hAnsi="Calibri"/>
          <w:sz w:val="22"/>
        </w:rPr>
      </w:pPr>
      <w:hyperlink w:anchor="_Toc256001154" w:history="1">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_Toc256001154 \h </w:instrText>
        </w:r>
        <w:r w:rsidR="00B16CCF">
          <w:fldChar w:fldCharType="separate"/>
        </w:r>
        <w:r w:rsidR="00B16CCF">
          <w:t>215</w:t>
        </w:r>
        <w:r w:rsidR="00B16CCF">
          <w:fldChar w:fldCharType="end"/>
        </w:r>
      </w:hyperlink>
    </w:p>
    <w:p w14:paraId="589961F6" w14:textId="77777777" w:rsidR="00823317" w:rsidRDefault="001D0AD2">
      <w:pPr>
        <w:pStyle w:val="Kazalovsebine4"/>
        <w:tabs>
          <w:tab w:val="end" w:leader="dot" w:pos="512pt"/>
        </w:tabs>
        <w:rPr>
          <w:rFonts w:ascii="Calibri" w:hAnsi="Calibri"/>
          <w:sz w:val="22"/>
        </w:rPr>
      </w:pPr>
      <w:hyperlink w:anchor="_Toc256001155" w:history="1">
        <w:r w:rsidR="00A77B3E">
          <w:rPr>
            <w:rStyle w:val="Hiperpovezava"/>
          </w:rPr>
          <w:t>2.1.1.1.2. Kazalniki</w:t>
        </w:r>
        <w:r w:rsidR="00B16CCF">
          <w:tab/>
        </w:r>
        <w:r w:rsidR="00B16CCF">
          <w:fldChar w:fldCharType="begin"/>
        </w:r>
        <w:r w:rsidR="00B16CCF">
          <w:instrText xml:space="preserve"> PAGEREF _Toc256001155 \h </w:instrText>
        </w:r>
        <w:r w:rsidR="00B16CCF">
          <w:fldChar w:fldCharType="separate"/>
        </w:r>
        <w:r w:rsidR="00B16CCF">
          <w:t>215</w:t>
        </w:r>
        <w:r w:rsidR="00B16CCF">
          <w:fldChar w:fldCharType="end"/>
        </w:r>
      </w:hyperlink>
    </w:p>
    <w:p w14:paraId="0F4FFC60" w14:textId="77777777" w:rsidR="00823317" w:rsidRDefault="001D0AD2">
      <w:pPr>
        <w:pStyle w:val="Kazalovsebine5"/>
        <w:tabs>
          <w:tab w:val="end" w:leader="dot" w:pos="512pt"/>
        </w:tabs>
        <w:rPr>
          <w:rFonts w:ascii="Calibri" w:hAnsi="Calibri"/>
          <w:sz w:val="22"/>
        </w:rPr>
      </w:pPr>
      <w:hyperlink w:anchor="_Toc256001156" w:history="1">
        <w:r w:rsidR="00A77B3E">
          <w:rPr>
            <w:rStyle w:val="Hiperpovezava"/>
          </w:rPr>
          <w:t>Tabela 2: Kazalniki učinka</w:t>
        </w:r>
        <w:r w:rsidR="00B16CCF">
          <w:tab/>
        </w:r>
        <w:r w:rsidR="00B16CCF">
          <w:fldChar w:fldCharType="begin"/>
        </w:r>
        <w:r w:rsidR="00B16CCF">
          <w:instrText xml:space="preserve"> PAGEREF _Toc256001156 \h </w:instrText>
        </w:r>
        <w:r w:rsidR="00B16CCF">
          <w:fldChar w:fldCharType="separate"/>
        </w:r>
        <w:r w:rsidR="00B16CCF">
          <w:t>215</w:t>
        </w:r>
        <w:r w:rsidR="00B16CCF">
          <w:fldChar w:fldCharType="end"/>
        </w:r>
      </w:hyperlink>
    </w:p>
    <w:p w14:paraId="0A91B8D5" w14:textId="77777777" w:rsidR="00823317" w:rsidRDefault="001D0AD2">
      <w:pPr>
        <w:pStyle w:val="Kazalovsebine5"/>
        <w:tabs>
          <w:tab w:val="end" w:leader="dot" w:pos="512pt"/>
        </w:tabs>
        <w:rPr>
          <w:rFonts w:ascii="Calibri" w:hAnsi="Calibri"/>
          <w:sz w:val="22"/>
        </w:rPr>
      </w:pPr>
      <w:hyperlink w:anchor="_Toc256001157" w:history="1">
        <w:r w:rsidR="00A77B3E">
          <w:rPr>
            <w:rStyle w:val="Hiperpovezava"/>
          </w:rPr>
          <w:t>Tabela 3: Kazalniki rezultatov</w:t>
        </w:r>
        <w:r w:rsidR="00B16CCF">
          <w:tab/>
        </w:r>
        <w:r w:rsidR="00B16CCF">
          <w:fldChar w:fldCharType="begin"/>
        </w:r>
        <w:r w:rsidR="00B16CCF">
          <w:instrText xml:space="preserve"> PAGEREF _Toc256001157 \h </w:instrText>
        </w:r>
        <w:r w:rsidR="00B16CCF">
          <w:fldChar w:fldCharType="separate"/>
        </w:r>
        <w:r w:rsidR="00B16CCF">
          <w:t>215</w:t>
        </w:r>
        <w:r w:rsidR="00B16CCF">
          <w:fldChar w:fldCharType="end"/>
        </w:r>
      </w:hyperlink>
    </w:p>
    <w:p w14:paraId="136C8193" w14:textId="77777777" w:rsidR="00823317" w:rsidRDefault="001D0AD2">
      <w:pPr>
        <w:pStyle w:val="Kazalovsebine4"/>
        <w:tabs>
          <w:tab w:val="end" w:leader="dot" w:pos="512pt"/>
        </w:tabs>
        <w:rPr>
          <w:rFonts w:ascii="Calibri" w:hAnsi="Calibri"/>
          <w:sz w:val="22"/>
        </w:rPr>
      </w:pPr>
      <w:hyperlink w:anchor="_Toc256001158" w:history="1">
        <w:r w:rsidR="00A77B3E">
          <w:rPr>
            <w:rStyle w:val="Hiperpovezava"/>
          </w:rPr>
          <w:t>2.1.1.1.3. Okvirna razčlenitev načrtovanih sredstev (EU) glede na vrsto ukrepa</w:t>
        </w:r>
        <w:r w:rsidR="00B16CCF">
          <w:tab/>
        </w:r>
        <w:r w:rsidR="00B16CCF">
          <w:fldChar w:fldCharType="begin"/>
        </w:r>
        <w:r w:rsidR="00B16CCF">
          <w:instrText xml:space="preserve"> PAGEREF _Toc256001158 \h </w:instrText>
        </w:r>
        <w:r w:rsidR="00B16CCF">
          <w:fldChar w:fldCharType="separate"/>
        </w:r>
        <w:r w:rsidR="00B16CCF">
          <w:t>216</w:t>
        </w:r>
        <w:r w:rsidR="00B16CCF">
          <w:fldChar w:fldCharType="end"/>
        </w:r>
      </w:hyperlink>
    </w:p>
    <w:p w14:paraId="44B38EBD" w14:textId="77777777" w:rsidR="00823317" w:rsidRDefault="001D0AD2">
      <w:pPr>
        <w:pStyle w:val="Kazalovsebine5"/>
        <w:tabs>
          <w:tab w:val="end" w:leader="dot" w:pos="512pt"/>
        </w:tabs>
        <w:rPr>
          <w:rFonts w:ascii="Calibri" w:hAnsi="Calibri"/>
          <w:sz w:val="22"/>
        </w:rPr>
      </w:pPr>
      <w:hyperlink w:anchor="_Toc256001159" w:history="1">
        <w:r w:rsidR="00A77B3E">
          <w:rPr>
            <w:rStyle w:val="Hiperpovezava"/>
          </w:rPr>
          <w:t>Tabela 4: Razsežnost 1 – področje ukrepanja</w:t>
        </w:r>
        <w:r w:rsidR="00B16CCF">
          <w:tab/>
        </w:r>
        <w:r w:rsidR="00B16CCF">
          <w:fldChar w:fldCharType="begin"/>
        </w:r>
        <w:r w:rsidR="00B16CCF">
          <w:instrText xml:space="preserve"> PAGEREF _Toc256001159 \h </w:instrText>
        </w:r>
        <w:r w:rsidR="00B16CCF">
          <w:fldChar w:fldCharType="separate"/>
        </w:r>
        <w:r w:rsidR="00B16CCF">
          <w:t>216</w:t>
        </w:r>
        <w:r w:rsidR="00B16CCF">
          <w:fldChar w:fldCharType="end"/>
        </w:r>
      </w:hyperlink>
    </w:p>
    <w:p w14:paraId="3777B430" w14:textId="77777777" w:rsidR="00823317" w:rsidRDefault="001D0AD2">
      <w:pPr>
        <w:pStyle w:val="Kazalovsebine5"/>
        <w:tabs>
          <w:tab w:val="end" w:leader="dot" w:pos="512pt"/>
        </w:tabs>
        <w:rPr>
          <w:rFonts w:ascii="Calibri" w:hAnsi="Calibri"/>
          <w:sz w:val="22"/>
        </w:rPr>
      </w:pPr>
      <w:hyperlink w:anchor="_Toc256001160" w:history="1">
        <w:r w:rsidR="00A77B3E">
          <w:rPr>
            <w:rStyle w:val="Hiperpovezava"/>
          </w:rPr>
          <w:t>Tabela 5: Razsežnost 2 – oblika financiranja</w:t>
        </w:r>
        <w:r w:rsidR="00B16CCF">
          <w:tab/>
        </w:r>
        <w:r w:rsidR="00B16CCF">
          <w:fldChar w:fldCharType="begin"/>
        </w:r>
        <w:r w:rsidR="00B16CCF">
          <w:instrText xml:space="preserve"> PAGEREF _Toc256001160 \h </w:instrText>
        </w:r>
        <w:r w:rsidR="00B16CCF">
          <w:fldChar w:fldCharType="separate"/>
        </w:r>
        <w:r w:rsidR="00B16CCF">
          <w:t>216</w:t>
        </w:r>
        <w:r w:rsidR="00B16CCF">
          <w:fldChar w:fldCharType="end"/>
        </w:r>
      </w:hyperlink>
    </w:p>
    <w:p w14:paraId="064872E0" w14:textId="77777777" w:rsidR="00823317" w:rsidRDefault="001D0AD2">
      <w:pPr>
        <w:pStyle w:val="Kazalovsebine5"/>
        <w:tabs>
          <w:tab w:val="end" w:leader="dot" w:pos="512pt"/>
        </w:tabs>
        <w:rPr>
          <w:rFonts w:ascii="Calibri" w:hAnsi="Calibri"/>
          <w:sz w:val="22"/>
        </w:rPr>
      </w:pPr>
      <w:hyperlink w:anchor="_Toc256001161" w:history="1">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_Toc256001161 \h </w:instrText>
        </w:r>
        <w:r w:rsidR="00B16CCF">
          <w:fldChar w:fldCharType="separate"/>
        </w:r>
        <w:r w:rsidR="00B16CCF">
          <w:t>217</w:t>
        </w:r>
        <w:r w:rsidR="00B16CCF">
          <w:fldChar w:fldCharType="end"/>
        </w:r>
      </w:hyperlink>
    </w:p>
    <w:p w14:paraId="246BC242" w14:textId="77777777" w:rsidR="00823317" w:rsidRDefault="001D0AD2">
      <w:pPr>
        <w:pStyle w:val="Kazalovsebine5"/>
        <w:tabs>
          <w:tab w:val="end" w:leader="dot" w:pos="512pt"/>
        </w:tabs>
        <w:rPr>
          <w:rFonts w:ascii="Calibri" w:hAnsi="Calibri"/>
          <w:sz w:val="22"/>
        </w:rPr>
      </w:pPr>
      <w:hyperlink w:anchor="_Toc256001162" w:history="1">
        <w:r w:rsidR="00A77B3E">
          <w:rPr>
            <w:rStyle w:val="Hiperpovezava"/>
          </w:rPr>
          <w:t>Tabela 7: Razsežnost 6 – sekundarna področja ESS+</w:t>
        </w:r>
        <w:r w:rsidR="00B16CCF">
          <w:tab/>
        </w:r>
        <w:r w:rsidR="00B16CCF">
          <w:fldChar w:fldCharType="begin"/>
        </w:r>
        <w:r w:rsidR="00B16CCF">
          <w:instrText xml:space="preserve"> PAGEREF _Toc256001162 \h </w:instrText>
        </w:r>
        <w:r w:rsidR="00B16CCF">
          <w:fldChar w:fldCharType="separate"/>
        </w:r>
        <w:r w:rsidR="00B16CCF">
          <w:t>217</w:t>
        </w:r>
        <w:r w:rsidR="00B16CCF">
          <w:fldChar w:fldCharType="end"/>
        </w:r>
      </w:hyperlink>
    </w:p>
    <w:p w14:paraId="5508315F" w14:textId="77777777" w:rsidR="00823317" w:rsidRDefault="001D0AD2">
      <w:pPr>
        <w:pStyle w:val="Kazalovsebine5"/>
        <w:tabs>
          <w:tab w:val="end" w:leader="dot" w:pos="512pt"/>
        </w:tabs>
        <w:rPr>
          <w:rFonts w:ascii="Calibri" w:hAnsi="Calibri"/>
          <w:sz w:val="22"/>
        </w:rPr>
      </w:pPr>
      <w:hyperlink w:anchor="_Toc256001163" w:history="1">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_Toc256001163 \h </w:instrText>
        </w:r>
        <w:r w:rsidR="00B16CCF">
          <w:fldChar w:fldCharType="separate"/>
        </w:r>
        <w:r w:rsidR="00B16CCF">
          <w:t>217</w:t>
        </w:r>
        <w:r w:rsidR="00B16CCF">
          <w:fldChar w:fldCharType="end"/>
        </w:r>
      </w:hyperlink>
    </w:p>
    <w:p w14:paraId="365AE9B8" w14:textId="77777777" w:rsidR="00823317" w:rsidRDefault="001D0AD2">
      <w:pPr>
        <w:pStyle w:val="Kazalovsebine3"/>
        <w:tabs>
          <w:tab w:val="end" w:leader="dot" w:pos="512pt"/>
        </w:tabs>
        <w:rPr>
          <w:rFonts w:ascii="Calibri" w:hAnsi="Calibri"/>
          <w:sz w:val="22"/>
        </w:rPr>
      </w:pPr>
      <w:hyperlink w:anchor="_Toc256001164" w:history="1">
        <w:r w:rsidR="00A77B3E">
          <w:rPr>
            <w:rStyle w:val="Hiperpovezava"/>
          </w:rPr>
          <w:t>2.1.1. Prednostna naloga: 6. Znanja in spretnosti ter odzivni trg dela</w:t>
        </w:r>
        <w:r w:rsidR="00B16CCF">
          <w:tab/>
        </w:r>
        <w:r w:rsidR="00B16CCF">
          <w:fldChar w:fldCharType="begin"/>
        </w:r>
        <w:r w:rsidR="00B16CCF">
          <w:instrText xml:space="preserve"> PAGEREF _Toc256001164 \h </w:instrText>
        </w:r>
        <w:r w:rsidR="00B16CCF">
          <w:fldChar w:fldCharType="separate"/>
        </w:r>
        <w:r w:rsidR="00B16CCF">
          <w:t>218</w:t>
        </w:r>
        <w:r w:rsidR="00B16CCF">
          <w:fldChar w:fldCharType="end"/>
        </w:r>
      </w:hyperlink>
    </w:p>
    <w:p w14:paraId="58C51A60" w14:textId="77777777" w:rsidR="00823317" w:rsidRDefault="001D0AD2">
      <w:pPr>
        <w:pStyle w:val="Kazalovsebine4"/>
        <w:tabs>
          <w:tab w:val="end" w:leader="dot" w:pos="512pt"/>
        </w:tabs>
        <w:rPr>
          <w:rFonts w:ascii="Calibri" w:hAnsi="Calibri"/>
          <w:sz w:val="22"/>
        </w:rPr>
      </w:pPr>
      <w:hyperlink w:anchor="_Toc256001165" w:history="1">
        <w:r w:rsidR="00A77B3E">
          <w:rPr>
            <w:rStyle w:val="Hiperpovezava"/>
          </w:rPr>
          <w:t>2.1.1.1. Specifični cilj: RSO4.2. Doslednejše zagotavljanje enakega dostopa do vključujočih in kakovostnih storitev na področju izobraževanja, usposabljanja in vseživljenjskega učenja z razvojem dostopne infrastrukture, tudi s krepitvijo odpornosti za izobraževanje in usposabljanje na daljavo in prek spleta (ESRR)</w:t>
        </w:r>
        <w:r w:rsidR="00B16CCF">
          <w:tab/>
        </w:r>
        <w:r w:rsidR="00B16CCF">
          <w:fldChar w:fldCharType="begin"/>
        </w:r>
        <w:r w:rsidR="00B16CCF">
          <w:instrText xml:space="preserve"> PAGEREF _Toc256001165 \h </w:instrText>
        </w:r>
        <w:r w:rsidR="00B16CCF">
          <w:fldChar w:fldCharType="separate"/>
        </w:r>
        <w:r w:rsidR="00B16CCF">
          <w:t>218</w:t>
        </w:r>
        <w:r w:rsidR="00B16CCF">
          <w:fldChar w:fldCharType="end"/>
        </w:r>
      </w:hyperlink>
    </w:p>
    <w:p w14:paraId="1C91A93F" w14:textId="77777777" w:rsidR="00823317" w:rsidRDefault="001D0AD2">
      <w:pPr>
        <w:pStyle w:val="Kazalovsebine4"/>
        <w:tabs>
          <w:tab w:val="end" w:leader="dot" w:pos="512pt"/>
        </w:tabs>
        <w:rPr>
          <w:rFonts w:ascii="Calibri" w:hAnsi="Calibri"/>
          <w:sz w:val="22"/>
        </w:rPr>
      </w:pPr>
      <w:hyperlink w:anchor="_Toc256001166" w:history="1">
        <w:r w:rsidR="00A77B3E">
          <w:rPr>
            <w:rStyle w:val="Hiperpovezava"/>
          </w:rPr>
          <w:t>2.1.1.1.1. Ukrepi skladov</w:t>
        </w:r>
        <w:r w:rsidR="00B16CCF">
          <w:tab/>
        </w:r>
        <w:r w:rsidR="00B16CCF">
          <w:fldChar w:fldCharType="begin"/>
        </w:r>
        <w:r w:rsidR="00B16CCF">
          <w:instrText xml:space="preserve"> PAGEREF _Toc256001166 \h </w:instrText>
        </w:r>
        <w:r w:rsidR="00B16CCF">
          <w:fldChar w:fldCharType="separate"/>
        </w:r>
        <w:r w:rsidR="00B16CCF">
          <w:t>218</w:t>
        </w:r>
        <w:r w:rsidR="00B16CCF">
          <w:fldChar w:fldCharType="end"/>
        </w:r>
      </w:hyperlink>
    </w:p>
    <w:p w14:paraId="1B169D98" w14:textId="77777777" w:rsidR="00823317" w:rsidRDefault="001D0AD2">
      <w:pPr>
        <w:pStyle w:val="Kazalovsebine5"/>
        <w:tabs>
          <w:tab w:val="end" w:leader="dot" w:pos="512pt"/>
        </w:tabs>
        <w:rPr>
          <w:rFonts w:ascii="Calibri" w:hAnsi="Calibri"/>
          <w:sz w:val="22"/>
        </w:rPr>
      </w:pPr>
      <w:hyperlink w:anchor="_Toc256001167" w:history="1">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_Toc256001167 \h </w:instrText>
        </w:r>
        <w:r w:rsidR="00B16CCF">
          <w:fldChar w:fldCharType="separate"/>
        </w:r>
        <w:r w:rsidR="00B16CCF">
          <w:t>218</w:t>
        </w:r>
        <w:r w:rsidR="00B16CCF">
          <w:fldChar w:fldCharType="end"/>
        </w:r>
      </w:hyperlink>
    </w:p>
    <w:p w14:paraId="4DA8A38A" w14:textId="77777777" w:rsidR="00823317" w:rsidRDefault="001D0AD2">
      <w:pPr>
        <w:pStyle w:val="Kazalovsebine5"/>
        <w:tabs>
          <w:tab w:val="end" w:leader="dot" w:pos="512pt"/>
        </w:tabs>
        <w:rPr>
          <w:rFonts w:ascii="Calibri" w:hAnsi="Calibri"/>
          <w:sz w:val="22"/>
        </w:rPr>
      </w:pPr>
      <w:hyperlink w:anchor="_Toc256001168" w:history="1">
        <w:r w:rsidR="00A77B3E">
          <w:rPr>
            <w:rStyle w:val="Hiperpovezava"/>
          </w:rPr>
          <w:t>Glavne ciljne skupine – člen 22(3)(d)(iii) uredbe o skupnih določbah:</w:t>
        </w:r>
        <w:r w:rsidR="00B16CCF">
          <w:tab/>
        </w:r>
        <w:r w:rsidR="00B16CCF">
          <w:fldChar w:fldCharType="begin"/>
        </w:r>
        <w:r w:rsidR="00B16CCF">
          <w:instrText xml:space="preserve"> PAGEREF _Toc256001168 \h </w:instrText>
        </w:r>
        <w:r w:rsidR="00B16CCF">
          <w:fldChar w:fldCharType="separate"/>
        </w:r>
        <w:r w:rsidR="00B16CCF">
          <w:t>219</w:t>
        </w:r>
        <w:r w:rsidR="00B16CCF">
          <w:fldChar w:fldCharType="end"/>
        </w:r>
      </w:hyperlink>
    </w:p>
    <w:p w14:paraId="5996BE5F" w14:textId="77777777" w:rsidR="00823317" w:rsidRDefault="001D0AD2">
      <w:pPr>
        <w:pStyle w:val="Kazalovsebine5"/>
        <w:tabs>
          <w:tab w:val="end" w:leader="dot" w:pos="512pt"/>
        </w:tabs>
        <w:rPr>
          <w:rFonts w:ascii="Calibri" w:hAnsi="Calibri"/>
          <w:sz w:val="22"/>
        </w:rPr>
      </w:pPr>
      <w:hyperlink w:anchor="_Toc256001169" w:history="1">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_Toc256001169 \h </w:instrText>
        </w:r>
        <w:r w:rsidR="00B16CCF">
          <w:fldChar w:fldCharType="separate"/>
        </w:r>
        <w:r w:rsidR="00B16CCF">
          <w:t>219</w:t>
        </w:r>
        <w:r w:rsidR="00B16CCF">
          <w:fldChar w:fldCharType="end"/>
        </w:r>
      </w:hyperlink>
    </w:p>
    <w:p w14:paraId="0712292B" w14:textId="77777777" w:rsidR="00823317" w:rsidRDefault="001D0AD2">
      <w:pPr>
        <w:pStyle w:val="Kazalovsebine5"/>
        <w:tabs>
          <w:tab w:val="end" w:leader="dot" w:pos="512pt"/>
        </w:tabs>
        <w:rPr>
          <w:rFonts w:ascii="Calibri" w:hAnsi="Calibri"/>
          <w:sz w:val="22"/>
        </w:rPr>
      </w:pPr>
      <w:hyperlink w:anchor="_Toc256001170" w:history="1">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_Toc256001170 \h </w:instrText>
        </w:r>
        <w:r w:rsidR="00B16CCF">
          <w:fldChar w:fldCharType="separate"/>
        </w:r>
        <w:r w:rsidR="00B16CCF">
          <w:t>220</w:t>
        </w:r>
        <w:r w:rsidR="00B16CCF">
          <w:fldChar w:fldCharType="end"/>
        </w:r>
      </w:hyperlink>
    </w:p>
    <w:p w14:paraId="5EC20440" w14:textId="77777777" w:rsidR="00823317" w:rsidRDefault="001D0AD2">
      <w:pPr>
        <w:pStyle w:val="Kazalovsebine5"/>
        <w:tabs>
          <w:tab w:val="end" w:leader="dot" w:pos="512pt"/>
        </w:tabs>
        <w:rPr>
          <w:rFonts w:ascii="Calibri" w:hAnsi="Calibri"/>
          <w:sz w:val="22"/>
        </w:rPr>
      </w:pPr>
      <w:hyperlink w:anchor="_Toc256001171" w:history="1">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_Toc256001171 \h </w:instrText>
        </w:r>
        <w:r w:rsidR="00B16CCF">
          <w:fldChar w:fldCharType="separate"/>
        </w:r>
        <w:r w:rsidR="00B16CCF">
          <w:t>220</w:t>
        </w:r>
        <w:r w:rsidR="00B16CCF">
          <w:fldChar w:fldCharType="end"/>
        </w:r>
      </w:hyperlink>
    </w:p>
    <w:p w14:paraId="5429FCD7" w14:textId="77777777" w:rsidR="00823317" w:rsidRDefault="001D0AD2">
      <w:pPr>
        <w:pStyle w:val="Kazalovsebine5"/>
        <w:tabs>
          <w:tab w:val="end" w:leader="dot" w:pos="512pt"/>
        </w:tabs>
        <w:rPr>
          <w:rFonts w:ascii="Calibri" w:hAnsi="Calibri"/>
          <w:sz w:val="22"/>
        </w:rPr>
      </w:pPr>
      <w:hyperlink w:anchor="_Toc256001172" w:history="1">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_Toc256001172 \h </w:instrText>
        </w:r>
        <w:r w:rsidR="00B16CCF">
          <w:fldChar w:fldCharType="separate"/>
        </w:r>
        <w:r w:rsidR="00B16CCF">
          <w:t>221</w:t>
        </w:r>
        <w:r w:rsidR="00B16CCF">
          <w:fldChar w:fldCharType="end"/>
        </w:r>
      </w:hyperlink>
    </w:p>
    <w:p w14:paraId="69D5AC07" w14:textId="77777777" w:rsidR="00823317" w:rsidRDefault="001D0AD2">
      <w:pPr>
        <w:pStyle w:val="Kazalovsebine4"/>
        <w:tabs>
          <w:tab w:val="end" w:leader="dot" w:pos="512pt"/>
        </w:tabs>
        <w:rPr>
          <w:rFonts w:ascii="Calibri" w:hAnsi="Calibri"/>
          <w:sz w:val="22"/>
        </w:rPr>
      </w:pPr>
      <w:hyperlink w:anchor="_Toc256001173" w:history="1">
        <w:r w:rsidR="00A77B3E">
          <w:rPr>
            <w:rStyle w:val="Hiperpovezava"/>
          </w:rPr>
          <w:t>2.1.1.1.2. Kazalniki</w:t>
        </w:r>
        <w:r w:rsidR="00B16CCF">
          <w:tab/>
        </w:r>
        <w:r w:rsidR="00B16CCF">
          <w:fldChar w:fldCharType="begin"/>
        </w:r>
        <w:r w:rsidR="00B16CCF">
          <w:instrText xml:space="preserve"> PAGEREF _Toc256001173 \h </w:instrText>
        </w:r>
        <w:r w:rsidR="00B16CCF">
          <w:fldChar w:fldCharType="separate"/>
        </w:r>
        <w:r w:rsidR="00B16CCF">
          <w:t>221</w:t>
        </w:r>
        <w:r w:rsidR="00B16CCF">
          <w:fldChar w:fldCharType="end"/>
        </w:r>
      </w:hyperlink>
    </w:p>
    <w:p w14:paraId="45358646" w14:textId="77777777" w:rsidR="00823317" w:rsidRDefault="001D0AD2">
      <w:pPr>
        <w:pStyle w:val="Kazalovsebine5"/>
        <w:tabs>
          <w:tab w:val="end" w:leader="dot" w:pos="512pt"/>
        </w:tabs>
        <w:rPr>
          <w:rFonts w:ascii="Calibri" w:hAnsi="Calibri"/>
          <w:sz w:val="22"/>
        </w:rPr>
      </w:pPr>
      <w:hyperlink w:anchor="_Toc256001174" w:history="1">
        <w:r w:rsidR="00A77B3E">
          <w:rPr>
            <w:rStyle w:val="Hiperpovezava"/>
          </w:rPr>
          <w:t>Tabela 2: Kazalniki učinka</w:t>
        </w:r>
        <w:r w:rsidR="00B16CCF">
          <w:tab/>
        </w:r>
        <w:r w:rsidR="00B16CCF">
          <w:fldChar w:fldCharType="begin"/>
        </w:r>
        <w:r w:rsidR="00B16CCF">
          <w:instrText xml:space="preserve"> PAGEREF _Toc256001174 \h </w:instrText>
        </w:r>
        <w:r w:rsidR="00B16CCF">
          <w:fldChar w:fldCharType="separate"/>
        </w:r>
        <w:r w:rsidR="00B16CCF">
          <w:t>221</w:t>
        </w:r>
        <w:r w:rsidR="00B16CCF">
          <w:fldChar w:fldCharType="end"/>
        </w:r>
      </w:hyperlink>
    </w:p>
    <w:p w14:paraId="316CFD54" w14:textId="77777777" w:rsidR="00823317" w:rsidRDefault="001D0AD2">
      <w:pPr>
        <w:pStyle w:val="Kazalovsebine5"/>
        <w:tabs>
          <w:tab w:val="end" w:leader="dot" w:pos="512pt"/>
        </w:tabs>
        <w:rPr>
          <w:rFonts w:ascii="Calibri" w:hAnsi="Calibri"/>
          <w:sz w:val="22"/>
        </w:rPr>
      </w:pPr>
      <w:hyperlink w:anchor="_Toc256001175" w:history="1">
        <w:r w:rsidR="00A77B3E">
          <w:rPr>
            <w:rStyle w:val="Hiperpovezava"/>
          </w:rPr>
          <w:t>Tabela 3: Kazalniki rezultatov</w:t>
        </w:r>
        <w:r w:rsidR="00B16CCF">
          <w:tab/>
        </w:r>
        <w:r w:rsidR="00B16CCF">
          <w:fldChar w:fldCharType="begin"/>
        </w:r>
        <w:r w:rsidR="00B16CCF">
          <w:instrText xml:space="preserve"> PAGEREF _Toc256001175 \h </w:instrText>
        </w:r>
        <w:r w:rsidR="00B16CCF">
          <w:fldChar w:fldCharType="separate"/>
        </w:r>
        <w:r w:rsidR="00B16CCF">
          <w:t>221</w:t>
        </w:r>
        <w:r w:rsidR="00B16CCF">
          <w:fldChar w:fldCharType="end"/>
        </w:r>
      </w:hyperlink>
    </w:p>
    <w:p w14:paraId="3D3F4773" w14:textId="77777777" w:rsidR="00823317" w:rsidRDefault="001D0AD2">
      <w:pPr>
        <w:pStyle w:val="Kazalovsebine4"/>
        <w:tabs>
          <w:tab w:val="end" w:leader="dot" w:pos="512pt"/>
        </w:tabs>
        <w:rPr>
          <w:rFonts w:ascii="Calibri" w:hAnsi="Calibri"/>
          <w:sz w:val="22"/>
        </w:rPr>
      </w:pPr>
      <w:hyperlink w:anchor="_Toc256001176" w:history="1">
        <w:r w:rsidR="00A77B3E">
          <w:rPr>
            <w:rStyle w:val="Hiperpovezava"/>
          </w:rPr>
          <w:t>2.1.1.1.3. Okvirna razčlenitev načrtovanih sredstev (EU) glede na vrsto ukrepa</w:t>
        </w:r>
        <w:r w:rsidR="00B16CCF">
          <w:tab/>
        </w:r>
        <w:r w:rsidR="00B16CCF">
          <w:fldChar w:fldCharType="begin"/>
        </w:r>
        <w:r w:rsidR="00B16CCF">
          <w:instrText xml:space="preserve"> PAGEREF _Toc256001176 \h </w:instrText>
        </w:r>
        <w:r w:rsidR="00B16CCF">
          <w:fldChar w:fldCharType="separate"/>
        </w:r>
        <w:r w:rsidR="00B16CCF">
          <w:t>222</w:t>
        </w:r>
        <w:r w:rsidR="00B16CCF">
          <w:fldChar w:fldCharType="end"/>
        </w:r>
      </w:hyperlink>
    </w:p>
    <w:p w14:paraId="3FA4C8A4" w14:textId="77777777" w:rsidR="00823317" w:rsidRDefault="001D0AD2">
      <w:pPr>
        <w:pStyle w:val="Kazalovsebine5"/>
        <w:tabs>
          <w:tab w:val="end" w:leader="dot" w:pos="512pt"/>
        </w:tabs>
        <w:rPr>
          <w:rFonts w:ascii="Calibri" w:hAnsi="Calibri"/>
          <w:sz w:val="22"/>
        </w:rPr>
      </w:pPr>
      <w:hyperlink w:anchor="_Toc256001177" w:history="1">
        <w:r w:rsidR="00A77B3E">
          <w:rPr>
            <w:rStyle w:val="Hiperpovezava"/>
          </w:rPr>
          <w:t>Tabela 4: Razsežnost 1 – področje ukrepanja</w:t>
        </w:r>
        <w:r w:rsidR="00B16CCF">
          <w:tab/>
        </w:r>
        <w:r w:rsidR="00B16CCF">
          <w:fldChar w:fldCharType="begin"/>
        </w:r>
        <w:r w:rsidR="00B16CCF">
          <w:instrText xml:space="preserve"> PAGEREF _Toc256001177 \h </w:instrText>
        </w:r>
        <w:r w:rsidR="00B16CCF">
          <w:fldChar w:fldCharType="separate"/>
        </w:r>
        <w:r w:rsidR="00B16CCF">
          <w:t>222</w:t>
        </w:r>
        <w:r w:rsidR="00B16CCF">
          <w:fldChar w:fldCharType="end"/>
        </w:r>
      </w:hyperlink>
    </w:p>
    <w:p w14:paraId="2FB20875" w14:textId="77777777" w:rsidR="00823317" w:rsidRDefault="001D0AD2">
      <w:pPr>
        <w:pStyle w:val="Kazalovsebine5"/>
        <w:tabs>
          <w:tab w:val="end" w:leader="dot" w:pos="512pt"/>
        </w:tabs>
        <w:rPr>
          <w:rFonts w:ascii="Calibri" w:hAnsi="Calibri"/>
          <w:sz w:val="22"/>
        </w:rPr>
      </w:pPr>
      <w:hyperlink w:anchor="_Toc256001178" w:history="1">
        <w:r w:rsidR="00A77B3E">
          <w:rPr>
            <w:rStyle w:val="Hiperpovezava"/>
          </w:rPr>
          <w:t>Tabela 5: Razsežnost 2 – oblika financiranja</w:t>
        </w:r>
        <w:r w:rsidR="00B16CCF">
          <w:tab/>
        </w:r>
        <w:r w:rsidR="00B16CCF">
          <w:fldChar w:fldCharType="begin"/>
        </w:r>
        <w:r w:rsidR="00B16CCF">
          <w:instrText xml:space="preserve"> PAGEREF _Toc256001178 \h </w:instrText>
        </w:r>
        <w:r w:rsidR="00B16CCF">
          <w:fldChar w:fldCharType="separate"/>
        </w:r>
        <w:r w:rsidR="00B16CCF">
          <w:t>222</w:t>
        </w:r>
        <w:r w:rsidR="00B16CCF">
          <w:fldChar w:fldCharType="end"/>
        </w:r>
      </w:hyperlink>
    </w:p>
    <w:p w14:paraId="5BFB31EA" w14:textId="77777777" w:rsidR="00823317" w:rsidRDefault="001D0AD2">
      <w:pPr>
        <w:pStyle w:val="Kazalovsebine5"/>
        <w:tabs>
          <w:tab w:val="end" w:leader="dot" w:pos="512pt"/>
        </w:tabs>
        <w:rPr>
          <w:rFonts w:ascii="Calibri" w:hAnsi="Calibri"/>
          <w:sz w:val="22"/>
        </w:rPr>
      </w:pPr>
      <w:hyperlink w:anchor="_Toc256001179" w:history="1">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_Toc256001179 \h </w:instrText>
        </w:r>
        <w:r w:rsidR="00B16CCF">
          <w:fldChar w:fldCharType="separate"/>
        </w:r>
        <w:r w:rsidR="00B16CCF">
          <w:t>222</w:t>
        </w:r>
        <w:r w:rsidR="00B16CCF">
          <w:fldChar w:fldCharType="end"/>
        </w:r>
      </w:hyperlink>
    </w:p>
    <w:p w14:paraId="4EB6CDCD" w14:textId="77777777" w:rsidR="00823317" w:rsidRDefault="001D0AD2">
      <w:pPr>
        <w:pStyle w:val="Kazalovsebine5"/>
        <w:tabs>
          <w:tab w:val="end" w:leader="dot" w:pos="512pt"/>
        </w:tabs>
        <w:rPr>
          <w:rFonts w:ascii="Calibri" w:hAnsi="Calibri"/>
          <w:sz w:val="22"/>
        </w:rPr>
      </w:pPr>
      <w:hyperlink w:anchor="_Toc256001180" w:history="1">
        <w:r w:rsidR="00A77B3E">
          <w:rPr>
            <w:rStyle w:val="Hiperpovezava"/>
          </w:rPr>
          <w:t>Tabela 7: Razsežnost 6 – sekundarna področja ESS+</w:t>
        </w:r>
        <w:r w:rsidR="00B16CCF">
          <w:tab/>
        </w:r>
        <w:r w:rsidR="00B16CCF">
          <w:fldChar w:fldCharType="begin"/>
        </w:r>
        <w:r w:rsidR="00B16CCF">
          <w:instrText xml:space="preserve"> PAGEREF _Toc256001180 \h </w:instrText>
        </w:r>
        <w:r w:rsidR="00B16CCF">
          <w:fldChar w:fldCharType="separate"/>
        </w:r>
        <w:r w:rsidR="00B16CCF">
          <w:t>222</w:t>
        </w:r>
        <w:r w:rsidR="00B16CCF">
          <w:fldChar w:fldCharType="end"/>
        </w:r>
      </w:hyperlink>
    </w:p>
    <w:p w14:paraId="56020B9C" w14:textId="77777777" w:rsidR="00823317" w:rsidRDefault="001D0AD2">
      <w:pPr>
        <w:pStyle w:val="Kazalovsebine5"/>
        <w:tabs>
          <w:tab w:val="end" w:leader="dot" w:pos="512pt"/>
        </w:tabs>
        <w:rPr>
          <w:rFonts w:ascii="Calibri" w:hAnsi="Calibri"/>
          <w:sz w:val="22"/>
        </w:rPr>
      </w:pPr>
      <w:hyperlink w:anchor="_Toc256001181" w:history="1">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_Toc256001181 \h </w:instrText>
        </w:r>
        <w:r w:rsidR="00B16CCF">
          <w:fldChar w:fldCharType="separate"/>
        </w:r>
        <w:r w:rsidR="00B16CCF">
          <w:t>223</w:t>
        </w:r>
        <w:r w:rsidR="00B16CCF">
          <w:fldChar w:fldCharType="end"/>
        </w:r>
      </w:hyperlink>
    </w:p>
    <w:p w14:paraId="27844D38" w14:textId="77777777" w:rsidR="00823317" w:rsidRDefault="001D0AD2">
      <w:pPr>
        <w:pStyle w:val="Kazalovsebine4"/>
        <w:tabs>
          <w:tab w:val="end" w:leader="dot" w:pos="512pt"/>
        </w:tabs>
        <w:rPr>
          <w:rFonts w:ascii="Calibri" w:hAnsi="Calibri"/>
          <w:sz w:val="22"/>
        </w:rPr>
      </w:pPr>
      <w:hyperlink w:anchor="_Toc256001182" w:history="1">
        <w:r w:rsidR="00A77B3E">
          <w:rPr>
            <w:rStyle w:val="Hiperpovezava"/>
          </w:rPr>
          <w:t>2.1.1.1. Specifični cilj: ESO4.1. Izboljšanje dostopa do zaposlitve in aktivacijski ukrepi za vse iskalce zaposlitve, zlasti mlade, predvsem v okviru izvajanja jamstva za mlade, dolgotrajno brezposelne in prikrajšane skupine na trgu dela, in neaktivne osebe, kot tudi s spodbujanjem samozaposlovanja in socialnega gospodarstva (ESS+)</w:t>
        </w:r>
        <w:r w:rsidR="00B16CCF">
          <w:tab/>
        </w:r>
        <w:r w:rsidR="00B16CCF">
          <w:fldChar w:fldCharType="begin"/>
        </w:r>
        <w:r w:rsidR="00B16CCF">
          <w:instrText xml:space="preserve"> PAGEREF _Toc256001182 \h </w:instrText>
        </w:r>
        <w:r w:rsidR="00B16CCF">
          <w:fldChar w:fldCharType="separate"/>
        </w:r>
        <w:r w:rsidR="00B16CCF">
          <w:t>224</w:t>
        </w:r>
        <w:r w:rsidR="00B16CCF">
          <w:fldChar w:fldCharType="end"/>
        </w:r>
      </w:hyperlink>
    </w:p>
    <w:p w14:paraId="19932640" w14:textId="77777777" w:rsidR="00823317" w:rsidRDefault="001D0AD2">
      <w:pPr>
        <w:pStyle w:val="Kazalovsebine4"/>
        <w:tabs>
          <w:tab w:val="end" w:leader="dot" w:pos="512pt"/>
        </w:tabs>
        <w:rPr>
          <w:rFonts w:ascii="Calibri" w:hAnsi="Calibri"/>
          <w:sz w:val="22"/>
        </w:rPr>
      </w:pPr>
      <w:hyperlink w:anchor="_Toc256001183" w:history="1">
        <w:r w:rsidR="00A77B3E">
          <w:rPr>
            <w:rStyle w:val="Hiperpovezava"/>
          </w:rPr>
          <w:t>2.1.1.1.1. Ukrepi skladov</w:t>
        </w:r>
        <w:r w:rsidR="00B16CCF">
          <w:tab/>
        </w:r>
        <w:r w:rsidR="00B16CCF">
          <w:fldChar w:fldCharType="begin"/>
        </w:r>
        <w:r w:rsidR="00B16CCF">
          <w:instrText xml:space="preserve"> PAGEREF _Toc256001183 \h </w:instrText>
        </w:r>
        <w:r w:rsidR="00B16CCF">
          <w:fldChar w:fldCharType="separate"/>
        </w:r>
        <w:r w:rsidR="00B16CCF">
          <w:t>224</w:t>
        </w:r>
        <w:r w:rsidR="00B16CCF">
          <w:fldChar w:fldCharType="end"/>
        </w:r>
      </w:hyperlink>
    </w:p>
    <w:p w14:paraId="3D2F34F9" w14:textId="77777777" w:rsidR="00823317" w:rsidRDefault="001D0AD2">
      <w:pPr>
        <w:pStyle w:val="Kazalovsebine5"/>
        <w:tabs>
          <w:tab w:val="end" w:leader="dot" w:pos="512pt"/>
        </w:tabs>
        <w:rPr>
          <w:rFonts w:ascii="Calibri" w:hAnsi="Calibri"/>
          <w:sz w:val="22"/>
        </w:rPr>
      </w:pPr>
      <w:hyperlink w:anchor="_Toc256001184" w:history="1">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_Toc256001184 \h </w:instrText>
        </w:r>
        <w:r w:rsidR="00B16CCF">
          <w:fldChar w:fldCharType="separate"/>
        </w:r>
        <w:r w:rsidR="00B16CCF">
          <w:t>224</w:t>
        </w:r>
        <w:r w:rsidR="00B16CCF">
          <w:fldChar w:fldCharType="end"/>
        </w:r>
      </w:hyperlink>
    </w:p>
    <w:p w14:paraId="5710187C" w14:textId="77777777" w:rsidR="00823317" w:rsidRDefault="001D0AD2">
      <w:pPr>
        <w:pStyle w:val="Kazalovsebine5"/>
        <w:tabs>
          <w:tab w:val="end" w:leader="dot" w:pos="512pt"/>
        </w:tabs>
        <w:rPr>
          <w:rFonts w:ascii="Calibri" w:hAnsi="Calibri"/>
          <w:sz w:val="22"/>
        </w:rPr>
      </w:pPr>
      <w:hyperlink w:anchor="_Toc256001185" w:history="1">
        <w:r w:rsidR="00A77B3E">
          <w:rPr>
            <w:rStyle w:val="Hiperpovezava"/>
          </w:rPr>
          <w:t>Glavne ciljne skupine – člen 22(3)(d)(iii) uredbe o skupnih določbah:</w:t>
        </w:r>
        <w:r w:rsidR="00B16CCF">
          <w:tab/>
        </w:r>
        <w:r w:rsidR="00B16CCF">
          <w:fldChar w:fldCharType="begin"/>
        </w:r>
        <w:r w:rsidR="00B16CCF">
          <w:instrText xml:space="preserve"> PAGEREF _Toc256001185 \h </w:instrText>
        </w:r>
        <w:r w:rsidR="00B16CCF">
          <w:fldChar w:fldCharType="separate"/>
        </w:r>
        <w:r w:rsidR="00B16CCF">
          <w:t>226</w:t>
        </w:r>
        <w:r w:rsidR="00B16CCF">
          <w:fldChar w:fldCharType="end"/>
        </w:r>
      </w:hyperlink>
    </w:p>
    <w:p w14:paraId="1F8839B2" w14:textId="77777777" w:rsidR="00823317" w:rsidRDefault="001D0AD2">
      <w:pPr>
        <w:pStyle w:val="Kazalovsebine5"/>
        <w:tabs>
          <w:tab w:val="end" w:leader="dot" w:pos="512pt"/>
        </w:tabs>
        <w:rPr>
          <w:rFonts w:ascii="Calibri" w:hAnsi="Calibri"/>
          <w:sz w:val="22"/>
        </w:rPr>
      </w:pPr>
      <w:hyperlink w:anchor="_Toc256001186" w:history="1">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_Toc256001186 \h </w:instrText>
        </w:r>
        <w:r w:rsidR="00B16CCF">
          <w:fldChar w:fldCharType="separate"/>
        </w:r>
        <w:r w:rsidR="00B16CCF">
          <w:t>227</w:t>
        </w:r>
        <w:r w:rsidR="00B16CCF">
          <w:fldChar w:fldCharType="end"/>
        </w:r>
      </w:hyperlink>
    </w:p>
    <w:p w14:paraId="481A23AD" w14:textId="77777777" w:rsidR="00823317" w:rsidRDefault="001D0AD2">
      <w:pPr>
        <w:pStyle w:val="Kazalovsebine5"/>
        <w:tabs>
          <w:tab w:val="end" w:leader="dot" w:pos="512pt"/>
        </w:tabs>
        <w:rPr>
          <w:rFonts w:ascii="Calibri" w:hAnsi="Calibri"/>
          <w:sz w:val="22"/>
        </w:rPr>
      </w:pPr>
      <w:hyperlink w:anchor="_Toc256001187" w:history="1">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_Toc256001187 \h </w:instrText>
        </w:r>
        <w:r w:rsidR="00B16CCF">
          <w:fldChar w:fldCharType="separate"/>
        </w:r>
        <w:r w:rsidR="00B16CCF">
          <w:t>227</w:t>
        </w:r>
        <w:r w:rsidR="00B16CCF">
          <w:fldChar w:fldCharType="end"/>
        </w:r>
      </w:hyperlink>
    </w:p>
    <w:p w14:paraId="2DD77EAA" w14:textId="77777777" w:rsidR="00823317" w:rsidRDefault="001D0AD2">
      <w:pPr>
        <w:pStyle w:val="Kazalovsebine5"/>
        <w:tabs>
          <w:tab w:val="end" w:leader="dot" w:pos="512pt"/>
        </w:tabs>
        <w:rPr>
          <w:rFonts w:ascii="Calibri" w:hAnsi="Calibri"/>
          <w:sz w:val="22"/>
        </w:rPr>
      </w:pPr>
      <w:hyperlink w:anchor="_Toc256001188" w:history="1">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_Toc256001188 \h </w:instrText>
        </w:r>
        <w:r w:rsidR="00B16CCF">
          <w:fldChar w:fldCharType="separate"/>
        </w:r>
        <w:r w:rsidR="00B16CCF">
          <w:t>228</w:t>
        </w:r>
        <w:r w:rsidR="00B16CCF">
          <w:fldChar w:fldCharType="end"/>
        </w:r>
      </w:hyperlink>
    </w:p>
    <w:p w14:paraId="3F22F8EE" w14:textId="77777777" w:rsidR="00823317" w:rsidRDefault="001D0AD2">
      <w:pPr>
        <w:pStyle w:val="Kazalovsebine5"/>
        <w:tabs>
          <w:tab w:val="end" w:leader="dot" w:pos="512pt"/>
        </w:tabs>
        <w:rPr>
          <w:rFonts w:ascii="Calibri" w:hAnsi="Calibri"/>
          <w:sz w:val="22"/>
        </w:rPr>
      </w:pPr>
      <w:hyperlink w:anchor="_Toc256001189" w:history="1">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_Toc256001189 \h </w:instrText>
        </w:r>
        <w:r w:rsidR="00B16CCF">
          <w:fldChar w:fldCharType="separate"/>
        </w:r>
        <w:r w:rsidR="00B16CCF">
          <w:t>228</w:t>
        </w:r>
        <w:r w:rsidR="00B16CCF">
          <w:fldChar w:fldCharType="end"/>
        </w:r>
      </w:hyperlink>
    </w:p>
    <w:p w14:paraId="3BB48CA4" w14:textId="77777777" w:rsidR="00823317" w:rsidRDefault="001D0AD2">
      <w:pPr>
        <w:pStyle w:val="Kazalovsebine4"/>
        <w:tabs>
          <w:tab w:val="end" w:leader="dot" w:pos="512pt"/>
        </w:tabs>
        <w:rPr>
          <w:rFonts w:ascii="Calibri" w:hAnsi="Calibri"/>
          <w:sz w:val="22"/>
        </w:rPr>
      </w:pPr>
      <w:hyperlink w:anchor="_Toc256001190" w:history="1">
        <w:r w:rsidR="00A77B3E">
          <w:rPr>
            <w:rStyle w:val="Hiperpovezava"/>
          </w:rPr>
          <w:t>2.1.1.1.2. Kazalniki</w:t>
        </w:r>
        <w:r w:rsidR="00B16CCF">
          <w:tab/>
        </w:r>
        <w:r w:rsidR="00B16CCF">
          <w:fldChar w:fldCharType="begin"/>
        </w:r>
        <w:r w:rsidR="00B16CCF">
          <w:instrText xml:space="preserve"> PAGEREF _Toc256001190 \h </w:instrText>
        </w:r>
        <w:r w:rsidR="00B16CCF">
          <w:fldChar w:fldCharType="separate"/>
        </w:r>
        <w:r w:rsidR="00B16CCF">
          <w:t>228</w:t>
        </w:r>
        <w:r w:rsidR="00B16CCF">
          <w:fldChar w:fldCharType="end"/>
        </w:r>
      </w:hyperlink>
    </w:p>
    <w:p w14:paraId="188442AD" w14:textId="77777777" w:rsidR="00823317" w:rsidRDefault="001D0AD2">
      <w:pPr>
        <w:pStyle w:val="Kazalovsebine5"/>
        <w:tabs>
          <w:tab w:val="end" w:leader="dot" w:pos="512pt"/>
        </w:tabs>
        <w:rPr>
          <w:rFonts w:ascii="Calibri" w:hAnsi="Calibri"/>
          <w:sz w:val="22"/>
        </w:rPr>
      </w:pPr>
      <w:hyperlink w:anchor="_Toc256001191" w:history="1">
        <w:r w:rsidR="00A77B3E">
          <w:rPr>
            <w:rStyle w:val="Hiperpovezava"/>
          </w:rPr>
          <w:t>Tabela 2: Kazalniki učinka</w:t>
        </w:r>
        <w:r w:rsidR="00B16CCF">
          <w:tab/>
        </w:r>
        <w:r w:rsidR="00B16CCF">
          <w:fldChar w:fldCharType="begin"/>
        </w:r>
        <w:r w:rsidR="00B16CCF">
          <w:instrText xml:space="preserve"> PAGEREF _Toc256001191 \h </w:instrText>
        </w:r>
        <w:r w:rsidR="00B16CCF">
          <w:fldChar w:fldCharType="separate"/>
        </w:r>
        <w:r w:rsidR="00B16CCF">
          <w:t>228</w:t>
        </w:r>
        <w:r w:rsidR="00B16CCF">
          <w:fldChar w:fldCharType="end"/>
        </w:r>
      </w:hyperlink>
    </w:p>
    <w:p w14:paraId="24FEAB2F" w14:textId="77777777" w:rsidR="00823317" w:rsidRDefault="001D0AD2">
      <w:pPr>
        <w:pStyle w:val="Kazalovsebine5"/>
        <w:tabs>
          <w:tab w:val="end" w:leader="dot" w:pos="512pt"/>
        </w:tabs>
        <w:rPr>
          <w:rFonts w:ascii="Calibri" w:hAnsi="Calibri"/>
          <w:sz w:val="22"/>
        </w:rPr>
      </w:pPr>
      <w:hyperlink w:anchor="_Toc256001192" w:history="1">
        <w:r w:rsidR="00A77B3E">
          <w:rPr>
            <w:rStyle w:val="Hiperpovezava"/>
          </w:rPr>
          <w:t>Tabela 3: Kazalniki rezultatov</w:t>
        </w:r>
        <w:r w:rsidR="00B16CCF">
          <w:tab/>
        </w:r>
        <w:r w:rsidR="00B16CCF">
          <w:fldChar w:fldCharType="begin"/>
        </w:r>
        <w:r w:rsidR="00B16CCF">
          <w:instrText xml:space="preserve"> PAGEREF _Toc256001192 \h </w:instrText>
        </w:r>
        <w:r w:rsidR="00B16CCF">
          <w:fldChar w:fldCharType="separate"/>
        </w:r>
        <w:r w:rsidR="00B16CCF">
          <w:t>228</w:t>
        </w:r>
        <w:r w:rsidR="00B16CCF">
          <w:fldChar w:fldCharType="end"/>
        </w:r>
      </w:hyperlink>
    </w:p>
    <w:p w14:paraId="58F9F6BA" w14:textId="77777777" w:rsidR="00823317" w:rsidRDefault="001D0AD2">
      <w:pPr>
        <w:pStyle w:val="Kazalovsebine4"/>
        <w:tabs>
          <w:tab w:val="end" w:leader="dot" w:pos="512pt"/>
        </w:tabs>
        <w:rPr>
          <w:rFonts w:ascii="Calibri" w:hAnsi="Calibri"/>
          <w:sz w:val="22"/>
        </w:rPr>
      </w:pPr>
      <w:hyperlink w:anchor="_Toc256001193" w:history="1">
        <w:r w:rsidR="00A77B3E">
          <w:rPr>
            <w:rStyle w:val="Hiperpovezava"/>
          </w:rPr>
          <w:t>2.1.1.1.3. Okvirna razčlenitev načrtovanih sredstev (EU) glede na vrsto ukrepa</w:t>
        </w:r>
        <w:r w:rsidR="00B16CCF">
          <w:tab/>
        </w:r>
        <w:r w:rsidR="00B16CCF">
          <w:fldChar w:fldCharType="begin"/>
        </w:r>
        <w:r w:rsidR="00B16CCF">
          <w:instrText xml:space="preserve"> PAGEREF _Toc256001193 \h </w:instrText>
        </w:r>
        <w:r w:rsidR="00B16CCF">
          <w:fldChar w:fldCharType="separate"/>
        </w:r>
        <w:r w:rsidR="00B16CCF">
          <w:t>229</w:t>
        </w:r>
        <w:r w:rsidR="00B16CCF">
          <w:fldChar w:fldCharType="end"/>
        </w:r>
      </w:hyperlink>
    </w:p>
    <w:p w14:paraId="087B1072" w14:textId="77777777" w:rsidR="00823317" w:rsidRDefault="001D0AD2">
      <w:pPr>
        <w:pStyle w:val="Kazalovsebine5"/>
        <w:tabs>
          <w:tab w:val="end" w:leader="dot" w:pos="512pt"/>
        </w:tabs>
        <w:rPr>
          <w:rFonts w:ascii="Calibri" w:hAnsi="Calibri"/>
          <w:sz w:val="22"/>
        </w:rPr>
      </w:pPr>
      <w:hyperlink w:anchor="_Toc256001194" w:history="1">
        <w:r w:rsidR="00A77B3E">
          <w:rPr>
            <w:rStyle w:val="Hiperpovezava"/>
          </w:rPr>
          <w:t>Tabela 4: Razsežnost 1 – področje ukrepanja</w:t>
        </w:r>
        <w:r w:rsidR="00B16CCF">
          <w:tab/>
        </w:r>
        <w:r w:rsidR="00B16CCF">
          <w:fldChar w:fldCharType="begin"/>
        </w:r>
        <w:r w:rsidR="00B16CCF">
          <w:instrText xml:space="preserve"> PAGEREF _Toc256001194 \h </w:instrText>
        </w:r>
        <w:r w:rsidR="00B16CCF">
          <w:fldChar w:fldCharType="separate"/>
        </w:r>
        <w:r w:rsidR="00B16CCF">
          <w:t>229</w:t>
        </w:r>
        <w:r w:rsidR="00B16CCF">
          <w:fldChar w:fldCharType="end"/>
        </w:r>
      </w:hyperlink>
    </w:p>
    <w:p w14:paraId="743294D7" w14:textId="77777777" w:rsidR="00823317" w:rsidRDefault="001D0AD2">
      <w:pPr>
        <w:pStyle w:val="Kazalovsebine5"/>
        <w:tabs>
          <w:tab w:val="end" w:leader="dot" w:pos="512pt"/>
        </w:tabs>
        <w:rPr>
          <w:rFonts w:ascii="Calibri" w:hAnsi="Calibri"/>
          <w:sz w:val="22"/>
        </w:rPr>
      </w:pPr>
      <w:hyperlink w:anchor="_Toc256001195" w:history="1">
        <w:r w:rsidR="00A77B3E">
          <w:rPr>
            <w:rStyle w:val="Hiperpovezava"/>
          </w:rPr>
          <w:t>Tabela 5: Razsežnost 2 – oblika financiranja</w:t>
        </w:r>
        <w:r w:rsidR="00B16CCF">
          <w:tab/>
        </w:r>
        <w:r w:rsidR="00B16CCF">
          <w:fldChar w:fldCharType="begin"/>
        </w:r>
        <w:r w:rsidR="00B16CCF">
          <w:instrText xml:space="preserve"> PAGEREF _Toc256001195 \h </w:instrText>
        </w:r>
        <w:r w:rsidR="00B16CCF">
          <w:fldChar w:fldCharType="separate"/>
        </w:r>
        <w:r w:rsidR="00B16CCF">
          <w:t>229</w:t>
        </w:r>
        <w:r w:rsidR="00B16CCF">
          <w:fldChar w:fldCharType="end"/>
        </w:r>
      </w:hyperlink>
    </w:p>
    <w:p w14:paraId="5384FB7C" w14:textId="77777777" w:rsidR="00823317" w:rsidRDefault="001D0AD2">
      <w:pPr>
        <w:pStyle w:val="Kazalovsebine5"/>
        <w:tabs>
          <w:tab w:val="end" w:leader="dot" w:pos="512pt"/>
        </w:tabs>
        <w:rPr>
          <w:rFonts w:ascii="Calibri" w:hAnsi="Calibri"/>
          <w:sz w:val="22"/>
        </w:rPr>
      </w:pPr>
      <w:hyperlink w:anchor="_Toc256001196" w:history="1">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_Toc256001196 \h </w:instrText>
        </w:r>
        <w:r w:rsidR="00B16CCF">
          <w:fldChar w:fldCharType="separate"/>
        </w:r>
        <w:r w:rsidR="00B16CCF">
          <w:t>229</w:t>
        </w:r>
        <w:r w:rsidR="00B16CCF">
          <w:fldChar w:fldCharType="end"/>
        </w:r>
      </w:hyperlink>
    </w:p>
    <w:p w14:paraId="2FB095CC" w14:textId="77777777" w:rsidR="00823317" w:rsidRDefault="001D0AD2">
      <w:pPr>
        <w:pStyle w:val="Kazalovsebine5"/>
        <w:tabs>
          <w:tab w:val="end" w:leader="dot" w:pos="512pt"/>
        </w:tabs>
        <w:rPr>
          <w:rFonts w:ascii="Calibri" w:hAnsi="Calibri"/>
          <w:sz w:val="22"/>
        </w:rPr>
      </w:pPr>
      <w:hyperlink w:anchor="_Toc256001197" w:history="1">
        <w:r w:rsidR="00A77B3E">
          <w:rPr>
            <w:rStyle w:val="Hiperpovezava"/>
          </w:rPr>
          <w:t>Tabela 7: Razsežnost 6 – sekundarna področja ESS+</w:t>
        </w:r>
        <w:r w:rsidR="00B16CCF">
          <w:tab/>
        </w:r>
        <w:r w:rsidR="00B16CCF">
          <w:fldChar w:fldCharType="begin"/>
        </w:r>
        <w:r w:rsidR="00B16CCF">
          <w:instrText xml:space="preserve"> PAGEREF _Toc256001197 \h </w:instrText>
        </w:r>
        <w:r w:rsidR="00B16CCF">
          <w:fldChar w:fldCharType="separate"/>
        </w:r>
        <w:r w:rsidR="00B16CCF">
          <w:t>230</w:t>
        </w:r>
        <w:r w:rsidR="00B16CCF">
          <w:fldChar w:fldCharType="end"/>
        </w:r>
      </w:hyperlink>
    </w:p>
    <w:p w14:paraId="246F6D1B" w14:textId="77777777" w:rsidR="00823317" w:rsidRDefault="001D0AD2">
      <w:pPr>
        <w:pStyle w:val="Kazalovsebine5"/>
        <w:tabs>
          <w:tab w:val="end" w:leader="dot" w:pos="512pt"/>
        </w:tabs>
        <w:rPr>
          <w:rFonts w:ascii="Calibri" w:hAnsi="Calibri"/>
          <w:sz w:val="22"/>
        </w:rPr>
      </w:pPr>
      <w:hyperlink w:anchor="_Toc256001198" w:history="1">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_Toc256001198 \h </w:instrText>
        </w:r>
        <w:r w:rsidR="00B16CCF">
          <w:fldChar w:fldCharType="separate"/>
        </w:r>
        <w:r w:rsidR="00B16CCF">
          <w:t>230</w:t>
        </w:r>
        <w:r w:rsidR="00B16CCF">
          <w:fldChar w:fldCharType="end"/>
        </w:r>
      </w:hyperlink>
    </w:p>
    <w:p w14:paraId="61B96EE9" w14:textId="77777777" w:rsidR="00823317" w:rsidRDefault="001D0AD2">
      <w:pPr>
        <w:pStyle w:val="Kazalovsebine4"/>
        <w:tabs>
          <w:tab w:val="end" w:leader="dot" w:pos="512pt"/>
        </w:tabs>
        <w:rPr>
          <w:rFonts w:ascii="Calibri" w:hAnsi="Calibri"/>
          <w:sz w:val="22"/>
        </w:rPr>
      </w:pPr>
      <w:hyperlink w:anchor="_Toc256001199" w:history="1">
        <w:r w:rsidR="00A77B3E">
          <w:rPr>
            <w:rStyle w:val="Hiperpovezava"/>
          </w:rPr>
          <w:t>2.1.1.1. Specifični cilj: ESO4.2. Posodabljanje institucij in služb trga dela za oceno in predvidevanje potreb po veščinah ter zagotavljanje pravočasne in prilagojene pomoči in podpore pri usklajevanju ponudbe in povpraševanja na trgu dela, prehodih in mobilnosti (ESS+)</w:t>
        </w:r>
        <w:r w:rsidR="00B16CCF">
          <w:tab/>
        </w:r>
        <w:r w:rsidR="00B16CCF">
          <w:fldChar w:fldCharType="begin"/>
        </w:r>
        <w:r w:rsidR="00B16CCF">
          <w:instrText xml:space="preserve"> PAGEREF _Toc256001199 \h </w:instrText>
        </w:r>
        <w:r w:rsidR="00B16CCF">
          <w:fldChar w:fldCharType="separate"/>
        </w:r>
        <w:r w:rsidR="00B16CCF">
          <w:t>231</w:t>
        </w:r>
        <w:r w:rsidR="00B16CCF">
          <w:fldChar w:fldCharType="end"/>
        </w:r>
      </w:hyperlink>
    </w:p>
    <w:p w14:paraId="21E0D323" w14:textId="77777777" w:rsidR="00823317" w:rsidRDefault="001D0AD2">
      <w:pPr>
        <w:pStyle w:val="Kazalovsebine4"/>
        <w:tabs>
          <w:tab w:val="end" w:leader="dot" w:pos="512pt"/>
        </w:tabs>
        <w:rPr>
          <w:rFonts w:ascii="Calibri" w:hAnsi="Calibri"/>
          <w:sz w:val="22"/>
        </w:rPr>
      </w:pPr>
      <w:hyperlink w:anchor="_Toc256001200" w:history="1">
        <w:r w:rsidR="00A77B3E">
          <w:rPr>
            <w:rStyle w:val="Hiperpovezava"/>
          </w:rPr>
          <w:t>2.1.1.1.1. Ukrepi skladov</w:t>
        </w:r>
        <w:r w:rsidR="00B16CCF">
          <w:tab/>
        </w:r>
        <w:r w:rsidR="00B16CCF">
          <w:fldChar w:fldCharType="begin"/>
        </w:r>
        <w:r w:rsidR="00B16CCF">
          <w:instrText xml:space="preserve"> PAGEREF _Toc256001200 \h </w:instrText>
        </w:r>
        <w:r w:rsidR="00B16CCF">
          <w:fldChar w:fldCharType="separate"/>
        </w:r>
        <w:r w:rsidR="00B16CCF">
          <w:t>231</w:t>
        </w:r>
        <w:r w:rsidR="00B16CCF">
          <w:fldChar w:fldCharType="end"/>
        </w:r>
      </w:hyperlink>
    </w:p>
    <w:p w14:paraId="4910AE2C" w14:textId="77777777" w:rsidR="00823317" w:rsidRDefault="001D0AD2">
      <w:pPr>
        <w:pStyle w:val="Kazalovsebine5"/>
        <w:tabs>
          <w:tab w:val="end" w:leader="dot" w:pos="512pt"/>
        </w:tabs>
        <w:rPr>
          <w:rFonts w:ascii="Calibri" w:hAnsi="Calibri"/>
          <w:sz w:val="22"/>
        </w:rPr>
      </w:pPr>
      <w:hyperlink w:anchor="_Toc256001201" w:history="1">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_Toc256001201 \h </w:instrText>
        </w:r>
        <w:r w:rsidR="00B16CCF">
          <w:fldChar w:fldCharType="separate"/>
        </w:r>
        <w:r w:rsidR="00B16CCF">
          <w:t>231</w:t>
        </w:r>
        <w:r w:rsidR="00B16CCF">
          <w:fldChar w:fldCharType="end"/>
        </w:r>
      </w:hyperlink>
    </w:p>
    <w:p w14:paraId="1FF69A43" w14:textId="77777777" w:rsidR="00823317" w:rsidRDefault="001D0AD2">
      <w:pPr>
        <w:pStyle w:val="Kazalovsebine5"/>
        <w:tabs>
          <w:tab w:val="end" w:leader="dot" w:pos="512pt"/>
        </w:tabs>
        <w:rPr>
          <w:rFonts w:ascii="Calibri" w:hAnsi="Calibri"/>
          <w:sz w:val="22"/>
        </w:rPr>
      </w:pPr>
      <w:hyperlink w:anchor="_Toc256001202" w:history="1">
        <w:r w:rsidR="00A77B3E">
          <w:rPr>
            <w:rStyle w:val="Hiperpovezava"/>
          </w:rPr>
          <w:t>Glavne ciljne skupine – člen 22(3)(d)(iii) uredbe o skupnih določbah:</w:t>
        </w:r>
        <w:r w:rsidR="00B16CCF">
          <w:tab/>
        </w:r>
        <w:r w:rsidR="00B16CCF">
          <w:fldChar w:fldCharType="begin"/>
        </w:r>
        <w:r w:rsidR="00B16CCF">
          <w:instrText xml:space="preserve"> PAGEREF _Toc256001202 \h </w:instrText>
        </w:r>
        <w:r w:rsidR="00B16CCF">
          <w:fldChar w:fldCharType="separate"/>
        </w:r>
        <w:r w:rsidR="00B16CCF">
          <w:t>232</w:t>
        </w:r>
        <w:r w:rsidR="00B16CCF">
          <w:fldChar w:fldCharType="end"/>
        </w:r>
      </w:hyperlink>
    </w:p>
    <w:p w14:paraId="5288D2BB" w14:textId="77777777" w:rsidR="00823317" w:rsidRDefault="001D0AD2">
      <w:pPr>
        <w:pStyle w:val="Kazalovsebine5"/>
        <w:tabs>
          <w:tab w:val="end" w:leader="dot" w:pos="512pt"/>
        </w:tabs>
        <w:rPr>
          <w:rFonts w:ascii="Calibri" w:hAnsi="Calibri"/>
          <w:sz w:val="22"/>
        </w:rPr>
      </w:pPr>
      <w:hyperlink w:anchor="_Toc256001203" w:history="1">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_Toc256001203 \h </w:instrText>
        </w:r>
        <w:r w:rsidR="00B16CCF">
          <w:fldChar w:fldCharType="separate"/>
        </w:r>
        <w:r w:rsidR="00B16CCF">
          <w:t>232</w:t>
        </w:r>
        <w:r w:rsidR="00B16CCF">
          <w:fldChar w:fldCharType="end"/>
        </w:r>
      </w:hyperlink>
    </w:p>
    <w:p w14:paraId="66093A54" w14:textId="77777777" w:rsidR="00823317" w:rsidRDefault="001D0AD2">
      <w:pPr>
        <w:pStyle w:val="Kazalovsebine5"/>
        <w:tabs>
          <w:tab w:val="end" w:leader="dot" w:pos="512pt"/>
        </w:tabs>
        <w:rPr>
          <w:rFonts w:ascii="Calibri" w:hAnsi="Calibri"/>
          <w:sz w:val="22"/>
        </w:rPr>
      </w:pPr>
      <w:hyperlink w:anchor="_Toc256001204" w:history="1">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_Toc256001204 \h </w:instrText>
        </w:r>
        <w:r w:rsidR="00B16CCF">
          <w:fldChar w:fldCharType="separate"/>
        </w:r>
        <w:r w:rsidR="00B16CCF">
          <w:t>233</w:t>
        </w:r>
        <w:r w:rsidR="00B16CCF">
          <w:fldChar w:fldCharType="end"/>
        </w:r>
      </w:hyperlink>
    </w:p>
    <w:p w14:paraId="0B0FA606" w14:textId="77777777" w:rsidR="00823317" w:rsidRDefault="001D0AD2">
      <w:pPr>
        <w:pStyle w:val="Kazalovsebine5"/>
        <w:tabs>
          <w:tab w:val="end" w:leader="dot" w:pos="512pt"/>
        </w:tabs>
        <w:rPr>
          <w:rFonts w:ascii="Calibri" w:hAnsi="Calibri"/>
          <w:sz w:val="22"/>
        </w:rPr>
      </w:pPr>
      <w:hyperlink w:anchor="_Toc256001205" w:history="1">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_Toc256001205 \h </w:instrText>
        </w:r>
        <w:r w:rsidR="00B16CCF">
          <w:fldChar w:fldCharType="separate"/>
        </w:r>
        <w:r w:rsidR="00B16CCF">
          <w:t>233</w:t>
        </w:r>
        <w:r w:rsidR="00B16CCF">
          <w:fldChar w:fldCharType="end"/>
        </w:r>
      </w:hyperlink>
    </w:p>
    <w:p w14:paraId="7260F12B" w14:textId="77777777" w:rsidR="00823317" w:rsidRDefault="001D0AD2">
      <w:pPr>
        <w:pStyle w:val="Kazalovsebine5"/>
        <w:tabs>
          <w:tab w:val="end" w:leader="dot" w:pos="512pt"/>
        </w:tabs>
        <w:rPr>
          <w:rFonts w:ascii="Calibri" w:hAnsi="Calibri"/>
          <w:sz w:val="22"/>
        </w:rPr>
      </w:pPr>
      <w:hyperlink w:anchor="_Toc256001206" w:history="1">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_Toc256001206 \h </w:instrText>
        </w:r>
        <w:r w:rsidR="00B16CCF">
          <w:fldChar w:fldCharType="separate"/>
        </w:r>
        <w:r w:rsidR="00B16CCF">
          <w:t>233</w:t>
        </w:r>
        <w:r w:rsidR="00B16CCF">
          <w:fldChar w:fldCharType="end"/>
        </w:r>
      </w:hyperlink>
    </w:p>
    <w:p w14:paraId="0C10F948" w14:textId="77777777" w:rsidR="00823317" w:rsidRDefault="001D0AD2">
      <w:pPr>
        <w:pStyle w:val="Kazalovsebine4"/>
        <w:tabs>
          <w:tab w:val="end" w:leader="dot" w:pos="512pt"/>
        </w:tabs>
        <w:rPr>
          <w:rFonts w:ascii="Calibri" w:hAnsi="Calibri"/>
          <w:sz w:val="22"/>
        </w:rPr>
      </w:pPr>
      <w:hyperlink w:anchor="_Toc256001207" w:history="1">
        <w:r w:rsidR="00A77B3E">
          <w:rPr>
            <w:rStyle w:val="Hiperpovezava"/>
          </w:rPr>
          <w:t>2.1.1.1.2. Kazalniki</w:t>
        </w:r>
        <w:r w:rsidR="00B16CCF">
          <w:tab/>
        </w:r>
        <w:r w:rsidR="00B16CCF">
          <w:fldChar w:fldCharType="begin"/>
        </w:r>
        <w:r w:rsidR="00B16CCF">
          <w:instrText xml:space="preserve"> PAGEREF _Toc256001207 \h </w:instrText>
        </w:r>
        <w:r w:rsidR="00B16CCF">
          <w:fldChar w:fldCharType="separate"/>
        </w:r>
        <w:r w:rsidR="00B16CCF">
          <w:t>234</w:t>
        </w:r>
        <w:r w:rsidR="00B16CCF">
          <w:fldChar w:fldCharType="end"/>
        </w:r>
      </w:hyperlink>
    </w:p>
    <w:p w14:paraId="0237FFF9" w14:textId="77777777" w:rsidR="00823317" w:rsidRDefault="001D0AD2">
      <w:pPr>
        <w:pStyle w:val="Kazalovsebine5"/>
        <w:tabs>
          <w:tab w:val="end" w:leader="dot" w:pos="512pt"/>
        </w:tabs>
        <w:rPr>
          <w:rFonts w:ascii="Calibri" w:hAnsi="Calibri"/>
          <w:sz w:val="22"/>
        </w:rPr>
      </w:pPr>
      <w:hyperlink w:anchor="_Toc256001208" w:history="1">
        <w:r w:rsidR="00A77B3E">
          <w:rPr>
            <w:rStyle w:val="Hiperpovezava"/>
          </w:rPr>
          <w:t>Tabela 2: Kazalniki učinka</w:t>
        </w:r>
        <w:r w:rsidR="00B16CCF">
          <w:tab/>
        </w:r>
        <w:r w:rsidR="00B16CCF">
          <w:fldChar w:fldCharType="begin"/>
        </w:r>
        <w:r w:rsidR="00B16CCF">
          <w:instrText xml:space="preserve"> PAGEREF _Toc256001208 \h </w:instrText>
        </w:r>
        <w:r w:rsidR="00B16CCF">
          <w:fldChar w:fldCharType="separate"/>
        </w:r>
        <w:r w:rsidR="00B16CCF">
          <w:t>234</w:t>
        </w:r>
        <w:r w:rsidR="00B16CCF">
          <w:fldChar w:fldCharType="end"/>
        </w:r>
      </w:hyperlink>
    </w:p>
    <w:p w14:paraId="3963AB81" w14:textId="77777777" w:rsidR="00823317" w:rsidRDefault="001D0AD2">
      <w:pPr>
        <w:pStyle w:val="Kazalovsebine5"/>
        <w:tabs>
          <w:tab w:val="end" w:leader="dot" w:pos="512pt"/>
        </w:tabs>
        <w:rPr>
          <w:rFonts w:ascii="Calibri" w:hAnsi="Calibri"/>
          <w:sz w:val="22"/>
        </w:rPr>
      </w:pPr>
      <w:hyperlink w:anchor="_Toc256001209" w:history="1">
        <w:r w:rsidR="00A77B3E">
          <w:rPr>
            <w:rStyle w:val="Hiperpovezava"/>
          </w:rPr>
          <w:t>Tabela 3: Kazalniki rezultatov</w:t>
        </w:r>
        <w:r w:rsidR="00B16CCF">
          <w:tab/>
        </w:r>
        <w:r w:rsidR="00B16CCF">
          <w:fldChar w:fldCharType="begin"/>
        </w:r>
        <w:r w:rsidR="00B16CCF">
          <w:instrText xml:space="preserve"> PAGEREF _Toc256001209 \h </w:instrText>
        </w:r>
        <w:r w:rsidR="00B16CCF">
          <w:fldChar w:fldCharType="separate"/>
        </w:r>
        <w:r w:rsidR="00B16CCF">
          <w:t>234</w:t>
        </w:r>
        <w:r w:rsidR="00B16CCF">
          <w:fldChar w:fldCharType="end"/>
        </w:r>
      </w:hyperlink>
    </w:p>
    <w:p w14:paraId="3FB7489C" w14:textId="77777777" w:rsidR="00823317" w:rsidRDefault="001D0AD2">
      <w:pPr>
        <w:pStyle w:val="Kazalovsebine4"/>
        <w:tabs>
          <w:tab w:val="end" w:leader="dot" w:pos="512pt"/>
        </w:tabs>
        <w:rPr>
          <w:rFonts w:ascii="Calibri" w:hAnsi="Calibri"/>
          <w:sz w:val="22"/>
        </w:rPr>
      </w:pPr>
      <w:hyperlink w:anchor="_Toc256001210" w:history="1">
        <w:r w:rsidR="00A77B3E">
          <w:rPr>
            <w:rStyle w:val="Hiperpovezava"/>
          </w:rPr>
          <w:t>2.1.1.1.3. Okvirna razčlenitev načrtovanih sredstev (EU) glede na vrsto ukrepa</w:t>
        </w:r>
        <w:r w:rsidR="00B16CCF">
          <w:tab/>
        </w:r>
        <w:r w:rsidR="00B16CCF">
          <w:fldChar w:fldCharType="begin"/>
        </w:r>
        <w:r w:rsidR="00B16CCF">
          <w:instrText xml:space="preserve"> PAGEREF _Toc256001210 \h </w:instrText>
        </w:r>
        <w:r w:rsidR="00B16CCF">
          <w:fldChar w:fldCharType="separate"/>
        </w:r>
        <w:r w:rsidR="00B16CCF">
          <w:t>234</w:t>
        </w:r>
        <w:r w:rsidR="00B16CCF">
          <w:fldChar w:fldCharType="end"/>
        </w:r>
      </w:hyperlink>
    </w:p>
    <w:p w14:paraId="756963DB" w14:textId="77777777" w:rsidR="00823317" w:rsidRDefault="001D0AD2">
      <w:pPr>
        <w:pStyle w:val="Kazalovsebine5"/>
        <w:tabs>
          <w:tab w:val="end" w:leader="dot" w:pos="512pt"/>
        </w:tabs>
        <w:rPr>
          <w:rFonts w:ascii="Calibri" w:hAnsi="Calibri"/>
          <w:sz w:val="22"/>
        </w:rPr>
      </w:pPr>
      <w:hyperlink w:anchor="_Toc256001211" w:history="1">
        <w:r w:rsidR="00A77B3E">
          <w:rPr>
            <w:rStyle w:val="Hiperpovezava"/>
          </w:rPr>
          <w:t>Tabela 4: Razsežnost 1 – področje ukrepanja</w:t>
        </w:r>
        <w:r w:rsidR="00B16CCF">
          <w:tab/>
        </w:r>
        <w:r w:rsidR="00B16CCF">
          <w:fldChar w:fldCharType="begin"/>
        </w:r>
        <w:r w:rsidR="00B16CCF">
          <w:instrText xml:space="preserve"> PAGEREF _Toc256001211 \h </w:instrText>
        </w:r>
        <w:r w:rsidR="00B16CCF">
          <w:fldChar w:fldCharType="separate"/>
        </w:r>
        <w:r w:rsidR="00B16CCF">
          <w:t>234</w:t>
        </w:r>
        <w:r w:rsidR="00B16CCF">
          <w:fldChar w:fldCharType="end"/>
        </w:r>
      </w:hyperlink>
    </w:p>
    <w:p w14:paraId="6728CAEF" w14:textId="77777777" w:rsidR="00823317" w:rsidRDefault="001D0AD2">
      <w:pPr>
        <w:pStyle w:val="Kazalovsebine5"/>
        <w:tabs>
          <w:tab w:val="end" w:leader="dot" w:pos="512pt"/>
        </w:tabs>
        <w:rPr>
          <w:rFonts w:ascii="Calibri" w:hAnsi="Calibri"/>
          <w:sz w:val="22"/>
        </w:rPr>
      </w:pPr>
      <w:hyperlink w:anchor="_Toc256001212" w:history="1">
        <w:r w:rsidR="00A77B3E">
          <w:rPr>
            <w:rStyle w:val="Hiperpovezava"/>
          </w:rPr>
          <w:t>Tabela 5: Razsežnost 2 – oblika financiranja</w:t>
        </w:r>
        <w:r w:rsidR="00B16CCF">
          <w:tab/>
        </w:r>
        <w:r w:rsidR="00B16CCF">
          <w:fldChar w:fldCharType="begin"/>
        </w:r>
        <w:r w:rsidR="00B16CCF">
          <w:instrText xml:space="preserve"> PAGEREF _Toc256001212 \h </w:instrText>
        </w:r>
        <w:r w:rsidR="00B16CCF">
          <w:fldChar w:fldCharType="separate"/>
        </w:r>
        <w:r w:rsidR="00B16CCF">
          <w:t>235</w:t>
        </w:r>
        <w:r w:rsidR="00B16CCF">
          <w:fldChar w:fldCharType="end"/>
        </w:r>
      </w:hyperlink>
    </w:p>
    <w:p w14:paraId="22FE0EC3" w14:textId="77777777" w:rsidR="00823317" w:rsidRDefault="001D0AD2">
      <w:pPr>
        <w:pStyle w:val="Kazalovsebine5"/>
        <w:tabs>
          <w:tab w:val="end" w:leader="dot" w:pos="512pt"/>
        </w:tabs>
        <w:rPr>
          <w:rFonts w:ascii="Calibri" w:hAnsi="Calibri"/>
          <w:sz w:val="22"/>
        </w:rPr>
      </w:pPr>
      <w:hyperlink w:anchor="_Toc256001213" w:history="1">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_Toc256001213 \h </w:instrText>
        </w:r>
        <w:r w:rsidR="00B16CCF">
          <w:fldChar w:fldCharType="separate"/>
        </w:r>
        <w:r w:rsidR="00B16CCF">
          <w:t>235</w:t>
        </w:r>
        <w:r w:rsidR="00B16CCF">
          <w:fldChar w:fldCharType="end"/>
        </w:r>
      </w:hyperlink>
    </w:p>
    <w:p w14:paraId="078923D0" w14:textId="77777777" w:rsidR="00823317" w:rsidRDefault="001D0AD2">
      <w:pPr>
        <w:pStyle w:val="Kazalovsebine5"/>
        <w:tabs>
          <w:tab w:val="end" w:leader="dot" w:pos="512pt"/>
        </w:tabs>
        <w:rPr>
          <w:rFonts w:ascii="Calibri" w:hAnsi="Calibri"/>
          <w:sz w:val="22"/>
        </w:rPr>
      </w:pPr>
      <w:hyperlink w:anchor="_Toc256001214" w:history="1">
        <w:r w:rsidR="00A77B3E">
          <w:rPr>
            <w:rStyle w:val="Hiperpovezava"/>
          </w:rPr>
          <w:t>Tabela 7: Razsežnost 6 – sekundarna področja ESS+</w:t>
        </w:r>
        <w:r w:rsidR="00B16CCF">
          <w:tab/>
        </w:r>
        <w:r w:rsidR="00B16CCF">
          <w:fldChar w:fldCharType="begin"/>
        </w:r>
        <w:r w:rsidR="00B16CCF">
          <w:instrText xml:space="preserve"> PAGEREF _Toc256001214 \h </w:instrText>
        </w:r>
        <w:r w:rsidR="00B16CCF">
          <w:fldChar w:fldCharType="separate"/>
        </w:r>
        <w:r w:rsidR="00B16CCF">
          <w:t>235</w:t>
        </w:r>
        <w:r w:rsidR="00B16CCF">
          <w:fldChar w:fldCharType="end"/>
        </w:r>
      </w:hyperlink>
    </w:p>
    <w:p w14:paraId="332F954A" w14:textId="77777777" w:rsidR="00823317" w:rsidRDefault="001D0AD2">
      <w:pPr>
        <w:pStyle w:val="Kazalovsebine5"/>
        <w:tabs>
          <w:tab w:val="end" w:leader="dot" w:pos="512pt"/>
        </w:tabs>
        <w:rPr>
          <w:rFonts w:ascii="Calibri" w:hAnsi="Calibri"/>
          <w:sz w:val="22"/>
        </w:rPr>
      </w:pPr>
      <w:hyperlink w:anchor="_Toc256001215" w:history="1">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_Toc256001215 \h </w:instrText>
        </w:r>
        <w:r w:rsidR="00B16CCF">
          <w:fldChar w:fldCharType="separate"/>
        </w:r>
        <w:r w:rsidR="00B16CCF">
          <w:t>235</w:t>
        </w:r>
        <w:r w:rsidR="00B16CCF">
          <w:fldChar w:fldCharType="end"/>
        </w:r>
      </w:hyperlink>
    </w:p>
    <w:p w14:paraId="437F1099" w14:textId="77777777" w:rsidR="00823317" w:rsidRDefault="001D0AD2">
      <w:pPr>
        <w:pStyle w:val="Kazalovsebine4"/>
        <w:tabs>
          <w:tab w:val="end" w:leader="dot" w:pos="512pt"/>
        </w:tabs>
        <w:rPr>
          <w:rFonts w:ascii="Calibri" w:hAnsi="Calibri"/>
          <w:sz w:val="22"/>
        </w:rPr>
      </w:pPr>
      <w:hyperlink w:anchor="_Toc256001216" w:history="1">
        <w:r w:rsidR="00A77B3E">
          <w:rPr>
            <w:rStyle w:val="Hiperpovezava"/>
          </w:rPr>
          <w:t>2.1.1.1. Specifični cilj: ESO4.4. Spodbujanje prilagajanja delavcev, podjetij in podjetnikov na spremembe, aktivnega in zdravega staranja ter zdravega in dobro prilagojenega delovnega okolja, ki obravnava tveganja za zdravje (ESS+)</w:t>
        </w:r>
        <w:r w:rsidR="00B16CCF">
          <w:tab/>
        </w:r>
        <w:r w:rsidR="00B16CCF">
          <w:fldChar w:fldCharType="begin"/>
        </w:r>
        <w:r w:rsidR="00B16CCF">
          <w:instrText xml:space="preserve"> PAGEREF _Toc256001216 \h </w:instrText>
        </w:r>
        <w:r w:rsidR="00B16CCF">
          <w:fldChar w:fldCharType="separate"/>
        </w:r>
        <w:r w:rsidR="00B16CCF">
          <w:t>237</w:t>
        </w:r>
        <w:r w:rsidR="00B16CCF">
          <w:fldChar w:fldCharType="end"/>
        </w:r>
      </w:hyperlink>
    </w:p>
    <w:p w14:paraId="7CAC99D1" w14:textId="77777777" w:rsidR="00823317" w:rsidRDefault="001D0AD2">
      <w:pPr>
        <w:pStyle w:val="Kazalovsebine4"/>
        <w:tabs>
          <w:tab w:val="end" w:leader="dot" w:pos="512pt"/>
        </w:tabs>
        <w:rPr>
          <w:rFonts w:ascii="Calibri" w:hAnsi="Calibri"/>
          <w:sz w:val="22"/>
        </w:rPr>
      </w:pPr>
      <w:hyperlink w:anchor="_Toc256001217" w:history="1">
        <w:r w:rsidR="00A77B3E">
          <w:rPr>
            <w:rStyle w:val="Hiperpovezava"/>
          </w:rPr>
          <w:t>2.1.1.1.1. Ukrepi skladov</w:t>
        </w:r>
        <w:r w:rsidR="00B16CCF">
          <w:tab/>
        </w:r>
        <w:r w:rsidR="00B16CCF">
          <w:fldChar w:fldCharType="begin"/>
        </w:r>
        <w:r w:rsidR="00B16CCF">
          <w:instrText xml:space="preserve"> PAGEREF _Toc256001217 \h </w:instrText>
        </w:r>
        <w:r w:rsidR="00B16CCF">
          <w:fldChar w:fldCharType="separate"/>
        </w:r>
        <w:r w:rsidR="00B16CCF">
          <w:t>237</w:t>
        </w:r>
        <w:r w:rsidR="00B16CCF">
          <w:fldChar w:fldCharType="end"/>
        </w:r>
      </w:hyperlink>
    </w:p>
    <w:p w14:paraId="0495D7C6" w14:textId="77777777" w:rsidR="00823317" w:rsidRDefault="001D0AD2">
      <w:pPr>
        <w:pStyle w:val="Kazalovsebine5"/>
        <w:tabs>
          <w:tab w:val="end" w:leader="dot" w:pos="512pt"/>
        </w:tabs>
        <w:rPr>
          <w:rFonts w:ascii="Calibri" w:hAnsi="Calibri"/>
          <w:sz w:val="22"/>
        </w:rPr>
      </w:pPr>
      <w:hyperlink w:anchor="_Toc256001218" w:history="1">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_Toc256001218 \h </w:instrText>
        </w:r>
        <w:r w:rsidR="00B16CCF">
          <w:fldChar w:fldCharType="separate"/>
        </w:r>
        <w:r w:rsidR="00B16CCF">
          <w:t>237</w:t>
        </w:r>
        <w:r w:rsidR="00B16CCF">
          <w:fldChar w:fldCharType="end"/>
        </w:r>
      </w:hyperlink>
    </w:p>
    <w:p w14:paraId="03836953" w14:textId="77777777" w:rsidR="00823317" w:rsidRDefault="001D0AD2">
      <w:pPr>
        <w:pStyle w:val="Kazalovsebine5"/>
        <w:tabs>
          <w:tab w:val="end" w:leader="dot" w:pos="512pt"/>
        </w:tabs>
        <w:rPr>
          <w:rFonts w:ascii="Calibri" w:hAnsi="Calibri"/>
          <w:sz w:val="22"/>
        </w:rPr>
      </w:pPr>
      <w:hyperlink w:anchor="_Toc256001219" w:history="1">
        <w:r w:rsidR="00A77B3E">
          <w:rPr>
            <w:rStyle w:val="Hiperpovezava"/>
          </w:rPr>
          <w:t>Glavne ciljne skupine – člen 22(3)(d)(iii) uredbe o skupnih določbah:</w:t>
        </w:r>
        <w:r w:rsidR="00B16CCF">
          <w:tab/>
        </w:r>
        <w:r w:rsidR="00B16CCF">
          <w:fldChar w:fldCharType="begin"/>
        </w:r>
        <w:r w:rsidR="00B16CCF">
          <w:instrText xml:space="preserve"> PAGEREF _Toc256001219 \h </w:instrText>
        </w:r>
        <w:r w:rsidR="00B16CCF">
          <w:fldChar w:fldCharType="separate"/>
        </w:r>
        <w:r w:rsidR="00B16CCF">
          <w:t>239</w:t>
        </w:r>
        <w:r w:rsidR="00B16CCF">
          <w:fldChar w:fldCharType="end"/>
        </w:r>
      </w:hyperlink>
    </w:p>
    <w:p w14:paraId="636C56F0" w14:textId="77777777" w:rsidR="00823317" w:rsidRDefault="001D0AD2">
      <w:pPr>
        <w:pStyle w:val="Kazalovsebine5"/>
        <w:tabs>
          <w:tab w:val="end" w:leader="dot" w:pos="512pt"/>
        </w:tabs>
        <w:rPr>
          <w:rFonts w:ascii="Calibri" w:hAnsi="Calibri"/>
          <w:sz w:val="22"/>
        </w:rPr>
      </w:pPr>
      <w:hyperlink w:anchor="_Toc256001220" w:history="1">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_Toc256001220 \h </w:instrText>
        </w:r>
        <w:r w:rsidR="00B16CCF">
          <w:fldChar w:fldCharType="separate"/>
        </w:r>
        <w:r w:rsidR="00B16CCF">
          <w:t>239</w:t>
        </w:r>
        <w:r w:rsidR="00B16CCF">
          <w:fldChar w:fldCharType="end"/>
        </w:r>
      </w:hyperlink>
    </w:p>
    <w:p w14:paraId="4E502175" w14:textId="77777777" w:rsidR="00823317" w:rsidRDefault="001D0AD2">
      <w:pPr>
        <w:pStyle w:val="Kazalovsebine5"/>
        <w:tabs>
          <w:tab w:val="end" w:leader="dot" w:pos="512pt"/>
        </w:tabs>
        <w:rPr>
          <w:rFonts w:ascii="Calibri" w:hAnsi="Calibri"/>
          <w:sz w:val="22"/>
        </w:rPr>
      </w:pPr>
      <w:hyperlink w:anchor="_Toc256001221" w:history="1">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_Toc256001221 \h </w:instrText>
        </w:r>
        <w:r w:rsidR="00B16CCF">
          <w:fldChar w:fldCharType="separate"/>
        </w:r>
        <w:r w:rsidR="00B16CCF">
          <w:t>240</w:t>
        </w:r>
        <w:r w:rsidR="00B16CCF">
          <w:fldChar w:fldCharType="end"/>
        </w:r>
      </w:hyperlink>
    </w:p>
    <w:p w14:paraId="73207166" w14:textId="77777777" w:rsidR="00823317" w:rsidRDefault="001D0AD2">
      <w:pPr>
        <w:pStyle w:val="Kazalovsebine5"/>
        <w:tabs>
          <w:tab w:val="end" w:leader="dot" w:pos="512pt"/>
        </w:tabs>
        <w:rPr>
          <w:rFonts w:ascii="Calibri" w:hAnsi="Calibri"/>
          <w:sz w:val="22"/>
        </w:rPr>
      </w:pPr>
      <w:hyperlink w:anchor="_Toc256001222" w:history="1">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_Toc256001222 \h </w:instrText>
        </w:r>
        <w:r w:rsidR="00B16CCF">
          <w:fldChar w:fldCharType="separate"/>
        </w:r>
        <w:r w:rsidR="00B16CCF">
          <w:t>240</w:t>
        </w:r>
        <w:r w:rsidR="00B16CCF">
          <w:fldChar w:fldCharType="end"/>
        </w:r>
      </w:hyperlink>
    </w:p>
    <w:p w14:paraId="3EAB4579" w14:textId="77777777" w:rsidR="00823317" w:rsidRDefault="001D0AD2">
      <w:pPr>
        <w:pStyle w:val="Kazalovsebine5"/>
        <w:tabs>
          <w:tab w:val="end" w:leader="dot" w:pos="512pt"/>
        </w:tabs>
        <w:rPr>
          <w:rFonts w:ascii="Calibri" w:hAnsi="Calibri"/>
          <w:sz w:val="22"/>
        </w:rPr>
      </w:pPr>
      <w:hyperlink w:anchor="_Toc256001223" w:history="1">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_Toc256001223 \h </w:instrText>
        </w:r>
        <w:r w:rsidR="00B16CCF">
          <w:fldChar w:fldCharType="separate"/>
        </w:r>
        <w:r w:rsidR="00B16CCF">
          <w:t>240</w:t>
        </w:r>
        <w:r w:rsidR="00B16CCF">
          <w:fldChar w:fldCharType="end"/>
        </w:r>
      </w:hyperlink>
    </w:p>
    <w:p w14:paraId="4B9510B1" w14:textId="77777777" w:rsidR="00823317" w:rsidRDefault="001D0AD2">
      <w:pPr>
        <w:pStyle w:val="Kazalovsebine4"/>
        <w:tabs>
          <w:tab w:val="end" w:leader="dot" w:pos="512pt"/>
        </w:tabs>
        <w:rPr>
          <w:rFonts w:ascii="Calibri" w:hAnsi="Calibri"/>
          <w:sz w:val="22"/>
        </w:rPr>
      </w:pPr>
      <w:hyperlink w:anchor="_Toc256001224" w:history="1">
        <w:r w:rsidR="00A77B3E">
          <w:rPr>
            <w:rStyle w:val="Hiperpovezava"/>
          </w:rPr>
          <w:t>2.1.1.1.2. Kazalniki</w:t>
        </w:r>
        <w:r w:rsidR="00B16CCF">
          <w:tab/>
        </w:r>
        <w:r w:rsidR="00B16CCF">
          <w:fldChar w:fldCharType="begin"/>
        </w:r>
        <w:r w:rsidR="00B16CCF">
          <w:instrText xml:space="preserve"> PAGEREF _Toc256001224 \h </w:instrText>
        </w:r>
        <w:r w:rsidR="00B16CCF">
          <w:fldChar w:fldCharType="separate"/>
        </w:r>
        <w:r w:rsidR="00B16CCF">
          <w:t>240</w:t>
        </w:r>
        <w:r w:rsidR="00B16CCF">
          <w:fldChar w:fldCharType="end"/>
        </w:r>
      </w:hyperlink>
    </w:p>
    <w:p w14:paraId="30AE390F" w14:textId="77777777" w:rsidR="00823317" w:rsidRDefault="001D0AD2">
      <w:pPr>
        <w:pStyle w:val="Kazalovsebine5"/>
        <w:tabs>
          <w:tab w:val="end" w:leader="dot" w:pos="512pt"/>
        </w:tabs>
        <w:rPr>
          <w:rFonts w:ascii="Calibri" w:hAnsi="Calibri"/>
          <w:sz w:val="22"/>
        </w:rPr>
      </w:pPr>
      <w:hyperlink w:anchor="_Toc256001225" w:history="1">
        <w:r w:rsidR="00A77B3E">
          <w:rPr>
            <w:rStyle w:val="Hiperpovezava"/>
          </w:rPr>
          <w:t>Tabela 2: Kazalniki učinka</w:t>
        </w:r>
        <w:r w:rsidR="00B16CCF">
          <w:tab/>
        </w:r>
        <w:r w:rsidR="00B16CCF">
          <w:fldChar w:fldCharType="begin"/>
        </w:r>
        <w:r w:rsidR="00B16CCF">
          <w:instrText xml:space="preserve"> PAGEREF _Toc256001225 \h </w:instrText>
        </w:r>
        <w:r w:rsidR="00B16CCF">
          <w:fldChar w:fldCharType="separate"/>
        </w:r>
        <w:r w:rsidR="00B16CCF">
          <w:t>241</w:t>
        </w:r>
        <w:r w:rsidR="00B16CCF">
          <w:fldChar w:fldCharType="end"/>
        </w:r>
      </w:hyperlink>
    </w:p>
    <w:p w14:paraId="26CFB75D" w14:textId="77777777" w:rsidR="00823317" w:rsidRDefault="001D0AD2">
      <w:pPr>
        <w:pStyle w:val="Kazalovsebine5"/>
        <w:tabs>
          <w:tab w:val="end" w:leader="dot" w:pos="512pt"/>
        </w:tabs>
        <w:rPr>
          <w:rFonts w:ascii="Calibri" w:hAnsi="Calibri"/>
          <w:sz w:val="22"/>
        </w:rPr>
      </w:pPr>
      <w:hyperlink w:anchor="_Toc256001226" w:history="1">
        <w:r w:rsidR="00A77B3E">
          <w:rPr>
            <w:rStyle w:val="Hiperpovezava"/>
          </w:rPr>
          <w:t>Tabela 3: Kazalniki rezultatov</w:t>
        </w:r>
        <w:r w:rsidR="00B16CCF">
          <w:tab/>
        </w:r>
        <w:r w:rsidR="00B16CCF">
          <w:fldChar w:fldCharType="begin"/>
        </w:r>
        <w:r w:rsidR="00B16CCF">
          <w:instrText xml:space="preserve"> PAGEREF _Toc256001226 \h </w:instrText>
        </w:r>
        <w:r w:rsidR="00B16CCF">
          <w:fldChar w:fldCharType="separate"/>
        </w:r>
        <w:r w:rsidR="00B16CCF">
          <w:t>241</w:t>
        </w:r>
        <w:r w:rsidR="00B16CCF">
          <w:fldChar w:fldCharType="end"/>
        </w:r>
      </w:hyperlink>
    </w:p>
    <w:p w14:paraId="09BA2622" w14:textId="77777777" w:rsidR="00823317" w:rsidRDefault="001D0AD2">
      <w:pPr>
        <w:pStyle w:val="Kazalovsebine4"/>
        <w:tabs>
          <w:tab w:val="end" w:leader="dot" w:pos="512pt"/>
        </w:tabs>
        <w:rPr>
          <w:rFonts w:ascii="Calibri" w:hAnsi="Calibri"/>
          <w:sz w:val="22"/>
        </w:rPr>
      </w:pPr>
      <w:hyperlink w:anchor="_Toc256001227" w:history="1">
        <w:r w:rsidR="00A77B3E">
          <w:rPr>
            <w:rStyle w:val="Hiperpovezava"/>
          </w:rPr>
          <w:t>2.1.1.1.3. Okvirna razčlenitev načrtovanih sredstev (EU) glede na vrsto ukrepa</w:t>
        </w:r>
        <w:r w:rsidR="00B16CCF">
          <w:tab/>
        </w:r>
        <w:r w:rsidR="00B16CCF">
          <w:fldChar w:fldCharType="begin"/>
        </w:r>
        <w:r w:rsidR="00B16CCF">
          <w:instrText xml:space="preserve"> PAGEREF _Toc256001227 \h </w:instrText>
        </w:r>
        <w:r w:rsidR="00B16CCF">
          <w:fldChar w:fldCharType="separate"/>
        </w:r>
        <w:r w:rsidR="00B16CCF">
          <w:t>241</w:t>
        </w:r>
        <w:r w:rsidR="00B16CCF">
          <w:fldChar w:fldCharType="end"/>
        </w:r>
      </w:hyperlink>
    </w:p>
    <w:p w14:paraId="4555946F" w14:textId="77777777" w:rsidR="00823317" w:rsidRDefault="001D0AD2">
      <w:pPr>
        <w:pStyle w:val="Kazalovsebine5"/>
        <w:tabs>
          <w:tab w:val="end" w:leader="dot" w:pos="512pt"/>
        </w:tabs>
        <w:rPr>
          <w:rFonts w:ascii="Calibri" w:hAnsi="Calibri"/>
          <w:sz w:val="22"/>
        </w:rPr>
      </w:pPr>
      <w:hyperlink w:anchor="_Toc256001228" w:history="1">
        <w:r w:rsidR="00A77B3E">
          <w:rPr>
            <w:rStyle w:val="Hiperpovezava"/>
          </w:rPr>
          <w:t>Tabela 4: Razsežnost 1 – področje ukrepanja</w:t>
        </w:r>
        <w:r w:rsidR="00B16CCF">
          <w:tab/>
        </w:r>
        <w:r w:rsidR="00B16CCF">
          <w:fldChar w:fldCharType="begin"/>
        </w:r>
        <w:r w:rsidR="00B16CCF">
          <w:instrText xml:space="preserve"> PAGEREF _Toc256001228 \h </w:instrText>
        </w:r>
        <w:r w:rsidR="00B16CCF">
          <w:fldChar w:fldCharType="separate"/>
        </w:r>
        <w:r w:rsidR="00B16CCF">
          <w:t>241</w:t>
        </w:r>
        <w:r w:rsidR="00B16CCF">
          <w:fldChar w:fldCharType="end"/>
        </w:r>
      </w:hyperlink>
    </w:p>
    <w:p w14:paraId="7F2C34FF" w14:textId="77777777" w:rsidR="00823317" w:rsidRDefault="001D0AD2">
      <w:pPr>
        <w:pStyle w:val="Kazalovsebine5"/>
        <w:tabs>
          <w:tab w:val="end" w:leader="dot" w:pos="512pt"/>
        </w:tabs>
        <w:rPr>
          <w:rFonts w:ascii="Calibri" w:hAnsi="Calibri"/>
          <w:sz w:val="22"/>
        </w:rPr>
      </w:pPr>
      <w:hyperlink w:anchor="_Toc256001229" w:history="1">
        <w:r w:rsidR="00A77B3E">
          <w:rPr>
            <w:rStyle w:val="Hiperpovezava"/>
          </w:rPr>
          <w:t>Tabela 5: Razsežnost 2 – oblika financiranja</w:t>
        </w:r>
        <w:r w:rsidR="00B16CCF">
          <w:tab/>
        </w:r>
        <w:r w:rsidR="00B16CCF">
          <w:fldChar w:fldCharType="begin"/>
        </w:r>
        <w:r w:rsidR="00B16CCF">
          <w:instrText xml:space="preserve"> PAGEREF _Toc256001229 \h </w:instrText>
        </w:r>
        <w:r w:rsidR="00B16CCF">
          <w:fldChar w:fldCharType="separate"/>
        </w:r>
        <w:r w:rsidR="00B16CCF">
          <w:t>242</w:t>
        </w:r>
        <w:r w:rsidR="00B16CCF">
          <w:fldChar w:fldCharType="end"/>
        </w:r>
      </w:hyperlink>
    </w:p>
    <w:p w14:paraId="5DFA1033" w14:textId="77777777" w:rsidR="00823317" w:rsidRDefault="001D0AD2">
      <w:pPr>
        <w:pStyle w:val="Kazalovsebine5"/>
        <w:tabs>
          <w:tab w:val="end" w:leader="dot" w:pos="512pt"/>
        </w:tabs>
        <w:rPr>
          <w:rFonts w:ascii="Calibri" w:hAnsi="Calibri"/>
          <w:sz w:val="22"/>
        </w:rPr>
      </w:pPr>
      <w:hyperlink w:anchor="_Toc256001230" w:history="1">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_Toc256001230 \h </w:instrText>
        </w:r>
        <w:r w:rsidR="00B16CCF">
          <w:fldChar w:fldCharType="separate"/>
        </w:r>
        <w:r w:rsidR="00B16CCF">
          <w:t>242</w:t>
        </w:r>
        <w:r w:rsidR="00B16CCF">
          <w:fldChar w:fldCharType="end"/>
        </w:r>
      </w:hyperlink>
    </w:p>
    <w:p w14:paraId="5D4C4E37" w14:textId="77777777" w:rsidR="00823317" w:rsidRDefault="001D0AD2">
      <w:pPr>
        <w:pStyle w:val="Kazalovsebine5"/>
        <w:tabs>
          <w:tab w:val="end" w:leader="dot" w:pos="512pt"/>
        </w:tabs>
        <w:rPr>
          <w:rFonts w:ascii="Calibri" w:hAnsi="Calibri"/>
          <w:sz w:val="22"/>
        </w:rPr>
      </w:pPr>
      <w:hyperlink w:anchor="_Toc256001231" w:history="1">
        <w:r w:rsidR="00A77B3E">
          <w:rPr>
            <w:rStyle w:val="Hiperpovezava"/>
          </w:rPr>
          <w:t>Tabela 7: Razsežnost 6 – sekundarna področja ESS+</w:t>
        </w:r>
        <w:r w:rsidR="00B16CCF">
          <w:tab/>
        </w:r>
        <w:r w:rsidR="00B16CCF">
          <w:fldChar w:fldCharType="begin"/>
        </w:r>
        <w:r w:rsidR="00B16CCF">
          <w:instrText xml:space="preserve"> PAGEREF _Toc256001231 \h </w:instrText>
        </w:r>
        <w:r w:rsidR="00B16CCF">
          <w:fldChar w:fldCharType="separate"/>
        </w:r>
        <w:r w:rsidR="00B16CCF">
          <w:t>243</w:t>
        </w:r>
        <w:r w:rsidR="00B16CCF">
          <w:fldChar w:fldCharType="end"/>
        </w:r>
      </w:hyperlink>
    </w:p>
    <w:p w14:paraId="53617E14" w14:textId="77777777" w:rsidR="00823317" w:rsidRDefault="001D0AD2">
      <w:pPr>
        <w:pStyle w:val="Kazalovsebine5"/>
        <w:tabs>
          <w:tab w:val="end" w:leader="dot" w:pos="512pt"/>
        </w:tabs>
        <w:rPr>
          <w:rFonts w:ascii="Calibri" w:hAnsi="Calibri"/>
          <w:sz w:val="22"/>
        </w:rPr>
      </w:pPr>
      <w:hyperlink w:anchor="_Toc256001232" w:history="1">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_Toc256001232 \h </w:instrText>
        </w:r>
        <w:r w:rsidR="00B16CCF">
          <w:fldChar w:fldCharType="separate"/>
        </w:r>
        <w:r w:rsidR="00B16CCF">
          <w:t>243</w:t>
        </w:r>
        <w:r w:rsidR="00B16CCF">
          <w:fldChar w:fldCharType="end"/>
        </w:r>
      </w:hyperlink>
    </w:p>
    <w:p w14:paraId="5E2EA6E5" w14:textId="77777777" w:rsidR="00823317" w:rsidRDefault="001D0AD2">
      <w:pPr>
        <w:pStyle w:val="Kazalovsebine4"/>
        <w:tabs>
          <w:tab w:val="end" w:leader="dot" w:pos="512pt"/>
        </w:tabs>
        <w:rPr>
          <w:rFonts w:ascii="Calibri" w:hAnsi="Calibri"/>
          <w:sz w:val="22"/>
        </w:rPr>
      </w:pPr>
      <w:hyperlink w:anchor="_Toc256001233" w:history="1">
        <w:r w:rsidR="00A77B3E">
          <w:rPr>
            <w:rStyle w:val="Hiperpovezava"/>
          </w:rPr>
          <w:t xml:space="preserve">2.1.1.1. Specifični cilj: ESO4.5. Izboljšanje kakovosti, vključenosti, učinkovitosti in ustreznosti sistemov izobraževanja in usposabljanja za potrebe trga dela, vključno z vrednotenjem neformalnega in priložnostnega učenja, da bi podprli pridobivanje ključnih kompetenc, tudi </w:t>
        </w:r>
        <w:r w:rsidR="00A77B3E">
          <w:rPr>
            <w:rStyle w:val="Hiperpovezava"/>
          </w:rPr>
          <w:lastRenderedPageBreak/>
          <w:t>podjetniških in digitalnih veščin, ter s spodbujanjem uvedbe dualnih sistemov usposabljanja in vajeništev (ESS+)</w:t>
        </w:r>
        <w:r w:rsidR="00B16CCF">
          <w:tab/>
        </w:r>
        <w:r w:rsidR="00B16CCF">
          <w:fldChar w:fldCharType="begin"/>
        </w:r>
        <w:r w:rsidR="00B16CCF">
          <w:instrText xml:space="preserve"> PAGEREF _Toc256001233 \h </w:instrText>
        </w:r>
        <w:r w:rsidR="00B16CCF">
          <w:fldChar w:fldCharType="separate"/>
        </w:r>
        <w:r w:rsidR="00B16CCF">
          <w:t>244</w:t>
        </w:r>
        <w:r w:rsidR="00B16CCF">
          <w:fldChar w:fldCharType="end"/>
        </w:r>
      </w:hyperlink>
    </w:p>
    <w:p w14:paraId="3EC59308" w14:textId="77777777" w:rsidR="00823317" w:rsidRDefault="001D0AD2">
      <w:pPr>
        <w:pStyle w:val="Kazalovsebine4"/>
        <w:tabs>
          <w:tab w:val="end" w:leader="dot" w:pos="512pt"/>
        </w:tabs>
        <w:rPr>
          <w:rFonts w:ascii="Calibri" w:hAnsi="Calibri"/>
          <w:sz w:val="22"/>
        </w:rPr>
      </w:pPr>
      <w:hyperlink w:anchor="_Toc256001234" w:history="1">
        <w:r w:rsidR="00A77B3E">
          <w:rPr>
            <w:rStyle w:val="Hiperpovezava"/>
          </w:rPr>
          <w:t>2.1.1.1.1. Ukrepi skladov</w:t>
        </w:r>
        <w:r w:rsidR="00B16CCF">
          <w:tab/>
        </w:r>
        <w:r w:rsidR="00B16CCF">
          <w:fldChar w:fldCharType="begin"/>
        </w:r>
        <w:r w:rsidR="00B16CCF">
          <w:instrText xml:space="preserve"> PAGEREF _Toc256001234 \h </w:instrText>
        </w:r>
        <w:r w:rsidR="00B16CCF">
          <w:fldChar w:fldCharType="separate"/>
        </w:r>
        <w:r w:rsidR="00B16CCF">
          <w:t>244</w:t>
        </w:r>
        <w:r w:rsidR="00B16CCF">
          <w:fldChar w:fldCharType="end"/>
        </w:r>
      </w:hyperlink>
    </w:p>
    <w:p w14:paraId="3CA66CB4" w14:textId="77777777" w:rsidR="00823317" w:rsidRDefault="001D0AD2">
      <w:pPr>
        <w:pStyle w:val="Kazalovsebine5"/>
        <w:tabs>
          <w:tab w:val="end" w:leader="dot" w:pos="512pt"/>
        </w:tabs>
        <w:rPr>
          <w:rFonts w:ascii="Calibri" w:hAnsi="Calibri"/>
          <w:sz w:val="22"/>
        </w:rPr>
      </w:pPr>
      <w:hyperlink w:anchor="_Toc256001235" w:history="1">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_Toc256001235 \h </w:instrText>
        </w:r>
        <w:r w:rsidR="00B16CCF">
          <w:fldChar w:fldCharType="separate"/>
        </w:r>
        <w:r w:rsidR="00B16CCF">
          <w:t>244</w:t>
        </w:r>
        <w:r w:rsidR="00B16CCF">
          <w:fldChar w:fldCharType="end"/>
        </w:r>
      </w:hyperlink>
    </w:p>
    <w:p w14:paraId="57A50437" w14:textId="77777777" w:rsidR="00823317" w:rsidRDefault="001D0AD2">
      <w:pPr>
        <w:pStyle w:val="Kazalovsebine5"/>
        <w:tabs>
          <w:tab w:val="end" w:leader="dot" w:pos="512pt"/>
        </w:tabs>
        <w:rPr>
          <w:rFonts w:ascii="Calibri" w:hAnsi="Calibri"/>
          <w:sz w:val="22"/>
        </w:rPr>
      </w:pPr>
      <w:hyperlink w:anchor="_Toc256001236" w:history="1">
        <w:r w:rsidR="00A77B3E">
          <w:rPr>
            <w:rStyle w:val="Hiperpovezava"/>
          </w:rPr>
          <w:t>Glavne ciljne skupine – člen 22(3)(d)(iii) uredbe o skupnih določbah:</w:t>
        </w:r>
        <w:r w:rsidR="00B16CCF">
          <w:tab/>
        </w:r>
        <w:r w:rsidR="00B16CCF">
          <w:fldChar w:fldCharType="begin"/>
        </w:r>
        <w:r w:rsidR="00B16CCF">
          <w:instrText xml:space="preserve"> PAGEREF _Toc256001236 \h </w:instrText>
        </w:r>
        <w:r w:rsidR="00B16CCF">
          <w:fldChar w:fldCharType="separate"/>
        </w:r>
        <w:r w:rsidR="00B16CCF">
          <w:t>246</w:t>
        </w:r>
        <w:r w:rsidR="00B16CCF">
          <w:fldChar w:fldCharType="end"/>
        </w:r>
      </w:hyperlink>
    </w:p>
    <w:p w14:paraId="709F8F1D" w14:textId="77777777" w:rsidR="00823317" w:rsidRDefault="001D0AD2">
      <w:pPr>
        <w:pStyle w:val="Kazalovsebine5"/>
        <w:tabs>
          <w:tab w:val="end" w:leader="dot" w:pos="512pt"/>
        </w:tabs>
        <w:rPr>
          <w:rFonts w:ascii="Calibri" w:hAnsi="Calibri"/>
          <w:sz w:val="22"/>
        </w:rPr>
      </w:pPr>
      <w:hyperlink w:anchor="_Toc256001237" w:history="1">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_Toc256001237 \h </w:instrText>
        </w:r>
        <w:r w:rsidR="00B16CCF">
          <w:fldChar w:fldCharType="separate"/>
        </w:r>
        <w:r w:rsidR="00B16CCF">
          <w:t>247</w:t>
        </w:r>
        <w:r w:rsidR="00B16CCF">
          <w:fldChar w:fldCharType="end"/>
        </w:r>
      </w:hyperlink>
    </w:p>
    <w:p w14:paraId="34424346" w14:textId="77777777" w:rsidR="00823317" w:rsidRDefault="001D0AD2">
      <w:pPr>
        <w:pStyle w:val="Kazalovsebine5"/>
        <w:tabs>
          <w:tab w:val="end" w:leader="dot" w:pos="512pt"/>
        </w:tabs>
        <w:rPr>
          <w:rFonts w:ascii="Calibri" w:hAnsi="Calibri"/>
          <w:sz w:val="22"/>
        </w:rPr>
      </w:pPr>
      <w:hyperlink w:anchor="_Toc256001238" w:history="1">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_Toc256001238 \h </w:instrText>
        </w:r>
        <w:r w:rsidR="00B16CCF">
          <w:fldChar w:fldCharType="separate"/>
        </w:r>
        <w:r w:rsidR="00B16CCF">
          <w:t>247</w:t>
        </w:r>
        <w:r w:rsidR="00B16CCF">
          <w:fldChar w:fldCharType="end"/>
        </w:r>
      </w:hyperlink>
    </w:p>
    <w:p w14:paraId="6D1B9218" w14:textId="77777777" w:rsidR="00823317" w:rsidRDefault="001D0AD2">
      <w:pPr>
        <w:pStyle w:val="Kazalovsebine5"/>
        <w:tabs>
          <w:tab w:val="end" w:leader="dot" w:pos="512pt"/>
        </w:tabs>
        <w:rPr>
          <w:rFonts w:ascii="Calibri" w:hAnsi="Calibri"/>
          <w:sz w:val="22"/>
        </w:rPr>
      </w:pPr>
      <w:hyperlink w:anchor="_Toc256001239" w:history="1">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_Toc256001239 \h </w:instrText>
        </w:r>
        <w:r w:rsidR="00B16CCF">
          <w:fldChar w:fldCharType="separate"/>
        </w:r>
        <w:r w:rsidR="00B16CCF">
          <w:t>248</w:t>
        </w:r>
        <w:r w:rsidR="00B16CCF">
          <w:fldChar w:fldCharType="end"/>
        </w:r>
      </w:hyperlink>
    </w:p>
    <w:p w14:paraId="55C08F5D" w14:textId="77777777" w:rsidR="00823317" w:rsidRDefault="001D0AD2">
      <w:pPr>
        <w:pStyle w:val="Kazalovsebine5"/>
        <w:tabs>
          <w:tab w:val="end" w:leader="dot" w:pos="512pt"/>
        </w:tabs>
        <w:rPr>
          <w:rFonts w:ascii="Calibri" w:hAnsi="Calibri"/>
          <w:sz w:val="22"/>
        </w:rPr>
      </w:pPr>
      <w:hyperlink w:anchor="_Toc256001240" w:history="1">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_Toc256001240 \h </w:instrText>
        </w:r>
        <w:r w:rsidR="00B16CCF">
          <w:fldChar w:fldCharType="separate"/>
        </w:r>
        <w:r w:rsidR="00B16CCF">
          <w:t>248</w:t>
        </w:r>
        <w:r w:rsidR="00B16CCF">
          <w:fldChar w:fldCharType="end"/>
        </w:r>
      </w:hyperlink>
    </w:p>
    <w:p w14:paraId="5748CB4F" w14:textId="77777777" w:rsidR="00823317" w:rsidRDefault="001D0AD2">
      <w:pPr>
        <w:pStyle w:val="Kazalovsebine4"/>
        <w:tabs>
          <w:tab w:val="end" w:leader="dot" w:pos="512pt"/>
        </w:tabs>
        <w:rPr>
          <w:rFonts w:ascii="Calibri" w:hAnsi="Calibri"/>
          <w:sz w:val="22"/>
        </w:rPr>
      </w:pPr>
      <w:hyperlink w:anchor="_Toc256001241" w:history="1">
        <w:r w:rsidR="00A77B3E">
          <w:rPr>
            <w:rStyle w:val="Hiperpovezava"/>
          </w:rPr>
          <w:t>2.1.1.1.2. Kazalniki</w:t>
        </w:r>
        <w:r w:rsidR="00B16CCF">
          <w:tab/>
        </w:r>
        <w:r w:rsidR="00B16CCF">
          <w:fldChar w:fldCharType="begin"/>
        </w:r>
        <w:r w:rsidR="00B16CCF">
          <w:instrText xml:space="preserve"> PAGEREF _Toc256001241 \h </w:instrText>
        </w:r>
        <w:r w:rsidR="00B16CCF">
          <w:fldChar w:fldCharType="separate"/>
        </w:r>
        <w:r w:rsidR="00B16CCF">
          <w:t>248</w:t>
        </w:r>
        <w:r w:rsidR="00B16CCF">
          <w:fldChar w:fldCharType="end"/>
        </w:r>
      </w:hyperlink>
    </w:p>
    <w:p w14:paraId="1EAC7E74" w14:textId="77777777" w:rsidR="00823317" w:rsidRDefault="001D0AD2">
      <w:pPr>
        <w:pStyle w:val="Kazalovsebine5"/>
        <w:tabs>
          <w:tab w:val="end" w:leader="dot" w:pos="512pt"/>
        </w:tabs>
        <w:rPr>
          <w:rFonts w:ascii="Calibri" w:hAnsi="Calibri"/>
          <w:sz w:val="22"/>
        </w:rPr>
      </w:pPr>
      <w:hyperlink w:anchor="_Toc256001242" w:history="1">
        <w:r w:rsidR="00A77B3E">
          <w:rPr>
            <w:rStyle w:val="Hiperpovezava"/>
          </w:rPr>
          <w:t>Tabela 2: Kazalniki učinka</w:t>
        </w:r>
        <w:r w:rsidR="00B16CCF">
          <w:tab/>
        </w:r>
        <w:r w:rsidR="00B16CCF">
          <w:fldChar w:fldCharType="begin"/>
        </w:r>
        <w:r w:rsidR="00B16CCF">
          <w:instrText xml:space="preserve"> PAGEREF _Toc256001242 \h </w:instrText>
        </w:r>
        <w:r w:rsidR="00B16CCF">
          <w:fldChar w:fldCharType="separate"/>
        </w:r>
        <w:r w:rsidR="00B16CCF">
          <w:t>248</w:t>
        </w:r>
        <w:r w:rsidR="00B16CCF">
          <w:fldChar w:fldCharType="end"/>
        </w:r>
      </w:hyperlink>
    </w:p>
    <w:p w14:paraId="5A7BD911" w14:textId="77777777" w:rsidR="00823317" w:rsidRDefault="001D0AD2">
      <w:pPr>
        <w:pStyle w:val="Kazalovsebine5"/>
        <w:tabs>
          <w:tab w:val="end" w:leader="dot" w:pos="512pt"/>
        </w:tabs>
        <w:rPr>
          <w:rFonts w:ascii="Calibri" w:hAnsi="Calibri"/>
          <w:sz w:val="22"/>
        </w:rPr>
      </w:pPr>
      <w:hyperlink w:anchor="_Toc256001243" w:history="1">
        <w:r w:rsidR="00A77B3E">
          <w:rPr>
            <w:rStyle w:val="Hiperpovezava"/>
          </w:rPr>
          <w:t>Tabela 3: Kazalniki rezultatov</w:t>
        </w:r>
        <w:r w:rsidR="00B16CCF">
          <w:tab/>
        </w:r>
        <w:r w:rsidR="00B16CCF">
          <w:fldChar w:fldCharType="begin"/>
        </w:r>
        <w:r w:rsidR="00B16CCF">
          <w:instrText xml:space="preserve"> PAGEREF _Toc256001243 \h </w:instrText>
        </w:r>
        <w:r w:rsidR="00B16CCF">
          <w:fldChar w:fldCharType="separate"/>
        </w:r>
        <w:r w:rsidR="00B16CCF">
          <w:t>249</w:t>
        </w:r>
        <w:r w:rsidR="00B16CCF">
          <w:fldChar w:fldCharType="end"/>
        </w:r>
      </w:hyperlink>
    </w:p>
    <w:p w14:paraId="5C435277" w14:textId="77777777" w:rsidR="00823317" w:rsidRDefault="001D0AD2">
      <w:pPr>
        <w:pStyle w:val="Kazalovsebine4"/>
        <w:tabs>
          <w:tab w:val="end" w:leader="dot" w:pos="512pt"/>
        </w:tabs>
        <w:rPr>
          <w:rFonts w:ascii="Calibri" w:hAnsi="Calibri"/>
          <w:sz w:val="22"/>
        </w:rPr>
      </w:pPr>
      <w:hyperlink w:anchor="_Toc256001244" w:history="1">
        <w:r w:rsidR="00A77B3E">
          <w:rPr>
            <w:rStyle w:val="Hiperpovezava"/>
          </w:rPr>
          <w:t>2.1.1.1.3. Okvirna razčlenitev načrtovanih sredstev (EU) glede na vrsto ukrepa</w:t>
        </w:r>
        <w:r w:rsidR="00B16CCF">
          <w:tab/>
        </w:r>
        <w:r w:rsidR="00B16CCF">
          <w:fldChar w:fldCharType="begin"/>
        </w:r>
        <w:r w:rsidR="00B16CCF">
          <w:instrText xml:space="preserve"> PAGEREF _Toc256001244 \h </w:instrText>
        </w:r>
        <w:r w:rsidR="00B16CCF">
          <w:fldChar w:fldCharType="separate"/>
        </w:r>
        <w:r w:rsidR="00B16CCF">
          <w:t>250</w:t>
        </w:r>
        <w:r w:rsidR="00B16CCF">
          <w:fldChar w:fldCharType="end"/>
        </w:r>
      </w:hyperlink>
    </w:p>
    <w:p w14:paraId="1DBF91A6" w14:textId="77777777" w:rsidR="00823317" w:rsidRDefault="001D0AD2">
      <w:pPr>
        <w:pStyle w:val="Kazalovsebine5"/>
        <w:tabs>
          <w:tab w:val="end" w:leader="dot" w:pos="512pt"/>
        </w:tabs>
        <w:rPr>
          <w:rFonts w:ascii="Calibri" w:hAnsi="Calibri"/>
          <w:sz w:val="22"/>
        </w:rPr>
      </w:pPr>
      <w:hyperlink w:anchor="_Toc256001245" w:history="1">
        <w:r w:rsidR="00A77B3E">
          <w:rPr>
            <w:rStyle w:val="Hiperpovezava"/>
          </w:rPr>
          <w:t>Tabela 4: Razsežnost 1 – področje ukrepanja</w:t>
        </w:r>
        <w:r w:rsidR="00B16CCF">
          <w:tab/>
        </w:r>
        <w:r w:rsidR="00B16CCF">
          <w:fldChar w:fldCharType="begin"/>
        </w:r>
        <w:r w:rsidR="00B16CCF">
          <w:instrText xml:space="preserve"> PAGEREF _Toc256001245 \h </w:instrText>
        </w:r>
        <w:r w:rsidR="00B16CCF">
          <w:fldChar w:fldCharType="separate"/>
        </w:r>
        <w:r w:rsidR="00B16CCF">
          <w:t>250</w:t>
        </w:r>
        <w:r w:rsidR="00B16CCF">
          <w:fldChar w:fldCharType="end"/>
        </w:r>
      </w:hyperlink>
    </w:p>
    <w:p w14:paraId="59434ECA" w14:textId="77777777" w:rsidR="00823317" w:rsidRDefault="001D0AD2">
      <w:pPr>
        <w:pStyle w:val="Kazalovsebine5"/>
        <w:tabs>
          <w:tab w:val="end" w:leader="dot" w:pos="512pt"/>
        </w:tabs>
        <w:rPr>
          <w:rFonts w:ascii="Calibri" w:hAnsi="Calibri"/>
          <w:sz w:val="22"/>
        </w:rPr>
      </w:pPr>
      <w:hyperlink w:anchor="_Toc256001246" w:history="1">
        <w:r w:rsidR="00A77B3E">
          <w:rPr>
            <w:rStyle w:val="Hiperpovezava"/>
          </w:rPr>
          <w:t>Tabela 5: Razsežnost 2 – oblika financiranja</w:t>
        </w:r>
        <w:r w:rsidR="00B16CCF">
          <w:tab/>
        </w:r>
        <w:r w:rsidR="00B16CCF">
          <w:fldChar w:fldCharType="begin"/>
        </w:r>
        <w:r w:rsidR="00B16CCF">
          <w:instrText xml:space="preserve"> PAGEREF _Toc256001246 \h </w:instrText>
        </w:r>
        <w:r w:rsidR="00B16CCF">
          <w:fldChar w:fldCharType="separate"/>
        </w:r>
        <w:r w:rsidR="00B16CCF">
          <w:t>250</w:t>
        </w:r>
        <w:r w:rsidR="00B16CCF">
          <w:fldChar w:fldCharType="end"/>
        </w:r>
      </w:hyperlink>
    </w:p>
    <w:p w14:paraId="06329226" w14:textId="77777777" w:rsidR="00823317" w:rsidRDefault="001D0AD2">
      <w:pPr>
        <w:pStyle w:val="Kazalovsebine5"/>
        <w:tabs>
          <w:tab w:val="end" w:leader="dot" w:pos="512pt"/>
        </w:tabs>
        <w:rPr>
          <w:rFonts w:ascii="Calibri" w:hAnsi="Calibri"/>
          <w:sz w:val="22"/>
        </w:rPr>
      </w:pPr>
      <w:hyperlink w:anchor="_Toc256001247" w:history="1">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_Toc256001247 \h </w:instrText>
        </w:r>
        <w:r w:rsidR="00B16CCF">
          <w:fldChar w:fldCharType="separate"/>
        </w:r>
        <w:r w:rsidR="00B16CCF">
          <w:t>251</w:t>
        </w:r>
        <w:r w:rsidR="00B16CCF">
          <w:fldChar w:fldCharType="end"/>
        </w:r>
      </w:hyperlink>
    </w:p>
    <w:p w14:paraId="5D1D6B75" w14:textId="77777777" w:rsidR="00823317" w:rsidRDefault="001D0AD2">
      <w:pPr>
        <w:pStyle w:val="Kazalovsebine5"/>
        <w:tabs>
          <w:tab w:val="end" w:leader="dot" w:pos="512pt"/>
        </w:tabs>
        <w:rPr>
          <w:rFonts w:ascii="Calibri" w:hAnsi="Calibri"/>
          <w:sz w:val="22"/>
        </w:rPr>
      </w:pPr>
      <w:hyperlink w:anchor="_Toc256001248" w:history="1">
        <w:r w:rsidR="00A77B3E">
          <w:rPr>
            <w:rStyle w:val="Hiperpovezava"/>
          </w:rPr>
          <w:t>Tabela 7: Razsežnost 6 – sekundarna področja ESS+</w:t>
        </w:r>
        <w:r w:rsidR="00B16CCF">
          <w:tab/>
        </w:r>
        <w:r w:rsidR="00B16CCF">
          <w:fldChar w:fldCharType="begin"/>
        </w:r>
        <w:r w:rsidR="00B16CCF">
          <w:instrText xml:space="preserve"> PAGEREF _Toc256001248 \h </w:instrText>
        </w:r>
        <w:r w:rsidR="00B16CCF">
          <w:fldChar w:fldCharType="separate"/>
        </w:r>
        <w:r w:rsidR="00B16CCF">
          <w:t>251</w:t>
        </w:r>
        <w:r w:rsidR="00B16CCF">
          <w:fldChar w:fldCharType="end"/>
        </w:r>
      </w:hyperlink>
    </w:p>
    <w:p w14:paraId="4CB0556C" w14:textId="77777777" w:rsidR="00823317" w:rsidRDefault="001D0AD2">
      <w:pPr>
        <w:pStyle w:val="Kazalovsebine5"/>
        <w:tabs>
          <w:tab w:val="end" w:leader="dot" w:pos="512pt"/>
        </w:tabs>
        <w:rPr>
          <w:rFonts w:ascii="Calibri" w:hAnsi="Calibri"/>
          <w:sz w:val="22"/>
        </w:rPr>
      </w:pPr>
      <w:hyperlink w:anchor="_Toc256001249" w:history="1">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_Toc256001249 \h </w:instrText>
        </w:r>
        <w:r w:rsidR="00B16CCF">
          <w:fldChar w:fldCharType="separate"/>
        </w:r>
        <w:r w:rsidR="00B16CCF">
          <w:t>251</w:t>
        </w:r>
        <w:r w:rsidR="00B16CCF">
          <w:fldChar w:fldCharType="end"/>
        </w:r>
      </w:hyperlink>
    </w:p>
    <w:p w14:paraId="23C9FBFC" w14:textId="77777777" w:rsidR="00823317" w:rsidRDefault="001D0AD2">
      <w:pPr>
        <w:pStyle w:val="Kazalovsebine4"/>
        <w:tabs>
          <w:tab w:val="end" w:leader="dot" w:pos="512pt"/>
        </w:tabs>
        <w:rPr>
          <w:rFonts w:ascii="Calibri" w:hAnsi="Calibri"/>
          <w:sz w:val="22"/>
        </w:rPr>
      </w:pPr>
      <w:hyperlink w:anchor="_Toc256001250" w:history="1">
        <w:r w:rsidR="00A77B3E">
          <w:rPr>
            <w:rStyle w:val="Hiperpovezava"/>
          </w:rPr>
          <w:t>2.1.1.1. Specifični cilj: ESO4.7. Spodbujanje vseživljenjskega učenja, zlasti prožnih možnosti za izpopolnjevanje in prekvalifikacijo za vse, ob upoštevanju podjetniških in digitalnih veščin, boljše predvidevanje sprememb in zahtev po novih veščinah na podlagi potreb trga dela, olajševanje prehodov med delovnimi mesti in spodbujanje poklicne mobilnosti (ESS+)</w:t>
        </w:r>
        <w:r w:rsidR="00B16CCF">
          <w:tab/>
        </w:r>
        <w:r w:rsidR="00B16CCF">
          <w:fldChar w:fldCharType="begin"/>
        </w:r>
        <w:r w:rsidR="00B16CCF">
          <w:instrText xml:space="preserve"> PAGEREF _Toc256001250 \h </w:instrText>
        </w:r>
        <w:r w:rsidR="00B16CCF">
          <w:fldChar w:fldCharType="separate"/>
        </w:r>
        <w:r w:rsidR="00B16CCF">
          <w:t>253</w:t>
        </w:r>
        <w:r w:rsidR="00B16CCF">
          <w:fldChar w:fldCharType="end"/>
        </w:r>
      </w:hyperlink>
    </w:p>
    <w:p w14:paraId="16D4ADAB" w14:textId="77777777" w:rsidR="00823317" w:rsidRDefault="001D0AD2">
      <w:pPr>
        <w:pStyle w:val="Kazalovsebine4"/>
        <w:tabs>
          <w:tab w:val="end" w:leader="dot" w:pos="512pt"/>
        </w:tabs>
        <w:rPr>
          <w:rFonts w:ascii="Calibri" w:hAnsi="Calibri"/>
          <w:sz w:val="22"/>
        </w:rPr>
      </w:pPr>
      <w:hyperlink w:anchor="_Toc256001251" w:history="1">
        <w:r w:rsidR="00A77B3E">
          <w:rPr>
            <w:rStyle w:val="Hiperpovezava"/>
          </w:rPr>
          <w:t>2.1.1.1.1. Ukrepi skladov</w:t>
        </w:r>
        <w:r w:rsidR="00B16CCF">
          <w:tab/>
        </w:r>
        <w:r w:rsidR="00B16CCF">
          <w:fldChar w:fldCharType="begin"/>
        </w:r>
        <w:r w:rsidR="00B16CCF">
          <w:instrText xml:space="preserve"> PAGEREF _Toc256001251 \h </w:instrText>
        </w:r>
        <w:r w:rsidR="00B16CCF">
          <w:fldChar w:fldCharType="separate"/>
        </w:r>
        <w:r w:rsidR="00B16CCF">
          <w:t>253</w:t>
        </w:r>
        <w:r w:rsidR="00B16CCF">
          <w:fldChar w:fldCharType="end"/>
        </w:r>
      </w:hyperlink>
    </w:p>
    <w:p w14:paraId="781738A8" w14:textId="77777777" w:rsidR="00823317" w:rsidRDefault="001D0AD2">
      <w:pPr>
        <w:pStyle w:val="Kazalovsebine5"/>
        <w:tabs>
          <w:tab w:val="end" w:leader="dot" w:pos="512pt"/>
        </w:tabs>
        <w:rPr>
          <w:rFonts w:ascii="Calibri" w:hAnsi="Calibri"/>
          <w:sz w:val="22"/>
        </w:rPr>
      </w:pPr>
      <w:hyperlink w:anchor="_Toc256001252" w:history="1">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_Toc256001252 \h </w:instrText>
        </w:r>
        <w:r w:rsidR="00B16CCF">
          <w:fldChar w:fldCharType="separate"/>
        </w:r>
        <w:r w:rsidR="00B16CCF">
          <w:t>253</w:t>
        </w:r>
        <w:r w:rsidR="00B16CCF">
          <w:fldChar w:fldCharType="end"/>
        </w:r>
      </w:hyperlink>
    </w:p>
    <w:p w14:paraId="2DE5866F" w14:textId="77777777" w:rsidR="00823317" w:rsidRDefault="001D0AD2">
      <w:pPr>
        <w:pStyle w:val="Kazalovsebine5"/>
        <w:tabs>
          <w:tab w:val="end" w:leader="dot" w:pos="512pt"/>
        </w:tabs>
        <w:rPr>
          <w:rFonts w:ascii="Calibri" w:hAnsi="Calibri"/>
          <w:sz w:val="22"/>
        </w:rPr>
      </w:pPr>
      <w:hyperlink w:anchor="_Toc256001253" w:history="1">
        <w:r w:rsidR="00A77B3E">
          <w:rPr>
            <w:rStyle w:val="Hiperpovezava"/>
          </w:rPr>
          <w:t>Glavne ciljne skupine – člen 22(3)(d)(iii) uredbe o skupnih določbah:</w:t>
        </w:r>
        <w:r w:rsidR="00B16CCF">
          <w:tab/>
        </w:r>
        <w:r w:rsidR="00B16CCF">
          <w:fldChar w:fldCharType="begin"/>
        </w:r>
        <w:r w:rsidR="00B16CCF">
          <w:instrText xml:space="preserve"> PAGEREF _Toc256001253 \h </w:instrText>
        </w:r>
        <w:r w:rsidR="00B16CCF">
          <w:fldChar w:fldCharType="separate"/>
        </w:r>
        <w:r w:rsidR="00B16CCF">
          <w:t>255</w:t>
        </w:r>
        <w:r w:rsidR="00B16CCF">
          <w:fldChar w:fldCharType="end"/>
        </w:r>
      </w:hyperlink>
    </w:p>
    <w:p w14:paraId="59631E79" w14:textId="77777777" w:rsidR="00823317" w:rsidRDefault="001D0AD2">
      <w:pPr>
        <w:pStyle w:val="Kazalovsebine5"/>
        <w:tabs>
          <w:tab w:val="end" w:leader="dot" w:pos="512pt"/>
        </w:tabs>
        <w:rPr>
          <w:rFonts w:ascii="Calibri" w:hAnsi="Calibri"/>
          <w:sz w:val="22"/>
        </w:rPr>
      </w:pPr>
      <w:hyperlink w:anchor="_Toc256001254" w:history="1">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_Toc256001254 \h </w:instrText>
        </w:r>
        <w:r w:rsidR="00B16CCF">
          <w:fldChar w:fldCharType="separate"/>
        </w:r>
        <w:r w:rsidR="00B16CCF">
          <w:t>255</w:t>
        </w:r>
        <w:r w:rsidR="00B16CCF">
          <w:fldChar w:fldCharType="end"/>
        </w:r>
      </w:hyperlink>
    </w:p>
    <w:p w14:paraId="4A94F31B" w14:textId="77777777" w:rsidR="00823317" w:rsidRDefault="001D0AD2">
      <w:pPr>
        <w:pStyle w:val="Kazalovsebine5"/>
        <w:tabs>
          <w:tab w:val="end" w:leader="dot" w:pos="512pt"/>
        </w:tabs>
        <w:rPr>
          <w:rFonts w:ascii="Calibri" w:hAnsi="Calibri"/>
          <w:sz w:val="22"/>
        </w:rPr>
      </w:pPr>
      <w:hyperlink w:anchor="_Toc256001255" w:history="1">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_Toc256001255 \h </w:instrText>
        </w:r>
        <w:r w:rsidR="00B16CCF">
          <w:fldChar w:fldCharType="separate"/>
        </w:r>
        <w:r w:rsidR="00B16CCF">
          <w:t>256</w:t>
        </w:r>
        <w:r w:rsidR="00B16CCF">
          <w:fldChar w:fldCharType="end"/>
        </w:r>
      </w:hyperlink>
    </w:p>
    <w:p w14:paraId="4F3F22E8" w14:textId="77777777" w:rsidR="00823317" w:rsidRDefault="001D0AD2">
      <w:pPr>
        <w:pStyle w:val="Kazalovsebine5"/>
        <w:tabs>
          <w:tab w:val="end" w:leader="dot" w:pos="512pt"/>
        </w:tabs>
        <w:rPr>
          <w:rFonts w:ascii="Calibri" w:hAnsi="Calibri"/>
          <w:sz w:val="22"/>
        </w:rPr>
      </w:pPr>
      <w:hyperlink w:anchor="_Toc256001256" w:history="1">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_Toc256001256 \h </w:instrText>
        </w:r>
        <w:r w:rsidR="00B16CCF">
          <w:fldChar w:fldCharType="separate"/>
        </w:r>
        <w:r w:rsidR="00B16CCF">
          <w:t>256</w:t>
        </w:r>
        <w:r w:rsidR="00B16CCF">
          <w:fldChar w:fldCharType="end"/>
        </w:r>
      </w:hyperlink>
    </w:p>
    <w:p w14:paraId="442AFECA" w14:textId="77777777" w:rsidR="00823317" w:rsidRDefault="001D0AD2">
      <w:pPr>
        <w:pStyle w:val="Kazalovsebine5"/>
        <w:tabs>
          <w:tab w:val="end" w:leader="dot" w:pos="512pt"/>
        </w:tabs>
        <w:rPr>
          <w:rFonts w:ascii="Calibri" w:hAnsi="Calibri"/>
          <w:sz w:val="22"/>
        </w:rPr>
      </w:pPr>
      <w:hyperlink w:anchor="_Toc256001257" w:history="1">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_Toc256001257 \h </w:instrText>
        </w:r>
        <w:r w:rsidR="00B16CCF">
          <w:fldChar w:fldCharType="separate"/>
        </w:r>
        <w:r w:rsidR="00B16CCF">
          <w:t>257</w:t>
        </w:r>
        <w:r w:rsidR="00B16CCF">
          <w:fldChar w:fldCharType="end"/>
        </w:r>
      </w:hyperlink>
    </w:p>
    <w:p w14:paraId="407D636D" w14:textId="77777777" w:rsidR="00823317" w:rsidRDefault="001D0AD2">
      <w:pPr>
        <w:pStyle w:val="Kazalovsebine4"/>
        <w:tabs>
          <w:tab w:val="end" w:leader="dot" w:pos="512pt"/>
        </w:tabs>
        <w:rPr>
          <w:rFonts w:ascii="Calibri" w:hAnsi="Calibri"/>
          <w:sz w:val="22"/>
        </w:rPr>
      </w:pPr>
      <w:hyperlink w:anchor="_Toc256001258" w:history="1">
        <w:r w:rsidR="00A77B3E">
          <w:rPr>
            <w:rStyle w:val="Hiperpovezava"/>
          </w:rPr>
          <w:t>2.1.1.1.2. Kazalniki</w:t>
        </w:r>
        <w:r w:rsidR="00B16CCF">
          <w:tab/>
        </w:r>
        <w:r w:rsidR="00B16CCF">
          <w:fldChar w:fldCharType="begin"/>
        </w:r>
        <w:r w:rsidR="00B16CCF">
          <w:instrText xml:space="preserve"> PAGEREF _Toc256001258 \h </w:instrText>
        </w:r>
        <w:r w:rsidR="00B16CCF">
          <w:fldChar w:fldCharType="separate"/>
        </w:r>
        <w:r w:rsidR="00B16CCF">
          <w:t>257</w:t>
        </w:r>
        <w:r w:rsidR="00B16CCF">
          <w:fldChar w:fldCharType="end"/>
        </w:r>
      </w:hyperlink>
    </w:p>
    <w:p w14:paraId="255C107C" w14:textId="77777777" w:rsidR="00823317" w:rsidRDefault="001D0AD2">
      <w:pPr>
        <w:pStyle w:val="Kazalovsebine5"/>
        <w:tabs>
          <w:tab w:val="end" w:leader="dot" w:pos="512pt"/>
        </w:tabs>
        <w:rPr>
          <w:rFonts w:ascii="Calibri" w:hAnsi="Calibri"/>
          <w:sz w:val="22"/>
        </w:rPr>
      </w:pPr>
      <w:hyperlink w:anchor="_Toc256001259" w:history="1">
        <w:r w:rsidR="00A77B3E">
          <w:rPr>
            <w:rStyle w:val="Hiperpovezava"/>
          </w:rPr>
          <w:t>Tabela 2: Kazalniki učinka</w:t>
        </w:r>
        <w:r w:rsidR="00B16CCF">
          <w:tab/>
        </w:r>
        <w:r w:rsidR="00B16CCF">
          <w:fldChar w:fldCharType="begin"/>
        </w:r>
        <w:r w:rsidR="00B16CCF">
          <w:instrText xml:space="preserve"> PAGEREF _Toc256001259 \h </w:instrText>
        </w:r>
        <w:r w:rsidR="00B16CCF">
          <w:fldChar w:fldCharType="separate"/>
        </w:r>
        <w:r w:rsidR="00B16CCF">
          <w:t>257</w:t>
        </w:r>
        <w:r w:rsidR="00B16CCF">
          <w:fldChar w:fldCharType="end"/>
        </w:r>
      </w:hyperlink>
    </w:p>
    <w:p w14:paraId="57F12E40" w14:textId="77777777" w:rsidR="00823317" w:rsidRDefault="001D0AD2">
      <w:pPr>
        <w:pStyle w:val="Kazalovsebine5"/>
        <w:tabs>
          <w:tab w:val="end" w:leader="dot" w:pos="512pt"/>
        </w:tabs>
        <w:rPr>
          <w:rFonts w:ascii="Calibri" w:hAnsi="Calibri"/>
          <w:sz w:val="22"/>
        </w:rPr>
      </w:pPr>
      <w:hyperlink w:anchor="_Toc256001260" w:history="1">
        <w:r w:rsidR="00A77B3E">
          <w:rPr>
            <w:rStyle w:val="Hiperpovezava"/>
          </w:rPr>
          <w:t>Tabela 3: Kazalniki rezultatov</w:t>
        </w:r>
        <w:r w:rsidR="00B16CCF">
          <w:tab/>
        </w:r>
        <w:r w:rsidR="00B16CCF">
          <w:fldChar w:fldCharType="begin"/>
        </w:r>
        <w:r w:rsidR="00B16CCF">
          <w:instrText xml:space="preserve"> PAGEREF _Toc256001260 \h </w:instrText>
        </w:r>
        <w:r w:rsidR="00B16CCF">
          <w:fldChar w:fldCharType="separate"/>
        </w:r>
        <w:r w:rsidR="00B16CCF">
          <w:t>257</w:t>
        </w:r>
        <w:r w:rsidR="00B16CCF">
          <w:fldChar w:fldCharType="end"/>
        </w:r>
      </w:hyperlink>
    </w:p>
    <w:p w14:paraId="5A8838D9" w14:textId="77777777" w:rsidR="00823317" w:rsidRDefault="001D0AD2">
      <w:pPr>
        <w:pStyle w:val="Kazalovsebine4"/>
        <w:tabs>
          <w:tab w:val="end" w:leader="dot" w:pos="512pt"/>
        </w:tabs>
        <w:rPr>
          <w:rFonts w:ascii="Calibri" w:hAnsi="Calibri"/>
          <w:sz w:val="22"/>
        </w:rPr>
      </w:pPr>
      <w:hyperlink w:anchor="_Toc256001261" w:history="1">
        <w:r w:rsidR="00A77B3E">
          <w:rPr>
            <w:rStyle w:val="Hiperpovezava"/>
          </w:rPr>
          <w:t>2.1.1.1.3. Okvirna razčlenitev načrtovanih sredstev (EU) glede na vrsto ukrepa</w:t>
        </w:r>
        <w:r w:rsidR="00B16CCF">
          <w:tab/>
        </w:r>
        <w:r w:rsidR="00B16CCF">
          <w:fldChar w:fldCharType="begin"/>
        </w:r>
        <w:r w:rsidR="00B16CCF">
          <w:instrText xml:space="preserve"> PAGEREF _Toc256001261 \h </w:instrText>
        </w:r>
        <w:r w:rsidR="00B16CCF">
          <w:fldChar w:fldCharType="separate"/>
        </w:r>
        <w:r w:rsidR="00B16CCF">
          <w:t>258</w:t>
        </w:r>
        <w:r w:rsidR="00B16CCF">
          <w:fldChar w:fldCharType="end"/>
        </w:r>
      </w:hyperlink>
    </w:p>
    <w:p w14:paraId="36F9B061" w14:textId="77777777" w:rsidR="00823317" w:rsidRDefault="001D0AD2">
      <w:pPr>
        <w:pStyle w:val="Kazalovsebine5"/>
        <w:tabs>
          <w:tab w:val="end" w:leader="dot" w:pos="512pt"/>
        </w:tabs>
        <w:rPr>
          <w:rFonts w:ascii="Calibri" w:hAnsi="Calibri"/>
          <w:sz w:val="22"/>
        </w:rPr>
      </w:pPr>
      <w:hyperlink w:anchor="_Toc256001262" w:history="1">
        <w:r w:rsidR="00A77B3E">
          <w:rPr>
            <w:rStyle w:val="Hiperpovezava"/>
          </w:rPr>
          <w:t>Tabela 4: Razsežnost 1 – področje ukrepanja</w:t>
        </w:r>
        <w:r w:rsidR="00B16CCF">
          <w:tab/>
        </w:r>
        <w:r w:rsidR="00B16CCF">
          <w:fldChar w:fldCharType="begin"/>
        </w:r>
        <w:r w:rsidR="00B16CCF">
          <w:instrText xml:space="preserve"> PAGEREF _Toc256001262 \h </w:instrText>
        </w:r>
        <w:r w:rsidR="00B16CCF">
          <w:fldChar w:fldCharType="separate"/>
        </w:r>
        <w:r w:rsidR="00B16CCF">
          <w:t>258</w:t>
        </w:r>
        <w:r w:rsidR="00B16CCF">
          <w:fldChar w:fldCharType="end"/>
        </w:r>
      </w:hyperlink>
    </w:p>
    <w:p w14:paraId="23F04106" w14:textId="77777777" w:rsidR="00823317" w:rsidRDefault="001D0AD2">
      <w:pPr>
        <w:pStyle w:val="Kazalovsebine5"/>
        <w:tabs>
          <w:tab w:val="end" w:leader="dot" w:pos="512pt"/>
        </w:tabs>
        <w:rPr>
          <w:rFonts w:ascii="Calibri" w:hAnsi="Calibri"/>
          <w:sz w:val="22"/>
        </w:rPr>
      </w:pPr>
      <w:hyperlink w:anchor="_Toc256001263" w:history="1">
        <w:r w:rsidR="00A77B3E">
          <w:rPr>
            <w:rStyle w:val="Hiperpovezava"/>
          </w:rPr>
          <w:t>Tabela 5: Razsežnost 2 – oblika financiranja</w:t>
        </w:r>
        <w:r w:rsidR="00B16CCF">
          <w:tab/>
        </w:r>
        <w:r w:rsidR="00B16CCF">
          <w:fldChar w:fldCharType="begin"/>
        </w:r>
        <w:r w:rsidR="00B16CCF">
          <w:instrText xml:space="preserve"> PAGEREF _Toc256001263 \h </w:instrText>
        </w:r>
        <w:r w:rsidR="00B16CCF">
          <w:fldChar w:fldCharType="separate"/>
        </w:r>
        <w:r w:rsidR="00B16CCF">
          <w:t>258</w:t>
        </w:r>
        <w:r w:rsidR="00B16CCF">
          <w:fldChar w:fldCharType="end"/>
        </w:r>
      </w:hyperlink>
    </w:p>
    <w:p w14:paraId="52FB371B" w14:textId="77777777" w:rsidR="00823317" w:rsidRDefault="001D0AD2">
      <w:pPr>
        <w:pStyle w:val="Kazalovsebine5"/>
        <w:tabs>
          <w:tab w:val="end" w:leader="dot" w:pos="512pt"/>
        </w:tabs>
        <w:rPr>
          <w:rFonts w:ascii="Calibri" w:hAnsi="Calibri"/>
          <w:sz w:val="22"/>
        </w:rPr>
      </w:pPr>
      <w:hyperlink w:anchor="_Toc256001264" w:history="1">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_Toc256001264 \h </w:instrText>
        </w:r>
        <w:r w:rsidR="00B16CCF">
          <w:fldChar w:fldCharType="separate"/>
        </w:r>
        <w:r w:rsidR="00B16CCF">
          <w:t>258</w:t>
        </w:r>
        <w:r w:rsidR="00B16CCF">
          <w:fldChar w:fldCharType="end"/>
        </w:r>
      </w:hyperlink>
    </w:p>
    <w:p w14:paraId="0A7DDBEE" w14:textId="77777777" w:rsidR="00823317" w:rsidRDefault="001D0AD2">
      <w:pPr>
        <w:pStyle w:val="Kazalovsebine5"/>
        <w:tabs>
          <w:tab w:val="end" w:leader="dot" w:pos="512pt"/>
        </w:tabs>
        <w:rPr>
          <w:rFonts w:ascii="Calibri" w:hAnsi="Calibri"/>
          <w:sz w:val="22"/>
        </w:rPr>
      </w:pPr>
      <w:hyperlink w:anchor="_Toc256001265" w:history="1">
        <w:r w:rsidR="00A77B3E">
          <w:rPr>
            <w:rStyle w:val="Hiperpovezava"/>
          </w:rPr>
          <w:t>Tabela 7: Razsežnost 6 – sekundarna področja ESS+</w:t>
        </w:r>
        <w:r w:rsidR="00B16CCF">
          <w:tab/>
        </w:r>
        <w:r w:rsidR="00B16CCF">
          <w:fldChar w:fldCharType="begin"/>
        </w:r>
        <w:r w:rsidR="00B16CCF">
          <w:instrText xml:space="preserve"> PAGEREF _Toc256001265 \h </w:instrText>
        </w:r>
        <w:r w:rsidR="00B16CCF">
          <w:fldChar w:fldCharType="separate"/>
        </w:r>
        <w:r w:rsidR="00B16CCF">
          <w:t>259</w:t>
        </w:r>
        <w:r w:rsidR="00B16CCF">
          <w:fldChar w:fldCharType="end"/>
        </w:r>
      </w:hyperlink>
    </w:p>
    <w:p w14:paraId="196AFA20" w14:textId="77777777" w:rsidR="00823317" w:rsidRDefault="001D0AD2">
      <w:pPr>
        <w:pStyle w:val="Kazalovsebine5"/>
        <w:tabs>
          <w:tab w:val="end" w:leader="dot" w:pos="512pt"/>
        </w:tabs>
        <w:rPr>
          <w:rFonts w:ascii="Calibri" w:hAnsi="Calibri"/>
          <w:sz w:val="22"/>
        </w:rPr>
      </w:pPr>
      <w:hyperlink w:anchor="_Toc256001266" w:history="1">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_Toc256001266 \h </w:instrText>
        </w:r>
        <w:r w:rsidR="00B16CCF">
          <w:fldChar w:fldCharType="separate"/>
        </w:r>
        <w:r w:rsidR="00B16CCF">
          <w:t>259</w:t>
        </w:r>
        <w:r w:rsidR="00B16CCF">
          <w:fldChar w:fldCharType="end"/>
        </w:r>
      </w:hyperlink>
    </w:p>
    <w:p w14:paraId="380A6E19" w14:textId="77777777" w:rsidR="00823317" w:rsidRDefault="001D0AD2">
      <w:pPr>
        <w:pStyle w:val="Kazalovsebine3"/>
        <w:tabs>
          <w:tab w:val="end" w:leader="dot" w:pos="512pt"/>
        </w:tabs>
        <w:rPr>
          <w:rFonts w:ascii="Calibri" w:hAnsi="Calibri"/>
          <w:sz w:val="22"/>
        </w:rPr>
      </w:pPr>
      <w:hyperlink w:anchor="_Toc256001267" w:history="1">
        <w:r w:rsidR="00A77B3E">
          <w:rPr>
            <w:rStyle w:val="Hiperpovezava"/>
          </w:rPr>
          <w:t>2.1.1. Prednostna naloga: 7. Dolgotrajna oskrba in zdravje ter socialna vključenost</w:t>
        </w:r>
        <w:r w:rsidR="00B16CCF">
          <w:tab/>
        </w:r>
        <w:r w:rsidR="00B16CCF">
          <w:fldChar w:fldCharType="begin"/>
        </w:r>
        <w:r w:rsidR="00B16CCF">
          <w:instrText xml:space="preserve"> PAGEREF _Toc256001267 \h </w:instrText>
        </w:r>
        <w:r w:rsidR="00B16CCF">
          <w:fldChar w:fldCharType="separate"/>
        </w:r>
        <w:r w:rsidR="00B16CCF">
          <w:t>260</w:t>
        </w:r>
        <w:r w:rsidR="00B16CCF">
          <w:fldChar w:fldCharType="end"/>
        </w:r>
      </w:hyperlink>
    </w:p>
    <w:p w14:paraId="032E9212" w14:textId="77777777" w:rsidR="00823317" w:rsidRDefault="001D0AD2">
      <w:pPr>
        <w:pStyle w:val="Kazalovsebine4"/>
        <w:tabs>
          <w:tab w:val="end" w:leader="dot" w:pos="512pt"/>
        </w:tabs>
        <w:rPr>
          <w:rFonts w:ascii="Calibri" w:hAnsi="Calibri"/>
          <w:sz w:val="22"/>
        </w:rPr>
      </w:pPr>
      <w:hyperlink w:anchor="_Toc256001268" w:history="1">
        <w:r w:rsidR="00A77B3E">
          <w:rPr>
            <w:rStyle w:val="Hiperpovezava"/>
          </w:rPr>
          <w:t>2.1.1.1. Specifični cilj: RSO4.3. Spodbujanje socialno-ekonomskega vključevanja marginaliziranih skupnosti, gospodinjstev z nizkimi dohodki in prikrajšanih skupin, tudi ljudi s posebnimi potrebami, s celostnimi ukrepi, vključno s stanovanjskimi in socialnimi storitvami (ESRR)</w:t>
        </w:r>
        <w:r w:rsidR="00B16CCF">
          <w:tab/>
        </w:r>
        <w:r w:rsidR="00B16CCF">
          <w:fldChar w:fldCharType="begin"/>
        </w:r>
        <w:r w:rsidR="00B16CCF">
          <w:instrText xml:space="preserve"> PAGEREF _Toc256001268 \h </w:instrText>
        </w:r>
        <w:r w:rsidR="00B16CCF">
          <w:fldChar w:fldCharType="separate"/>
        </w:r>
        <w:r w:rsidR="00B16CCF">
          <w:t>260</w:t>
        </w:r>
        <w:r w:rsidR="00B16CCF">
          <w:fldChar w:fldCharType="end"/>
        </w:r>
      </w:hyperlink>
    </w:p>
    <w:p w14:paraId="2CA67FFA" w14:textId="77777777" w:rsidR="00823317" w:rsidRDefault="001D0AD2">
      <w:pPr>
        <w:pStyle w:val="Kazalovsebine4"/>
        <w:tabs>
          <w:tab w:val="end" w:leader="dot" w:pos="512pt"/>
        </w:tabs>
        <w:rPr>
          <w:rFonts w:ascii="Calibri" w:hAnsi="Calibri"/>
          <w:sz w:val="22"/>
        </w:rPr>
      </w:pPr>
      <w:hyperlink w:anchor="_Toc256001269" w:history="1">
        <w:r w:rsidR="00A77B3E">
          <w:rPr>
            <w:rStyle w:val="Hiperpovezava"/>
          </w:rPr>
          <w:t>2.1.1.1.1. Ukrepi skladov</w:t>
        </w:r>
        <w:r w:rsidR="00B16CCF">
          <w:tab/>
        </w:r>
        <w:r w:rsidR="00B16CCF">
          <w:fldChar w:fldCharType="begin"/>
        </w:r>
        <w:r w:rsidR="00B16CCF">
          <w:instrText xml:space="preserve"> PAGEREF _Toc256001269 \h </w:instrText>
        </w:r>
        <w:r w:rsidR="00B16CCF">
          <w:fldChar w:fldCharType="separate"/>
        </w:r>
        <w:r w:rsidR="00B16CCF">
          <w:t>260</w:t>
        </w:r>
        <w:r w:rsidR="00B16CCF">
          <w:fldChar w:fldCharType="end"/>
        </w:r>
      </w:hyperlink>
    </w:p>
    <w:p w14:paraId="0A885F96" w14:textId="77777777" w:rsidR="00823317" w:rsidRDefault="001D0AD2">
      <w:pPr>
        <w:pStyle w:val="Kazalovsebine5"/>
        <w:tabs>
          <w:tab w:val="end" w:leader="dot" w:pos="512pt"/>
        </w:tabs>
        <w:rPr>
          <w:rFonts w:ascii="Calibri" w:hAnsi="Calibri"/>
          <w:sz w:val="22"/>
        </w:rPr>
      </w:pPr>
      <w:hyperlink w:anchor="_Toc256001270" w:history="1">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_Toc256001270 \h </w:instrText>
        </w:r>
        <w:r w:rsidR="00B16CCF">
          <w:fldChar w:fldCharType="separate"/>
        </w:r>
        <w:r w:rsidR="00B16CCF">
          <w:t>260</w:t>
        </w:r>
        <w:r w:rsidR="00B16CCF">
          <w:fldChar w:fldCharType="end"/>
        </w:r>
      </w:hyperlink>
    </w:p>
    <w:p w14:paraId="2CC7A5BB" w14:textId="77777777" w:rsidR="00823317" w:rsidRDefault="001D0AD2">
      <w:pPr>
        <w:pStyle w:val="Kazalovsebine5"/>
        <w:tabs>
          <w:tab w:val="end" w:leader="dot" w:pos="512pt"/>
        </w:tabs>
        <w:rPr>
          <w:rFonts w:ascii="Calibri" w:hAnsi="Calibri"/>
          <w:sz w:val="22"/>
        </w:rPr>
      </w:pPr>
      <w:hyperlink w:anchor="_Toc256001271" w:history="1">
        <w:r w:rsidR="00A77B3E">
          <w:rPr>
            <w:rStyle w:val="Hiperpovezava"/>
          </w:rPr>
          <w:t>Glavne ciljne skupine – člen 22(3)(d)(iii) uredbe o skupnih določbah:</w:t>
        </w:r>
        <w:r w:rsidR="00B16CCF">
          <w:tab/>
        </w:r>
        <w:r w:rsidR="00B16CCF">
          <w:fldChar w:fldCharType="begin"/>
        </w:r>
        <w:r w:rsidR="00B16CCF">
          <w:instrText xml:space="preserve"> PAGEREF _Toc256001271 \h </w:instrText>
        </w:r>
        <w:r w:rsidR="00B16CCF">
          <w:fldChar w:fldCharType="separate"/>
        </w:r>
        <w:r w:rsidR="00B16CCF">
          <w:t>261</w:t>
        </w:r>
        <w:r w:rsidR="00B16CCF">
          <w:fldChar w:fldCharType="end"/>
        </w:r>
      </w:hyperlink>
    </w:p>
    <w:p w14:paraId="022DBF2B" w14:textId="77777777" w:rsidR="00823317" w:rsidRDefault="001D0AD2">
      <w:pPr>
        <w:pStyle w:val="Kazalovsebine5"/>
        <w:tabs>
          <w:tab w:val="end" w:leader="dot" w:pos="512pt"/>
        </w:tabs>
        <w:rPr>
          <w:rFonts w:ascii="Calibri" w:hAnsi="Calibri"/>
          <w:sz w:val="22"/>
        </w:rPr>
      </w:pPr>
      <w:hyperlink w:anchor="_Toc256001272" w:history="1">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_Toc256001272 \h </w:instrText>
        </w:r>
        <w:r w:rsidR="00B16CCF">
          <w:fldChar w:fldCharType="separate"/>
        </w:r>
        <w:r w:rsidR="00B16CCF">
          <w:t>262</w:t>
        </w:r>
        <w:r w:rsidR="00B16CCF">
          <w:fldChar w:fldCharType="end"/>
        </w:r>
      </w:hyperlink>
    </w:p>
    <w:p w14:paraId="300B8BFF" w14:textId="77777777" w:rsidR="00823317" w:rsidRDefault="001D0AD2">
      <w:pPr>
        <w:pStyle w:val="Kazalovsebine5"/>
        <w:tabs>
          <w:tab w:val="end" w:leader="dot" w:pos="512pt"/>
        </w:tabs>
        <w:rPr>
          <w:rFonts w:ascii="Calibri" w:hAnsi="Calibri"/>
          <w:sz w:val="22"/>
        </w:rPr>
      </w:pPr>
      <w:hyperlink w:anchor="_Toc256001273" w:history="1">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_Toc256001273 \h </w:instrText>
        </w:r>
        <w:r w:rsidR="00B16CCF">
          <w:fldChar w:fldCharType="separate"/>
        </w:r>
        <w:r w:rsidR="00B16CCF">
          <w:t>262</w:t>
        </w:r>
        <w:r w:rsidR="00B16CCF">
          <w:fldChar w:fldCharType="end"/>
        </w:r>
      </w:hyperlink>
    </w:p>
    <w:p w14:paraId="46067208" w14:textId="77777777" w:rsidR="00823317" w:rsidRDefault="001D0AD2">
      <w:pPr>
        <w:pStyle w:val="Kazalovsebine5"/>
        <w:tabs>
          <w:tab w:val="end" w:leader="dot" w:pos="512pt"/>
        </w:tabs>
        <w:rPr>
          <w:rFonts w:ascii="Calibri" w:hAnsi="Calibri"/>
          <w:sz w:val="22"/>
        </w:rPr>
      </w:pPr>
      <w:hyperlink w:anchor="_Toc256001274" w:history="1">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_Toc256001274 \h </w:instrText>
        </w:r>
        <w:r w:rsidR="00B16CCF">
          <w:fldChar w:fldCharType="separate"/>
        </w:r>
        <w:r w:rsidR="00B16CCF">
          <w:t>263</w:t>
        </w:r>
        <w:r w:rsidR="00B16CCF">
          <w:fldChar w:fldCharType="end"/>
        </w:r>
      </w:hyperlink>
    </w:p>
    <w:p w14:paraId="005176D3" w14:textId="77777777" w:rsidR="00823317" w:rsidRDefault="001D0AD2">
      <w:pPr>
        <w:pStyle w:val="Kazalovsebine5"/>
        <w:tabs>
          <w:tab w:val="end" w:leader="dot" w:pos="512pt"/>
        </w:tabs>
        <w:rPr>
          <w:rFonts w:ascii="Calibri" w:hAnsi="Calibri"/>
          <w:sz w:val="22"/>
        </w:rPr>
      </w:pPr>
      <w:hyperlink w:anchor="_Toc256001275" w:history="1">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_Toc256001275 \h </w:instrText>
        </w:r>
        <w:r w:rsidR="00B16CCF">
          <w:fldChar w:fldCharType="separate"/>
        </w:r>
        <w:r w:rsidR="00B16CCF">
          <w:t>263</w:t>
        </w:r>
        <w:r w:rsidR="00B16CCF">
          <w:fldChar w:fldCharType="end"/>
        </w:r>
      </w:hyperlink>
    </w:p>
    <w:p w14:paraId="50482EEE" w14:textId="77777777" w:rsidR="00823317" w:rsidRDefault="001D0AD2">
      <w:pPr>
        <w:pStyle w:val="Kazalovsebine4"/>
        <w:tabs>
          <w:tab w:val="end" w:leader="dot" w:pos="512pt"/>
        </w:tabs>
        <w:rPr>
          <w:rFonts w:ascii="Calibri" w:hAnsi="Calibri"/>
          <w:sz w:val="22"/>
        </w:rPr>
      </w:pPr>
      <w:hyperlink w:anchor="_Toc256001276" w:history="1">
        <w:r w:rsidR="00A77B3E">
          <w:rPr>
            <w:rStyle w:val="Hiperpovezava"/>
          </w:rPr>
          <w:t>2.1.1.1.2. Kazalniki</w:t>
        </w:r>
        <w:r w:rsidR="00B16CCF">
          <w:tab/>
        </w:r>
        <w:r w:rsidR="00B16CCF">
          <w:fldChar w:fldCharType="begin"/>
        </w:r>
        <w:r w:rsidR="00B16CCF">
          <w:instrText xml:space="preserve"> PAGEREF _Toc256001276 \h </w:instrText>
        </w:r>
        <w:r w:rsidR="00B16CCF">
          <w:fldChar w:fldCharType="separate"/>
        </w:r>
        <w:r w:rsidR="00B16CCF">
          <w:t>263</w:t>
        </w:r>
        <w:r w:rsidR="00B16CCF">
          <w:fldChar w:fldCharType="end"/>
        </w:r>
      </w:hyperlink>
    </w:p>
    <w:p w14:paraId="7C3D35BA" w14:textId="77777777" w:rsidR="00823317" w:rsidRDefault="001D0AD2">
      <w:pPr>
        <w:pStyle w:val="Kazalovsebine5"/>
        <w:tabs>
          <w:tab w:val="end" w:leader="dot" w:pos="512pt"/>
        </w:tabs>
        <w:rPr>
          <w:rFonts w:ascii="Calibri" w:hAnsi="Calibri"/>
          <w:sz w:val="22"/>
        </w:rPr>
      </w:pPr>
      <w:hyperlink w:anchor="_Toc256001277" w:history="1">
        <w:r w:rsidR="00A77B3E">
          <w:rPr>
            <w:rStyle w:val="Hiperpovezava"/>
          </w:rPr>
          <w:t>Tabela 2: Kazalniki učinka</w:t>
        </w:r>
        <w:r w:rsidR="00B16CCF">
          <w:tab/>
        </w:r>
        <w:r w:rsidR="00B16CCF">
          <w:fldChar w:fldCharType="begin"/>
        </w:r>
        <w:r w:rsidR="00B16CCF">
          <w:instrText xml:space="preserve"> PAGEREF _Toc256001277 \h </w:instrText>
        </w:r>
        <w:r w:rsidR="00B16CCF">
          <w:fldChar w:fldCharType="separate"/>
        </w:r>
        <w:r w:rsidR="00B16CCF">
          <w:t>263</w:t>
        </w:r>
        <w:r w:rsidR="00B16CCF">
          <w:fldChar w:fldCharType="end"/>
        </w:r>
      </w:hyperlink>
    </w:p>
    <w:p w14:paraId="534323EB" w14:textId="77777777" w:rsidR="00823317" w:rsidRDefault="001D0AD2">
      <w:pPr>
        <w:pStyle w:val="Kazalovsebine5"/>
        <w:tabs>
          <w:tab w:val="end" w:leader="dot" w:pos="512pt"/>
        </w:tabs>
        <w:rPr>
          <w:rFonts w:ascii="Calibri" w:hAnsi="Calibri"/>
          <w:sz w:val="22"/>
        </w:rPr>
      </w:pPr>
      <w:hyperlink w:anchor="_Toc256001278" w:history="1">
        <w:r w:rsidR="00A77B3E">
          <w:rPr>
            <w:rStyle w:val="Hiperpovezava"/>
          </w:rPr>
          <w:t>Tabela 3: Kazalniki rezultatov</w:t>
        </w:r>
        <w:r w:rsidR="00B16CCF">
          <w:tab/>
        </w:r>
        <w:r w:rsidR="00B16CCF">
          <w:fldChar w:fldCharType="begin"/>
        </w:r>
        <w:r w:rsidR="00B16CCF">
          <w:instrText xml:space="preserve"> PAGEREF _Toc256001278 \h </w:instrText>
        </w:r>
        <w:r w:rsidR="00B16CCF">
          <w:fldChar w:fldCharType="separate"/>
        </w:r>
        <w:r w:rsidR="00B16CCF">
          <w:t>263</w:t>
        </w:r>
        <w:r w:rsidR="00B16CCF">
          <w:fldChar w:fldCharType="end"/>
        </w:r>
      </w:hyperlink>
    </w:p>
    <w:p w14:paraId="51C5D83E" w14:textId="77777777" w:rsidR="00823317" w:rsidRDefault="001D0AD2">
      <w:pPr>
        <w:pStyle w:val="Kazalovsebine4"/>
        <w:tabs>
          <w:tab w:val="end" w:leader="dot" w:pos="512pt"/>
        </w:tabs>
        <w:rPr>
          <w:rFonts w:ascii="Calibri" w:hAnsi="Calibri"/>
          <w:sz w:val="22"/>
        </w:rPr>
      </w:pPr>
      <w:hyperlink w:anchor="_Toc256001279" w:history="1">
        <w:r w:rsidR="00A77B3E">
          <w:rPr>
            <w:rStyle w:val="Hiperpovezava"/>
          </w:rPr>
          <w:t>2.1.1.1.3. Okvirna razčlenitev načrtovanih sredstev (EU) glede na vrsto ukrepa</w:t>
        </w:r>
        <w:r w:rsidR="00B16CCF">
          <w:tab/>
        </w:r>
        <w:r w:rsidR="00B16CCF">
          <w:fldChar w:fldCharType="begin"/>
        </w:r>
        <w:r w:rsidR="00B16CCF">
          <w:instrText xml:space="preserve"> PAGEREF _Toc256001279 \h </w:instrText>
        </w:r>
        <w:r w:rsidR="00B16CCF">
          <w:fldChar w:fldCharType="separate"/>
        </w:r>
        <w:r w:rsidR="00B16CCF">
          <w:t>263</w:t>
        </w:r>
        <w:r w:rsidR="00B16CCF">
          <w:fldChar w:fldCharType="end"/>
        </w:r>
      </w:hyperlink>
    </w:p>
    <w:p w14:paraId="2E05B59D" w14:textId="77777777" w:rsidR="00823317" w:rsidRDefault="001D0AD2">
      <w:pPr>
        <w:pStyle w:val="Kazalovsebine5"/>
        <w:tabs>
          <w:tab w:val="end" w:leader="dot" w:pos="512pt"/>
        </w:tabs>
        <w:rPr>
          <w:rFonts w:ascii="Calibri" w:hAnsi="Calibri"/>
          <w:sz w:val="22"/>
        </w:rPr>
      </w:pPr>
      <w:hyperlink w:anchor="_Toc256001280" w:history="1">
        <w:r w:rsidR="00A77B3E">
          <w:rPr>
            <w:rStyle w:val="Hiperpovezava"/>
          </w:rPr>
          <w:t>Tabela 4: Razsežnost 1 – področje ukrepanja</w:t>
        </w:r>
        <w:r w:rsidR="00B16CCF">
          <w:tab/>
        </w:r>
        <w:r w:rsidR="00B16CCF">
          <w:fldChar w:fldCharType="begin"/>
        </w:r>
        <w:r w:rsidR="00B16CCF">
          <w:instrText xml:space="preserve"> PAGEREF _Toc256001280 \h </w:instrText>
        </w:r>
        <w:r w:rsidR="00B16CCF">
          <w:fldChar w:fldCharType="separate"/>
        </w:r>
        <w:r w:rsidR="00B16CCF">
          <w:t>264</w:t>
        </w:r>
        <w:r w:rsidR="00B16CCF">
          <w:fldChar w:fldCharType="end"/>
        </w:r>
      </w:hyperlink>
    </w:p>
    <w:p w14:paraId="2C1521E0" w14:textId="77777777" w:rsidR="00823317" w:rsidRDefault="001D0AD2">
      <w:pPr>
        <w:pStyle w:val="Kazalovsebine5"/>
        <w:tabs>
          <w:tab w:val="end" w:leader="dot" w:pos="512pt"/>
        </w:tabs>
        <w:rPr>
          <w:rFonts w:ascii="Calibri" w:hAnsi="Calibri"/>
          <w:sz w:val="22"/>
        </w:rPr>
      </w:pPr>
      <w:hyperlink w:anchor="_Toc256001281" w:history="1">
        <w:r w:rsidR="00A77B3E">
          <w:rPr>
            <w:rStyle w:val="Hiperpovezava"/>
          </w:rPr>
          <w:t>Tabela 5: Razsežnost 2 – oblika financiranja</w:t>
        </w:r>
        <w:r w:rsidR="00B16CCF">
          <w:tab/>
        </w:r>
        <w:r w:rsidR="00B16CCF">
          <w:fldChar w:fldCharType="begin"/>
        </w:r>
        <w:r w:rsidR="00B16CCF">
          <w:instrText xml:space="preserve"> PAGEREF _Toc256001281 \h </w:instrText>
        </w:r>
        <w:r w:rsidR="00B16CCF">
          <w:fldChar w:fldCharType="separate"/>
        </w:r>
        <w:r w:rsidR="00B16CCF">
          <w:t>264</w:t>
        </w:r>
        <w:r w:rsidR="00B16CCF">
          <w:fldChar w:fldCharType="end"/>
        </w:r>
      </w:hyperlink>
    </w:p>
    <w:p w14:paraId="41C1600C" w14:textId="77777777" w:rsidR="00823317" w:rsidRDefault="001D0AD2">
      <w:pPr>
        <w:pStyle w:val="Kazalovsebine5"/>
        <w:tabs>
          <w:tab w:val="end" w:leader="dot" w:pos="512pt"/>
        </w:tabs>
        <w:rPr>
          <w:rFonts w:ascii="Calibri" w:hAnsi="Calibri"/>
          <w:sz w:val="22"/>
        </w:rPr>
      </w:pPr>
      <w:hyperlink w:anchor="_Toc256001282" w:history="1">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_Toc256001282 \h </w:instrText>
        </w:r>
        <w:r w:rsidR="00B16CCF">
          <w:fldChar w:fldCharType="separate"/>
        </w:r>
        <w:r w:rsidR="00B16CCF">
          <w:t>264</w:t>
        </w:r>
        <w:r w:rsidR="00B16CCF">
          <w:fldChar w:fldCharType="end"/>
        </w:r>
      </w:hyperlink>
    </w:p>
    <w:p w14:paraId="328E85C0" w14:textId="77777777" w:rsidR="00823317" w:rsidRDefault="001D0AD2">
      <w:pPr>
        <w:pStyle w:val="Kazalovsebine5"/>
        <w:tabs>
          <w:tab w:val="end" w:leader="dot" w:pos="512pt"/>
        </w:tabs>
        <w:rPr>
          <w:rFonts w:ascii="Calibri" w:hAnsi="Calibri"/>
          <w:sz w:val="22"/>
        </w:rPr>
      </w:pPr>
      <w:hyperlink w:anchor="_Toc256001283" w:history="1">
        <w:r w:rsidR="00A77B3E">
          <w:rPr>
            <w:rStyle w:val="Hiperpovezava"/>
          </w:rPr>
          <w:t>Tabela 7: Razsežnost 6 – sekundarna področja ESS+</w:t>
        </w:r>
        <w:r w:rsidR="00B16CCF">
          <w:tab/>
        </w:r>
        <w:r w:rsidR="00B16CCF">
          <w:fldChar w:fldCharType="begin"/>
        </w:r>
        <w:r w:rsidR="00B16CCF">
          <w:instrText xml:space="preserve"> PAGEREF _Toc256001283 \h </w:instrText>
        </w:r>
        <w:r w:rsidR="00B16CCF">
          <w:fldChar w:fldCharType="separate"/>
        </w:r>
        <w:r w:rsidR="00B16CCF">
          <w:t>264</w:t>
        </w:r>
        <w:r w:rsidR="00B16CCF">
          <w:fldChar w:fldCharType="end"/>
        </w:r>
      </w:hyperlink>
    </w:p>
    <w:p w14:paraId="20ADE4FA" w14:textId="77777777" w:rsidR="00823317" w:rsidRDefault="001D0AD2">
      <w:pPr>
        <w:pStyle w:val="Kazalovsebine5"/>
        <w:tabs>
          <w:tab w:val="end" w:leader="dot" w:pos="512pt"/>
        </w:tabs>
        <w:rPr>
          <w:rFonts w:ascii="Calibri" w:hAnsi="Calibri"/>
          <w:sz w:val="22"/>
        </w:rPr>
      </w:pPr>
      <w:hyperlink w:anchor="_Toc256001284" w:history="1">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_Toc256001284 \h </w:instrText>
        </w:r>
        <w:r w:rsidR="00B16CCF">
          <w:fldChar w:fldCharType="separate"/>
        </w:r>
        <w:r w:rsidR="00B16CCF">
          <w:t>264</w:t>
        </w:r>
        <w:r w:rsidR="00B16CCF">
          <w:fldChar w:fldCharType="end"/>
        </w:r>
      </w:hyperlink>
    </w:p>
    <w:p w14:paraId="4A361693" w14:textId="77777777" w:rsidR="00823317" w:rsidRDefault="001D0AD2">
      <w:pPr>
        <w:pStyle w:val="Kazalovsebine4"/>
        <w:tabs>
          <w:tab w:val="end" w:leader="dot" w:pos="512pt"/>
        </w:tabs>
        <w:rPr>
          <w:rFonts w:ascii="Calibri" w:hAnsi="Calibri"/>
          <w:sz w:val="22"/>
        </w:rPr>
      </w:pPr>
      <w:hyperlink w:anchor="_Toc256001285" w:history="1">
        <w:r w:rsidR="00A77B3E">
          <w:rPr>
            <w:rStyle w:val="Hiperpovezava"/>
          </w:rPr>
          <w:t>2.1.1.1. Specifični cilj: RSO4.5. Zagotavljanje enakega dostopa do zdravstvenega varstva in krepitev odpornosti zdravstvenih sistemov, vključno z osnovnim zdravstvenim varstvom, ter spodbujanje prehoda z institucionalne oskrbe na oskrbo v družini in skupnosti (ESRR)</w:t>
        </w:r>
        <w:r w:rsidR="00B16CCF">
          <w:tab/>
        </w:r>
        <w:r w:rsidR="00B16CCF">
          <w:fldChar w:fldCharType="begin"/>
        </w:r>
        <w:r w:rsidR="00B16CCF">
          <w:instrText xml:space="preserve"> PAGEREF _Toc256001285 \h </w:instrText>
        </w:r>
        <w:r w:rsidR="00B16CCF">
          <w:fldChar w:fldCharType="separate"/>
        </w:r>
        <w:r w:rsidR="00B16CCF">
          <w:t>265</w:t>
        </w:r>
        <w:r w:rsidR="00B16CCF">
          <w:fldChar w:fldCharType="end"/>
        </w:r>
      </w:hyperlink>
    </w:p>
    <w:p w14:paraId="180CD162" w14:textId="77777777" w:rsidR="00823317" w:rsidRDefault="001D0AD2">
      <w:pPr>
        <w:pStyle w:val="Kazalovsebine4"/>
        <w:tabs>
          <w:tab w:val="end" w:leader="dot" w:pos="512pt"/>
        </w:tabs>
        <w:rPr>
          <w:rFonts w:ascii="Calibri" w:hAnsi="Calibri"/>
          <w:sz w:val="22"/>
        </w:rPr>
      </w:pPr>
      <w:hyperlink w:anchor="_Toc256001286" w:history="1">
        <w:r w:rsidR="00A77B3E">
          <w:rPr>
            <w:rStyle w:val="Hiperpovezava"/>
          </w:rPr>
          <w:t>2.1.1.1.1. Ukrepi skladov</w:t>
        </w:r>
        <w:r w:rsidR="00B16CCF">
          <w:tab/>
        </w:r>
        <w:r w:rsidR="00B16CCF">
          <w:fldChar w:fldCharType="begin"/>
        </w:r>
        <w:r w:rsidR="00B16CCF">
          <w:instrText xml:space="preserve"> PAGEREF _Toc256001286 \h </w:instrText>
        </w:r>
        <w:r w:rsidR="00B16CCF">
          <w:fldChar w:fldCharType="separate"/>
        </w:r>
        <w:r w:rsidR="00B16CCF">
          <w:t>265</w:t>
        </w:r>
        <w:r w:rsidR="00B16CCF">
          <w:fldChar w:fldCharType="end"/>
        </w:r>
      </w:hyperlink>
    </w:p>
    <w:p w14:paraId="3EC9571F" w14:textId="77777777" w:rsidR="00823317" w:rsidRDefault="001D0AD2">
      <w:pPr>
        <w:pStyle w:val="Kazalovsebine5"/>
        <w:tabs>
          <w:tab w:val="end" w:leader="dot" w:pos="512pt"/>
        </w:tabs>
        <w:rPr>
          <w:rFonts w:ascii="Calibri" w:hAnsi="Calibri"/>
          <w:sz w:val="22"/>
        </w:rPr>
      </w:pPr>
      <w:hyperlink w:anchor="_Toc256001287" w:history="1">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_Toc256001287 \h </w:instrText>
        </w:r>
        <w:r w:rsidR="00B16CCF">
          <w:fldChar w:fldCharType="separate"/>
        </w:r>
        <w:r w:rsidR="00B16CCF">
          <w:t>265</w:t>
        </w:r>
        <w:r w:rsidR="00B16CCF">
          <w:fldChar w:fldCharType="end"/>
        </w:r>
      </w:hyperlink>
    </w:p>
    <w:p w14:paraId="4D2014C8" w14:textId="77777777" w:rsidR="00823317" w:rsidRDefault="001D0AD2">
      <w:pPr>
        <w:pStyle w:val="Kazalovsebine5"/>
        <w:tabs>
          <w:tab w:val="end" w:leader="dot" w:pos="512pt"/>
        </w:tabs>
        <w:rPr>
          <w:rFonts w:ascii="Calibri" w:hAnsi="Calibri"/>
          <w:sz w:val="22"/>
        </w:rPr>
      </w:pPr>
      <w:hyperlink w:anchor="_Toc256001288" w:history="1">
        <w:r w:rsidR="00A77B3E">
          <w:rPr>
            <w:rStyle w:val="Hiperpovezava"/>
          </w:rPr>
          <w:t>Glavne ciljne skupine – člen 22(3)(d)(iii) uredbe o skupnih določbah:</w:t>
        </w:r>
        <w:r w:rsidR="00B16CCF">
          <w:tab/>
        </w:r>
        <w:r w:rsidR="00B16CCF">
          <w:fldChar w:fldCharType="begin"/>
        </w:r>
        <w:r w:rsidR="00B16CCF">
          <w:instrText xml:space="preserve"> PAGEREF _Toc256001288 \h </w:instrText>
        </w:r>
        <w:r w:rsidR="00B16CCF">
          <w:fldChar w:fldCharType="separate"/>
        </w:r>
        <w:r w:rsidR="00B16CCF">
          <w:t>267</w:t>
        </w:r>
        <w:r w:rsidR="00B16CCF">
          <w:fldChar w:fldCharType="end"/>
        </w:r>
      </w:hyperlink>
    </w:p>
    <w:p w14:paraId="62CA124C" w14:textId="77777777" w:rsidR="00823317" w:rsidRDefault="001D0AD2">
      <w:pPr>
        <w:pStyle w:val="Kazalovsebine5"/>
        <w:tabs>
          <w:tab w:val="end" w:leader="dot" w:pos="512pt"/>
        </w:tabs>
        <w:rPr>
          <w:rFonts w:ascii="Calibri" w:hAnsi="Calibri"/>
          <w:sz w:val="22"/>
        </w:rPr>
      </w:pPr>
      <w:hyperlink w:anchor="_Toc256001289" w:history="1">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_Toc256001289 \h </w:instrText>
        </w:r>
        <w:r w:rsidR="00B16CCF">
          <w:fldChar w:fldCharType="separate"/>
        </w:r>
        <w:r w:rsidR="00B16CCF">
          <w:t>267</w:t>
        </w:r>
        <w:r w:rsidR="00B16CCF">
          <w:fldChar w:fldCharType="end"/>
        </w:r>
      </w:hyperlink>
    </w:p>
    <w:p w14:paraId="7D2CDF0C" w14:textId="77777777" w:rsidR="00823317" w:rsidRDefault="001D0AD2">
      <w:pPr>
        <w:pStyle w:val="Kazalovsebine5"/>
        <w:tabs>
          <w:tab w:val="end" w:leader="dot" w:pos="512pt"/>
        </w:tabs>
        <w:rPr>
          <w:rFonts w:ascii="Calibri" w:hAnsi="Calibri"/>
          <w:sz w:val="22"/>
        </w:rPr>
      </w:pPr>
      <w:hyperlink w:anchor="_Toc256001290" w:history="1">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_Toc256001290 \h </w:instrText>
        </w:r>
        <w:r w:rsidR="00B16CCF">
          <w:fldChar w:fldCharType="separate"/>
        </w:r>
        <w:r w:rsidR="00B16CCF">
          <w:t>268</w:t>
        </w:r>
        <w:r w:rsidR="00B16CCF">
          <w:fldChar w:fldCharType="end"/>
        </w:r>
      </w:hyperlink>
    </w:p>
    <w:p w14:paraId="3D75CFB6" w14:textId="77777777" w:rsidR="00823317" w:rsidRDefault="001D0AD2">
      <w:pPr>
        <w:pStyle w:val="Kazalovsebine5"/>
        <w:tabs>
          <w:tab w:val="end" w:leader="dot" w:pos="512pt"/>
        </w:tabs>
        <w:rPr>
          <w:rFonts w:ascii="Calibri" w:hAnsi="Calibri"/>
          <w:sz w:val="22"/>
        </w:rPr>
      </w:pPr>
      <w:hyperlink w:anchor="_Toc256001291" w:history="1">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_Toc256001291 \h </w:instrText>
        </w:r>
        <w:r w:rsidR="00B16CCF">
          <w:fldChar w:fldCharType="separate"/>
        </w:r>
        <w:r w:rsidR="00B16CCF">
          <w:t>268</w:t>
        </w:r>
        <w:r w:rsidR="00B16CCF">
          <w:fldChar w:fldCharType="end"/>
        </w:r>
      </w:hyperlink>
    </w:p>
    <w:p w14:paraId="6BAE58CC" w14:textId="77777777" w:rsidR="00823317" w:rsidRDefault="001D0AD2">
      <w:pPr>
        <w:pStyle w:val="Kazalovsebine5"/>
        <w:tabs>
          <w:tab w:val="end" w:leader="dot" w:pos="512pt"/>
        </w:tabs>
        <w:rPr>
          <w:rFonts w:ascii="Calibri" w:hAnsi="Calibri"/>
          <w:sz w:val="22"/>
        </w:rPr>
      </w:pPr>
      <w:hyperlink w:anchor="_Toc256001292" w:history="1">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_Toc256001292 \h </w:instrText>
        </w:r>
        <w:r w:rsidR="00B16CCF">
          <w:fldChar w:fldCharType="separate"/>
        </w:r>
        <w:r w:rsidR="00B16CCF">
          <w:t>268</w:t>
        </w:r>
        <w:r w:rsidR="00B16CCF">
          <w:fldChar w:fldCharType="end"/>
        </w:r>
      </w:hyperlink>
    </w:p>
    <w:p w14:paraId="1A918897" w14:textId="77777777" w:rsidR="00823317" w:rsidRDefault="001D0AD2">
      <w:pPr>
        <w:pStyle w:val="Kazalovsebine4"/>
        <w:tabs>
          <w:tab w:val="end" w:leader="dot" w:pos="512pt"/>
        </w:tabs>
        <w:rPr>
          <w:rFonts w:ascii="Calibri" w:hAnsi="Calibri"/>
          <w:sz w:val="22"/>
        </w:rPr>
      </w:pPr>
      <w:hyperlink w:anchor="_Toc256001293" w:history="1">
        <w:r w:rsidR="00A77B3E">
          <w:rPr>
            <w:rStyle w:val="Hiperpovezava"/>
          </w:rPr>
          <w:t>2.1.1.1.2. Kazalniki</w:t>
        </w:r>
        <w:r w:rsidR="00B16CCF">
          <w:tab/>
        </w:r>
        <w:r w:rsidR="00B16CCF">
          <w:fldChar w:fldCharType="begin"/>
        </w:r>
        <w:r w:rsidR="00B16CCF">
          <w:instrText xml:space="preserve"> PAGEREF _Toc256001293 \h </w:instrText>
        </w:r>
        <w:r w:rsidR="00B16CCF">
          <w:fldChar w:fldCharType="separate"/>
        </w:r>
        <w:r w:rsidR="00B16CCF">
          <w:t>268</w:t>
        </w:r>
        <w:r w:rsidR="00B16CCF">
          <w:fldChar w:fldCharType="end"/>
        </w:r>
      </w:hyperlink>
    </w:p>
    <w:p w14:paraId="5C31D3B5" w14:textId="77777777" w:rsidR="00823317" w:rsidRDefault="001D0AD2">
      <w:pPr>
        <w:pStyle w:val="Kazalovsebine5"/>
        <w:tabs>
          <w:tab w:val="end" w:leader="dot" w:pos="512pt"/>
        </w:tabs>
        <w:rPr>
          <w:rFonts w:ascii="Calibri" w:hAnsi="Calibri"/>
          <w:sz w:val="22"/>
        </w:rPr>
      </w:pPr>
      <w:hyperlink w:anchor="_Toc256001294" w:history="1">
        <w:r w:rsidR="00A77B3E">
          <w:rPr>
            <w:rStyle w:val="Hiperpovezava"/>
          </w:rPr>
          <w:t>Tabela 2: Kazalniki učinka</w:t>
        </w:r>
        <w:r w:rsidR="00B16CCF">
          <w:tab/>
        </w:r>
        <w:r w:rsidR="00B16CCF">
          <w:fldChar w:fldCharType="begin"/>
        </w:r>
        <w:r w:rsidR="00B16CCF">
          <w:instrText xml:space="preserve"> PAGEREF _Toc256001294 \h </w:instrText>
        </w:r>
        <w:r w:rsidR="00B16CCF">
          <w:fldChar w:fldCharType="separate"/>
        </w:r>
        <w:r w:rsidR="00B16CCF">
          <w:t>268</w:t>
        </w:r>
        <w:r w:rsidR="00B16CCF">
          <w:fldChar w:fldCharType="end"/>
        </w:r>
      </w:hyperlink>
    </w:p>
    <w:p w14:paraId="7E93B233" w14:textId="77777777" w:rsidR="00823317" w:rsidRDefault="001D0AD2">
      <w:pPr>
        <w:pStyle w:val="Kazalovsebine5"/>
        <w:tabs>
          <w:tab w:val="end" w:leader="dot" w:pos="512pt"/>
        </w:tabs>
        <w:rPr>
          <w:rFonts w:ascii="Calibri" w:hAnsi="Calibri"/>
          <w:sz w:val="22"/>
        </w:rPr>
      </w:pPr>
      <w:hyperlink w:anchor="_Toc256001295" w:history="1">
        <w:r w:rsidR="00A77B3E">
          <w:rPr>
            <w:rStyle w:val="Hiperpovezava"/>
          </w:rPr>
          <w:t>Tabela 3: Kazalniki rezultatov</w:t>
        </w:r>
        <w:r w:rsidR="00B16CCF">
          <w:tab/>
        </w:r>
        <w:r w:rsidR="00B16CCF">
          <w:fldChar w:fldCharType="begin"/>
        </w:r>
        <w:r w:rsidR="00B16CCF">
          <w:instrText xml:space="preserve"> PAGEREF _Toc256001295 \h </w:instrText>
        </w:r>
        <w:r w:rsidR="00B16CCF">
          <w:fldChar w:fldCharType="separate"/>
        </w:r>
        <w:r w:rsidR="00B16CCF">
          <w:t>269</w:t>
        </w:r>
        <w:r w:rsidR="00B16CCF">
          <w:fldChar w:fldCharType="end"/>
        </w:r>
      </w:hyperlink>
    </w:p>
    <w:p w14:paraId="03283A81" w14:textId="77777777" w:rsidR="00823317" w:rsidRDefault="001D0AD2">
      <w:pPr>
        <w:pStyle w:val="Kazalovsebine4"/>
        <w:tabs>
          <w:tab w:val="end" w:leader="dot" w:pos="512pt"/>
        </w:tabs>
        <w:rPr>
          <w:rFonts w:ascii="Calibri" w:hAnsi="Calibri"/>
          <w:sz w:val="22"/>
        </w:rPr>
      </w:pPr>
      <w:hyperlink w:anchor="_Toc256001296" w:history="1">
        <w:r w:rsidR="00A77B3E">
          <w:rPr>
            <w:rStyle w:val="Hiperpovezava"/>
          </w:rPr>
          <w:t>2.1.1.1.3. Okvirna razčlenitev načrtovanih sredstev (EU) glede na vrsto ukrepa</w:t>
        </w:r>
        <w:r w:rsidR="00B16CCF">
          <w:tab/>
        </w:r>
        <w:r w:rsidR="00B16CCF">
          <w:fldChar w:fldCharType="begin"/>
        </w:r>
        <w:r w:rsidR="00B16CCF">
          <w:instrText xml:space="preserve"> PAGEREF _Toc256001296 \h </w:instrText>
        </w:r>
        <w:r w:rsidR="00B16CCF">
          <w:fldChar w:fldCharType="separate"/>
        </w:r>
        <w:r w:rsidR="00B16CCF">
          <w:t>269</w:t>
        </w:r>
        <w:r w:rsidR="00B16CCF">
          <w:fldChar w:fldCharType="end"/>
        </w:r>
      </w:hyperlink>
    </w:p>
    <w:p w14:paraId="39591099" w14:textId="77777777" w:rsidR="00823317" w:rsidRDefault="001D0AD2">
      <w:pPr>
        <w:pStyle w:val="Kazalovsebine5"/>
        <w:tabs>
          <w:tab w:val="end" w:leader="dot" w:pos="512pt"/>
        </w:tabs>
        <w:rPr>
          <w:rFonts w:ascii="Calibri" w:hAnsi="Calibri"/>
          <w:sz w:val="22"/>
        </w:rPr>
      </w:pPr>
      <w:hyperlink w:anchor="_Toc256001297" w:history="1">
        <w:r w:rsidR="00A77B3E">
          <w:rPr>
            <w:rStyle w:val="Hiperpovezava"/>
          </w:rPr>
          <w:t>Tabela 4: Razsežnost 1 – področje ukrepanja</w:t>
        </w:r>
        <w:r w:rsidR="00B16CCF">
          <w:tab/>
        </w:r>
        <w:r w:rsidR="00B16CCF">
          <w:fldChar w:fldCharType="begin"/>
        </w:r>
        <w:r w:rsidR="00B16CCF">
          <w:instrText xml:space="preserve"> PAGEREF _Toc256001297 \h </w:instrText>
        </w:r>
        <w:r w:rsidR="00B16CCF">
          <w:fldChar w:fldCharType="separate"/>
        </w:r>
        <w:r w:rsidR="00B16CCF">
          <w:t>269</w:t>
        </w:r>
        <w:r w:rsidR="00B16CCF">
          <w:fldChar w:fldCharType="end"/>
        </w:r>
      </w:hyperlink>
    </w:p>
    <w:p w14:paraId="28DE9E18" w14:textId="77777777" w:rsidR="00823317" w:rsidRDefault="001D0AD2">
      <w:pPr>
        <w:pStyle w:val="Kazalovsebine5"/>
        <w:tabs>
          <w:tab w:val="end" w:leader="dot" w:pos="512pt"/>
        </w:tabs>
        <w:rPr>
          <w:rFonts w:ascii="Calibri" w:hAnsi="Calibri"/>
          <w:sz w:val="22"/>
        </w:rPr>
      </w:pPr>
      <w:hyperlink w:anchor="_Toc256001298" w:history="1">
        <w:r w:rsidR="00A77B3E">
          <w:rPr>
            <w:rStyle w:val="Hiperpovezava"/>
          </w:rPr>
          <w:t>Tabela 5: Razsežnost 2 – oblika financiranja</w:t>
        </w:r>
        <w:r w:rsidR="00B16CCF">
          <w:tab/>
        </w:r>
        <w:r w:rsidR="00B16CCF">
          <w:fldChar w:fldCharType="begin"/>
        </w:r>
        <w:r w:rsidR="00B16CCF">
          <w:instrText xml:space="preserve"> PAGEREF _Toc256001298 \h </w:instrText>
        </w:r>
        <w:r w:rsidR="00B16CCF">
          <w:fldChar w:fldCharType="separate"/>
        </w:r>
        <w:r w:rsidR="00B16CCF">
          <w:t>269</w:t>
        </w:r>
        <w:r w:rsidR="00B16CCF">
          <w:fldChar w:fldCharType="end"/>
        </w:r>
      </w:hyperlink>
    </w:p>
    <w:p w14:paraId="7F63C765" w14:textId="77777777" w:rsidR="00823317" w:rsidRDefault="001D0AD2">
      <w:pPr>
        <w:pStyle w:val="Kazalovsebine5"/>
        <w:tabs>
          <w:tab w:val="end" w:leader="dot" w:pos="512pt"/>
        </w:tabs>
        <w:rPr>
          <w:rFonts w:ascii="Calibri" w:hAnsi="Calibri"/>
          <w:sz w:val="22"/>
        </w:rPr>
      </w:pPr>
      <w:hyperlink w:anchor="_Toc256001299" w:history="1">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_Toc256001299 \h </w:instrText>
        </w:r>
        <w:r w:rsidR="00B16CCF">
          <w:fldChar w:fldCharType="separate"/>
        </w:r>
        <w:r w:rsidR="00B16CCF">
          <w:t>269</w:t>
        </w:r>
        <w:r w:rsidR="00B16CCF">
          <w:fldChar w:fldCharType="end"/>
        </w:r>
      </w:hyperlink>
    </w:p>
    <w:p w14:paraId="31E5753D" w14:textId="77777777" w:rsidR="00823317" w:rsidRDefault="001D0AD2">
      <w:pPr>
        <w:pStyle w:val="Kazalovsebine5"/>
        <w:tabs>
          <w:tab w:val="end" w:leader="dot" w:pos="512pt"/>
        </w:tabs>
        <w:rPr>
          <w:rFonts w:ascii="Calibri" w:hAnsi="Calibri"/>
          <w:sz w:val="22"/>
        </w:rPr>
      </w:pPr>
      <w:hyperlink w:anchor="_Toc256001300" w:history="1">
        <w:r w:rsidR="00A77B3E">
          <w:rPr>
            <w:rStyle w:val="Hiperpovezava"/>
          </w:rPr>
          <w:t>Tabela 7: Razsežnost 6 – sekundarna področja ESS+</w:t>
        </w:r>
        <w:r w:rsidR="00B16CCF">
          <w:tab/>
        </w:r>
        <w:r w:rsidR="00B16CCF">
          <w:fldChar w:fldCharType="begin"/>
        </w:r>
        <w:r w:rsidR="00B16CCF">
          <w:instrText xml:space="preserve"> PAGEREF _Toc256001300 \h </w:instrText>
        </w:r>
        <w:r w:rsidR="00B16CCF">
          <w:fldChar w:fldCharType="separate"/>
        </w:r>
        <w:r w:rsidR="00B16CCF">
          <w:t>270</w:t>
        </w:r>
        <w:r w:rsidR="00B16CCF">
          <w:fldChar w:fldCharType="end"/>
        </w:r>
      </w:hyperlink>
    </w:p>
    <w:p w14:paraId="4ACF6F44" w14:textId="77777777" w:rsidR="00823317" w:rsidRDefault="001D0AD2">
      <w:pPr>
        <w:pStyle w:val="Kazalovsebine5"/>
        <w:tabs>
          <w:tab w:val="end" w:leader="dot" w:pos="512pt"/>
        </w:tabs>
        <w:rPr>
          <w:rFonts w:ascii="Calibri" w:hAnsi="Calibri"/>
          <w:sz w:val="22"/>
        </w:rPr>
      </w:pPr>
      <w:hyperlink w:anchor="_Toc256001301" w:history="1">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_Toc256001301 \h </w:instrText>
        </w:r>
        <w:r w:rsidR="00B16CCF">
          <w:fldChar w:fldCharType="separate"/>
        </w:r>
        <w:r w:rsidR="00B16CCF">
          <w:t>270</w:t>
        </w:r>
        <w:r w:rsidR="00B16CCF">
          <w:fldChar w:fldCharType="end"/>
        </w:r>
      </w:hyperlink>
    </w:p>
    <w:p w14:paraId="12EC4FD5" w14:textId="77777777" w:rsidR="00823317" w:rsidRDefault="001D0AD2">
      <w:pPr>
        <w:pStyle w:val="Kazalovsebine4"/>
        <w:tabs>
          <w:tab w:val="end" w:leader="dot" w:pos="512pt"/>
        </w:tabs>
        <w:rPr>
          <w:rFonts w:ascii="Calibri" w:hAnsi="Calibri"/>
          <w:sz w:val="22"/>
        </w:rPr>
      </w:pPr>
      <w:hyperlink w:anchor="_Toc256001302" w:history="1">
        <w:r w:rsidR="00A77B3E">
          <w:rPr>
            <w:rStyle w:val="Hiperpovezava"/>
          </w:rPr>
          <w:t>2.1.1.1. Specifični cilj: ESO4.8. Pospeševanje dejavnega vključevanja za spodbujanje enakih možnosti, nediskriminacije in aktivne udeležbe ter povečevanje zaposljivosti, zlasti za prikrajšane skupine (ESS+)</w:t>
        </w:r>
        <w:r w:rsidR="00B16CCF">
          <w:tab/>
        </w:r>
        <w:r w:rsidR="00B16CCF">
          <w:fldChar w:fldCharType="begin"/>
        </w:r>
        <w:r w:rsidR="00B16CCF">
          <w:instrText xml:space="preserve"> PAGEREF _Toc256001302 \h </w:instrText>
        </w:r>
        <w:r w:rsidR="00B16CCF">
          <w:fldChar w:fldCharType="separate"/>
        </w:r>
        <w:r w:rsidR="00B16CCF">
          <w:t>271</w:t>
        </w:r>
        <w:r w:rsidR="00B16CCF">
          <w:fldChar w:fldCharType="end"/>
        </w:r>
      </w:hyperlink>
    </w:p>
    <w:p w14:paraId="0EBF66D7" w14:textId="77777777" w:rsidR="00823317" w:rsidRDefault="001D0AD2">
      <w:pPr>
        <w:pStyle w:val="Kazalovsebine4"/>
        <w:tabs>
          <w:tab w:val="end" w:leader="dot" w:pos="512pt"/>
        </w:tabs>
        <w:rPr>
          <w:rFonts w:ascii="Calibri" w:hAnsi="Calibri"/>
          <w:sz w:val="22"/>
        </w:rPr>
      </w:pPr>
      <w:hyperlink w:anchor="_Toc256001303" w:history="1">
        <w:r w:rsidR="00A77B3E">
          <w:rPr>
            <w:rStyle w:val="Hiperpovezava"/>
          </w:rPr>
          <w:t>2.1.1.1.1. Ukrepi skladov</w:t>
        </w:r>
        <w:r w:rsidR="00B16CCF">
          <w:tab/>
        </w:r>
        <w:r w:rsidR="00B16CCF">
          <w:fldChar w:fldCharType="begin"/>
        </w:r>
        <w:r w:rsidR="00B16CCF">
          <w:instrText xml:space="preserve"> PAGEREF _Toc256001303 \h </w:instrText>
        </w:r>
        <w:r w:rsidR="00B16CCF">
          <w:fldChar w:fldCharType="separate"/>
        </w:r>
        <w:r w:rsidR="00B16CCF">
          <w:t>271</w:t>
        </w:r>
        <w:r w:rsidR="00B16CCF">
          <w:fldChar w:fldCharType="end"/>
        </w:r>
      </w:hyperlink>
    </w:p>
    <w:p w14:paraId="5FD8EC04" w14:textId="77777777" w:rsidR="00823317" w:rsidRDefault="001D0AD2">
      <w:pPr>
        <w:pStyle w:val="Kazalovsebine5"/>
        <w:tabs>
          <w:tab w:val="end" w:leader="dot" w:pos="512pt"/>
        </w:tabs>
        <w:rPr>
          <w:rFonts w:ascii="Calibri" w:hAnsi="Calibri"/>
          <w:sz w:val="22"/>
        </w:rPr>
      </w:pPr>
      <w:hyperlink w:anchor="_Toc256001304" w:history="1">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_Toc256001304 \h </w:instrText>
        </w:r>
        <w:r w:rsidR="00B16CCF">
          <w:fldChar w:fldCharType="separate"/>
        </w:r>
        <w:r w:rsidR="00B16CCF">
          <w:t>271</w:t>
        </w:r>
        <w:r w:rsidR="00B16CCF">
          <w:fldChar w:fldCharType="end"/>
        </w:r>
      </w:hyperlink>
    </w:p>
    <w:p w14:paraId="1FE35236" w14:textId="77777777" w:rsidR="00823317" w:rsidRDefault="001D0AD2">
      <w:pPr>
        <w:pStyle w:val="Kazalovsebine5"/>
        <w:tabs>
          <w:tab w:val="end" w:leader="dot" w:pos="512pt"/>
        </w:tabs>
        <w:rPr>
          <w:rFonts w:ascii="Calibri" w:hAnsi="Calibri"/>
          <w:sz w:val="22"/>
        </w:rPr>
      </w:pPr>
      <w:hyperlink w:anchor="_Toc256001305" w:history="1">
        <w:r w:rsidR="00A77B3E">
          <w:rPr>
            <w:rStyle w:val="Hiperpovezava"/>
          </w:rPr>
          <w:t>Glavne ciljne skupine – člen 22(3)(d)(iii) uredbe o skupnih določbah:</w:t>
        </w:r>
        <w:r w:rsidR="00B16CCF">
          <w:tab/>
        </w:r>
        <w:r w:rsidR="00B16CCF">
          <w:fldChar w:fldCharType="begin"/>
        </w:r>
        <w:r w:rsidR="00B16CCF">
          <w:instrText xml:space="preserve"> PAGEREF _Toc256001305 \h </w:instrText>
        </w:r>
        <w:r w:rsidR="00B16CCF">
          <w:fldChar w:fldCharType="separate"/>
        </w:r>
        <w:r w:rsidR="00B16CCF">
          <w:t>271</w:t>
        </w:r>
        <w:r w:rsidR="00B16CCF">
          <w:fldChar w:fldCharType="end"/>
        </w:r>
      </w:hyperlink>
    </w:p>
    <w:p w14:paraId="6ED5A5A6" w14:textId="77777777" w:rsidR="00823317" w:rsidRDefault="001D0AD2">
      <w:pPr>
        <w:pStyle w:val="Kazalovsebine5"/>
        <w:tabs>
          <w:tab w:val="end" w:leader="dot" w:pos="512pt"/>
        </w:tabs>
        <w:rPr>
          <w:rFonts w:ascii="Calibri" w:hAnsi="Calibri"/>
          <w:sz w:val="22"/>
        </w:rPr>
      </w:pPr>
      <w:hyperlink w:anchor="_Toc256001306" w:history="1">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_Toc256001306 \h </w:instrText>
        </w:r>
        <w:r w:rsidR="00B16CCF">
          <w:fldChar w:fldCharType="separate"/>
        </w:r>
        <w:r w:rsidR="00B16CCF">
          <w:t>272</w:t>
        </w:r>
        <w:r w:rsidR="00B16CCF">
          <w:fldChar w:fldCharType="end"/>
        </w:r>
      </w:hyperlink>
    </w:p>
    <w:p w14:paraId="1540CED0" w14:textId="77777777" w:rsidR="00823317" w:rsidRDefault="001D0AD2">
      <w:pPr>
        <w:pStyle w:val="Kazalovsebine5"/>
        <w:tabs>
          <w:tab w:val="end" w:leader="dot" w:pos="512pt"/>
        </w:tabs>
        <w:rPr>
          <w:rFonts w:ascii="Calibri" w:hAnsi="Calibri"/>
          <w:sz w:val="22"/>
        </w:rPr>
      </w:pPr>
      <w:hyperlink w:anchor="_Toc256001307" w:history="1">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_Toc256001307 \h </w:instrText>
        </w:r>
        <w:r w:rsidR="00B16CCF">
          <w:fldChar w:fldCharType="separate"/>
        </w:r>
        <w:r w:rsidR="00B16CCF">
          <w:t>273</w:t>
        </w:r>
        <w:r w:rsidR="00B16CCF">
          <w:fldChar w:fldCharType="end"/>
        </w:r>
      </w:hyperlink>
    </w:p>
    <w:p w14:paraId="724ABEA0" w14:textId="77777777" w:rsidR="00823317" w:rsidRDefault="001D0AD2">
      <w:pPr>
        <w:pStyle w:val="Kazalovsebine5"/>
        <w:tabs>
          <w:tab w:val="end" w:leader="dot" w:pos="512pt"/>
        </w:tabs>
        <w:rPr>
          <w:rFonts w:ascii="Calibri" w:hAnsi="Calibri"/>
          <w:sz w:val="22"/>
        </w:rPr>
      </w:pPr>
      <w:hyperlink w:anchor="_Toc256001308" w:history="1">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_Toc256001308 \h </w:instrText>
        </w:r>
        <w:r w:rsidR="00B16CCF">
          <w:fldChar w:fldCharType="separate"/>
        </w:r>
        <w:r w:rsidR="00B16CCF">
          <w:t>273</w:t>
        </w:r>
        <w:r w:rsidR="00B16CCF">
          <w:fldChar w:fldCharType="end"/>
        </w:r>
      </w:hyperlink>
    </w:p>
    <w:p w14:paraId="388001C0" w14:textId="77777777" w:rsidR="00823317" w:rsidRDefault="001D0AD2">
      <w:pPr>
        <w:pStyle w:val="Kazalovsebine5"/>
        <w:tabs>
          <w:tab w:val="end" w:leader="dot" w:pos="512pt"/>
        </w:tabs>
        <w:rPr>
          <w:rFonts w:ascii="Calibri" w:hAnsi="Calibri"/>
          <w:sz w:val="22"/>
        </w:rPr>
      </w:pPr>
      <w:hyperlink w:anchor="_Toc256001309" w:history="1">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_Toc256001309 \h </w:instrText>
        </w:r>
        <w:r w:rsidR="00B16CCF">
          <w:fldChar w:fldCharType="separate"/>
        </w:r>
        <w:r w:rsidR="00B16CCF">
          <w:t>273</w:t>
        </w:r>
        <w:r w:rsidR="00B16CCF">
          <w:fldChar w:fldCharType="end"/>
        </w:r>
      </w:hyperlink>
    </w:p>
    <w:p w14:paraId="21D005E2" w14:textId="77777777" w:rsidR="00823317" w:rsidRDefault="001D0AD2">
      <w:pPr>
        <w:pStyle w:val="Kazalovsebine4"/>
        <w:tabs>
          <w:tab w:val="end" w:leader="dot" w:pos="512pt"/>
        </w:tabs>
        <w:rPr>
          <w:rFonts w:ascii="Calibri" w:hAnsi="Calibri"/>
          <w:sz w:val="22"/>
        </w:rPr>
      </w:pPr>
      <w:hyperlink w:anchor="_Toc256001310" w:history="1">
        <w:r w:rsidR="00A77B3E">
          <w:rPr>
            <w:rStyle w:val="Hiperpovezava"/>
          </w:rPr>
          <w:t>2.1.1.1.2. Kazalniki</w:t>
        </w:r>
        <w:r w:rsidR="00B16CCF">
          <w:tab/>
        </w:r>
        <w:r w:rsidR="00B16CCF">
          <w:fldChar w:fldCharType="begin"/>
        </w:r>
        <w:r w:rsidR="00B16CCF">
          <w:instrText xml:space="preserve"> PAGEREF _Toc256001310 \h </w:instrText>
        </w:r>
        <w:r w:rsidR="00B16CCF">
          <w:fldChar w:fldCharType="separate"/>
        </w:r>
        <w:r w:rsidR="00B16CCF">
          <w:t>273</w:t>
        </w:r>
        <w:r w:rsidR="00B16CCF">
          <w:fldChar w:fldCharType="end"/>
        </w:r>
      </w:hyperlink>
    </w:p>
    <w:p w14:paraId="447E6E7E" w14:textId="77777777" w:rsidR="00823317" w:rsidRDefault="001D0AD2">
      <w:pPr>
        <w:pStyle w:val="Kazalovsebine5"/>
        <w:tabs>
          <w:tab w:val="end" w:leader="dot" w:pos="512pt"/>
        </w:tabs>
        <w:rPr>
          <w:rFonts w:ascii="Calibri" w:hAnsi="Calibri"/>
          <w:sz w:val="22"/>
        </w:rPr>
      </w:pPr>
      <w:hyperlink w:anchor="_Toc256001311" w:history="1">
        <w:r w:rsidR="00A77B3E">
          <w:rPr>
            <w:rStyle w:val="Hiperpovezava"/>
          </w:rPr>
          <w:t>Tabela 2: Kazalniki učinka</w:t>
        </w:r>
        <w:r w:rsidR="00B16CCF">
          <w:tab/>
        </w:r>
        <w:r w:rsidR="00B16CCF">
          <w:fldChar w:fldCharType="begin"/>
        </w:r>
        <w:r w:rsidR="00B16CCF">
          <w:instrText xml:space="preserve"> PAGEREF _Toc256001311 \h </w:instrText>
        </w:r>
        <w:r w:rsidR="00B16CCF">
          <w:fldChar w:fldCharType="separate"/>
        </w:r>
        <w:r w:rsidR="00B16CCF">
          <w:t>273</w:t>
        </w:r>
        <w:r w:rsidR="00B16CCF">
          <w:fldChar w:fldCharType="end"/>
        </w:r>
      </w:hyperlink>
    </w:p>
    <w:p w14:paraId="4161A4E0" w14:textId="77777777" w:rsidR="00823317" w:rsidRDefault="001D0AD2">
      <w:pPr>
        <w:pStyle w:val="Kazalovsebine5"/>
        <w:tabs>
          <w:tab w:val="end" w:leader="dot" w:pos="512pt"/>
        </w:tabs>
        <w:rPr>
          <w:rFonts w:ascii="Calibri" w:hAnsi="Calibri"/>
          <w:sz w:val="22"/>
        </w:rPr>
      </w:pPr>
      <w:hyperlink w:anchor="_Toc256001312" w:history="1">
        <w:r w:rsidR="00A77B3E">
          <w:rPr>
            <w:rStyle w:val="Hiperpovezava"/>
          </w:rPr>
          <w:t>Tabela 3: Kazalniki rezultatov</w:t>
        </w:r>
        <w:r w:rsidR="00B16CCF">
          <w:tab/>
        </w:r>
        <w:r w:rsidR="00B16CCF">
          <w:fldChar w:fldCharType="begin"/>
        </w:r>
        <w:r w:rsidR="00B16CCF">
          <w:instrText xml:space="preserve"> PAGEREF _Toc256001312 \h </w:instrText>
        </w:r>
        <w:r w:rsidR="00B16CCF">
          <w:fldChar w:fldCharType="separate"/>
        </w:r>
        <w:r w:rsidR="00B16CCF">
          <w:t>274</w:t>
        </w:r>
        <w:r w:rsidR="00B16CCF">
          <w:fldChar w:fldCharType="end"/>
        </w:r>
      </w:hyperlink>
    </w:p>
    <w:p w14:paraId="59FEFBB1" w14:textId="77777777" w:rsidR="00823317" w:rsidRDefault="001D0AD2">
      <w:pPr>
        <w:pStyle w:val="Kazalovsebine4"/>
        <w:tabs>
          <w:tab w:val="end" w:leader="dot" w:pos="512pt"/>
        </w:tabs>
        <w:rPr>
          <w:rFonts w:ascii="Calibri" w:hAnsi="Calibri"/>
          <w:sz w:val="22"/>
        </w:rPr>
      </w:pPr>
      <w:hyperlink w:anchor="_Toc256001313" w:history="1">
        <w:r w:rsidR="00A77B3E">
          <w:rPr>
            <w:rStyle w:val="Hiperpovezava"/>
          </w:rPr>
          <w:t>2.1.1.1.3. Okvirna razčlenitev načrtovanih sredstev (EU) glede na vrsto ukrepa</w:t>
        </w:r>
        <w:r w:rsidR="00B16CCF">
          <w:tab/>
        </w:r>
        <w:r w:rsidR="00B16CCF">
          <w:fldChar w:fldCharType="begin"/>
        </w:r>
        <w:r w:rsidR="00B16CCF">
          <w:instrText xml:space="preserve"> PAGEREF _Toc256001313 \h </w:instrText>
        </w:r>
        <w:r w:rsidR="00B16CCF">
          <w:fldChar w:fldCharType="separate"/>
        </w:r>
        <w:r w:rsidR="00B16CCF">
          <w:t>274</w:t>
        </w:r>
        <w:r w:rsidR="00B16CCF">
          <w:fldChar w:fldCharType="end"/>
        </w:r>
      </w:hyperlink>
    </w:p>
    <w:p w14:paraId="260A98BC" w14:textId="77777777" w:rsidR="00823317" w:rsidRDefault="001D0AD2">
      <w:pPr>
        <w:pStyle w:val="Kazalovsebine5"/>
        <w:tabs>
          <w:tab w:val="end" w:leader="dot" w:pos="512pt"/>
        </w:tabs>
        <w:rPr>
          <w:rFonts w:ascii="Calibri" w:hAnsi="Calibri"/>
          <w:sz w:val="22"/>
        </w:rPr>
      </w:pPr>
      <w:hyperlink w:anchor="_Toc256001314" w:history="1">
        <w:r w:rsidR="00A77B3E">
          <w:rPr>
            <w:rStyle w:val="Hiperpovezava"/>
          </w:rPr>
          <w:t>Tabela 4: Razsežnost 1 – področje ukrepanja</w:t>
        </w:r>
        <w:r w:rsidR="00B16CCF">
          <w:tab/>
        </w:r>
        <w:r w:rsidR="00B16CCF">
          <w:fldChar w:fldCharType="begin"/>
        </w:r>
        <w:r w:rsidR="00B16CCF">
          <w:instrText xml:space="preserve"> PAGEREF _Toc256001314 \h </w:instrText>
        </w:r>
        <w:r w:rsidR="00B16CCF">
          <w:fldChar w:fldCharType="separate"/>
        </w:r>
        <w:r w:rsidR="00B16CCF">
          <w:t>274</w:t>
        </w:r>
        <w:r w:rsidR="00B16CCF">
          <w:fldChar w:fldCharType="end"/>
        </w:r>
      </w:hyperlink>
    </w:p>
    <w:p w14:paraId="7F921931" w14:textId="77777777" w:rsidR="00823317" w:rsidRDefault="001D0AD2">
      <w:pPr>
        <w:pStyle w:val="Kazalovsebine5"/>
        <w:tabs>
          <w:tab w:val="end" w:leader="dot" w:pos="512pt"/>
        </w:tabs>
        <w:rPr>
          <w:rFonts w:ascii="Calibri" w:hAnsi="Calibri"/>
          <w:sz w:val="22"/>
        </w:rPr>
      </w:pPr>
      <w:hyperlink w:anchor="_Toc256001315" w:history="1">
        <w:r w:rsidR="00A77B3E">
          <w:rPr>
            <w:rStyle w:val="Hiperpovezava"/>
          </w:rPr>
          <w:t>Tabela 5: Razsežnost 2 – oblika financiranja</w:t>
        </w:r>
        <w:r w:rsidR="00B16CCF">
          <w:tab/>
        </w:r>
        <w:r w:rsidR="00B16CCF">
          <w:fldChar w:fldCharType="begin"/>
        </w:r>
        <w:r w:rsidR="00B16CCF">
          <w:instrText xml:space="preserve"> PAGEREF _Toc256001315 \h </w:instrText>
        </w:r>
        <w:r w:rsidR="00B16CCF">
          <w:fldChar w:fldCharType="separate"/>
        </w:r>
        <w:r w:rsidR="00B16CCF">
          <w:t>275</w:t>
        </w:r>
        <w:r w:rsidR="00B16CCF">
          <w:fldChar w:fldCharType="end"/>
        </w:r>
      </w:hyperlink>
    </w:p>
    <w:p w14:paraId="22DD7625" w14:textId="77777777" w:rsidR="00823317" w:rsidRDefault="001D0AD2">
      <w:pPr>
        <w:pStyle w:val="Kazalovsebine5"/>
        <w:tabs>
          <w:tab w:val="end" w:leader="dot" w:pos="512pt"/>
        </w:tabs>
        <w:rPr>
          <w:rFonts w:ascii="Calibri" w:hAnsi="Calibri"/>
          <w:sz w:val="22"/>
        </w:rPr>
      </w:pPr>
      <w:hyperlink w:anchor="_Toc256001316" w:history="1">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_Toc256001316 \h </w:instrText>
        </w:r>
        <w:r w:rsidR="00B16CCF">
          <w:fldChar w:fldCharType="separate"/>
        </w:r>
        <w:r w:rsidR="00B16CCF">
          <w:t>275</w:t>
        </w:r>
        <w:r w:rsidR="00B16CCF">
          <w:fldChar w:fldCharType="end"/>
        </w:r>
      </w:hyperlink>
    </w:p>
    <w:p w14:paraId="250A4156" w14:textId="77777777" w:rsidR="00823317" w:rsidRDefault="001D0AD2">
      <w:pPr>
        <w:pStyle w:val="Kazalovsebine5"/>
        <w:tabs>
          <w:tab w:val="end" w:leader="dot" w:pos="512pt"/>
        </w:tabs>
        <w:rPr>
          <w:rFonts w:ascii="Calibri" w:hAnsi="Calibri"/>
          <w:sz w:val="22"/>
        </w:rPr>
      </w:pPr>
      <w:hyperlink w:anchor="_Toc256001317" w:history="1">
        <w:r w:rsidR="00A77B3E">
          <w:rPr>
            <w:rStyle w:val="Hiperpovezava"/>
          </w:rPr>
          <w:t>Tabela 7: Razsežnost 6 – sekundarna področja ESS+</w:t>
        </w:r>
        <w:r w:rsidR="00B16CCF">
          <w:tab/>
        </w:r>
        <w:r w:rsidR="00B16CCF">
          <w:fldChar w:fldCharType="begin"/>
        </w:r>
        <w:r w:rsidR="00B16CCF">
          <w:instrText xml:space="preserve"> PAGEREF _Toc256001317 \h </w:instrText>
        </w:r>
        <w:r w:rsidR="00B16CCF">
          <w:fldChar w:fldCharType="separate"/>
        </w:r>
        <w:r w:rsidR="00B16CCF">
          <w:t>275</w:t>
        </w:r>
        <w:r w:rsidR="00B16CCF">
          <w:fldChar w:fldCharType="end"/>
        </w:r>
      </w:hyperlink>
    </w:p>
    <w:p w14:paraId="15793632" w14:textId="77777777" w:rsidR="00823317" w:rsidRDefault="001D0AD2">
      <w:pPr>
        <w:pStyle w:val="Kazalovsebine5"/>
        <w:tabs>
          <w:tab w:val="end" w:leader="dot" w:pos="512pt"/>
        </w:tabs>
        <w:rPr>
          <w:rFonts w:ascii="Calibri" w:hAnsi="Calibri"/>
          <w:sz w:val="22"/>
        </w:rPr>
      </w:pPr>
      <w:hyperlink w:anchor="_Toc256001318" w:history="1">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_Toc256001318 \h </w:instrText>
        </w:r>
        <w:r w:rsidR="00B16CCF">
          <w:fldChar w:fldCharType="separate"/>
        </w:r>
        <w:r w:rsidR="00B16CCF">
          <w:t>276</w:t>
        </w:r>
        <w:r w:rsidR="00B16CCF">
          <w:fldChar w:fldCharType="end"/>
        </w:r>
      </w:hyperlink>
    </w:p>
    <w:p w14:paraId="6620C73F" w14:textId="77777777" w:rsidR="00823317" w:rsidRDefault="001D0AD2">
      <w:pPr>
        <w:pStyle w:val="Kazalovsebine4"/>
        <w:tabs>
          <w:tab w:val="end" w:leader="dot" w:pos="512pt"/>
        </w:tabs>
        <w:rPr>
          <w:rFonts w:ascii="Calibri" w:hAnsi="Calibri"/>
          <w:sz w:val="22"/>
        </w:rPr>
      </w:pPr>
      <w:hyperlink w:anchor="_Toc256001319" w:history="1">
        <w:r w:rsidR="00A77B3E">
          <w:rPr>
            <w:rStyle w:val="Hiperpovezava"/>
          </w:rPr>
          <w:t>2.1.1.1. Specifični cilj: ESO4.11. Krepitev enakopravnega in pravočasnega dostopa do kakovostnih, trajnostnih in cenovno ugodnih storitev, vključno s storitvami, ki spodbujajo dostop do stanovanj, in storitvami oskrbe, usmerjene v posameznika, vključno z zdravstveno oskrbo; posodobitev sistemov socialne zaščite, vključno s spodbujanjem dostopa do socialne zaščite, s posebnim poudarkom na otrocih in prikrajšanih skupinah; izboljšanje dostopnosti, tudi za invalide, učinkovitosti in odpornosti zdravstvenih sistemov in storitev dolgotrajne oskrbe (ESS+)</w:t>
        </w:r>
        <w:r w:rsidR="00B16CCF">
          <w:tab/>
        </w:r>
        <w:r w:rsidR="00B16CCF">
          <w:fldChar w:fldCharType="begin"/>
        </w:r>
        <w:r w:rsidR="00B16CCF">
          <w:instrText xml:space="preserve"> PAGEREF _Toc256001319 \h </w:instrText>
        </w:r>
        <w:r w:rsidR="00B16CCF">
          <w:fldChar w:fldCharType="separate"/>
        </w:r>
        <w:r w:rsidR="00B16CCF">
          <w:t>277</w:t>
        </w:r>
        <w:r w:rsidR="00B16CCF">
          <w:fldChar w:fldCharType="end"/>
        </w:r>
      </w:hyperlink>
    </w:p>
    <w:p w14:paraId="1288A6BD" w14:textId="77777777" w:rsidR="00823317" w:rsidRDefault="001D0AD2">
      <w:pPr>
        <w:pStyle w:val="Kazalovsebine4"/>
        <w:tabs>
          <w:tab w:val="end" w:leader="dot" w:pos="512pt"/>
        </w:tabs>
        <w:rPr>
          <w:rFonts w:ascii="Calibri" w:hAnsi="Calibri"/>
          <w:sz w:val="22"/>
        </w:rPr>
      </w:pPr>
      <w:hyperlink w:anchor="_Toc256001320" w:history="1">
        <w:r w:rsidR="00A77B3E">
          <w:rPr>
            <w:rStyle w:val="Hiperpovezava"/>
          </w:rPr>
          <w:t>2.1.1.1.1. Ukrepi skladov</w:t>
        </w:r>
        <w:r w:rsidR="00B16CCF">
          <w:tab/>
        </w:r>
        <w:r w:rsidR="00B16CCF">
          <w:fldChar w:fldCharType="begin"/>
        </w:r>
        <w:r w:rsidR="00B16CCF">
          <w:instrText xml:space="preserve"> PAGEREF _Toc256001320 \h </w:instrText>
        </w:r>
        <w:r w:rsidR="00B16CCF">
          <w:fldChar w:fldCharType="separate"/>
        </w:r>
        <w:r w:rsidR="00B16CCF">
          <w:t>277</w:t>
        </w:r>
        <w:r w:rsidR="00B16CCF">
          <w:fldChar w:fldCharType="end"/>
        </w:r>
      </w:hyperlink>
    </w:p>
    <w:p w14:paraId="1F7154E3" w14:textId="77777777" w:rsidR="00823317" w:rsidRDefault="001D0AD2">
      <w:pPr>
        <w:pStyle w:val="Kazalovsebine5"/>
        <w:tabs>
          <w:tab w:val="end" w:leader="dot" w:pos="512pt"/>
        </w:tabs>
        <w:rPr>
          <w:rFonts w:ascii="Calibri" w:hAnsi="Calibri"/>
          <w:sz w:val="22"/>
        </w:rPr>
      </w:pPr>
      <w:hyperlink w:anchor="_Toc256001321" w:history="1">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_Toc256001321 \h </w:instrText>
        </w:r>
        <w:r w:rsidR="00B16CCF">
          <w:fldChar w:fldCharType="separate"/>
        </w:r>
        <w:r w:rsidR="00B16CCF">
          <w:t>277</w:t>
        </w:r>
        <w:r w:rsidR="00B16CCF">
          <w:fldChar w:fldCharType="end"/>
        </w:r>
      </w:hyperlink>
    </w:p>
    <w:p w14:paraId="59D25318" w14:textId="77777777" w:rsidR="00823317" w:rsidRDefault="001D0AD2">
      <w:pPr>
        <w:pStyle w:val="Kazalovsebine5"/>
        <w:tabs>
          <w:tab w:val="end" w:leader="dot" w:pos="512pt"/>
        </w:tabs>
        <w:rPr>
          <w:rFonts w:ascii="Calibri" w:hAnsi="Calibri"/>
          <w:sz w:val="22"/>
        </w:rPr>
      </w:pPr>
      <w:hyperlink w:anchor="_Toc256001322" w:history="1">
        <w:r w:rsidR="00A77B3E">
          <w:rPr>
            <w:rStyle w:val="Hiperpovezava"/>
          </w:rPr>
          <w:t>Glavne ciljne skupine – člen 22(3)(d)(iii) uredbe o skupnih določbah:</w:t>
        </w:r>
        <w:r w:rsidR="00B16CCF">
          <w:tab/>
        </w:r>
        <w:r w:rsidR="00B16CCF">
          <w:fldChar w:fldCharType="begin"/>
        </w:r>
        <w:r w:rsidR="00B16CCF">
          <w:instrText xml:space="preserve"> PAGEREF _Toc256001322 \h </w:instrText>
        </w:r>
        <w:r w:rsidR="00B16CCF">
          <w:fldChar w:fldCharType="separate"/>
        </w:r>
        <w:r w:rsidR="00B16CCF">
          <w:t>279</w:t>
        </w:r>
        <w:r w:rsidR="00B16CCF">
          <w:fldChar w:fldCharType="end"/>
        </w:r>
      </w:hyperlink>
    </w:p>
    <w:p w14:paraId="74CA9642" w14:textId="77777777" w:rsidR="00823317" w:rsidRDefault="001D0AD2">
      <w:pPr>
        <w:pStyle w:val="Kazalovsebine5"/>
        <w:tabs>
          <w:tab w:val="end" w:leader="dot" w:pos="512pt"/>
        </w:tabs>
        <w:rPr>
          <w:rFonts w:ascii="Calibri" w:hAnsi="Calibri"/>
          <w:sz w:val="22"/>
        </w:rPr>
      </w:pPr>
      <w:hyperlink w:anchor="_Toc256001323" w:history="1">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_Toc256001323 \h </w:instrText>
        </w:r>
        <w:r w:rsidR="00B16CCF">
          <w:fldChar w:fldCharType="separate"/>
        </w:r>
        <w:r w:rsidR="00B16CCF">
          <w:t>280</w:t>
        </w:r>
        <w:r w:rsidR="00B16CCF">
          <w:fldChar w:fldCharType="end"/>
        </w:r>
      </w:hyperlink>
    </w:p>
    <w:p w14:paraId="1AF35A50" w14:textId="77777777" w:rsidR="00823317" w:rsidRDefault="001D0AD2">
      <w:pPr>
        <w:pStyle w:val="Kazalovsebine5"/>
        <w:tabs>
          <w:tab w:val="end" w:leader="dot" w:pos="512pt"/>
        </w:tabs>
        <w:rPr>
          <w:rFonts w:ascii="Calibri" w:hAnsi="Calibri"/>
          <w:sz w:val="22"/>
        </w:rPr>
      </w:pPr>
      <w:hyperlink w:anchor="_Toc256001324" w:history="1">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_Toc256001324 \h </w:instrText>
        </w:r>
        <w:r w:rsidR="00B16CCF">
          <w:fldChar w:fldCharType="separate"/>
        </w:r>
        <w:r w:rsidR="00B16CCF">
          <w:t>280</w:t>
        </w:r>
        <w:r w:rsidR="00B16CCF">
          <w:fldChar w:fldCharType="end"/>
        </w:r>
      </w:hyperlink>
    </w:p>
    <w:p w14:paraId="04DC7E1E" w14:textId="77777777" w:rsidR="00823317" w:rsidRDefault="001D0AD2">
      <w:pPr>
        <w:pStyle w:val="Kazalovsebine5"/>
        <w:tabs>
          <w:tab w:val="end" w:leader="dot" w:pos="512pt"/>
        </w:tabs>
        <w:rPr>
          <w:rFonts w:ascii="Calibri" w:hAnsi="Calibri"/>
          <w:sz w:val="22"/>
        </w:rPr>
      </w:pPr>
      <w:hyperlink w:anchor="_Toc256001325" w:history="1">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_Toc256001325 \h </w:instrText>
        </w:r>
        <w:r w:rsidR="00B16CCF">
          <w:fldChar w:fldCharType="separate"/>
        </w:r>
        <w:r w:rsidR="00B16CCF">
          <w:t>280</w:t>
        </w:r>
        <w:r w:rsidR="00B16CCF">
          <w:fldChar w:fldCharType="end"/>
        </w:r>
      </w:hyperlink>
    </w:p>
    <w:p w14:paraId="19DEEA37" w14:textId="77777777" w:rsidR="00823317" w:rsidRDefault="001D0AD2">
      <w:pPr>
        <w:pStyle w:val="Kazalovsebine5"/>
        <w:tabs>
          <w:tab w:val="end" w:leader="dot" w:pos="512pt"/>
        </w:tabs>
        <w:rPr>
          <w:rFonts w:ascii="Calibri" w:hAnsi="Calibri"/>
          <w:sz w:val="22"/>
        </w:rPr>
      </w:pPr>
      <w:hyperlink w:anchor="_Toc256001326" w:history="1">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_Toc256001326 \h </w:instrText>
        </w:r>
        <w:r w:rsidR="00B16CCF">
          <w:fldChar w:fldCharType="separate"/>
        </w:r>
        <w:r w:rsidR="00B16CCF">
          <w:t>281</w:t>
        </w:r>
        <w:r w:rsidR="00B16CCF">
          <w:fldChar w:fldCharType="end"/>
        </w:r>
      </w:hyperlink>
    </w:p>
    <w:p w14:paraId="17CC04FE" w14:textId="77777777" w:rsidR="00823317" w:rsidRDefault="001D0AD2">
      <w:pPr>
        <w:pStyle w:val="Kazalovsebine4"/>
        <w:tabs>
          <w:tab w:val="end" w:leader="dot" w:pos="512pt"/>
        </w:tabs>
        <w:rPr>
          <w:rFonts w:ascii="Calibri" w:hAnsi="Calibri"/>
          <w:sz w:val="22"/>
        </w:rPr>
      </w:pPr>
      <w:hyperlink w:anchor="_Toc256001327" w:history="1">
        <w:r w:rsidR="00A77B3E">
          <w:rPr>
            <w:rStyle w:val="Hiperpovezava"/>
          </w:rPr>
          <w:t>2.1.1.1.2. Kazalniki</w:t>
        </w:r>
        <w:r w:rsidR="00B16CCF">
          <w:tab/>
        </w:r>
        <w:r w:rsidR="00B16CCF">
          <w:fldChar w:fldCharType="begin"/>
        </w:r>
        <w:r w:rsidR="00B16CCF">
          <w:instrText xml:space="preserve"> PAGEREF _Toc256001327 \h </w:instrText>
        </w:r>
        <w:r w:rsidR="00B16CCF">
          <w:fldChar w:fldCharType="separate"/>
        </w:r>
        <w:r w:rsidR="00B16CCF">
          <w:t>281</w:t>
        </w:r>
        <w:r w:rsidR="00B16CCF">
          <w:fldChar w:fldCharType="end"/>
        </w:r>
      </w:hyperlink>
    </w:p>
    <w:p w14:paraId="08E842EB" w14:textId="77777777" w:rsidR="00823317" w:rsidRDefault="001D0AD2">
      <w:pPr>
        <w:pStyle w:val="Kazalovsebine5"/>
        <w:tabs>
          <w:tab w:val="end" w:leader="dot" w:pos="512pt"/>
        </w:tabs>
        <w:rPr>
          <w:rFonts w:ascii="Calibri" w:hAnsi="Calibri"/>
          <w:sz w:val="22"/>
        </w:rPr>
      </w:pPr>
      <w:hyperlink w:anchor="_Toc256001328" w:history="1">
        <w:r w:rsidR="00A77B3E">
          <w:rPr>
            <w:rStyle w:val="Hiperpovezava"/>
          </w:rPr>
          <w:t>Tabela 2: Kazalniki učinka</w:t>
        </w:r>
        <w:r w:rsidR="00B16CCF">
          <w:tab/>
        </w:r>
        <w:r w:rsidR="00B16CCF">
          <w:fldChar w:fldCharType="begin"/>
        </w:r>
        <w:r w:rsidR="00B16CCF">
          <w:instrText xml:space="preserve"> PAGEREF _Toc256001328 \h </w:instrText>
        </w:r>
        <w:r w:rsidR="00B16CCF">
          <w:fldChar w:fldCharType="separate"/>
        </w:r>
        <w:r w:rsidR="00B16CCF">
          <w:t>281</w:t>
        </w:r>
        <w:r w:rsidR="00B16CCF">
          <w:fldChar w:fldCharType="end"/>
        </w:r>
      </w:hyperlink>
    </w:p>
    <w:p w14:paraId="515BDF27" w14:textId="77777777" w:rsidR="00823317" w:rsidRDefault="001D0AD2">
      <w:pPr>
        <w:pStyle w:val="Kazalovsebine5"/>
        <w:tabs>
          <w:tab w:val="end" w:leader="dot" w:pos="512pt"/>
        </w:tabs>
        <w:rPr>
          <w:rFonts w:ascii="Calibri" w:hAnsi="Calibri"/>
          <w:sz w:val="22"/>
        </w:rPr>
      </w:pPr>
      <w:hyperlink w:anchor="_Toc256001329" w:history="1">
        <w:r w:rsidR="00A77B3E">
          <w:rPr>
            <w:rStyle w:val="Hiperpovezava"/>
          </w:rPr>
          <w:t>Tabela 3: Kazalniki rezultatov</w:t>
        </w:r>
        <w:r w:rsidR="00B16CCF">
          <w:tab/>
        </w:r>
        <w:r w:rsidR="00B16CCF">
          <w:fldChar w:fldCharType="begin"/>
        </w:r>
        <w:r w:rsidR="00B16CCF">
          <w:instrText xml:space="preserve"> PAGEREF _Toc256001329 \h </w:instrText>
        </w:r>
        <w:r w:rsidR="00B16CCF">
          <w:fldChar w:fldCharType="separate"/>
        </w:r>
        <w:r w:rsidR="00B16CCF">
          <w:t>281</w:t>
        </w:r>
        <w:r w:rsidR="00B16CCF">
          <w:fldChar w:fldCharType="end"/>
        </w:r>
      </w:hyperlink>
    </w:p>
    <w:p w14:paraId="4C8CB455" w14:textId="77777777" w:rsidR="00823317" w:rsidRDefault="001D0AD2">
      <w:pPr>
        <w:pStyle w:val="Kazalovsebine4"/>
        <w:tabs>
          <w:tab w:val="end" w:leader="dot" w:pos="512pt"/>
        </w:tabs>
        <w:rPr>
          <w:rFonts w:ascii="Calibri" w:hAnsi="Calibri"/>
          <w:sz w:val="22"/>
        </w:rPr>
      </w:pPr>
      <w:hyperlink w:anchor="_Toc256001330" w:history="1">
        <w:r w:rsidR="00A77B3E">
          <w:rPr>
            <w:rStyle w:val="Hiperpovezava"/>
          </w:rPr>
          <w:t>2.1.1.1.3. Okvirna razčlenitev načrtovanih sredstev (EU) glede na vrsto ukrepa</w:t>
        </w:r>
        <w:r w:rsidR="00B16CCF">
          <w:tab/>
        </w:r>
        <w:r w:rsidR="00B16CCF">
          <w:fldChar w:fldCharType="begin"/>
        </w:r>
        <w:r w:rsidR="00B16CCF">
          <w:instrText xml:space="preserve"> PAGEREF _Toc256001330 \h </w:instrText>
        </w:r>
        <w:r w:rsidR="00B16CCF">
          <w:fldChar w:fldCharType="separate"/>
        </w:r>
        <w:r w:rsidR="00B16CCF">
          <w:t>282</w:t>
        </w:r>
        <w:r w:rsidR="00B16CCF">
          <w:fldChar w:fldCharType="end"/>
        </w:r>
      </w:hyperlink>
    </w:p>
    <w:p w14:paraId="4CEF0090" w14:textId="77777777" w:rsidR="00823317" w:rsidRDefault="001D0AD2">
      <w:pPr>
        <w:pStyle w:val="Kazalovsebine5"/>
        <w:tabs>
          <w:tab w:val="end" w:leader="dot" w:pos="512pt"/>
        </w:tabs>
        <w:rPr>
          <w:rFonts w:ascii="Calibri" w:hAnsi="Calibri"/>
          <w:sz w:val="22"/>
        </w:rPr>
      </w:pPr>
      <w:hyperlink w:anchor="_Toc256001331" w:history="1">
        <w:r w:rsidR="00A77B3E">
          <w:rPr>
            <w:rStyle w:val="Hiperpovezava"/>
          </w:rPr>
          <w:t>Tabela 4: Razsežnost 1 – področje ukrepanja</w:t>
        </w:r>
        <w:r w:rsidR="00B16CCF">
          <w:tab/>
        </w:r>
        <w:r w:rsidR="00B16CCF">
          <w:fldChar w:fldCharType="begin"/>
        </w:r>
        <w:r w:rsidR="00B16CCF">
          <w:instrText xml:space="preserve"> PAGEREF _Toc256001331 \h </w:instrText>
        </w:r>
        <w:r w:rsidR="00B16CCF">
          <w:fldChar w:fldCharType="separate"/>
        </w:r>
        <w:r w:rsidR="00B16CCF">
          <w:t>282</w:t>
        </w:r>
        <w:r w:rsidR="00B16CCF">
          <w:fldChar w:fldCharType="end"/>
        </w:r>
      </w:hyperlink>
    </w:p>
    <w:p w14:paraId="07F56C6F" w14:textId="77777777" w:rsidR="00823317" w:rsidRDefault="001D0AD2">
      <w:pPr>
        <w:pStyle w:val="Kazalovsebine5"/>
        <w:tabs>
          <w:tab w:val="end" w:leader="dot" w:pos="512pt"/>
        </w:tabs>
        <w:rPr>
          <w:rFonts w:ascii="Calibri" w:hAnsi="Calibri"/>
          <w:sz w:val="22"/>
        </w:rPr>
      </w:pPr>
      <w:hyperlink w:anchor="_Toc256001332" w:history="1">
        <w:r w:rsidR="00A77B3E">
          <w:rPr>
            <w:rStyle w:val="Hiperpovezava"/>
          </w:rPr>
          <w:t>Tabela 5: Razsežnost 2 – oblika financiranja</w:t>
        </w:r>
        <w:r w:rsidR="00B16CCF">
          <w:tab/>
        </w:r>
        <w:r w:rsidR="00B16CCF">
          <w:fldChar w:fldCharType="begin"/>
        </w:r>
        <w:r w:rsidR="00B16CCF">
          <w:instrText xml:space="preserve"> PAGEREF _Toc256001332 \h </w:instrText>
        </w:r>
        <w:r w:rsidR="00B16CCF">
          <w:fldChar w:fldCharType="separate"/>
        </w:r>
        <w:r w:rsidR="00B16CCF">
          <w:t>282</w:t>
        </w:r>
        <w:r w:rsidR="00B16CCF">
          <w:fldChar w:fldCharType="end"/>
        </w:r>
      </w:hyperlink>
    </w:p>
    <w:p w14:paraId="6D4D82D0" w14:textId="77777777" w:rsidR="00823317" w:rsidRDefault="001D0AD2">
      <w:pPr>
        <w:pStyle w:val="Kazalovsebine5"/>
        <w:tabs>
          <w:tab w:val="end" w:leader="dot" w:pos="512pt"/>
        </w:tabs>
        <w:rPr>
          <w:rFonts w:ascii="Calibri" w:hAnsi="Calibri"/>
          <w:sz w:val="22"/>
        </w:rPr>
      </w:pPr>
      <w:hyperlink w:anchor="_Toc256001333" w:history="1">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_Toc256001333 \h </w:instrText>
        </w:r>
        <w:r w:rsidR="00B16CCF">
          <w:fldChar w:fldCharType="separate"/>
        </w:r>
        <w:r w:rsidR="00B16CCF">
          <w:t>283</w:t>
        </w:r>
        <w:r w:rsidR="00B16CCF">
          <w:fldChar w:fldCharType="end"/>
        </w:r>
      </w:hyperlink>
    </w:p>
    <w:p w14:paraId="51A05102" w14:textId="77777777" w:rsidR="00823317" w:rsidRDefault="001D0AD2">
      <w:pPr>
        <w:pStyle w:val="Kazalovsebine5"/>
        <w:tabs>
          <w:tab w:val="end" w:leader="dot" w:pos="512pt"/>
        </w:tabs>
        <w:rPr>
          <w:rFonts w:ascii="Calibri" w:hAnsi="Calibri"/>
          <w:sz w:val="22"/>
        </w:rPr>
      </w:pPr>
      <w:hyperlink w:anchor="_Toc256001334" w:history="1">
        <w:r w:rsidR="00A77B3E">
          <w:rPr>
            <w:rStyle w:val="Hiperpovezava"/>
          </w:rPr>
          <w:t>Tabela 7: Razsežnost 6 – sekundarna področja ESS+</w:t>
        </w:r>
        <w:r w:rsidR="00B16CCF">
          <w:tab/>
        </w:r>
        <w:r w:rsidR="00B16CCF">
          <w:fldChar w:fldCharType="begin"/>
        </w:r>
        <w:r w:rsidR="00B16CCF">
          <w:instrText xml:space="preserve"> PAGEREF _Toc256001334 \h </w:instrText>
        </w:r>
        <w:r w:rsidR="00B16CCF">
          <w:fldChar w:fldCharType="separate"/>
        </w:r>
        <w:r w:rsidR="00B16CCF">
          <w:t>283</w:t>
        </w:r>
        <w:r w:rsidR="00B16CCF">
          <w:fldChar w:fldCharType="end"/>
        </w:r>
      </w:hyperlink>
    </w:p>
    <w:p w14:paraId="0E50A5DA" w14:textId="77777777" w:rsidR="00823317" w:rsidRDefault="001D0AD2">
      <w:pPr>
        <w:pStyle w:val="Kazalovsebine5"/>
        <w:tabs>
          <w:tab w:val="end" w:leader="dot" w:pos="512pt"/>
        </w:tabs>
        <w:rPr>
          <w:rFonts w:ascii="Calibri" w:hAnsi="Calibri"/>
          <w:sz w:val="22"/>
        </w:rPr>
      </w:pPr>
      <w:hyperlink w:anchor="_Toc256001335" w:history="1">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_Toc256001335 \h </w:instrText>
        </w:r>
        <w:r w:rsidR="00B16CCF">
          <w:fldChar w:fldCharType="separate"/>
        </w:r>
        <w:r w:rsidR="00B16CCF">
          <w:t>283</w:t>
        </w:r>
        <w:r w:rsidR="00B16CCF">
          <w:fldChar w:fldCharType="end"/>
        </w:r>
      </w:hyperlink>
    </w:p>
    <w:p w14:paraId="46F753CB" w14:textId="77777777" w:rsidR="00823317" w:rsidRDefault="001D0AD2">
      <w:pPr>
        <w:pStyle w:val="Kazalovsebine4"/>
        <w:tabs>
          <w:tab w:val="end" w:leader="dot" w:pos="512pt"/>
        </w:tabs>
        <w:rPr>
          <w:rFonts w:ascii="Calibri" w:hAnsi="Calibri"/>
          <w:sz w:val="22"/>
        </w:rPr>
      </w:pPr>
      <w:hyperlink w:anchor="_Toc256001336" w:history="1">
        <w:r w:rsidR="00A77B3E">
          <w:rPr>
            <w:rStyle w:val="Hiperpovezava"/>
          </w:rPr>
          <w:t>2.1.1.1. Specifični cilj: ESO4.12. Spodbujanje socialnega vključevanja oseb, izpostavljenih tveganju revščine ali socialni izključenosti, vključno z najbolj ogroženimi osebami in otroki (ESS+)</w:t>
        </w:r>
        <w:r w:rsidR="00B16CCF">
          <w:tab/>
        </w:r>
        <w:r w:rsidR="00B16CCF">
          <w:fldChar w:fldCharType="begin"/>
        </w:r>
        <w:r w:rsidR="00B16CCF">
          <w:instrText xml:space="preserve"> PAGEREF _Toc256001336 \h </w:instrText>
        </w:r>
        <w:r w:rsidR="00B16CCF">
          <w:fldChar w:fldCharType="separate"/>
        </w:r>
        <w:r w:rsidR="00B16CCF">
          <w:t>284</w:t>
        </w:r>
        <w:r w:rsidR="00B16CCF">
          <w:fldChar w:fldCharType="end"/>
        </w:r>
      </w:hyperlink>
    </w:p>
    <w:p w14:paraId="1956640C" w14:textId="77777777" w:rsidR="00823317" w:rsidRDefault="001D0AD2">
      <w:pPr>
        <w:pStyle w:val="Kazalovsebine4"/>
        <w:tabs>
          <w:tab w:val="end" w:leader="dot" w:pos="512pt"/>
        </w:tabs>
        <w:rPr>
          <w:rFonts w:ascii="Calibri" w:hAnsi="Calibri"/>
          <w:sz w:val="22"/>
        </w:rPr>
      </w:pPr>
      <w:hyperlink w:anchor="_Toc256001337" w:history="1">
        <w:r w:rsidR="00A77B3E">
          <w:rPr>
            <w:rStyle w:val="Hiperpovezava"/>
          </w:rPr>
          <w:t>2.1.1.1.1. Ukrepi skladov</w:t>
        </w:r>
        <w:r w:rsidR="00B16CCF">
          <w:tab/>
        </w:r>
        <w:r w:rsidR="00B16CCF">
          <w:fldChar w:fldCharType="begin"/>
        </w:r>
        <w:r w:rsidR="00B16CCF">
          <w:instrText xml:space="preserve"> PAGEREF _Toc256001337 \h </w:instrText>
        </w:r>
        <w:r w:rsidR="00B16CCF">
          <w:fldChar w:fldCharType="separate"/>
        </w:r>
        <w:r w:rsidR="00B16CCF">
          <w:t>284</w:t>
        </w:r>
        <w:r w:rsidR="00B16CCF">
          <w:fldChar w:fldCharType="end"/>
        </w:r>
      </w:hyperlink>
    </w:p>
    <w:p w14:paraId="2248D6E9" w14:textId="77777777" w:rsidR="00823317" w:rsidRDefault="001D0AD2">
      <w:pPr>
        <w:pStyle w:val="Kazalovsebine5"/>
        <w:tabs>
          <w:tab w:val="end" w:leader="dot" w:pos="512pt"/>
        </w:tabs>
        <w:rPr>
          <w:rFonts w:ascii="Calibri" w:hAnsi="Calibri"/>
          <w:sz w:val="22"/>
        </w:rPr>
      </w:pPr>
      <w:hyperlink w:anchor="_Toc256001338" w:history="1">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_Toc256001338 \h </w:instrText>
        </w:r>
        <w:r w:rsidR="00B16CCF">
          <w:fldChar w:fldCharType="separate"/>
        </w:r>
        <w:r w:rsidR="00B16CCF">
          <w:t>284</w:t>
        </w:r>
        <w:r w:rsidR="00B16CCF">
          <w:fldChar w:fldCharType="end"/>
        </w:r>
      </w:hyperlink>
    </w:p>
    <w:p w14:paraId="5F69651C" w14:textId="77777777" w:rsidR="00823317" w:rsidRDefault="001D0AD2">
      <w:pPr>
        <w:pStyle w:val="Kazalovsebine5"/>
        <w:tabs>
          <w:tab w:val="end" w:leader="dot" w:pos="512pt"/>
        </w:tabs>
        <w:rPr>
          <w:rFonts w:ascii="Calibri" w:hAnsi="Calibri"/>
          <w:sz w:val="22"/>
        </w:rPr>
      </w:pPr>
      <w:hyperlink w:anchor="_Toc256001339" w:history="1">
        <w:r w:rsidR="00A77B3E">
          <w:rPr>
            <w:rStyle w:val="Hiperpovezava"/>
          </w:rPr>
          <w:t>Glavne ciljne skupine – člen 22(3)(d)(iii) uredbe o skupnih določbah:</w:t>
        </w:r>
        <w:r w:rsidR="00B16CCF">
          <w:tab/>
        </w:r>
        <w:r w:rsidR="00B16CCF">
          <w:fldChar w:fldCharType="begin"/>
        </w:r>
        <w:r w:rsidR="00B16CCF">
          <w:instrText xml:space="preserve"> PAGEREF _Toc256001339 \h </w:instrText>
        </w:r>
        <w:r w:rsidR="00B16CCF">
          <w:fldChar w:fldCharType="separate"/>
        </w:r>
        <w:r w:rsidR="00B16CCF">
          <w:t>286</w:t>
        </w:r>
        <w:r w:rsidR="00B16CCF">
          <w:fldChar w:fldCharType="end"/>
        </w:r>
      </w:hyperlink>
    </w:p>
    <w:p w14:paraId="6958D36A" w14:textId="77777777" w:rsidR="00823317" w:rsidRDefault="001D0AD2">
      <w:pPr>
        <w:pStyle w:val="Kazalovsebine5"/>
        <w:tabs>
          <w:tab w:val="end" w:leader="dot" w:pos="512pt"/>
        </w:tabs>
        <w:rPr>
          <w:rFonts w:ascii="Calibri" w:hAnsi="Calibri"/>
          <w:sz w:val="22"/>
        </w:rPr>
      </w:pPr>
      <w:hyperlink w:anchor="_Toc256001340" w:history="1">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_Toc256001340 \h </w:instrText>
        </w:r>
        <w:r w:rsidR="00B16CCF">
          <w:fldChar w:fldCharType="separate"/>
        </w:r>
        <w:r w:rsidR="00B16CCF">
          <w:t>286</w:t>
        </w:r>
        <w:r w:rsidR="00B16CCF">
          <w:fldChar w:fldCharType="end"/>
        </w:r>
      </w:hyperlink>
    </w:p>
    <w:p w14:paraId="0FB36719" w14:textId="77777777" w:rsidR="00823317" w:rsidRDefault="001D0AD2">
      <w:pPr>
        <w:pStyle w:val="Kazalovsebine5"/>
        <w:tabs>
          <w:tab w:val="end" w:leader="dot" w:pos="512pt"/>
        </w:tabs>
        <w:rPr>
          <w:rFonts w:ascii="Calibri" w:hAnsi="Calibri"/>
          <w:sz w:val="22"/>
        </w:rPr>
      </w:pPr>
      <w:hyperlink w:anchor="_Toc256001341" w:history="1">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_Toc256001341 \h </w:instrText>
        </w:r>
        <w:r w:rsidR="00B16CCF">
          <w:fldChar w:fldCharType="separate"/>
        </w:r>
        <w:r w:rsidR="00B16CCF">
          <w:t>287</w:t>
        </w:r>
        <w:r w:rsidR="00B16CCF">
          <w:fldChar w:fldCharType="end"/>
        </w:r>
      </w:hyperlink>
    </w:p>
    <w:p w14:paraId="7086D889" w14:textId="77777777" w:rsidR="00823317" w:rsidRDefault="001D0AD2">
      <w:pPr>
        <w:pStyle w:val="Kazalovsebine5"/>
        <w:tabs>
          <w:tab w:val="end" w:leader="dot" w:pos="512pt"/>
        </w:tabs>
        <w:rPr>
          <w:rFonts w:ascii="Calibri" w:hAnsi="Calibri"/>
          <w:sz w:val="22"/>
        </w:rPr>
      </w:pPr>
      <w:hyperlink w:anchor="_Toc256001342" w:history="1">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_Toc256001342 \h </w:instrText>
        </w:r>
        <w:r w:rsidR="00B16CCF">
          <w:fldChar w:fldCharType="separate"/>
        </w:r>
        <w:r w:rsidR="00B16CCF">
          <w:t>287</w:t>
        </w:r>
        <w:r w:rsidR="00B16CCF">
          <w:fldChar w:fldCharType="end"/>
        </w:r>
      </w:hyperlink>
    </w:p>
    <w:p w14:paraId="002DF14A" w14:textId="77777777" w:rsidR="00823317" w:rsidRDefault="001D0AD2">
      <w:pPr>
        <w:pStyle w:val="Kazalovsebine5"/>
        <w:tabs>
          <w:tab w:val="end" w:leader="dot" w:pos="512pt"/>
        </w:tabs>
        <w:rPr>
          <w:rFonts w:ascii="Calibri" w:hAnsi="Calibri"/>
          <w:sz w:val="22"/>
        </w:rPr>
      </w:pPr>
      <w:hyperlink w:anchor="_Toc256001343" w:history="1">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_Toc256001343 \h </w:instrText>
        </w:r>
        <w:r w:rsidR="00B16CCF">
          <w:fldChar w:fldCharType="separate"/>
        </w:r>
        <w:r w:rsidR="00B16CCF">
          <w:t>287</w:t>
        </w:r>
        <w:r w:rsidR="00B16CCF">
          <w:fldChar w:fldCharType="end"/>
        </w:r>
      </w:hyperlink>
    </w:p>
    <w:p w14:paraId="7D8E5E8C" w14:textId="77777777" w:rsidR="00823317" w:rsidRDefault="001D0AD2">
      <w:pPr>
        <w:pStyle w:val="Kazalovsebine4"/>
        <w:tabs>
          <w:tab w:val="end" w:leader="dot" w:pos="512pt"/>
        </w:tabs>
        <w:rPr>
          <w:rFonts w:ascii="Calibri" w:hAnsi="Calibri"/>
          <w:sz w:val="22"/>
        </w:rPr>
      </w:pPr>
      <w:hyperlink w:anchor="_Toc256001344" w:history="1">
        <w:r w:rsidR="00A77B3E">
          <w:rPr>
            <w:rStyle w:val="Hiperpovezava"/>
          </w:rPr>
          <w:t>2.1.1.1.2. Kazalniki</w:t>
        </w:r>
        <w:r w:rsidR="00B16CCF">
          <w:tab/>
        </w:r>
        <w:r w:rsidR="00B16CCF">
          <w:fldChar w:fldCharType="begin"/>
        </w:r>
        <w:r w:rsidR="00B16CCF">
          <w:instrText xml:space="preserve"> PAGEREF _Toc256001344 \h </w:instrText>
        </w:r>
        <w:r w:rsidR="00B16CCF">
          <w:fldChar w:fldCharType="separate"/>
        </w:r>
        <w:r w:rsidR="00B16CCF">
          <w:t>288</w:t>
        </w:r>
        <w:r w:rsidR="00B16CCF">
          <w:fldChar w:fldCharType="end"/>
        </w:r>
      </w:hyperlink>
    </w:p>
    <w:p w14:paraId="59CE29AE" w14:textId="77777777" w:rsidR="00823317" w:rsidRDefault="001D0AD2">
      <w:pPr>
        <w:pStyle w:val="Kazalovsebine5"/>
        <w:tabs>
          <w:tab w:val="end" w:leader="dot" w:pos="512pt"/>
        </w:tabs>
        <w:rPr>
          <w:rFonts w:ascii="Calibri" w:hAnsi="Calibri"/>
          <w:sz w:val="22"/>
        </w:rPr>
      </w:pPr>
      <w:hyperlink w:anchor="_Toc256001345" w:history="1">
        <w:r w:rsidR="00A77B3E">
          <w:rPr>
            <w:rStyle w:val="Hiperpovezava"/>
          </w:rPr>
          <w:t>Tabela 2: Kazalniki učinka</w:t>
        </w:r>
        <w:r w:rsidR="00B16CCF">
          <w:tab/>
        </w:r>
        <w:r w:rsidR="00B16CCF">
          <w:fldChar w:fldCharType="begin"/>
        </w:r>
        <w:r w:rsidR="00B16CCF">
          <w:instrText xml:space="preserve"> PAGEREF _Toc256001345 \h </w:instrText>
        </w:r>
        <w:r w:rsidR="00B16CCF">
          <w:fldChar w:fldCharType="separate"/>
        </w:r>
        <w:r w:rsidR="00B16CCF">
          <w:t>288</w:t>
        </w:r>
        <w:r w:rsidR="00B16CCF">
          <w:fldChar w:fldCharType="end"/>
        </w:r>
      </w:hyperlink>
    </w:p>
    <w:p w14:paraId="5521D3FF" w14:textId="77777777" w:rsidR="00823317" w:rsidRDefault="001D0AD2">
      <w:pPr>
        <w:pStyle w:val="Kazalovsebine5"/>
        <w:tabs>
          <w:tab w:val="end" w:leader="dot" w:pos="512pt"/>
        </w:tabs>
        <w:rPr>
          <w:rFonts w:ascii="Calibri" w:hAnsi="Calibri"/>
          <w:sz w:val="22"/>
        </w:rPr>
      </w:pPr>
      <w:hyperlink w:anchor="_Toc256001346" w:history="1">
        <w:r w:rsidR="00A77B3E">
          <w:rPr>
            <w:rStyle w:val="Hiperpovezava"/>
          </w:rPr>
          <w:t>Tabela 3: Kazalniki rezultatov</w:t>
        </w:r>
        <w:r w:rsidR="00B16CCF">
          <w:tab/>
        </w:r>
        <w:r w:rsidR="00B16CCF">
          <w:fldChar w:fldCharType="begin"/>
        </w:r>
        <w:r w:rsidR="00B16CCF">
          <w:instrText xml:space="preserve"> PAGEREF _Toc256001346 \h </w:instrText>
        </w:r>
        <w:r w:rsidR="00B16CCF">
          <w:fldChar w:fldCharType="separate"/>
        </w:r>
        <w:r w:rsidR="00B16CCF">
          <w:t>288</w:t>
        </w:r>
        <w:r w:rsidR="00B16CCF">
          <w:fldChar w:fldCharType="end"/>
        </w:r>
      </w:hyperlink>
    </w:p>
    <w:p w14:paraId="0DCECB09" w14:textId="77777777" w:rsidR="00823317" w:rsidRDefault="001D0AD2">
      <w:pPr>
        <w:pStyle w:val="Kazalovsebine4"/>
        <w:tabs>
          <w:tab w:val="end" w:leader="dot" w:pos="512pt"/>
        </w:tabs>
        <w:rPr>
          <w:rFonts w:ascii="Calibri" w:hAnsi="Calibri"/>
          <w:sz w:val="22"/>
        </w:rPr>
      </w:pPr>
      <w:hyperlink w:anchor="_Toc256001347" w:history="1">
        <w:r w:rsidR="00A77B3E">
          <w:rPr>
            <w:rStyle w:val="Hiperpovezava"/>
          </w:rPr>
          <w:t>2.1.1.1.3. Okvirna razčlenitev načrtovanih sredstev (EU) glede na vrsto ukrepa</w:t>
        </w:r>
        <w:r w:rsidR="00B16CCF">
          <w:tab/>
        </w:r>
        <w:r w:rsidR="00B16CCF">
          <w:fldChar w:fldCharType="begin"/>
        </w:r>
        <w:r w:rsidR="00B16CCF">
          <w:instrText xml:space="preserve"> PAGEREF _Toc256001347 \h </w:instrText>
        </w:r>
        <w:r w:rsidR="00B16CCF">
          <w:fldChar w:fldCharType="separate"/>
        </w:r>
        <w:r w:rsidR="00B16CCF">
          <w:t>289</w:t>
        </w:r>
        <w:r w:rsidR="00B16CCF">
          <w:fldChar w:fldCharType="end"/>
        </w:r>
      </w:hyperlink>
    </w:p>
    <w:p w14:paraId="514FD33D" w14:textId="77777777" w:rsidR="00823317" w:rsidRDefault="001D0AD2">
      <w:pPr>
        <w:pStyle w:val="Kazalovsebine5"/>
        <w:tabs>
          <w:tab w:val="end" w:leader="dot" w:pos="512pt"/>
        </w:tabs>
        <w:rPr>
          <w:rFonts w:ascii="Calibri" w:hAnsi="Calibri"/>
          <w:sz w:val="22"/>
        </w:rPr>
      </w:pPr>
      <w:hyperlink w:anchor="_Toc256001348" w:history="1">
        <w:r w:rsidR="00A77B3E">
          <w:rPr>
            <w:rStyle w:val="Hiperpovezava"/>
          </w:rPr>
          <w:t>Tabela 4: Razsežnost 1 – področje ukrepanja</w:t>
        </w:r>
        <w:r w:rsidR="00B16CCF">
          <w:tab/>
        </w:r>
        <w:r w:rsidR="00B16CCF">
          <w:fldChar w:fldCharType="begin"/>
        </w:r>
        <w:r w:rsidR="00B16CCF">
          <w:instrText xml:space="preserve"> PAGEREF _Toc256001348 \h </w:instrText>
        </w:r>
        <w:r w:rsidR="00B16CCF">
          <w:fldChar w:fldCharType="separate"/>
        </w:r>
        <w:r w:rsidR="00B16CCF">
          <w:t>289</w:t>
        </w:r>
        <w:r w:rsidR="00B16CCF">
          <w:fldChar w:fldCharType="end"/>
        </w:r>
      </w:hyperlink>
    </w:p>
    <w:p w14:paraId="7E67A31F" w14:textId="77777777" w:rsidR="00823317" w:rsidRDefault="001D0AD2">
      <w:pPr>
        <w:pStyle w:val="Kazalovsebine5"/>
        <w:tabs>
          <w:tab w:val="end" w:leader="dot" w:pos="512pt"/>
        </w:tabs>
        <w:rPr>
          <w:rFonts w:ascii="Calibri" w:hAnsi="Calibri"/>
          <w:sz w:val="22"/>
        </w:rPr>
      </w:pPr>
      <w:hyperlink w:anchor="_Toc256001349" w:history="1">
        <w:r w:rsidR="00A77B3E">
          <w:rPr>
            <w:rStyle w:val="Hiperpovezava"/>
          </w:rPr>
          <w:t>Tabela 5: Razsežnost 2 – oblika financiranja</w:t>
        </w:r>
        <w:r w:rsidR="00B16CCF">
          <w:tab/>
        </w:r>
        <w:r w:rsidR="00B16CCF">
          <w:fldChar w:fldCharType="begin"/>
        </w:r>
        <w:r w:rsidR="00B16CCF">
          <w:instrText xml:space="preserve"> PAGEREF _Toc256001349 \h </w:instrText>
        </w:r>
        <w:r w:rsidR="00B16CCF">
          <w:fldChar w:fldCharType="separate"/>
        </w:r>
        <w:r w:rsidR="00B16CCF">
          <w:t>289</w:t>
        </w:r>
        <w:r w:rsidR="00B16CCF">
          <w:fldChar w:fldCharType="end"/>
        </w:r>
      </w:hyperlink>
    </w:p>
    <w:p w14:paraId="68E9E5E7" w14:textId="77777777" w:rsidR="00823317" w:rsidRDefault="001D0AD2">
      <w:pPr>
        <w:pStyle w:val="Kazalovsebine5"/>
        <w:tabs>
          <w:tab w:val="end" w:leader="dot" w:pos="512pt"/>
        </w:tabs>
        <w:rPr>
          <w:rFonts w:ascii="Calibri" w:hAnsi="Calibri"/>
          <w:sz w:val="22"/>
        </w:rPr>
      </w:pPr>
      <w:hyperlink w:anchor="_Toc256001350" w:history="1">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_Toc256001350 \h </w:instrText>
        </w:r>
        <w:r w:rsidR="00B16CCF">
          <w:fldChar w:fldCharType="separate"/>
        </w:r>
        <w:r w:rsidR="00B16CCF">
          <w:t>289</w:t>
        </w:r>
        <w:r w:rsidR="00B16CCF">
          <w:fldChar w:fldCharType="end"/>
        </w:r>
      </w:hyperlink>
    </w:p>
    <w:p w14:paraId="7025C2AE" w14:textId="77777777" w:rsidR="00823317" w:rsidRDefault="001D0AD2">
      <w:pPr>
        <w:pStyle w:val="Kazalovsebine5"/>
        <w:tabs>
          <w:tab w:val="end" w:leader="dot" w:pos="512pt"/>
        </w:tabs>
        <w:rPr>
          <w:rFonts w:ascii="Calibri" w:hAnsi="Calibri"/>
          <w:sz w:val="22"/>
        </w:rPr>
      </w:pPr>
      <w:hyperlink w:anchor="_Toc256001351" w:history="1">
        <w:r w:rsidR="00A77B3E">
          <w:rPr>
            <w:rStyle w:val="Hiperpovezava"/>
          </w:rPr>
          <w:t>Tabela 7: Razsežnost 6 – sekundarna področja ESS+</w:t>
        </w:r>
        <w:r w:rsidR="00B16CCF">
          <w:tab/>
        </w:r>
        <w:r w:rsidR="00B16CCF">
          <w:fldChar w:fldCharType="begin"/>
        </w:r>
        <w:r w:rsidR="00B16CCF">
          <w:instrText xml:space="preserve"> PAGEREF _Toc256001351 \h </w:instrText>
        </w:r>
        <w:r w:rsidR="00B16CCF">
          <w:fldChar w:fldCharType="separate"/>
        </w:r>
        <w:r w:rsidR="00B16CCF">
          <w:t>290</w:t>
        </w:r>
        <w:r w:rsidR="00B16CCF">
          <w:fldChar w:fldCharType="end"/>
        </w:r>
      </w:hyperlink>
    </w:p>
    <w:p w14:paraId="73AA7F66" w14:textId="77777777" w:rsidR="00823317" w:rsidRDefault="001D0AD2">
      <w:pPr>
        <w:pStyle w:val="Kazalovsebine5"/>
        <w:tabs>
          <w:tab w:val="end" w:leader="dot" w:pos="512pt"/>
        </w:tabs>
        <w:rPr>
          <w:rFonts w:ascii="Calibri" w:hAnsi="Calibri"/>
          <w:sz w:val="22"/>
        </w:rPr>
      </w:pPr>
      <w:hyperlink w:anchor="_Toc256001352" w:history="1">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_Toc256001352 \h </w:instrText>
        </w:r>
        <w:r w:rsidR="00B16CCF">
          <w:fldChar w:fldCharType="separate"/>
        </w:r>
        <w:r w:rsidR="00B16CCF">
          <w:t>290</w:t>
        </w:r>
        <w:r w:rsidR="00B16CCF">
          <w:fldChar w:fldCharType="end"/>
        </w:r>
      </w:hyperlink>
    </w:p>
    <w:p w14:paraId="6EE6655C" w14:textId="77777777" w:rsidR="00823317" w:rsidRDefault="001D0AD2">
      <w:pPr>
        <w:pStyle w:val="Kazalovsebine3"/>
        <w:tabs>
          <w:tab w:val="end" w:leader="dot" w:pos="512pt"/>
        </w:tabs>
        <w:rPr>
          <w:rFonts w:ascii="Calibri" w:hAnsi="Calibri"/>
          <w:sz w:val="22"/>
        </w:rPr>
      </w:pPr>
      <w:hyperlink w:anchor="_Toc256001353" w:history="1">
        <w:r w:rsidR="00A77B3E">
          <w:rPr>
            <w:rStyle w:val="Hiperpovezava"/>
          </w:rPr>
          <w:t>2.1.1. Prednostna naloga: 8. Trajnostna turizem in kultura</w:t>
        </w:r>
        <w:r w:rsidR="00B16CCF">
          <w:tab/>
        </w:r>
        <w:r w:rsidR="00B16CCF">
          <w:fldChar w:fldCharType="begin"/>
        </w:r>
        <w:r w:rsidR="00B16CCF">
          <w:instrText xml:space="preserve"> PAGEREF _Toc256001353 \h </w:instrText>
        </w:r>
        <w:r w:rsidR="00B16CCF">
          <w:fldChar w:fldCharType="separate"/>
        </w:r>
        <w:r w:rsidR="00B16CCF">
          <w:t>291</w:t>
        </w:r>
        <w:r w:rsidR="00B16CCF">
          <w:fldChar w:fldCharType="end"/>
        </w:r>
      </w:hyperlink>
    </w:p>
    <w:p w14:paraId="17CB7DA0" w14:textId="77777777" w:rsidR="00823317" w:rsidRDefault="001D0AD2">
      <w:pPr>
        <w:pStyle w:val="Kazalovsebine4"/>
        <w:tabs>
          <w:tab w:val="end" w:leader="dot" w:pos="512pt"/>
        </w:tabs>
        <w:rPr>
          <w:rFonts w:ascii="Calibri" w:hAnsi="Calibri"/>
          <w:sz w:val="22"/>
        </w:rPr>
      </w:pPr>
      <w:hyperlink w:anchor="_Toc256001354" w:history="1">
        <w:r w:rsidR="00A77B3E">
          <w:rPr>
            <w:rStyle w:val="Hiperpovezava"/>
          </w:rPr>
          <w:t>2.1.1.1. Specifični cilj: RSO4.6. Krepitev vloge kulture in trajnostnega turizma pri gospodarskem razvoju, socialni vključenosti in socialnih inovacijah (ESRR)</w:t>
        </w:r>
        <w:r w:rsidR="00B16CCF">
          <w:tab/>
        </w:r>
        <w:r w:rsidR="00B16CCF">
          <w:fldChar w:fldCharType="begin"/>
        </w:r>
        <w:r w:rsidR="00B16CCF">
          <w:instrText xml:space="preserve"> PAGEREF _Toc256001354 \h </w:instrText>
        </w:r>
        <w:r w:rsidR="00B16CCF">
          <w:fldChar w:fldCharType="separate"/>
        </w:r>
        <w:r w:rsidR="00B16CCF">
          <w:t>291</w:t>
        </w:r>
        <w:r w:rsidR="00B16CCF">
          <w:fldChar w:fldCharType="end"/>
        </w:r>
      </w:hyperlink>
    </w:p>
    <w:p w14:paraId="749F18B2" w14:textId="77777777" w:rsidR="00823317" w:rsidRDefault="001D0AD2">
      <w:pPr>
        <w:pStyle w:val="Kazalovsebine4"/>
        <w:tabs>
          <w:tab w:val="end" w:leader="dot" w:pos="512pt"/>
        </w:tabs>
        <w:rPr>
          <w:rFonts w:ascii="Calibri" w:hAnsi="Calibri"/>
          <w:sz w:val="22"/>
        </w:rPr>
      </w:pPr>
      <w:hyperlink w:anchor="_Toc256001355" w:history="1">
        <w:r w:rsidR="00A77B3E">
          <w:rPr>
            <w:rStyle w:val="Hiperpovezava"/>
          </w:rPr>
          <w:t>2.1.1.1.1. Ukrepi skladov</w:t>
        </w:r>
        <w:r w:rsidR="00B16CCF">
          <w:tab/>
        </w:r>
        <w:r w:rsidR="00B16CCF">
          <w:fldChar w:fldCharType="begin"/>
        </w:r>
        <w:r w:rsidR="00B16CCF">
          <w:instrText xml:space="preserve"> PAGEREF _Toc256001355 \h </w:instrText>
        </w:r>
        <w:r w:rsidR="00B16CCF">
          <w:fldChar w:fldCharType="separate"/>
        </w:r>
        <w:r w:rsidR="00B16CCF">
          <w:t>291</w:t>
        </w:r>
        <w:r w:rsidR="00B16CCF">
          <w:fldChar w:fldCharType="end"/>
        </w:r>
      </w:hyperlink>
    </w:p>
    <w:p w14:paraId="16836000" w14:textId="77777777" w:rsidR="00823317" w:rsidRDefault="001D0AD2">
      <w:pPr>
        <w:pStyle w:val="Kazalovsebine5"/>
        <w:tabs>
          <w:tab w:val="end" w:leader="dot" w:pos="512pt"/>
        </w:tabs>
        <w:rPr>
          <w:rFonts w:ascii="Calibri" w:hAnsi="Calibri"/>
          <w:sz w:val="22"/>
        </w:rPr>
      </w:pPr>
      <w:hyperlink w:anchor="_Toc256001356" w:history="1">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_Toc256001356 \h </w:instrText>
        </w:r>
        <w:r w:rsidR="00B16CCF">
          <w:fldChar w:fldCharType="separate"/>
        </w:r>
        <w:r w:rsidR="00B16CCF">
          <w:t>291</w:t>
        </w:r>
        <w:r w:rsidR="00B16CCF">
          <w:fldChar w:fldCharType="end"/>
        </w:r>
      </w:hyperlink>
    </w:p>
    <w:p w14:paraId="490692E0" w14:textId="77777777" w:rsidR="00823317" w:rsidRDefault="001D0AD2">
      <w:pPr>
        <w:pStyle w:val="Kazalovsebine5"/>
        <w:tabs>
          <w:tab w:val="end" w:leader="dot" w:pos="512pt"/>
        </w:tabs>
        <w:rPr>
          <w:rFonts w:ascii="Calibri" w:hAnsi="Calibri"/>
          <w:sz w:val="22"/>
        </w:rPr>
      </w:pPr>
      <w:hyperlink w:anchor="_Toc256001357" w:history="1">
        <w:r w:rsidR="00A77B3E">
          <w:rPr>
            <w:rStyle w:val="Hiperpovezava"/>
          </w:rPr>
          <w:t>Glavne ciljne skupine – člen 22(3)(d)(iii) uredbe o skupnih določbah:</w:t>
        </w:r>
        <w:r w:rsidR="00B16CCF">
          <w:tab/>
        </w:r>
        <w:r w:rsidR="00B16CCF">
          <w:fldChar w:fldCharType="begin"/>
        </w:r>
        <w:r w:rsidR="00B16CCF">
          <w:instrText xml:space="preserve"> PAGEREF _Toc256001357 \h </w:instrText>
        </w:r>
        <w:r w:rsidR="00B16CCF">
          <w:fldChar w:fldCharType="separate"/>
        </w:r>
        <w:r w:rsidR="00B16CCF">
          <w:t>293</w:t>
        </w:r>
        <w:r w:rsidR="00B16CCF">
          <w:fldChar w:fldCharType="end"/>
        </w:r>
      </w:hyperlink>
    </w:p>
    <w:p w14:paraId="1C3D8207" w14:textId="77777777" w:rsidR="00823317" w:rsidRDefault="001D0AD2">
      <w:pPr>
        <w:pStyle w:val="Kazalovsebine5"/>
        <w:tabs>
          <w:tab w:val="end" w:leader="dot" w:pos="512pt"/>
        </w:tabs>
        <w:rPr>
          <w:rFonts w:ascii="Calibri" w:hAnsi="Calibri"/>
          <w:sz w:val="22"/>
        </w:rPr>
      </w:pPr>
      <w:hyperlink w:anchor="_Toc256001358" w:history="1">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_Toc256001358 \h </w:instrText>
        </w:r>
        <w:r w:rsidR="00B16CCF">
          <w:fldChar w:fldCharType="separate"/>
        </w:r>
        <w:r w:rsidR="00B16CCF">
          <w:t>294</w:t>
        </w:r>
        <w:r w:rsidR="00B16CCF">
          <w:fldChar w:fldCharType="end"/>
        </w:r>
      </w:hyperlink>
    </w:p>
    <w:p w14:paraId="7EB21A89" w14:textId="77777777" w:rsidR="00823317" w:rsidRDefault="001D0AD2">
      <w:pPr>
        <w:pStyle w:val="Kazalovsebine5"/>
        <w:tabs>
          <w:tab w:val="end" w:leader="dot" w:pos="512pt"/>
        </w:tabs>
        <w:rPr>
          <w:rFonts w:ascii="Calibri" w:hAnsi="Calibri"/>
          <w:sz w:val="22"/>
        </w:rPr>
      </w:pPr>
      <w:hyperlink w:anchor="_Toc256001359" w:history="1">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_Toc256001359 \h </w:instrText>
        </w:r>
        <w:r w:rsidR="00B16CCF">
          <w:fldChar w:fldCharType="separate"/>
        </w:r>
        <w:r w:rsidR="00B16CCF">
          <w:t>294</w:t>
        </w:r>
        <w:r w:rsidR="00B16CCF">
          <w:fldChar w:fldCharType="end"/>
        </w:r>
      </w:hyperlink>
    </w:p>
    <w:p w14:paraId="11B0EB5D" w14:textId="77777777" w:rsidR="00823317" w:rsidRDefault="001D0AD2">
      <w:pPr>
        <w:pStyle w:val="Kazalovsebine5"/>
        <w:tabs>
          <w:tab w:val="end" w:leader="dot" w:pos="512pt"/>
        </w:tabs>
        <w:rPr>
          <w:rFonts w:ascii="Calibri" w:hAnsi="Calibri"/>
          <w:sz w:val="22"/>
        </w:rPr>
      </w:pPr>
      <w:hyperlink w:anchor="_Toc256001360" w:history="1">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_Toc256001360 \h </w:instrText>
        </w:r>
        <w:r w:rsidR="00B16CCF">
          <w:fldChar w:fldCharType="separate"/>
        </w:r>
        <w:r w:rsidR="00B16CCF">
          <w:t>294</w:t>
        </w:r>
        <w:r w:rsidR="00B16CCF">
          <w:fldChar w:fldCharType="end"/>
        </w:r>
      </w:hyperlink>
    </w:p>
    <w:p w14:paraId="4B421059" w14:textId="77777777" w:rsidR="00823317" w:rsidRDefault="001D0AD2">
      <w:pPr>
        <w:pStyle w:val="Kazalovsebine5"/>
        <w:tabs>
          <w:tab w:val="end" w:leader="dot" w:pos="512pt"/>
        </w:tabs>
        <w:rPr>
          <w:rFonts w:ascii="Calibri" w:hAnsi="Calibri"/>
          <w:sz w:val="22"/>
        </w:rPr>
      </w:pPr>
      <w:hyperlink w:anchor="_Toc256001361" w:history="1">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_Toc256001361 \h </w:instrText>
        </w:r>
        <w:r w:rsidR="00B16CCF">
          <w:fldChar w:fldCharType="separate"/>
        </w:r>
        <w:r w:rsidR="00B16CCF">
          <w:t>295</w:t>
        </w:r>
        <w:r w:rsidR="00B16CCF">
          <w:fldChar w:fldCharType="end"/>
        </w:r>
      </w:hyperlink>
    </w:p>
    <w:p w14:paraId="4079FDB3" w14:textId="77777777" w:rsidR="00823317" w:rsidRDefault="001D0AD2">
      <w:pPr>
        <w:pStyle w:val="Kazalovsebine4"/>
        <w:tabs>
          <w:tab w:val="end" w:leader="dot" w:pos="512pt"/>
        </w:tabs>
        <w:rPr>
          <w:rFonts w:ascii="Calibri" w:hAnsi="Calibri"/>
          <w:sz w:val="22"/>
        </w:rPr>
      </w:pPr>
      <w:hyperlink w:anchor="_Toc256001362" w:history="1">
        <w:r w:rsidR="00A77B3E">
          <w:rPr>
            <w:rStyle w:val="Hiperpovezava"/>
          </w:rPr>
          <w:t>2.1.1.1.2. Kazalniki</w:t>
        </w:r>
        <w:r w:rsidR="00B16CCF">
          <w:tab/>
        </w:r>
        <w:r w:rsidR="00B16CCF">
          <w:fldChar w:fldCharType="begin"/>
        </w:r>
        <w:r w:rsidR="00B16CCF">
          <w:instrText xml:space="preserve"> PAGEREF _Toc256001362 \h </w:instrText>
        </w:r>
        <w:r w:rsidR="00B16CCF">
          <w:fldChar w:fldCharType="separate"/>
        </w:r>
        <w:r w:rsidR="00B16CCF">
          <w:t>295</w:t>
        </w:r>
        <w:r w:rsidR="00B16CCF">
          <w:fldChar w:fldCharType="end"/>
        </w:r>
      </w:hyperlink>
    </w:p>
    <w:p w14:paraId="23068DED" w14:textId="77777777" w:rsidR="00823317" w:rsidRDefault="001D0AD2">
      <w:pPr>
        <w:pStyle w:val="Kazalovsebine5"/>
        <w:tabs>
          <w:tab w:val="end" w:leader="dot" w:pos="512pt"/>
        </w:tabs>
        <w:rPr>
          <w:rFonts w:ascii="Calibri" w:hAnsi="Calibri"/>
          <w:sz w:val="22"/>
        </w:rPr>
      </w:pPr>
      <w:hyperlink w:anchor="_Toc256001363" w:history="1">
        <w:r w:rsidR="00A77B3E">
          <w:rPr>
            <w:rStyle w:val="Hiperpovezava"/>
          </w:rPr>
          <w:t>Tabela 2: Kazalniki učinka</w:t>
        </w:r>
        <w:r w:rsidR="00B16CCF">
          <w:tab/>
        </w:r>
        <w:r w:rsidR="00B16CCF">
          <w:fldChar w:fldCharType="begin"/>
        </w:r>
        <w:r w:rsidR="00B16CCF">
          <w:instrText xml:space="preserve"> PAGEREF _Toc256001363 \h </w:instrText>
        </w:r>
        <w:r w:rsidR="00B16CCF">
          <w:fldChar w:fldCharType="separate"/>
        </w:r>
        <w:r w:rsidR="00B16CCF">
          <w:t>295</w:t>
        </w:r>
        <w:r w:rsidR="00B16CCF">
          <w:fldChar w:fldCharType="end"/>
        </w:r>
      </w:hyperlink>
    </w:p>
    <w:p w14:paraId="4D7F8507" w14:textId="77777777" w:rsidR="00823317" w:rsidRDefault="001D0AD2">
      <w:pPr>
        <w:pStyle w:val="Kazalovsebine5"/>
        <w:tabs>
          <w:tab w:val="end" w:leader="dot" w:pos="512pt"/>
        </w:tabs>
        <w:rPr>
          <w:rFonts w:ascii="Calibri" w:hAnsi="Calibri"/>
          <w:sz w:val="22"/>
        </w:rPr>
      </w:pPr>
      <w:hyperlink w:anchor="_Toc256001364" w:history="1">
        <w:r w:rsidR="00A77B3E">
          <w:rPr>
            <w:rStyle w:val="Hiperpovezava"/>
          </w:rPr>
          <w:t>Tabela 3: Kazalniki rezultatov</w:t>
        </w:r>
        <w:r w:rsidR="00B16CCF">
          <w:tab/>
        </w:r>
        <w:r w:rsidR="00B16CCF">
          <w:fldChar w:fldCharType="begin"/>
        </w:r>
        <w:r w:rsidR="00B16CCF">
          <w:instrText xml:space="preserve"> PAGEREF _Toc256001364 \h </w:instrText>
        </w:r>
        <w:r w:rsidR="00B16CCF">
          <w:fldChar w:fldCharType="separate"/>
        </w:r>
        <w:r w:rsidR="00B16CCF">
          <w:t>296</w:t>
        </w:r>
        <w:r w:rsidR="00B16CCF">
          <w:fldChar w:fldCharType="end"/>
        </w:r>
      </w:hyperlink>
    </w:p>
    <w:p w14:paraId="301F45C5" w14:textId="77777777" w:rsidR="00823317" w:rsidRDefault="001D0AD2">
      <w:pPr>
        <w:pStyle w:val="Kazalovsebine4"/>
        <w:tabs>
          <w:tab w:val="end" w:leader="dot" w:pos="512pt"/>
        </w:tabs>
        <w:rPr>
          <w:rFonts w:ascii="Calibri" w:hAnsi="Calibri"/>
          <w:sz w:val="22"/>
        </w:rPr>
      </w:pPr>
      <w:hyperlink w:anchor="_Toc256001365" w:history="1">
        <w:r w:rsidR="00A77B3E">
          <w:rPr>
            <w:rStyle w:val="Hiperpovezava"/>
          </w:rPr>
          <w:t>2.1.1.1.3. Okvirna razčlenitev načrtovanih sredstev (EU) glede na vrsto ukrepa</w:t>
        </w:r>
        <w:r w:rsidR="00B16CCF">
          <w:tab/>
        </w:r>
        <w:r w:rsidR="00B16CCF">
          <w:fldChar w:fldCharType="begin"/>
        </w:r>
        <w:r w:rsidR="00B16CCF">
          <w:instrText xml:space="preserve"> PAGEREF _Toc256001365 \h </w:instrText>
        </w:r>
        <w:r w:rsidR="00B16CCF">
          <w:fldChar w:fldCharType="separate"/>
        </w:r>
        <w:r w:rsidR="00B16CCF">
          <w:t>296</w:t>
        </w:r>
        <w:r w:rsidR="00B16CCF">
          <w:fldChar w:fldCharType="end"/>
        </w:r>
      </w:hyperlink>
    </w:p>
    <w:p w14:paraId="3AC46372" w14:textId="77777777" w:rsidR="00823317" w:rsidRDefault="001D0AD2">
      <w:pPr>
        <w:pStyle w:val="Kazalovsebine5"/>
        <w:tabs>
          <w:tab w:val="end" w:leader="dot" w:pos="512pt"/>
        </w:tabs>
        <w:rPr>
          <w:rFonts w:ascii="Calibri" w:hAnsi="Calibri"/>
          <w:sz w:val="22"/>
        </w:rPr>
      </w:pPr>
      <w:hyperlink w:anchor="_Toc256001366" w:history="1">
        <w:r w:rsidR="00A77B3E">
          <w:rPr>
            <w:rStyle w:val="Hiperpovezava"/>
          </w:rPr>
          <w:t>Tabela 4: Razsežnost 1 – področje ukrepanja</w:t>
        </w:r>
        <w:r w:rsidR="00B16CCF">
          <w:tab/>
        </w:r>
        <w:r w:rsidR="00B16CCF">
          <w:fldChar w:fldCharType="begin"/>
        </w:r>
        <w:r w:rsidR="00B16CCF">
          <w:instrText xml:space="preserve"> PAGEREF _Toc256001366 \h </w:instrText>
        </w:r>
        <w:r w:rsidR="00B16CCF">
          <w:fldChar w:fldCharType="separate"/>
        </w:r>
        <w:r w:rsidR="00B16CCF">
          <w:t>296</w:t>
        </w:r>
        <w:r w:rsidR="00B16CCF">
          <w:fldChar w:fldCharType="end"/>
        </w:r>
      </w:hyperlink>
    </w:p>
    <w:p w14:paraId="1B27CDD4" w14:textId="77777777" w:rsidR="00823317" w:rsidRDefault="001D0AD2">
      <w:pPr>
        <w:pStyle w:val="Kazalovsebine5"/>
        <w:tabs>
          <w:tab w:val="end" w:leader="dot" w:pos="512pt"/>
        </w:tabs>
        <w:rPr>
          <w:rFonts w:ascii="Calibri" w:hAnsi="Calibri"/>
          <w:sz w:val="22"/>
        </w:rPr>
      </w:pPr>
      <w:hyperlink w:anchor="_Toc256001367" w:history="1">
        <w:r w:rsidR="00A77B3E">
          <w:rPr>
            <w:rStyle w:val="Hiperpovezava"/>
          </w:rPr>
          <w:t>Tabela 5: Razsežnost 2 – oblika financiranja</w:t>
        </w:r>
        <w:r w:rsidR="00B16CCF">
          <w:tab/>
        </w:r>
        <w:r w:rsidR="00B16CCF">
          <w:fldChar w:fldCharType="begin"/>
        </w:r>
        <w:r w:rsidR="00B16CCF">
          <w:instrText xml:space="preserve"> PAGEREF _Toc256001367 \h </w:instrText>
        </w:r>
        <w:r w:rsidR="00B16CCF">
          <w:fldChar w:fldCharType="separate"/>
        </w:r>
        <w:r w:rsidR="00B16CCF">
          <w:t>296</w:t>
        </w:r>
        <w:r w:rsidR="00B16CCF">
          <w:fldChar w:fldCharType="end"/>
        </w:r>
      </w:hyperlink>
    </w:p>
    <w:p w14:paraId="61100772" w14:textId="77777777" w:rsidR="00823317" w:rsidRDefault="001D0AD2">
      <w:pPr>
        <w:pStyle w:val="Kazalovsebine5"/>
        <w:tabs>
          <w:tab w:val="end" w:leader="dot" w:pos="512pt"/>
        </w:tabs>
        <w:rPr>
          <w:rFonts w:ascii="Calibri" w:hAnsi="Calibri"/>
          <w:sz w:val="22"/>
        </w:rPr>
      </w:pPr>
      <w:hyperlink w:anchor="_Toc256001368" w:history="1">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_Toc256001368 \h </w:instrText>
        </w:r>
        <w:r w:rsidR="00B16CCF">
          <w:fldChar w:fldCharType="separate"/>
        </w:r>
        <w:r w:rsidR="00B16CCF">
          <w:t>296</w:t>
        </w:r>
        <w:r w:rsidR="00B16CCF">
          <w:fldChar w:fldCharType="end"/>
        </w:r>
      </w:hyperlink>
    </w:p>
    <w:p w14:paraId="3EFA7A8E" w14:textId="77777777" w:rsidR="00823317" w:rsidRDefault="001D0AD2">
      <w:pPr>
        <w:pStyle w:val="Kazalovsebine5"/>
        <w:tabs>
          <w:tab w:val="end" w:leader="dot" w:pos="512pt"/>
        </w:tabs>
        <w:rPr>
          <w:rFonts w:ascii="Calibri" w:hAnsi="Calibri"/>
          <w:sz w:val="22"/>
        </w:rPr>
      </w:pPr>
      <w:hyperlink w:anchor="_Toc256001369" w:history="1">
        <w:r w:rsidR="00A77B3E">
          <w:rPr>
            <w:rStyle w:val="Hiperpovezava"/>
          </w:rPr>
          <w:t>Tabela 7: Razsežnost 6 – sekundarna področja ESS+</w:t>
        </w:r>
        <w:r w:rsidR="00B16CCF">
          <w:tab/>
        </w:r>
        <w:r w:rsidR="00B16CCF">
          <w:fldChar w:fldCharType="begin"/>
        </w:r>
        <w:r w:rsidR="00B16CCF">
          <w:instrText xml:space="preserve"> PAGEREF _Toc256001369 \h </w:instrText>
        </w:r>
        <w:r w:rsidR="00B16CCF">
          <w:fldChar w:fldCharType="separate"/>
        </w:r>
        <w:r w:rsidR="00B16CCF">
          <w:t>296</w:t>
        </w:r>
        <w:r w:rsidR="00B16CCF">
          <w:fldChar w:fldCharType="end"/>
        </w:r>
      </w:hyperlink>
    </w:p>
    <w:p w14:paraId="2A3C60C5" w14:textId="77777777" w:rsidR="00823317" w:rsidRDefault="001D0AD2">
      <w:pPr>
        <w:pStyle w:val="Kazalovsebine5"/>
        <w:tabs>
          <w:tab w:val="end" w:leader="dot" w:pos="512pt"/>
        </w:tabs>
        <w:rPr>
          <w:rFonts w:ascii="Calibri" w:hAnsi="Calibri"/>
          <w:sz w:val="22"/>
        </w:rPr>
      </w:pPr>
      <w:hyperlink w:anchor="_Toc256001370" w:history="1">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_Toc256001370 \h </w:instrText>
        </w:r>
        <w:r w:rsidR="00B16CCF">
          <w:fldChar w:fldCharType="separate"/>
        </w:r>
        <w:r w:rsidR="00B16CCF">
          <w:t>297</w:t>
        </w:r>
        <w:r w:rsidR="00B16CCF">
          <w:fldChar w:fldCharType="end"/>
        </w:r>
      </w:hyperlink>
    </w:p>
    <w:p w14:paraId="69592E78" w14:textId="77777777" w:rsidR="00823317" w:rsidRDefault="001D0AD2">
      <w:pPr>
        <w:pStyle w:val="Kazalovsebine3"/>
        <w:tabs>
          <w:tab w:val="end" w:leader="dot" w:pos="512pt"/>
        </w:tabs>
        <w:rPr>
          <w:rFonts w:ascii="Calibri" w:hAnsi="Calibri"/>
          <w:sz w:val="22"/>
        </w:rPr>
      </w:pPr>
      <w:hyperlink w:anchor="_Toc256001371" w:history="1">
        <w:r w:rsidR="00A77B3E">
          <w:rPr>
            <w:rStyle w:val="Hiperpovezava"/>
          </w:rPr>
          <w:t>2.1.1. Prednostna naloga: 14. Dostopna stanovanja</w:t>
        </w:r>
        <w:r w:rsidR="00B16CCF">
          <w:tab/>
        </w:r>
        <w:r w:rsidR="00B16CCF">
          <w:fldChar w:fldCharType="begin"/>
        </w:r>
        <w:r w:rsidR="00B16CCF">
          <w:instrText xml:space="preserve"> PAGEREF _Toc256001371 \h </w:instrText>
        </w:r>
        <w:r w:rsidR="00B16CCF">
          <w:fldChar w:fldCharType="separate"/>
        </w:r>
        <w:r w:rsidR="00B16CCF">
          <w:t>298</w:t>
        </w:r>
        <w:r w:rsidR="00B16CCF">
          <w:fldChar w:fldCharType="end"/>
        </w:r>
      </w:hyperlink>
    </w:p>
    <w:p w14:paraId="1D58A7AF" w14:textId="77777777" w:rsidR="00823317" w:rsidRDefault="001D0AD2">
      <w:pPr>
        <w:pStyle w:val="Kazalovsebine4"/>
        <w:tabs>
          <w:tab w:val="end" w:leader="dot" w:pos="512pt"/>
        </w:tabs>
        <w:rPr>
          <w:rFonts w:ascii="Calibri" w:hAnsi="Calibri"/>
          <w:sz w:val="22"/>
        </w:rPr>
      </w:pPr>
      <w:hyperlink w:anchor="_Toc256001372" w:history="1">
        <w:r w:rsidR="00A77B3E">
          <w:rPr>
            <w:rStyle w:val="Hiperpovezava"/>
          </w:rPr>
          <w:t>2.1.1.1. Specifični cilj: RSO4.7. Spodbujanje dostopa do cenovno dostopnih in trajnostnih stanovanj (ESRR)</w:t>
        </w:r>
        <w:r w:rsidR="00B16CCF">
          <w:tab/>
        </w:r>
        <w:r w:rsidR="00B16CCF">
          <w:fldChar w:fldCharType="begin"/>
        </w:r>
        <w:r w:rsidR="00B16CCF">
          <w:instrText xml:space="preserve"> PAGEREF _Toc256001372 \h </w:instrText>
        </w:r>
        <w:r w:rsidR="00B16CCF">
          <w:fldChar w:fldCharType="separate"/>
        </w:r>
        <w:r w:rsidR="00B16CCF">
          <w:t>298</w:t>
        </w:r>
        <w:r w:rsidR="00B16CCF">
          <w:fldChar w:fldCharType="end"/>
        </w:r>
      </w:hyperlink>
    </w:p>
    <w:p w14:paraId="6D25A23D" w14:textId="77777777" w:rsidR="00823317" w:rsidRDefault="001D0AD2">
      <w:pPr>
        <w:pStyle w:val="Kazalovsebine4"/>
        <w:tabs>
          <w:tab w:val="end" w:leader="dot" w:pos="512pt"/>
        </w:tabs>
        <w:rPr>
          <w:rFonts w:ascii="Calibri" w:hAnsi="Calibri"/>
          <w:sz w:val="22"/>
        </w:rPr>
      </w:pPr>
      <w:hyperlink w:anchor="_Toc256001373" w:history="1">
        <w:r w:rsidR="00A77B3E">
          <w:rPr>
            <w:rStyle w:val="Hiperpovezava"/>
          </w:rPr>
          <w:t>2.1.1.1.1. Ukrepi skladov</w:t>
        </w:r>
        <w:r w:rsidR="00B16CCF">
          <w:tab/>
        </w:r>
        <w:r w:rsidR="00B16CCF">
          <w:fldChar w:fldCharType="begin"/>
        </w:r>
        <w:r w:rsidR="00B16CCF">
          <w:instrText xml:space="preserve"> PAGEREF _Toc256001373 \h </w:instrText>
        </w:r>
        <w:r w:rsidR="00B16CCF">
          <w:fldChar w:fldCharType="separate"/>
        </w:r>
        <w:r w:rsidR="00B16CCF">
          <w:t>298</w:t>
        </w:r>
        <w:r w:rsidR="00B16CCF">
          <w:fldChar w:fldCharType="end"/>
        </w:r>
      </w:hyperlink>
    </w:p>
    <w:p w14:paraId="57CDEACE" w14:textId="77777777" w:rsidR="00823317" w:rsidRDefault="001D0AD2">
      <w:pPr>
        <w:pStyle w:val="Kazalovsebine5"/>
        <w:tabs>
          <w:tab w:val="end" w:leader="dot" w:pos="512pt"/>
        </w:tabs>
        <w:rPr>
          <w:rFonts w:ascii="Calibri" w:hAnsi="Calibri"/>
          <w:sz w:val="22"/>
        </w:rPr>
      </w:pPr>
      <w:hyperlink w:anchor="_Toc256001374" w:history="1">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_Toc256001374 \h </w:instrText>
        </w:r>
        <w:r w:rsidR="00B16CCF">
          <w:fldChar w:fldCharType="separate"/>
        </w:r>
        <w:r w:rsidR="00B16CCF">
          <w:t>298</w:t>
        </w:r>
        <w:r w:rsidR="00B16CCF">
          <w:fldChar w:fldCharType="end"/>
        </w:r>
      </w:hyperlink>
    </w:p>
    <w:p w14:paraId="11B5C95D" w14:textId="77777777" w:rsidR="00823317" w:rsidRDefault="001D0AD2">
      <w:pPr>
        <w:pStyle w:val="Kazalovsebine5"/>
        <w:tabs>
          <w:tab w:val="end" w:leader="dot" w:pos="512pt"/>
        </w:tabs>
        <w:rPr>
          <w:rFonts w:ascii="Calibri" w:hAnsi="Calibri"/>
          <w:sz w:val="22"/>
        </w:rPr>
      </w:pPr>
      <w:hyperlink w:anchor="_Toc256001375" w:history="1">
        <w:r w:rsidR="00A77B3E">
          <w:rPr>
            <w:rStyle w:val="Hiperpovezava"/>
          </w:rPr>
          <w:t>Glavne ciljne skupine – člen 22(3)(d)(iii) uredbe o skupnih določbah:</w:t>
        </w:r>
        <w:r w:rsidR="00B16CCF">
          <w:tab/>
        </w:r>
        <w:r w:rsidR="00B16CCF">
          <w:fldChar w:fldCharType="begin"/>
        </w:r>
        <w:r w:rsidR="00B16CCF">
          <w:instrText xml:space="preserve"> PAGEREF _Toc256001375 \h </w:instrText>
        </w:r>
        <w:r w:rsidR="00B16CCF">
          <w:fldChar w:fldCharType="separate"/>
        </w:r>
        <w:r w:rsidR="00B16CCF">
          <w:t>299</w:t>
        </w:r>
        <w:r w:rsidR="00B16CCF">
          <w:fldChar w:fldCharType="end"/>
        </w:r>
      </w:hyperlink>
    </w:p>
    <w:p w14:paraId="05FAB72D" w14:textId="77777777" w:rsidR="00823317" w:rsidRDefault="001D0AD2">
      <w:pPr>
        <w:pStyle w:val="Kazalovsebine5"/>
        <w:tabs>
          <w:tab w:val="end" w:leader="dot" w:pos="512pt"/>
        </w:tabs>
        <w:rPr>
          <w:rFonts w:ascii="Calibri" w:hAnsi="Calibri"/>
          <w:sz w:val="22"/>
        </w:rPr>
      </w:pPr>
      <w:hyperlink w:anchor="_Toc256001376" w:history="1">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_Toc256001376 \h </w:instrText>
        </w:r>
        <w:r w:rsidR="00B16CCF">
          <w:fldChar w:fldCharType="separate"/>
        </w:r>
        <w:r w:rsidR="00B16CCF">
          <w:t>300</w:t>
        </w:r>
        <w:r w:rsidR="00B16CCF">
          <w:fldChar w:fldCharType="end"/>
        </w:r>
      </w:hyperlink>
    </w:p>
    <w:p w14:paraId="7E51EA46" w14:textId="77777777" w:rsidR="00823317" w:rsidRDefault="001D0AD2">
      <w:pPr>
        <w:pStyle w:val="Kazalovsebine5"/>
        <w:tabs>
          <w:tab w:val="end" w:leader="dot" w:pos="512pt"/>
        </w:tabs>
        <w:rPr>
          <w:rFonts w:ascii="Calibri" w:hAnsi="Calibri"/>
          <w:sz w:val="22"/>
        </w:rPr>
      </w:pPr>
      <w:hyperlink w:anchor="_Toc256001377" w:history="1">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_Toc256001377 \h </w:instrText>
        </w:r>
        <w:r w:rsidR="00B16CCF">
          <w:fldChar w:fldCharType="separate"/>
        </w:r>
        <w:r w:rsidR="00B16CCF">
          <w:t>300</w:t>
        </w:r>
        <w:r w:rsidR="00B16CCF">
          <w:fldChar w:fldCharType="end"/>
        </w:r>
      </w:hyperlink>
    </w:p>
    <w:p w14:paraId="279570B9" w14:textId="77777777" w:rsidR="00823317" w:rsidRDefault="001D0AD2">
      <w:pPr>
        <w:pStyle w:val="Kazalovsebine5"/>
        <w:tabs>
          <w:tab w:val="end" w:leader="dot" w:pos="512pt"/>
        </w:tabs>
        <w:rPr>
          <w:rFonts w:ascii="Calibri" w:hAnsi="Calibri"/>
          <w:sz w:val="22"/>
        </w:rPr>
      </w:pPr>
      <w:hyperlink w:anchor="_Toc256001378" w:history="1">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_Toc256001378 \h </w:instrText>
        </w:r>
        <w:r w:rsidR="00B16CCF">
          <w:fldChar w:fldCharType="separate"/>
        </w:r>
        <w:r w:rsidR="00B16CCF">
          <w:t>300</w:t>
        </w:r>
        <w:r w:rsidR="00B16CCF">
          <w:fldChar w:fldCharType="end"/>
        </w:r>
      </w:hyperlink>
    </w:p>
    <w:p w14:paraId="2B123543" w14:textId="77777777" w:rsidR="00823317" w:rsidRDefault="001D0AD2">
      <w:pPr>
        <w:pStyle w:val="Kazalovsebine5"/>
        <w:tabs>
          <w:tab w:val="end" w:leader="dot" w:pos="512pt"/>
        </w:tabs>
        <w:rPr>
          <w:rFonts w:ascii="Calibri" w:hAnsi="Calibri"/>
          <w:sz w:val="22"/>
        </w:rPr>
      </w:pPr>
      <w:hyperlink w:anchor="_Toc256001379" w:history="1">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_Toc256001379 \h </w:instrText>
        </w:r>
        <w:r w:rsidR="00B16CCF">
          <w:fldChar w:fldCharType="separate"/>
        </w:r>
        <w:r w:rsidR="00B16CCF">
          <w:t>300</w:t>
        </w:r>
        <w:r w:rsidR="00B16CCF">
          <w:fldChar w:fldCharType="end"/>
        </w:r>
      </w:hyperlink>
    </w:p>
    <w:p w14:paraId="74920CD3" w14:textId="77777777" w:rsidR="00823317" w:rsidRDefault="001D0AD2">
      <w:pPr>
        <w:pStyle w:val="Kazalovsebine4"/>
        <w:tabs>
          <w:tab w:val="end" w:leader="dot" w:pos="512pt"/>
        </w:tabs>
        <w:rPr>
          <w:rFonts w:ascii="Calibri" w:hAnsi="Calibri"/>
          <w:sz w:val="22"/>
        </w:rPr>
      </w:pPr>
      <w:hyperlink w:anchor="_Toc256001380" w:history="1">
        <w:r w:rsidR="00A77B3E">
          <w:rPr>
            <w:rStyle w:val="Hiperpovezava"/>
          </w:rPr>
          <w:t>2.1.1.1.2. Kazalniki</w:t>
        </w:r>
        <w:r w:rsidR="00B16CCF">
          <w:tab/>
        </w:r>
        <w:r w:rsidR="00B16CCF">
          <w:fldChar w:fldCharType="begin"/>
        </w:r>
        <w:r w:rsidR="00B16CCF">
          <w:instrText xml:space="preserve"> PAGEREF _Toc256001380 \h </w:instrText>
        </w:r>
        <w:r w:rsidR="00B16CCF">
          <w:fldChar w:fldCharType="separate"/>
        </w:r>
        <w:r w:rsidR="00B16CCF">
          <w:t>301</w:t>
        </w:r>
        <w:r w:rsidR="00B16CCF">
          <w:fldChar w:fldCharType="end"/>
        </w:r>
      </w:hyperlink>
    </w:p>
    <w:p w14:paraId="2202F16A" w14:textId="77777777" w:rsidR="00823317" w:rsidRDefault="001D0AD2">
      <w:pPr>
        <w:pStyle w:val="Kazalovsebine5"/>
        <w:tabs>
          <w:tab w:val="end" w:leader="dot" w:pos="512pt"/>
        </w:tabs>
        <w:rPr>
          <w:rFonts w:ascii="Calibri" w:hAnsi="Calibri"/>
          <w:sz w:val="22"/>
        </w:rPr>
      </w:pPr>
      <w:hyperlink w:anchor="_Toc256001381" w:history="1">
        <w:r w:rsidR="00A77B3E">
          <w:rPr>
            <w:rStyle w:val="Hiperpovezava"/>
          </w:rPr>
          <w:t>Tabela 2: Kazalniki učinka</w:t>
        </w:r>
        <w:r w:rsidR="00B16CCF">
          <w:tab/>
        </w:r>
        <w:r w:rsidR="00B16CCF">
          <w:fldChar w:fldCharType="begin"/>
        </w:r>
        <w:r w:rsidR="00B16CCF">
          <w:instrText xml:space="preserve"> PAGEREF _Toc256001381 \h </w:instrText>
        </w:r>
        <w:r w:rsidR="00B16CCF">
          <w:fldChar w:fldCharType="separate"/>
        </w:r>
        <w:r w:rsidR="00B16CCF">
          <w:t>301</w:t>
        </w:r>
        <w:r w:rsidR="00B16CCF">
          <w:fldChar w:fldCharType="end"/>
        </w:r>
      </w:hyperlink>
    </w:p>
    <w:p w14:paraId="65F44599" w14:textId="77777777" w:rsidR="00823317" w:rsidRDefault="001D0AD2">
      <w:pPr>
        <w:pStyle w:val="Kazalovsebine5"/>
        <w:tabs>
          <w:tab w:val="end" w:leader="dot" w:pos="512pt"/>
        </w:tabs>
        <w:rPr>
          <w:rFonts w:ascii="Calibri" w:hAnsi="Calibri"/>
          <w:sz w:val="22"/>
        </w:rPr>
      </w:pPr>
      <w:hyperlink w:anchor="_Toc256001382" w:history="1">
        <w:r w:rsidR="00A77B3E">
          <w:rPr>
            <w:rStyle w:val="Hiperpovezava"/>
          </w:rPr>
          <w:t>Tabela 3: Kazalniki rezultatov</w:t>
        </w:r>
        <w:r w:rsidR="00B16CCF">
          <w:tab/>
        </w:r>
        <w:r w:rsidR="00B16CCF">
          <w:fldChar w:fldCharType="begin"/>
        </w:r>
        <w:r w:rsidR="00B16CCF">
          <w:instrText xml:space="preserve"> PAGEREF _Toc256001382 \h </w:instrText>
        </w:r>
        <w:r w:rsidR="00B16CCF">
          <w:fldChar w:fldCharType="separate"/>
        </w:r>
        <w:r w:rsidR="00B16CCF">
          <w:t>301</w:t>
        </w:r>
        <w:r w:rsidR="00B16CCF">
          <w:fldChar w:fldCharType="end"/>
        </w:r>
      </w:hyperlink>
    </w:p>
    <w:p w14:paraId="671EF378" w14:textId="77777777" w:rsidR="00823317" w:rsidRDefault="001D0AD2">
      <w:pPr>
        <w:pStyle w:val="Kazalovsebine4"/>
        <w:tabs>
          <w:tab w:val="end" w:leader="dot" w:pos="512pt"/>
        </w:tabs>
        <w:rPr>
          <w:rFonts w:ascii="Calibri" w:hAnsi="Calibri"/>
          <w:sz w:val="22"/>
        </w:rPr>
      </w:pPr>
      <w:hyperlink w:anchor="_Toc256001383" w:history="1">
        <w:r w:rsidR="00A77B3E">
          <w:rPr>
            <w:rStyle w:val="Hiperpovezava"/>
          </w:rPr>
          <w:t>2.1.1.1.3. Okvirna razčlenitev načrtovanih sredstev (EU) glede na vrsto ukrepa</w:t>
        </w:r>
        <w:r w:rsidR="00B16CCF">
          <w:tab/>
        </w:r>
        <w:r w:rsidR="00B16CCF">
          <w:fldChar w:fldCharType="begin"/>
        </w:r>
        <w:r w:rsidR="00B16CCF">
          <w:instrText xml:space="preserve"> PAGEREF _Toc256001383 \h </w:instrText>
        </w:r>
        <w:r w:rsidR="00B16CCF">
          <w:fldChar w:fldCharType="separate"/>
        </w:r>
        <w:r w:rsidR="00B16CCF">
          <w:t>301</w:t>
        </w:r>
        <w:r w:rsidR="00B16CCF">
          <w:fldChar w:fldCharType="end"/>
        </w:r>
      </w:hyperlink>
    </w:p>
    <w:p w14:paraId="296F2A39" w14:textId="77777777" w:rsidR="00823317" w:rsidRDefault="001D0AD2">
      <w:pPr>
        <w:pStyle w:val="Kazalovsebine5"/>
        <w:tabs>
          <w:tab w:val="end" w:leader="dot" w:pos="512pt"/>
        </w:tabs>
        <w:rPr>
          <w:rFonts w:ascii="Calibri" w:hAnsi="Calibri"/>
          <w:sz w:val="22"/>
        </w:rPr>
      </w:pPr>
      <w:hyperlink w:anchor="_Toc256001384" w:history="1">
        <w:r w:rsidR="00A77B3E">
          <w:rPr>
            <w:rStyle w:val="Hiperpovezava"/>
          </w:rPr>
          <w:t>Tabela 4: Razsežnost 1 – področje ukrepanja</w:t>
        </w:r>
        <w:r w:rsidR="00B16CCF">
          <w:tab/>
        </w:r>
        <w:r w:rsidR="00B16CCF">
          <w:fldChar w:fldCharType="begin"/>
        </w:r>
        <w:r w:rsidR="00B16CCF">
          <w:instrText xml:space="preserve"> PAGEREF _Toc256001384 \h </w:instrText>
        </w:r>
        <w:r w:rsidR="00B16CCF">
          <w:fldChar w:fldCharType="separate"/>
        </w:r>
        <w:r w:rsidR="00B16CCF">
          <w:t>301</w:t>
        </w:r>
        <w:r w:rsidR="00B16CCF">
          <w:fldChar w:fldCharType="end"/>
        </w:r>
      </w:hyperlink>
    </w:p>
    <w:p w14:paraId="28B38834" w14:textId="77777777" w:rsidR="00823317" w:rsidRDefault="001D0AD2">
      <w:pPr>
        <w:pStyle w:val="Kazalovsebine5"/>
        <w:tabs>
          <w:tab w:val="end" w:leader="dot" w:pos="512pt"/>
        </w:tabs>
        <w:rPr>
          <w:rFonts w:ascii="Calibri" w:hAnsi="Calibri"/>
          <w:sz w:val="22"/>
        </w:rPr>
      </w:pPr>
      <w:hyperlink w:anchor="_Toc256001385" w:history="1">
        <w:r w:rsidR="00A77B3E">
          <w:rPr>
            <w:rStyle w:val="Hiperpovezava"/>
          </w:rPr>
          <w:t>Tabela 5: Razsežnost 2 – oblika financiranja</w:t>
        </w:r>
        <w:r w:rsidR="00B16CCF">
          <w:tab/>
        </w:r>
        <w:r w:rsidR="00B16CCF">
          <w:fldChar w:fldCharType="begin"/>
        </w:r>
        <w:r w:rsidR="00B16CCF">
          <w:instrText xml:space="preserve"> PAGEREF _Toc256001385 \h </w:instrText>
        </w:r>
        <w:r w:rsidR="00B16CCF">
          <w:fldChar w:fldCharType="separate"/>
        </w:r>
        <w:r w:rsidR="00B16CCF">
          <w:t>302</w:t>
        </w:r>
        <w:r w:rsidR="00B16CCF">
          <w:fldChar w:fldCharType="end"/>
        </w:r>
      </w:hyperlink>
    </w:p>
    <w:p w14:paraId="0A7CEEE9" w14:textId="77777777" w:rsidR="00823317" w:rsidRDefault="001D0AD2">
      <w:pPr>
        <w:pStyle w:val="Kazalovsebine5"/>
        <w:tabs>
          <w:tab w:val="end" w:leader="dot" w:pos="512pt"/>
        </w:tabs>
        <w:rPr>
          <w:rFonts w:ascii="Calibri" w:hAnsi="Calibri"/>
          <w:sz w:val="22"/>
        </w:rPr>
      </w:pPr>
      <w:hyperlink w:anchor="_Toc256001386" w:history="1">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_Toc256001386 \h </w:instrText>
        </w:r>
        <w:r w:rsidR="00B16CCF">
          <w:fldChar w:fldCharType="separate"/>
        </w:r>
        <w:r w:rsidR="00B16CCF">
          <w:t>302</w:t>
        </w:r>
        <w:r w:rsidR="00B16CCF">
          <w:fldChar w:fldCharType="end"/>
        </w:r>
      </w:hyperlink>
    </w:p>
    <w:p w14:paraId="75E62713" w14:textId="77777777" w:rsidR="00823317" w:rsidRDefault="001D0AD2">
      <w:pPr>
        <w:pStyle w:val="Kazalovsebine5"/>
        <w:tabs>
          <w:tab w:val="end" w:leader="dot" w:pos="512pt"/>
        </w:tabs>
        <w:rPr>
          <w:rFonts w:ascii="Calibri" w:hAnsi="Calibri"/>
          <w:sz w:val="22"/>
        </w:rPr>
      </w:pPr>
      <w:hyperlink w:anchor="_Toc256001387" w:history="1">
        <w:r w:rsidR="00A77B3E">
          <w:rPr>
            <w:rStyle w:val="Hiperpovezava"/>
          </w:rPr>
          <w:t>Tabela 7: Razsežnost 6 – sekundarna področja ESS+</w:t>
        </w:r>
        <w:r w:rsidR="00B16CCF">
          <w:tab/>
        </w:r>
        <w:r w:rsidR="00B16CCF">
          <w:fldChar w:fldCharType="begin"/>
        </w:r>
        <w:r w:rsidR="00B16CCF">
          <w:instrText xml:space="preserve"> PAGEREF _Toc256001387 \h </w:instrText>
        </w:r>
        <w:r w:rsidR="00B16CCF">
          <w:fldChar w:fldCharType="separate"/>
        </w:r>
        <w:r w:rsidR="00B16CCF">
          <w:t>302</w:t>
        </w:r>
        <w:r w:rsidR="00B16CCF">
          <w:fldChar w:fldCharType="end"/>
        </w:r>
      </w:hyperlink>
    </w:p>
    <w:p w14:paraId="1975FA38" w14:textId="77777777" w:rsidR="00823317" w:rsidRDefault="001D0AD2">
      <w:pPr>
        <w:pStyle w:val="Kazalovsebine5"/>
        <w:tabs>
          <w:tab w:val="end" w:leader="dot" w:pos="512pt"/>
        </w:tabs>
        <w:rPr>
          <w:rFonts w:ascii="Calibri" w:hAnsi="Calibri"/>
          <w:sz w:val="22"/>
        </w:rPr>
      </w:pPr>
      <w:hyperlink w:anchor="_Toc256001388" w:history="1">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_Toc256001388 \h </w:instrText>
        </w:r>
        <w:r w:rsidR="00B16CCF">
          <w:fldChar w:fldCharType="separate"/>
        </w:r>
        <w:r w:rsidR="00B16CCF">
          <w:t>302</w:t>
        </w:r>
        <w:r w:rsidR="00B16CCF">
          <w:fldChar w:fldCharType="end"/>
        </w:r>
      </w:hyperlink>
    </w:p>
    <w:p w14:paraId="5E0CE2A0" w14:textId="77777777" w:rsidR="00823317" w:rsidRDefault="001D0AD2">
      <w:pPr>
        <w:pStyle w:val="Kazalovsebine3"/>
        <w:tabs>
          <w:tab w:val="end" w:leader="dot" w:pos="512pt"/>
        </w:tabs>
        <w:rPr>
          <w:rFonts w:ascii="Calibri" w:hAnsi="Calibri"/>
          <w:sz w:val="22"/>
        </w:rPr>
      </w:pPr>
      <w:hyperlink w:anchor="_Toc256001389" w:history="1">
        <w:r w:rsidR="00A77B3E">
          <w:rPr>
            <w:rStyle w:val="Hiperpovezava"/>
          </w:rPr>
          <w:t>2.1.1. Prednostna naloga: 9. Trajnostni razvoj lokalnih območij</w:t>
        </w:r>
        <w:r w:rsidR="00B16CCF">
          <w:tab/>
        </w:r>
        <w:r w:rsidR="00B16CCF">
          <w:fldChar w:fldCharType="begin"/>
        </w:r>
        <w:r w:rsidR="00B16CCF">
          <w:instrText xml:space="preserve"> PAGEREF _Toc256001389 \h </w:instrText>
        </w:r>
        <w:r w:rsidR="00B16CCF">
          <w:fldChar w:fldCharType="separate"/>
        </w:r>
        <w:r w:rsidR="00B16CCF">
          <w:t>304</w:t>
        </w:r>
        <w:r w:rsidR="00B16CCF">
          <w:fldChar w:fldCharType="end"/>
        </w:r>
      </w:hyperlink>
    </w:p>
    <w:p w14:paraId="2F5EFB61" w14:textId="77777777" w:rsidR="00823317" w:rsidRDefault="001D0AD2">
      <w:pPr>
        <w:pStyle w:val="Kazalovsebine4"/>
        <w:tabs>
          <w:tab w:val="end" w:leader="dot" w:pos="512pt"/>
        </w:tabs>
        <w:rPr>
          <w:rFonts w:ascii="Calibri" w:hAnsi="Calibri"/>
          <w:sz w:val="22"/>
        </w:rPr>
      </w:pPr>
      <w:hyperlink w:anchor="_Toc256001390" w:history="1">
        <w:r w:rsidR="00A77B3E">
          <w:rPr>
            <w:rStyle w:val="Hiperpovezava"/>
          </w:rPr>
          <w:t>2.1.1.1. Specifični cilj: RSO5.1. Spodbujanje celostnega in vključujočega socialnega, gospodarskega in okoljskega razvoja, kulture, naravne dediščine, trajnostnega turizma in varnosti na mestnih območjih (ESRR)</w:t>
        </w:r>
        <w:r w:rsidR="00B16CCF">
          <w:tab/>
        </w:r>
        <w:r w:rsidR="00B16CCF">
          <w:fldChar w:fldCharType="begin"/>
        </w:r>
        <w:r w:rsidR="00B16CCF">
          <w:instrText xml:space="preserve"> PAGEREF _Toc256001390 \h </w:instrText>
        </w:r>
        <w:r w:rsidR="00B16CCF">
          <w:fldChar w:fldCharType="separate"/>
        </w:r>
        <w:r w:rsidR="00B16CCF">
          <w:t>304</w:t>
        </w:r>
        <w:r w:rsidR="00B16CCF">
          <w:fldChar w:fldCharType="end"/>
        </w:r>
      </w:hyperlink>
    </w:p>
    <w:p w14:paraId="69DE7740" w14:textId="77777777" w:rsidR="00823317" w:rsidRDefault="001D0AD2">
      <w:pPr>
        <w:pStyle w:val="Kazalovsebine4"/>
        <w:tabs>
          <w:tab w:val="end" w:leader="dot" w:pos="512pt"/>
        </w:tabs>
        <w:rPr>
          <w:rFonts w:ascii="Calibri" w:hAnsi="Calibri"/>
          <w:sz w:val="22"/>
        </w:rPr>
      </w:pPr>
      <w:hyperlink w:anchor="_Toc256001391" w:history="1">
        <w:r w:rsidR="00A77B3E">
          <w:rPr>
            <w:rStyle w:val="Hiperpovezava"/>
          </w:rPr>
          <w:t>2.1.1.1.1. Ukrepi skladov</w:t>
        </w:r>
        <w:r w:rsidR="00B16CCF">
          <w:tab/>
        </w:r>
        <w:r w:rsidR="00B16CCF">
          <w:fldChar w:fldCharType="begin"/>
        </w:r>
        <w:r w:rsidR="00B16CCF">
          <w:instrText xml:space="preserve"> PAGEREF _Toc256001391 \h </w:instrText>
        </w:r>
        <w:r w:rsidR="00B16CCF">
          <w:fldChar w:fldCharType="separate"/>
        </w:r>
        <w:r w:rsidR="00B16CCF">
          <w:t>304</w:t>
        </w:r>
        <w:r w:rsidR="00B16CCF">
          <w:fldChar w:fldCharType="end"/>
        </w:r>
      </w:hyperlink>
    </w:p>
    <w:p w14:paraId="1691C93D" w14:textId="77777777" w:rsidR="00823317" w:rsidRDefault="001D0AD2">
      <w:pPr>
        <w:pStyle w:val="Kazalovsebine5"/>
        <w:tabs>
          <w:tab w:val="end" w:leader="dot" w:pos="512pt"/>
        </w:tabs>
        <w:rPr>
          <w:rFonts w:ascii="Calibri" w:hAnsi="Calibri"/>
          <w:sz w:val="22"/>
        </w:rPr>
      </w:pPr>
      <w:hyperlink w:anchor="_Toc256001392" w:history="1">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_Toc256001392 \h </w:instrText>
        </w:r>
        <w:r w:rsidR="00B16CCF">
          <w:fldChar w:fldCharType="separate"/>
        </w:r>
        <w:r w:rsidR="00B16CCF">
          <w:t>304</w:t>
        </w:r>
        <w:r w:rsidR="00B16CCF">
          <w:fldChar w:fldCharType="end"/>
        </w:r>
      </w:hyperlink>
    </w:p>
    <w:p w14:paraId="71E1EDB8" w14:textId="77777777" w:rsidR="00823317" w:rsidRDefault="001D0AD2">
      <w:pPr>
        <w:pStyle w:val="Kazalovsebine5"/>
        <w:tabs>
          <w:tab w:val="end" w:leader="dot" w:pos="512pt"/>
        </w:tabs>
        <w:rPr>
          <w:rFonts w:ascii="Calibri" w:hAnsi="Calibri"/>
          <w:sz w:val="22"/>
        </w:rPr>
      </w:pPr>
      <w:hyperlink w:anchor="_Toc256001393" w:history="1">
        <w:r w:rsidR="00A77B3E">
          <w:rPr>
            <w:rStyle w:val="Hiperpovezava"/>
          </w:rPr>
          <w:t>Glavne ciljne skupine – člen 22(3)(d)(iii) uredbe o skupnih določbah:</w:t>
        </w:r>
        <w:r w:rsidR="00B16CCF">
          <w:tab/>
        </w:r>
        <w:r w:rsidR="00B16CCF">
          <w:fldChar w:fldCharType="begin"/>
        </w:r>
        <w:r w:rsidR="00B16CCF">
          <w:instrText xml:space="preserve"> PAGEREF _Toc256001393 \h </w:instrText>
        </w:r>
        <w:r w:rsidR="00B16CCF">
          <w:fldChar w:fldCharType="separate"/>
        </w:r>
        <w:r w:rsidR="00B16CCF">
          <w:t>305</w:t>
        </w:r>
        <w:r w:rsidR="00B16CCF">
          <w:fldChar w:fldCharType="end"/>
        </w:r>
      </w:hyperlink>
    </w:p>
    <w:p w14:paraId="03698D68" w14:textId="77777777" w:rsidR="00823317" w:rsidRDefault="001D0AD2">
      <w:pPr>
        <w:pStyle w:val="Kazalovsebine5"/>
        <w:tabs>
          <w:tab w:val="end" w:leader="dot" w:pos="512pt"/>
        </w:tabs>
        <w:rPr>
          <w:rFonts w:ascii="Calibri" w:hAnsi="Calibri"/>
          <w:sz w:val="22"/>
        </w:rPr>
      </w:pPr>
      <w:hyperlink w:anchor="_Toc256001394" w:history="1">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_Toc256001394 \h </w:instrText>
        </w:r>
        <w:r w:rsidR="00B16CCF">
          <w:fldChar w:fldCharType="separate"/>
        </w:r>
        <w:r w:rsidR="00B16CCF">
          <w:t>306</w:t>
        </w:r>
        <w:r w:rsidR="00B16CCF">
          <w:fldChar w:fldCharType="end"/>
        </w:r>
      </w:hyperlink>
    </w:p>
    <w:p w14:paraId="03626F14" w14:textId="77777777" w:rsidR="00823317" w:rsidRDefault="001D0AD2">
      <w:pPr>
        <w:pStyle w:val="Kazalovsebine5"/>
        <w:tabs>
          <w:tab w:val="end" w:leader="dot" w:pos="512pt"/>
        </w:tabs>
        <w:rPr>
          <w:rFonts w:ascii="Calibri" w:hAnsi="Calibri"/>
          <w:sz w:val="22"/>
        </w:rPr>
      </w:pPr>
      <w:hyperlink w:anchor="_Toc256001395" w:history="1">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_Toc256001395 \h </w:instrText>
        </w:r>
        <w:r w:rsidR="00B16CCF">
          <w:fldChar w:fldCharType="separate"/>
        </w:r>
        <w:r w:rsidR="00B16CCF">
          <w:t>306</w:t>
        </w:r>
        <w:r w:rsidR="00B16CCF">
          <w:fldChar w:fldCharType="end"/>
        </w:r>
      </w:hyperlink>
    </w:p>
    <w:p w14:paraId="724C10C1" w14:textId="77777777" w:rsidR="00823317" w:rsidRDefault="001D0AD2">
      <w:pPr>
        <w:pStyle w:val="Kazalovsebine5"/>
        <w:tabs>
          <w:tab w:val="end" w:leader="dot" w:pos="512pt"/>
        </w:tabs>
        <w:rPr>
          <w:rFonts w:ascii="Calibri" w:hAnsi="Calibri"/>
          <w:sz w:val="22"/>
        </w:rPr>
      </w:pPr>
      <w:hyperlink w:anchor="_Toc256001396" w:history="1">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_Toc256001396 \h </w:instrText>
        </w:r>
        <w:r w:rsidR="00B16CCF">
          <w:fldChar w:fldCharType="separate"/>
        </w:r>
        <w:r w:rsidR="00B16CCF">
          <w:t>306</w:t>
        </w:r>
        <w:r w:rsidR="00B16CCF">
          <w:fldChar w:fldCharType="end"/>
        </w:r>
      </w:hyperlink>
    </w:p>
    <w:p w14:paraId="6B2BA8AF" w14:textId="77777777" w:rsidR="00823317" w:rsidRDefault="001D0AD2">
      <w:pPr>
        <w:pStyle w:val="Kazalovsebine5"/>
        <w:tabs>
          <w:tab w:val="end" w:leader="dot" w:pos="512pt"/>
        </w:tabs>
        <w:rPr>
          <w:rFonts w:ascii="Calibri" w:hAnsi="Calibri"/>
          <w:sz w:val="22"/>
        </w:rPr>
      </w:pPr>
      <w:hyperlink w:anchor="_Toc256001397" w:history="1">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_Toc256001397 \h </w:instrText>
        </w:r>
        <w:r w:rsidR="00B16CCF">
          <w:fldChar w:fldCharType="separate"/>
        </w:r>
        <w:r w:rsidR="00B16CCF">
          <w:t>307</w:t>
        </w:r>
        <w:r w:rsidR="00B16CCF">
          <w:fldChar w:fldCharType="end"/>
        </w:r>
      </w:hyperlink>
    </w:p>
    <w:p w14:paraId="04F3230F" w14:textId="77777777" w:rsidR="00823317" w:rsidRDefault="001D0AD2">
      <w:pPr>
        <w:pStyle w:val="Kazalovsebine4"/>
        <w:tabs>
          <w:tab w:val="end" w:leader="dot" w:pos="512pt"/>
        </w:tabs>
        <w:rPr>
          <w:rFonts w:ascii="Calibri" w:hAnsi="Calibri"/>
          <w:sz w:val="22"/>
        </w:rPr>
      </w:pPr>
      <w:hyperlink w:anchor="_Toc256001398" w:history="1">
        <w:r w:rsidR="00A77B3E">
          <w:rPr>
            <w:rStyle w:val="Hiperpovezava"/>
          </w:rPr>
          <w:t>2.1.1.1.2. Kazalniki</w:t>
        </w:r>
        <w:r w:rsidR="00B16CCF">
          <w:tab/>
        </w:r>
        <w:r w:rsidR="00B16CCF">
          <w:fldChar w:fldCharType="begin"/>
        </w:r>
        <w:r w:rsidR="00B16CCF">
          <w:instrText xml:space="preserve"> PAGEREF _Toc256001398 \h </w:instrText>
        </w:r>
        <w:r w:rsidR="00B16CCF">
          <w:fldChar w:fldCharType="separate"/>
        </w:r>
        <w:r w:rsidR="00B16CCF">
          <w:t>307</w:t>
        </w:r>
        <w:r w:rsidR="00B16CCF">
          <w:fldChar w:fldCharType="end"/>
        </w:r>
      </w:hyperlink>
    </w:p>
    <w:p w14:paraId="7E94B60F" w14:textId="77777777" w:rsidR="00823317" w:rsidRDefault="001D0AD2">
      <w:pPr>
        <w:pStyle w:val="Kazalovsebine5"/>
        <w:tabs>
          <w:tab w:val="end" w:leader="dot" w:pos="512pt"/>
        </w:tabs>
        <w:rPr>
          <w:rFonts w:ascii="Calibri" w:hAnsi="Calibri"/>
          <w:sz w:val="22"/>
        </w:rPr>
      </w:pPr>
      <w:hyperlink w:anchor="_Toc256001399" w:history="1">
        <w:r w:rsidR="00A77B3E">
          <w:rPr>
            <w:rStyle w:val="Hiperpovezava"/>
          </w:rPr>
          <w:t>Tabela 2: Kazalniki učinka</w:t>
        </w:r>
        <w:r w:rsidR="00B16CCF">
          <w:tab/>
        </w:r>
        <w:r w:rsidR="00B16CCF">
          <w:fldChar w:fldCharType="begin"/>
        </w:r>
        <w:r w:rsidR="00B16CCF">
          <w:instrText xml:space="preserve"> PAGEREF _Toc256001399 \h </w:instrText>
        </w:r>
        <w:r w:rsidR="00B16CCF">
          <w:fldChar w:fldCharType="separate"/>
        </w:r>
        <w:r w:rsidR="00B16CCF">
          <w:t>307</w:t>
        </w:r>
        <w:r w:rsidR="00B16CCF">
          <w:fldChar w:fldCharType="end"/>
        </w:r>
      </w:hyperlink>
    </w:p>
    <w:p w14:paraId="2A1965D2" w14:textId="77777777" w:rsidR="00823317" w:rsidRDefault="001D0AD2">
      <w:pPr>
        <w:pStyle w:val="Kazalovsebine5"/>
        <w:tabs>
          <w:tab w:val="end" w:leader="dot" w:pos="512pt"/>
        </w:tabs>
        <w:rPr>
          <w:rFonts w:ascii="Calibri" w:hAnsi="Calibri"/>
          <w:sz w:val="22"/>
        </w:rPr>
      </w:pPr>
      <w:hyperlink w:anchor="_Toc256001400" w:history="1">
        <w:r w:rsidR="00A77B3E">
          <w:rPr>
            <w:rStyle w:val="Hiperpovezava"/>
          </w:rPr>
          <w:t>Tabela 3: Kazalniki rezultatov</w:t>
        </w:r>
        <w:r w:rsidR="00B16CCF">
          <w:tab/>
        </w:r>
        <w:r w:rsidR="00B16CCF">
          <w:fldChar w:fldCharType="begin"/>
        </w:r>
        <w:r w:rsidR="00B16CCF">
          <w:instrText xml:space="preserve"> PAGEREF _Toc256001400 \h </w:instrText>
        </w:r>
        <w:r w:rsidR="00B16CCF">
          <w:fldChar w:fldCharType="separate"/>
        </w:r>
        <w:r w:rsidR="00B16CCF">
          <w:t>307</w:t>
        </w:r>
        <w:r w:rsidR="00B16CCF">
          <w:fldChar w:fldCharType="end"/>
        </w:r>
      </w:hyperlink>
    </w:p>
    <w:p w14:paraId="2B63F33F" w14:textId="77777777" w:rsidR="00823317" w:rsidRDefault="001D0AD2">
      <w:pPr>
        <w:pStyle w:val="Kazalovsebine4"/>
        <w:tabs>
          <w:tab w:val="end" w:leader="dot" w:pos="512pt"/>
        </w:tabs>
        <w:rPr>
          <w:rFonts w:ascii="Calibri" w:hAnsi="Calibri"/>
          <w:sz w:val="22"/>
        </w:rPr>
      </w:pPr>
      <w:hyperlink w:anchor="_Toc256001401" w:history="1">
        <w:r w:rsidR="00A77B3E">
          <w:rPr>
            <w:rStyle w:val="Hiperpovezava"/>
          </w:rPr>
          <w:t>2.1.1.1.3. Okvirna razčlenitev načrtovanih sredstev (EU) glede na vrsto ukrepa</w:t>
        </w:r>
        <w:r w:rsidR="00B16CCF">
          <w:tab/>
        </w:r>
        <w:r w:rsidR="00B16CCF">
          <w:fldChar w:fldCharType="begin"/>
        </w:r>
        <w:r w:rsidR="00B16CCF">
          <w:instrText xml:space="preserve"> PAGEREF _Toc256001401 \h </w:instrText>
        </w:r>
        <w:r w:rsidR="00B16CCF">
          <w:fldChar w:fldCharType="separate"/>
        </w:r>
        <w:r w:rsidR="00B16CCF">
          <w:t>308</w:t>
        </w:r>
        <w:r w:rsidR="00B16CCF">
          <w:fldChar w:fldCharType="end"/>
        </w:r>
      </w:hyperlink>
    </w:p>
    <w:p w14:paraId="34777614" w14:textId="77777777" w:rsidR="00823317" w:rsidRDefault="001D0AD2">
      <w:pPr>
        <w:pStyle w:val="Kazalovsebine5"/>
        <w:tabs>
          <w:tab w:val="end" w:leader="dot" w:pos="512pt"/>
        </w:tabs>
        <w:rPr>
          <w:rFonts w:ascii="Calibri" w:hAnsi="Calibri"/>
          <w:sz w:val="22"/>
        </w:rPr>
      </w:pPr>
      <w:hyperlink w:anchor="_Toc256001402" w:history="1">
        <w:r w:rsidR="00A77B3E">
          <w:rPr>
            <w:rStyle w:val="Hiperpovezava"/>
          </w:rPr>
          <w:t>Tabela 4: Razsežnost 1 – področje ukrepanja</w:t>
        </w:r>
        <w:r w:rsidR="00B16CCF">
          <w:tab/>
        </w:r>
        <w:r w:rsidR="00B16CCF">
          <w:fldChar w:fldCharType="begin"/>
        </w:r>
        <w:r w:rsidR="00B16CCF">
          <w:instrText xml:space="preserve"> PAGEREF _Toc256001402 \h </w:instrText>
        </w:r>
        <w:r w:rsidR="00B16CCF">
          <w:fldChar w:fldCharType="separate"/>
        </w:r>
        <w:r w:rsidR="00B16CCF">
          <w:t>308</w:t>
        </w:r>
        <w:r w:rsidR="00B16CCF">
          <w:fldChar w:fldCharType="end"/>
        </w:r>
      </w:hyperlink>
    </w:p>
    <w:p w14:paraId="65F9ADF6" w14:textId="77777777" w:rsidR="00823317" w:rsidRDefault="001D0AD2">
      <w:pPr>
        <w:pStyle w:val="Kazalovsebine5"/>
        <w:tabs>
          <w:tab w:val="end" w:leader="dot" w:pos="512pt"/>
        </w:tabs>
        <w:rPr>
          <w:rFonts w:ascii="Calibri" w:hAnsi="Calibri"/>
          <w:sz w:val="22"/>
        </w:rPr>
      </w:pPr>
      <w:hyperlink w:anchor="_Toc256001403" w:history="1">
        <w:r w:rsidR="00A77B3E">
          <w:rPr>
            <w:rStyle w:val="Hiperpovezava"/>
          </w:rPr>
          <w:t>Tabela 5: Razsežnost 2 – oblika financiranja</w:t>
        </w:r>
        <w:r w:rsidR="00B16CCF">
          <w:tab/>
        </w:r>
        <w:r w:rsidR="00B16CCF">
          <w:fldChar w:fldCharType="begin"/>
        </w:r>
        <w:r w:rsidR="00B16CCF">
          <w:instrText xml:space="preserve"> PAGEREF _Toc256001403 \h </w:instrText>
        </w:r>
        <w:r w:rsidR="00B16CCF">
          <w:fldChar w:fldCharType="separate"/>
        </w:r>
        <w:r w:rsidR="00B16CCF">
          <w:t>308</w:t>
        </w:r>
        <w:r w:rsidR="00B16CCF">
          <w:fldChar w:fldCharType="end"/>
        </w:r>
      </w:hyperlink>
    </w:p>
    <w:p w14:paraId="3693A842" w14:textId="77777777" w:rsidR="00823317" w:rsidRDefault="001D0AD2">
      <w:pPr>
        <w:pStyle w:val="Kazalovsebine5"/>
        <w:tabs>
          <w:tab w:val="end" w:leader="dot" w:pos="512pt"/>
        </w:tabs>
        <w:rPr>
          <w:rFonts w:ascii="Calibri" w:hAnsi="Calibri"/>
          <w:sz w:val="22"/>
        </w:rPr>
      </w:pPr>
      <w:hyperlink w:anchor="_Toc256001404" w:history="1">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_Toc256001404 \h </w:instrText>
        </w:r>
        <w:r w:rsidR="00B16CCF">
          <w:fldChar w:fldCharType="separate"/>
        </w:r>
        <w:r w:rsidR="00B16CCF">
          <w:t>308</w:t>
        </w:r>
        <w:r w:rsidR="00B16CCF">
          <w:fldChar w:fldCharType="end"/>
        </w:r>
      </w:hyperlink>
    </w:p>
    <w:p w14:paraId="59AAC969" w14:textId="77777777" w:rsidR="00823317" w:rsidRDefault="001D0AD2">
      <w:pPr>
        <w:pStyle w:val="Kazalovsebine5"/>
        <w:tabs>
          <w:tab w:val="end" w:leader="dot" w:pos="512pt"/>
        </w:tabs>
        <w:rPr>
          <w:rFonts w:ascii="Calibri" w:hAnsi="Calibri"/>
          <w:sz w:val="22"/>
        </w:rPr>
      </w:pPr>
      <w:hyperlink w:anchor="_Toc256001405" w:history="1">
        <w:r w:rsidR="00A77B3E">
          <w:rPr>
            <w:rStyle w:val="Hiperpovezava"/>
          </w:rPr>
          <w:t>Tabela 7: Razsežnost 6 – sekundarna področja ESS+</w:t>
        </w:r>
        <w:r w:rsidR="00B16CCF">
          <w:tab/>
        </w:r>
        <w:r w:rsidR="00B16CCF">
          <w:fldChar w:fldCharType="begin"/>
        </w:r>
        <w:r w:rsidR="00B16CCF">
          <w:instrText xml:space="preserve"> PAGEREF _Toc256001405 \h </w:instrText>
        </w:r>
        <w:r w:rsidR="00B16CCF">
          <w:fldChar w:fldCharType="separate"/>
        </w:r>
        <w:r w:rsidR="00B16CCF">
          <w:t>309</w:t>
        </w:r>
        <w:r w:rsidR="00B16CCF">
          <w:fldChar w:fldCharType="end"/>
        </w:r>
      </w:hyperlink>
    </w:p>
    <w:p w14:paraId="07FDAE65" w14:textId="77777777" w:rsidR="00823317" w:rsidRDefault="001D0AD2">
      <w:pPr>
        <w:pStyle w:val="Kazalovsebine5"/>
        <w:tabs>
          <w:tab w:val="end" w:leader="dot" w:pos="512pt"/>
        </w:tabs>
        <w:rPr>
          <w:rFonts w:ascii="Calibri" w:hAnsi="Calibri"/>
          <w:sz w:val="22"/>
        </w:rPr>
      </w:pPr>
      <w:hyperlink w:anchor="_Toc256001406" w:history="1">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_Toc256001406 \h </w:instrText>
        </w:r>
        <w:r w:rsidR="00B16CCF">
          <w:fldChar w:fldCharType="separate"/>
        </w:r>
        <w:r w:rsidR="00B16CCF">
          <w:t>309</w:t>
        </w:r>
        <w:r w:rsidR="00B16CCF">
          <w:fldChar w:fldCharType="end"/>
        </w:r>
      </w:hyperlink>
    </w:p>
    <w:p w14:paraId="2A1805BA" w14:textId="77777777" w:rsidR="00823317" w:rsidRDefault="001D0AD2">
      <w:pPr>
        <w:pStyle w:val="Kazalovsebine4"/>
        <w:tabs>
          <w:tab w:val="end" w:leader="dot" w:pos="512pt"/>
        </w:tabs>
        <w:rPr>
          <w:rFonts w:ascii="Calibri" w:hAnsi="Calibri"/>
          <w:sz w:val="22"/>
        </w:rPr>
      </w:pPr>
      <w:hyperlink w:anchor="_Toc256001407" w:history="1">
        <w:r w:rsidR="00A77B3E">
          <w:rPr>
            <w:rStyle w:val="Hiperpovezava"/>
          </w:rPr>
          <w:t>2.1.1.1. Specifični cilj: RSO5.2. Spodbujanje celostnega in vključujočega socialnega, gospodarskega in okoljskega lokalnega razvoja, kulture, naravne dediščine, trajnostnega turizma in varnosti na območjih, ki niso mestna območja (ESRR)</w:t>
        </w:r>
        <w:r w:rsidR="00B16CCF">
          <w:tab/>
        </w:r>
        <w:r w:rsidR="00B16CCF">
          <w:fldChar w:fldCharType="begin"/>
        </w:r>
        <w:r w:rsidR="00B16CCF">
          <w:instrText xml:space="preserve"> PAGEREF _Toc256001407 \h </w:instrText>
        </w:r>
        <w:r w:rsidR="00B16CCF">
          <w:fldChar w:fldCharType="separate"/>
        </w:r>
        <w:r w:rsidR="00B16CCF">
          <w:t>310</w:t>
        </w:r>
        <w:r w:rsidR="00B16CCF">
          <w:fldChar w:fldCharType="end"/>
        </w:r>
      </w:hyperlink>
    </w:p>
    <w:p w14:paraId="76A06A69" w14:textId="77777777" w:rsidR="00823317" w:rsidRDefault="001D0AD2">
      <w:pPr>
        <w:pStyle w:val="Kazalovsebine4"/>
        <w:tabs>
          <w:tab w:val="end" w:leader="dot" w:pos="512pt"/>
        </w:tabs>
        <w:rPr>
          <w:rFonts w:ascii="Calibri" w:hAnsi="Calibri"/>
          <w:sz w:val="22"/>
        </w:rPr>
      </w:pPr>
      <w:hyperlink w:anchor="_Toc256001408" w:history="1">
        <w:r w:rsidR="00A77B3E">
          <w:rPr>
            <w:rStyle w:val="Hiperpovezava"/>
          </w:rPr>
          <w:t>2.1.1.1.1. Ukrepi skladov</w:t>
        </w:r>
        <w:r w:rsidR="00B16CCF">
          <w:tab/>
        </w:r>
        <w:r w:rsidR="00B16CCF">
          <w:fldChar w:fldCharType="begin"/>
        </w:r>
        <w:r w:rsidR="00B16CCF">
          <w:instrText xml:space="preserve"> PAGEREF _Toc256001408 \h </w:instrText>
        </w:r>
        <w:r w:rsidR="00B16CCF">
          <w:fldChar w:fldCharType="separate"/>
        </w:r>
        <w:r w:rsidR="00B16CCF">
          <w:t>310</w:t>
        </w:r>
        <w:r w:rsidR="00B16CCF">
          <w:fldChar w:fldCharType="end"/>
        </w:r>
      </w:hyperlink>
    </w:p>
    <w:p w14:paraId="031F470B" w14:textId="77777777" w:rsidR="00823317" w:rsidRDefault="001D0AD2">
      <w:pPr>
        <w:pStyle w:val="Kazalovsebine5"/>
        <w:tabs>
          <w:tab w:val="end" w:leader="dot" w:pos="512pt"/>
        </w:tabs>
        <w:rPr>
          <w:rFonts w:ascii="Calibri" w:hAnsi="Calibri"/>
          <w:sz w:val="22"/>
        </w:rPr>
      </w:pPr>
      <w:hyperlink w:anchor="_Toc256001409" w:history="1">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_Toc256001409 \h </w:instrText>
        </w:r>
        <w:r w:rsidR="00B16CCF">
          <w:fldChar w:fldCharType="separate"/>
        </w:r>
        <w:r w:rsidR="00B16CCF">
          <w:t>310</w:t>
        </w:r>
        <w:r w:rsidR="00B16CCF">
          <w:fldChar w:fldCharType="end"/>
        </w:r>
      </w:hyperlink>
    </w:p>
    <w:p w14:paraId="61F51F13" w14:textId="77777777" w:rsidR="00823317" w:rsidRDefault="001D0AD2">
      <w:pPr>
        <w:pStyle w:val="Kazalovsebine5"/>
        <w:tabs>
          <w:tab w:val="end" w:leader="dot" w:pos="512pt"/>
        </w:tabs>
        <w:rPr>
          <w:rFonts w:ascii="Calibri" w:hAnsi="Calibri"/>
          <w:sz w:val="22"/>
        </w:rPr>
      </w:pPr>
      <w:hyperlink w:anchor="_Toc256001410" w:history="1">
        <w:r w:rsidR="00A77B3E">
          <w:rPr>
            <w:rStyle w:val="Hiperpovezava"/>
          </w:rPr>
          <w:t>Glavne ciljne skupine – člen 22(3)(d)(iii) uredbe o skupnih določbah:</w:t>
        </w:r>
        <w:r w:rsidR="00B16CCF">
          <w:tab/>
        </w:r>
        <w:r w:rsidR="00B16CCF">
          <w:fldChar w:fldCharType="begin"/>
        </w:r>
        <w:r w:rsidR="00B16CCF">
          <w:instrText xml:space="preserve"> PAGEREF _Toc256001410 \h </w:instrText>
        </w:r>
        <w:r w:rsidR="00B16CCF">
          <w:fldChar w:fldCharType="separate"/>
        </w:r>
        <w:r w:rsidR="00B16CCF">
          <w:t>311</w:t>
        </w:r>
        <w:r w:rsidR="00B16CCF">
          <w:fldChar w:fldCharType="end"/>
        </w:r>
      </w:hyperlink>
    </w:p>
    <w:p w14:paraId="13B610F2" w14:textId="77777777" w:rsidR="00823317" w:rsidRDefault="001D0AD2">
      <w:pPr>
        <w:pStyle w:val="Kazalovsebine5"/>
        <w:tabs>
          <w:tab w:val="end" w:leader="dot" w:pos="512pt"/>
        </w:tabs>
        <w:rPr>
          <w:rFonts w:ascii="Calibri" w:hAnsi="Calibri"/>
          <w:sz w:val="22"/>
        </w:rPr>
      </w:pPr>
      <w:hyperlink w:anchor="_Toc256001411" w:history="1">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_Toc256001411 \h </w:instrText>
        </w:r>
        <w:r w:rsidR="00B16CCF">
          <w:fldChar w:fldCharType="separate"/>
        </w:r>
        <w:r w:rsidR="00B16CCF">
          <w:t>311</w:t>
        </w:r>
        <w:r w:rsidR="00B16CCF">
          <w:fldChar w:fldCharType="end"/>
        </w:r>
      </w:hyperlink>
    </w:p>
    <w:p w14:paraId="4AB4D3C1" w14:textId="77777777" w:rsidR="00823317" w:rsidRDefault="001D0AD2">
      <w:pPr>
        <w:pStyle w:val="Kazalovsebine5"/>
        <w:tabs>
          <w:tab w:val="end" w:leader="dot" w:pos="512pt"/>
        </w:tabs>
        <w:rPr>
          <w:rFonts w:ascii="Calibri" w:hAnsi="Calibri"/>
          <w:sz w:val="22"/>
        </w:rPr>
      </w:pPr>
      <w:hyperlink w:anchor="_Toc256001412" w:history="1">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_Toc256001412 \h </w:instrText>
        </w:r>
        <w:r w:rsidR="00B16CCF">
          <w:fldChar w:fldCharType="separate"/>
        </w:r>
        <w:r w:rsidR="00B16CCF">
          <w:t>312</w:t>
        </w:r>
        <w:r w:rsidR="00B16CCF">
          <w:fldChar w:fldCharType="end"/>
        </w:r>
      </w:hyperlink>
    </w:p>
    <w:p w14:paraId="162C63AA" w14:textId="77777777" w:rsidR="00823317" w:rsidRDefault="001D0AD2">
      <w:pPr>
        <w:pStyle w:val="Kazalovsebine5"/>
        <w:tabs>
          <w:tab w:val="end" w:leader="dot" w:pos="512pt"/>
        </w:tabs>
        <w:rPr>
          <w:rFonts w:ascii="Calibri" w:hAnsi="Calibri"/>
          <w:sz w:val="22"/>
        </w:rPr>
      </w:pPr>
      <w:hyperlink w:anchor="_Toc256001413" w:history="1">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_Toc256001413 \h </w:instrText>
        </w:r>
        <w:r w:rsidR="00B16CCF">
          <w:fldChar w:fldCharType="separate"/>
        </w:r>
        <w:r w:rsidR="00B16CCF">
          <w:t>312</w:t>
        </w:r>
        <w:r w:rsidR="00B16CCF">
          <w:fldChar w:fldCharType="end"/>
        </w:r>
      </w:hyperlink>
    </w:p>
    <w:p w14:paraId="3FF82E59" w14:textId="77777777" w:rsidR="00823317" w:rsidRDefault="001D0AD2">
      <w:pPr>
        <w:pStyle w:val="Kazalovsebine5"/>
        <w:tabs>
          <w:tab w:val="end" w:leader="dot" w:pos="512pt"/>
        </w:tabs>
        <w:rPr>
          <w:rFonts w:ascii="Calibri" w:hAnsi="Calibri"/>
          <w:sz w:val="22"/>
        </w:rPr>
      </w:pPr>
      <w:hyperlink w:anchor="_Toc256001414" w:history="1">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_Toc256001414 \h </w:instrText>
        </w:r>
        <w:r w:rsidR="00B16CCF">
          <w:fldChar w:fldCharType="separate"/>
        </w:r>
        <w:r w:rsidR="00B16CCF">
          <w:t>312</w:t>
        </w:r>
        <w:r w:rsidR="00B16CCF">
          <w:fldChar w:fldCharType="end"/>
        </w:r>
      </w:hyperlink>
    </w:p>
    <w:p w14:paraId="2F16F203" w14:textId="77777777" w:rsidR="00823317" w:rsidRDefault="001D0AD2">
      <w:pPr>
        <w:pStyle w:val="Kazalovsebine4"/>
        <w:tabs>
          <w:tab w:val="end" w:leader="dot" w:pos="512pt"/>
        </w:tabs>
        <w:rPr>
          <w:rFonts w:ascii="Calibri" w:hAnsi="Calibri"/>
          <w:sz w:val="22"/>
        </w:rPr>
      </w:pPr>
      <w:hyperlink w:anchor="_Toc256001415" w:history="1">
        <w:r w:rsidR="00A77B3E">
          <w:rPr>
            <w:rStyle w:val="Hiperpovezava"/>
          </w:rPr>
          <w:t>2.1.1.1.2. Kazalniki</w:t>
        </w:r>
        <w:r w:rsidR="00B16CCF">
          <w:tab/>
        </w:r>
        <w:r w:rsidR="00B16CCF">
          <w:fldChar w:fldCharType="begin"/>
        </w:r>
        <w:r w:rsidR="00B16CCF">
          <w:instrText xml:space="preserve"> PAGEREF _Toc256001415 \h </w:instrText>
        </w:r>
        <w:r w:rsidR="00B16CCF">
          <w:fldChar w:fldCharType="separate"/>
        </w:r>
        <w:r w:rsidR="00B16CCF">
          <w:t>313</w:t>
        </w:r>
        <w:r w:rsidR="00B16CCF">
          <w:fldChar w:fldCharType="end"/>
        </w:r>
      </w:hyperlink>
    </w:p>
    <w:p w14:paraId="1E4F233A" w14:textId="77777777" w:rsidR="00823317" w:rsidRDefault="001D0AD2">
      <w:pPr>
        <w:pStyle w:val="Kazalovsebine5"/>
        <w:tabs>
          <w:tab w:val="end" w:leader="dot" w:pos="512pt"/>
        </w:tabs>
        <w:rPr>
          <w:rFonts w:ascii="Calibri" w:hAnsi="Calibri"/>
          <w:sz w:val="22"/>
        </w:rPr>
      </w:pPr>
      <w:hyperlink w:anchor="_Toc256001416" w:history="1">
        <w:r w:rsidR="00A77B3E">
          <w:rPr>
            <w:rStyle w:val="Hiperpovezava"/>
          </w:rPr>
          <w:t>Tabela 2: Kazalniki učinka</w:t>
        </w:r>
        <w:r w:rsidR="00B16CCF">
          <w:tab/>
        </w:r>
        <w:r w:rsidR="00B16CCF">
          <w:fldChar w:fldCharType="begin"/>
        </w:r>
        <w:r w:rsidR="00B16CCF">
          <w:instrText xml:space="preserve"> PAGEREF _Toc256001416 \h </w:instrText>
        </w:r>
        <w:r w:rsidR="00B16CCF">
          <w:fldChar w:fldCharType="separate"/>
        </w:r>
        <w:r w:rsidR="00B16CCF">
          <w:t>313</w:t>
        </w:r>
        <w:r w:rsidR="00B16CCF">
          <w:fldChar w:fldCharType="end"/>
        </w:r>
      </w:hyperlink>
    </w:p>
    <w:p w14:paraId="5D071C25" w14:textId="77777777" w:rsidR="00823317" w:rsidRDefault="001D0AD2">
      <w:pPr>
        <w:pStyle w:val="Kazalovsebine5"/>
        <w:tabs>
          <w:tab w:val="end" w:leader="dot" w:pos="512pt"/>
        </w:tabs>
        <w:rPr>
          <w:rFonts w:ascii="Calibri" w:hAnsi="Calibri"/>
          <w:sz w:val="22"/>
        </w:rPr>
      </w:pPr>
      <w:hyperlink w:anchor="_Toc256001417" w:history="1">
        <w:r w:rsidR="00A77B3E">
          <w:rPr>
            <w:rStyle w:val="Hiperpovezava"/>
          </w:rPr>
          <w:t>Tabela 3: Kazalniki rezultatov</w:t>
        </w:r>
        <w:r w:rsidR="00B16CCF">
          <w:tab/>
        </w:r>
        <w:r w:rsidR="00B16CCF">
          <w:fldChar w:fldCharType="begin"/>
        </w:r>
        <w:r w:rsidR="00B16CCF">
          <w:instrText xml:space="preserve"> PAGEREF _Toc256001417 \h </w:instrText>
        </w:r>
        <w:r w:rsidR="00B16CCF">
          <w:fldChar w:fldCharType="separate"/>
        </w:r>
        <w:r w:rsidR="00B16CCF">
          <w:t>313</w:t>
        </w:r>
        <w:r w:rsidR="00B16CCF">
          <w:fldChar w:fldCharType="end"/>
        </w:r>
      </w:hyperlink>
    </w:p>
    <w:p w14:paraId="74CF9A7E" w14:textId="77777777" w:rsidR="00823317" w:rsidRDefault="001D0AD2">
      <w:pPr>
        <w:pStyle w:val="Kazalovsebine4"/>
        <w:tabs>
          <w:tab w:val="end" w:leader="dot" w:pos="512pt"/>
        </w:tabs>
        <w:rPr>
          <w:rFonts w:ascii="Calibri" w:hAnsi="Calibri"/>
          <w:sz w:val="22"/>
        </w:rPr>
      </w:pPr>
      <w:hyperlink w:anchor="_Toc256001418" w:history="1">
        <w:r w:rsidR="00A77B3E">
          <w:rPr>
            <w:rStyle w:val="Hiperpovezava"/>
          </w:rPr>
          <w:t>2.1.1.1.3. Okvirna razčlenitev načrtovanih sredstev (EU) glede na vrsto ukrepa</w:t>
        </w:r>
        <w:r w:rsidR="00B16CCF">
          <w:tab/>
        </w:r>
        <w:r w:rsidR="00B16CCF">
          <w:fldChar w:fldCharType="begin"/>
        </w:r>
        <w:r w:rsidR="00B16CCF">
          <w:instrText xml:space="preserve"> PAGEREF _Toc256001418 \h </w:instrText>
        </w:r>
        <w:r w:rsidR="00B16CCF">
          <w:fldChar w:fldCharType="separate"/>
        </w:r>
        <w:r w:rsidR="00B16CCF">
          <w:t>313</w:t>
        </w:r>
        <w:r w:rsidR="00B16CCF">
          <w:fldChar w:fldCharType="end"/>
        </w:r>
      </w:hyperlink>
    </w:p>
    <w:p w14:paraId="5B66D8EB" w14:textId="77777777" w:rsidR="00823317" w:rsidRDefault="001D0AD2">
      <w:pPr>
        <w:pStyle w:val="Kazalovsebine5"/>
        <w:tabs>
          <w:tab w:val="end" w:leader="dot" w:pos="512pt"/>
        </w:tabs>
        <w:rPr>
          <w:rFonts w:ascii="Calibri" w:hAnsi="Calibri"/>
          <w:sz w:val="22"/>
        </w:rPr>
      </w:pPr>
      <w:hyperlink w:anchor="_Toc256001419" w:history="1">
        <w:r w:rsidR="00A77B3E">
          <w:rPr>
            <w:rStyle w:val="Hiperpovezava"/>
          </w:rPr>
          <w:t>Tabela 4: Razsežnost 1 – področje ukrepanja</w:t>
        </w:r>
        <w:r w:rsidR="00B16CCF">
          <w:tab/>
        </w:r>
        <w:r w:rsidR="00B16CCF">
          <w:fldChar w:fldCharType="begin"/>
        </w:r>
        <w:r w:rsidR="00B16CCF">
          <w:instrText xml:space="preserve"> PAGEREF _Toc256001419 \h </w:instrText>
        </w:r>
        <w:r w:rsidR="00B16CCF">
          <w:fldChar w:fldCharType="separate"/>
        </w:r>
        <w:r w:rsidR="00B16CCF">
          <w:t>313</w:t>
        </w:r>
        <w:r w:rsidR="00B16CCF">
          <w:fldChar w:fldCharType="end"/>
        </w:r>
      </w:hyperlink>
    </w:p>
    <w:p w14:paraId="139CA709" w14:textId="77777777" w:rsidR="00823317" w:rsidRDefault="001D0AD2">
      <w:pPr>
        <w:pStyle w:val="Kazalovsebine5"/>
        <w:tabs>
          <w:tab w:val="end" w:leader="dot" w:pos="512pt"/>
        </w:tabs>
        <w:rPr>
          <w:rFonts w:ascii="Calibri" w:hAnsi="Calibri"/>
          <w:sz w:val="22"/>
        </w:rPr>
      </w:pPr>
      <w:hyperlink w:anchor="_Toc256001420" w:history="1">
        <w:r w:rsidR="00A77B3E">
          <w:rPr>
            <w:rStyle w:val="Hiperpovezava"/>
          </w:rPr>
          <w:t>Tabela 5: Razsežnost 2 – oblika financiranja</w:t>
        </w:r>
        <w:r w:rsidR="00B16CCF">
          <w:tab/>
        </w:r>
        <w:r w:rsidR="00B16CCF">
          <w:fldChar w:fldCharType="begin"/>
        </w:r>
        <w:r w:rsidR="00B16CCF">
          <w:instrText xml:space="preserve"> PAGEREF _Toc256001420 \h </w:instrText>
        </w:r>
        <w:r w:rsidR="00B16CCF">
          <w:fldChar w:fldCharType="separate"/>
        </w:r>
        <w:r w:rsidR="00B16CCF">
          <w:t>314</w:t>
        </w:r>
        <w:r w:rsidR="00B16CCF">
          <w:fldChar w:fldCharType="end"/>
        </w:r>
      </w:hyperlink>
    </w:p>
    <w:p w14:paraId="7BC0BAD0" w14:textId="77777777" w:rsidR="00823317" w:rsidRDefault="001D0AD2">
      <w:pPr>
        <w:pStyle w:val="Kazalovsebine5"/>
        <w:tabs>
          <w:tab w:val="end" w:leader="dot" w:pos="512pt"/>
        </w:tabs>
        <w:rPr>
          <w:rFonts w:ascii="Calibri" w:hAnsi="Calibri"/>
          <w:sz w:val="22"/>
        </w:rPr>
      </w:pPr>
      <w:hyperlink w:anchor="_Toc256001421" w:history="1">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_Toc256001421 \h </w:instrText>
        </w:r>
        <w:r w:rsidR="00B16CCF">
          <w:fldChar w:fldCharType="separate"/>
        </w:r>
        <w:r w:rsidR="00B16CCF">
          <w:t>314</w:t>
        </w:r>
        <w:r w:rsidR="00B16CCF">
          <w:fldChar w:fldCharType="end"/>
        </w:r>
      </w:hyperlink>
    </w:p>
    <w:p w14:paraId="2BCBC6C2" w14:textId="77777777" w:rsidR="00823317" w:rsidRDefault="001D0AD2">
      <w:pPr>
        <w:pStyle w:val="Kazalovsebine5"/>
        <w:tabs>
          <w:tab w:val="end" w:leader="dot" w:pos="512pt"/>
        </w:tabs>
        <w:rPr>
          <w:rFonts w:ascii="Calibri" w:hAnsi="Calibri"/>
          <w:sz w:val="22"/>
        </w:rPr>
      </w:pPr>
      <w:hyperlink w:anchor="_Toc256001422" w:history="1">
        <w:r w:rsidR="00A77B3E">
          <w:rPr>
            <w:rStyle w:val="Hiperpovezava"/>
          </w:rPr>
          <w:t>Tabela 7: Razsežnost 6 – sekundarna področja ESS+</w:t>
        </w:r>
        <w:r w:rsidR="00B16CCF">
          <w:tab/>
        </w:r>
        <w:r w:rsidR="00B16CCF">
          <w:fldChar w:fldCharType="begin"/>
        </w:r>
        <w:r w:rsidR="00B16CCF">
          <w:instrText xml:space="preserve"> PAGEREF _Toc256001422 \h </w:instrText>
        </w:r>
        <w:r w:rsidR="00B16CCF">
          <w:fldChar w:fldCharType="separate"/>
        </w:r>
        <w:r w:rsidR="00B16CCF">
          <w:t>314</w:t>
        </w:r>
        <w:r w:rsidR="00B16CCF">
          <w:fldChar w:fldCharType="end"/>
        </w:r>
      </w:hyperlink>
    </w:p>
    <w:p w14:paraId="4394CA6E" w14:textId="77777777" w:rsidR="00823317" w:rsidRDefault="001D0AD2">
      <w:pPr>
        <w:pStyle w:val="Kazalovsebine5"/>
        <w:tabs>
          <w:tab w:val="end" w:leader="dot" w:pos="512pt"/>
        </w:tabs>
        <w:rPr>
          <w:rFonts w:ascii="Calibri" w:hAnsi="Calibri"/>
          <w:sz w:val="22"/>
        </w:rPr>
      </w:pPr>
      <w:hyperlink w:anchor="_Toc256001423" w:history="1">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_Toc256001423 \h </w:instrText>
        </w:r>
        <w:r w:rsidR="00B16CCF">
          <w:fldChar w:fldCharType="separate"/>
        </w:r>
        <w:r w:rsidR="00B16CCF">
          <w:t>314</w:t>
        </w:r>
        <w:r w:rsidR="00B16CCF">
          <w:fldChar w:fldCharType="end"/>
        </w:r>
      </w:hyperlink>
    </w:p>
    <w:p w14:paraId="3E26C284" w14:textId="77777777" w:rsidR="00823317" w:rsidRDefault="001D0AD2">
      <w:pPr>
        <w:pStyle w:val="Kazalovsebine3"/>
        <w:tabs>
          <w:tab w:val="end" w:leader="dot" w:pos="512pt"/>
        </w:tabs>
        <w:rPr>
          <w:rFonts w:ascii="Calibri" w:hAnsi="Calibri"/>
          <w:sz w:val="22"/>
        </w:rPr>
      </w:pPr>
      <w:hyperlink w:anchor="_Toc256001424" w:history="1">
        <w:r w:rsidR="00A77B3E">
          <w:rPr>
            <w:rStyle w:val="Hiperpovezava"/>
          </w:rPr>
          <w:t>2.1.1. Prednostna naloga: 10. Sklad za pravični prehod</w:t>
        </w:r>
        <w:r w:rsidR="00B16CCF">
          <w:tab/>
        </w:r>
        <w:r w:rsidR="00B16CCF">
          <w:fldChar w:fldCharType="begin"/>
        </w:r>
        <w:r w:rsidR="00B16CCF">
          <w:instrText xml:space="preserve"> PAGEREF _Toc256001424 \h </w:instrText>
        </w:r>
        <w:r w:rsidR="00B16CCF">
          <w:fldChar w:fldCharType="separate"/>
        </w:r>
        <w:r w:rsidR="00B16CCF">
          <w:t>315</w:t>
        </w:r>
        <w:r w:rsidR="00B16CCF">
          <w:fldChar w:fldCharType="end"/>
        </w:r>
      </w:hyperlink>
    </w:p>
    <w:p w14:paraId="700112A6" w14:textId="77777777" w:rsidR="00823317" w:rsidRDefault="001D0AD2">
      <w:pPr>
        <w:pStyle w:val="Kazalovsebine4"/>
        <w:tabs>
          <w:tab w:val="end" w:leader="dot" w:pos="512pt"/>
        </w:tabs>
        <w:rPr>
          <w:rFonts w:ascii="Calibri" w:hAnsi="Calibri"/>
          <w:sz w:val="22"/>
        </w:rPr>
      </w:pPr>
      <w:hyperlink w:anchor="_Toc256001425" w:history="1">
        <w:r w:rsidR="00A77B3E">
          <w:rPr>
            <w:rStyle w:val="Hiperpovezava"/>
          </w:rPr>
          <w:t>2.1.1.1. Specifični cilj: JSO8.1. Omogočanje regijam in ljudem, da obravnavajo socialne, zaposlitvene, gospodarske in okoljske učinke, ki jih ima prehod na energetske in podnebne cilje Unije do leta 2030 in na podnebno nevtralno gospodarstvo Unije do leta 2050 na podlagi Pariškega sporazuma (SPP)</w:t>
        </w:r>
        <w:r w:rsidR="00B16CCF">
          <w:tab/>
        </w:r>
        <w:r w:rsidR="00B16CCF">
          <w:fldChar w:fldCharType="begin"/>
        </w:r>
        <w:r w:rsidR="00B16CCF">
          <w:instrText xml:space="preserve"> PAGEREF _Toc256001425 \h </w:instrText>
        </w:r>
        <w:r w:rsidR="00B16CCF">
          <w:fldChar w:fldCharType="separate"/>
        </w:r>
        <w:r w:rsidR="00B16CCF">
          <w:t>315</w:t>
        </w:r>
        <w:r w:rsidR="00B16CCF">
          <w:fldChar w:fldCharType="end"/>
        </w:r>
      </w:hyperlink>
    </w:p>
    <w:p w14:paraId="74355C31" w14:textId="77777777" w:rsidR="00823317" w:rsidRDefault="001D0AD2">
      <w:pPr>
        <w:pStyle w:val="Kazalovsebine4"/>
        <w:tabs>
          <w:tab w:val="end" w:leader="dot" w:pos="512pt"/>
        </w:tabs>
        <w:rPr>
          <w:rFonts w:ascii="Calibri" w:hAnsi="Calibri"/>
          <w:sz w:val="22"/>
        </w:rPr>
      </w:pPr>
      <w:hyperlink w:anchor="_Toc256001426" w:history="1">
        <w:r w:rsidR="00A77B3E">
          <w:rPr>
            <w:rStyle w:val="Hiperpovezava"/>
          </w:rPr>
          <w:t>2.1.1.1.1. Ukrepi skladov</w:t>
        </w:r>
        <w:r w:rsidR="00B16CCF">
          <w:tab/>
        </w:r>
        <w:r w:rsidR="00B16CCF">
          <w:fldChar w:fldCharType="begin"/>
        </w:r>
        <w:r w:rsidR="00B16CCF">
          <w:instrText xml:space="preserve"> PAGEREF _Toc256001426 \h </w:instrText>
        </w:r>
        <w:r w:rsidR="00B16CCF">
          <w:fldChar w:fldCharType="separate"/>
        </w:r>
        <w:r w:rsidR="00B16CCF">
          <w:t>315</w:t>
        </w:r>
        <w:r w:rsidR="00B16CCF">
          <w:fldChar w:fldCharType="end"/>
        </w:r>
      </w:hyperlink>
    </w:p>
    <w:p w14:paraId="3E1EC79A" w14:textId="77777777" w:rsidR="00823317" w:rsidRDefault="001D0AD2">
      <w:pPr>
        <w:pStyle w:val="Kazalovsebine5"/>
        <w:tabs>
          <w:tab w:val="end" w:leader="dot" w:pos="512pt"/>
        </w:tabs>
        <w:rPr>
          <w:rFonts w:ascii="Calibri" w:hAnsi="Calibri"/>
          <w:sz w:val="22"/>
        </w:rPr>
      </w:pPr>
      <w:hyperlink w:anchor="_Toc256001427" w:history="1">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_Toc256001427 \h </w:instrText>
        </w:r>
        <w:r w:rsidR="00B16CCF">
          <w:fldChar w:fldCharType="separate"/>
        </w:r>
        <w:r w:rsidR="00B16CCF">
          <w:t>315</w:t>
        </w:r>
        <w:r w:rsidR="00B16CCF">
          <w:fldChar w:fldCharType="end"/>
        </w:r>
      </w:hyperlink>
    </w:p>
    <w:p w14:paraId="3DDC25E7" w14:textId="77777777" w:rsidR="00823317" w:rsidRDefault="001D0AD2">
      <w:pPr>
        <w:pStyle w:val="Kazalovsebine5"/>
        <w:tabs>
          <w:tab w:val="end" w:leader="dot" w:pos="512pt"/>
        </w:tabs>
        <w:rPr>
          <w:rFonts w:ascii="Calibri" w:hAnsi="Calibri"/>
          <w:sz w:val="22"/>
        </w:rPr>
      </w:pPr>
      <w:hyperlink w:anchor="_Toc256001428" w:history="1">
        <w:r w:rsidR="00A77B3E">
          <w:rPr>
            <w:rStyle w:val="Hiperpovezava"/>
          </w:rPr>
          <w:t>Glavne ciljne skupine – člen 22(3)(d)(iii) uredbe o skupnih določbah:</w:t>
        </w:r>
        <w:r w:rsidR="00B16CCF">
          <w:tab/>
        </w:r>
        <w:r w:rsidR="00B16CCF">
          <w:fldChar w:fldCharType="begin"/>
        </w:r>
        <w:r w:rsidR="00B16CCF">
          <w:instrText xml:space="preserve"> PAGEREF _Toc256001428 \h </w:instrText>
        </w:r>
        <w:r w:rsidR="00B16CCF">
          <w:fldChar w:fldCharType="separate"/>
        </w:r>
        <w:r w:rsidR="00B16CCF">
          <w:t>318</w:t>
        </w:r>
        <w:r w:rsidR="00B16CCF">
          <w:fldChar w:fldCharType="end"/>
        </w:r>
      </w:hyperlink>
    </w:p>
    <w:p w14:paraId="41A6E948" w14:textId="77777777" w:rsidR="00823317" w:rsidRDefault="001D0AD2">
      <w:pPr>
        <w:pStyle w:val="Kazalovsebine5"/>
        <w:tabs>
          <w:tab w:val="end" w:leader="dot" w:pos="512pt"/>
        </w:tabs>
        <w:rPr>
          <w:rFonts w:ascii="Calibri" w:hAnsi="Calibri"/>
          <w:sz w:val="22"/>
        </w:rPr>
      </w:pPr>
      <w:hyperlink w:anchor="_Toc256001429" w:history="1">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_Toc256001429 \h </w:instrText>
        </w:r>
        <w:r w:rsidR="00B16CCF">
          <w:fldChar w:fldCharType="separate"/>
        </w:r>
        <w:r w:rsidR="00B16CCF">
          <w:t>318</w:t>
        </w:r>
        <w:r w:rsidR="00B16CCF">
          <w:fldChar w:fldCharType="end"/>
        </w:r>
      </w:hyperlink>
    </w:p>
    <w:p w14:paraId="3B504B3E" w14:textId="77777777" w:rsidR="00823317" w:rsidRDefault="001D0AD2">
      <w:pPr>
        <w:pStyle w:val="Kazalovsebine5"/>
        <w:tabs>
          <w:tab w:val="end" w:leader="dot" w:pos="512pt"/>
        </w:tabs>
        <w:rPr>
          <w:rFonts w:ascii="Calibri" w:hAnsi="Calibri"/>
          <w:sz w:val="22"/>
        </w:rPr>
      </w:pPr>
      <w:hyperlink w:anchor="_Toc256001430" w:history="1">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_Toc256001430 \h </w:instrText>
        </w:r>
        <w:r w:rsidR="00B16CCF">
          <w:fldChar w:fldCharType="separate"/>
        </w:r>
        <w:r w:rsidR="00B16CCF">
          <w:t>318</w:t>
        </w:r>
        <w:r w:rsidR="00B16CCF">
          <w:fldChar w:fldCharType="end"/>
        </w:r>
      </w:hyperlink>
    </w:p>
    <w:p w14:paraId="12636C6F" w14:textId="77777777" w:rsidR="00823317" w:rsidRDefault="001D0AD2">
      <w:pPr>
        <w:pStyle w:val="Kazalovsebine5"/>
        <w:tabs>
          <w:tab w:val="end" w:leader="dot" w:pos="512pt"/>
        </w:tabs>
        <w:rPr>
          <w:rFonts w:ascii="Calibri" w:hAnsi="Calibri"/>
          <w:sz w:val="22"/>
        </w:rPr>
      </w:pPr>
      <w:hyperlink w:anchor="_Toc256001431" w:history="1">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_Toc256001431 \h </w:instrText>
        </w:r>
        <w:r w:rsidR="00B16CCF">
          <w:fldChar w:fldCharType="separate"/>
        </w:r>
        <w:r w:rsidR="00B16CCF">
          <w:t>319</w:t>
        </w:r>
        <w:r w:rsidR="00B16CCF">
          <w:fldChar w:fldCharType="end"/>
        </w:r>
      </w:hyperlink>
    </w:p>
    <w:p w14:paraId="0B4388D0" w14:textId="77777777" w:rsidR="00823317" w:rsidRDefault="001D0AD2">
      <w:pPr>
        <w:pStyle w:val="Kazalovsebine5"/>
        <w:tabs>
          <w:tab w:val="end" w:leader="dot" w:pos="512pt"/>
        </w:tabs>
        <w:rPr>
          <w:rFonts w:ascii="Calibri" w:hAnsi="Calibri"/>
          <w:sz w:val="22"/>
        </w:rPr>
      </w:pPr>
      <w:hyperlink w:anchor="_Toc256001432" w:history="1">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_Toc256001432 \h </w:instrText>
        </w:r>
        <w:r w:rsidR="00B16CCF">
          <w:fldChar w:fldCharType="separate"/>
        </w:r>
        <w:r w:rsidR="00B16CCF">
          <w:t>319</w:t>
        </w:r>
        <w:r w:rsidR="00B16CCF">
          <w:fldChar w:fldCharType="end"/>
        </w:r>
      </w:hyperlink>
    </w:p>
    <w:p w14:paraId="38E446AA" w14:textId="77777777" w:rsidR="00823317" w:rsidRDefault="001D0AD2">
      <w:pPr>
        <w:pStyle w:val="Kazalovsebine4"/>
        <w:tabs>
          <w:tab w:val="end" w:leader="dot" w:pos="512pt"/>
        </w:tabs>
        <w:rPr>
          <w:rFonts w:ascii="Calibri" w:hAnsi="Calibri"/>
          <w:sz w:val="22"/>
        </w:rPr>
      </w:pPr>
      <w:hyperlink w:anchor="_Toc256001433" w:history="1">
        <w:r w:rsidR="00A77B3E">
          <w:rPr>
            <w:rStyle w:val="Hiperpovezava"/>
          </w:rPr>
          <w:t>2.1.1.1.2. Kazalniki</w:t>
        </w:r>
        <w:r w:rsidR="00B16CCF">
          <w:tab/>
        </w:r>
        <w:r w:rsidR="00B16CCF">
          <w:fldChar w:fldCharType="begin"/>
        </w:r>
        <w:r w:rsidR="00B16CCF">
          <w:instrText xml:space="preserve"> PAGEREF _Toc256001433 \h </w:instrText>
        </w:r>
        <w:r w:rsidR="00B16CCF">
          <w:fldChar w:fldCharType="separate"/>
        </w:r>
        <w:r w:rsidR="00B16CCF">
          <w:t>319</w:t>
        </w:r>
        <w:r w:rsidR="00B16CCF">
          <w:fldChar w:fldCharType="end"/>
        </w:r>
      </w:hyperlink>
    </w:p>
    <w:p w14:paraId="2877BCF4" w14:textId="77777777" w:rsidR="00823317" w:rsidRDefault="001D0AD2">
      <w:pPr>
        <w:pStyle w:val="Kazalovsebine5"/>
        <w:tabs>
          <w:tab w:val="end" w:leader="dot" w:pos="512pt"/>
        </w:tabs>
        <w:rPr>
          <w:rFonts w:ascii="Calibri" w:hAnsi="Calibri"/>
          <w:sz w:val="22"/>
        </w:rPr>
      </w:pPr>
      <w:hyperlink w:anchor="_Toc256001434" w:history="1">
        <w:r w:rsidR="00A77B3E">
          <w:rPr>
            <w:rStyle w:val="Hiperpovezava"/>
          </w:rPr>
          <w:t>Tabela 2: Kazalniki učinka</w:t>
        </w:r>
        <w:r w:rsidR="00B16CCF">
          <w:tab/>
        </w:r>
        <w:r w:rsidR="00B16CCF">
          <w:fldChar w:fldCharType="begin"/>
        </w:r>
        <w:r w:rsidR="00B16CCF">
          <w:instrText xml:space="preserve"> PAGEREF _Toc256001434 \h </w:instrText>
        </w:r>
        <w:r w:rsidR="00B16CCF">
          <w:fldChar w:fldCharType="separate"/>
        </w:r>
        <w:r w:rsidR="00B16CCF">
          <w:t>319</w:t>
        </w:r>
        <w:r w:rsidR="00B16CCF">
          <w:fldChar w:fldCharType="end"/>
        </w:r>
      </w:hyperlink>
    </w:p>
    <w:p w14:paraId="1498A446" w14:textId="77777777" w:rsidR="00823317" w:rsidRDefault="001D0AD2">
      <w:pPr>
        <w:pStyle w:val="Kazalovsebine5"/>
        <w:tabs>
          <w:tab w:val="end" w:leader="dot" w:pos="512pt"/>
        </w:tabs>
        <w:rPr>
          <w:rFonts w:ascii="Calibri" w:hAnsi="Calibri"/>
          <w:sz w:val="22"/>
        </w:rPr>
      </w:pPr>
      <w:hyperlink w:anchor="_Toc256001435" w:history="1">
        <w:r w:rsidR="00A77B3E">
          <w:rPr>
            <w:rStyle w:val="Hiperpovezava"/>
          </w:rPr>
          <w:t>Tabela 3: Kazalniki rezultatov</w:t>
        </w:r>
        <w:r w:rsidR="00B16CCF">
          <w:tab/>
        </w:r>
        <w:r w:rsidR="00B16CCF">
          <w:fldChar w:fldCharType="begin"/>
        </w:r>
        <w:r w:rsidR="00B16CCF">
          <w:instrText xml:space="preserve"> PAGEREF _Toc256001435 \h </w:instrText>
        </w:r>
        <w:r w:rsidR="00B16CCF">
          <w:fldChar w:fldCharType="separate"/>
        </w:r>
        <w:r w:rsidR="00B16CCF">
          <w:t>320</w:t>
        </w:r>
        <w:r w:rsidR="00B16CCF">
          <w:fldChar w:fldCharType="end"/>
        </w:r>
      </w:hyperlink>
    </w:p>
    <w:p w14:paraId="3EE2DDC8" w14:textId="77777777" w:rsidR="00823317" w:rsidRDefault="001D0AD2">
      <w:pPr>
        <w:pStyle w:val="Kazalovsebine4"/>
        <w:tabs>
          <w:tab w:val="end" w:leader="dot" w:pos="512pt"/>
        </w:tabs>
        <w:rPr>
          <w:rFonts w:ascii="Calibri" w:hAnsi="Calibri"/>
          <w:sz w:val="22"/>
        </w:rPr>
      </w:pPr>
      <w:hyperlink w:anchor="_Toc256001436" w:history="1">
        <w:r w:rsidR="00A77B3E">
          <w:rPr>
            <w:rStyle w:val="Hiperpovezava"/>
          </w:rPr>
          <w:t>2.1.1.1.3. Okvirna razčlenitev načrtovanih sredstev (EU) glede na vrsto ukrepa</w:t>
        </w:r>
        <w:r w:rsidR="00B16CCF">
          <w:tab/>
        </w:r>
        <w:r w:rsidR="00B16CCF">
          <w:fldChar w:fldCharType="begin"/>
        </w:r>
        <w:r w:rsidR="00B16CCF">
          <w:instrText xml:space="preserve"> PAGEREF _Toc256001436 \h </w:instrText>
        </w:r>
        <w:r w:rsidR="00B16CCF">
          <w:fldChar w:fldCharType="separate"/>
        </w:r>
        <w:r w:rsidR="00B16CCF">
          <w:t>321</w:t>
        </w:r>
        <w:r w:rsidR="00B16CCF">
          <w:fldChar w:fldCharType="end"/>
        </w:r>
      </w:hyperlink>
    </w:p>
    <w:p w14:paraId="20631F05" w14:textId="77777777" w:rsidR="00823317" w:rsidRDefault="001D0AD2">
      <w:pPr>
        <w:pStyle w:val="Kazalovsebine5"/>
        <w:tabs>
          <w:tab w:val="end" w:leader="dot" w:pos="512pt"/>
        </w:tabs>
        <w:rPr>
          <w:rFonts w:ascii="Calibri" w:hAnsi="Calibri"/>
          <w:sz w:val="22"/>
        </w:rPr>
      </w:pPr>
      <w:hyperlink w:anchor="_Toc256001437" w:history="1">
        <w:r w:rsidR="00A77B3E">
          <w:rPr>
            <w:rStyle w:val="Hiperpovezava"/>
          </w:rPr>
          <w:t>Tabela 4: Razsežnost 1 – področje ukrepanja</w:t>
        </w:r>
        <w:r w:rsidR="00B16CCF">
          <w:tab/>
        </w:r>
        <w:r w:rsidR="00B16CCF">
          <w:fldChar w:fldCharType="begin"/>
        </w:r>
        <w:r w:rsidR="00B16CCF">
          <w:instrText xml:space="preserve"> PAGEREF _Toc256001437 \h </w:instrText>
        </w:r>
        <w:r w:rsidR="00B16CCF">
          <w:fldChar w:fldCharType="separate"/>
        </w:r>
        <w:r w:rsidR="00B16CCF">
          <w:t>321</w:t>
        </w:r>
        <w:r w:rsidR="00B16CCF">
          <w:fldChar w:fldCharType="end"/>
        </w:r>
      </w:hyperlink>
    </w:p>
    <w:p w14:paraId="15A9C2BC" w14:textId="77777777" w:rsidR="00823317" w:rsidRDefault="001D0AD2">
      <w:pPr>
        <w:pStyle w:val="Kazalovsebine5"/>
        <w:tabs>
          <w:tab w:val="end" w:leader="dot" w:pos="512pt"/>
        </w:tabs>
        <w:rPr>
          <w:rFonts w:ascii="Calibri" w:hAnsi="Calibri"/>
          <w:sz w:val="22"/>
        </w:rPr>
      </w:pPr>
      <w:hyperlink w:anchor="_Toc256001438" w:history="1">
        <w:r w:rsidR="00A77B3E">
          <w:rPr>
            <w:rStyle w:val="Hiperpovezava"/>
          </w:rPr>
          <w:t>Tabela 5: Razsežnost 2 – oblika financiranja</w:t>
        </w:r>
        <w:r w:rsidR="00B16CCF">
          <w:tab/>
        </w:r>
        <w:r w:rsidR="00B16CCF">
          <w:fldChar w:fldCharType="begin"/>
        </w:r>
        <w:r w:rsidR="00B16CCF">
          <w:instrText xml:space="preserve"> PAGEREF _Toc256001438 \h </w:instrText>
        </w:r>
        <w:r w:rsidR="00B16CCF">
          <w:fldChar w:fldCharType="separate"/>
        </w:r>
        <w:r w:rsidR="00B16CCF">
          <w:t>322</w:t>
        </w:r>
        <w:r w:rsidR="00B16CCF">
          <w:fldChar w:fldCharType="end"/>
        </w:r>
      </w:hyperlink>
    </w:p>
    <w:p w14:paraId="2CA05774" w14:textId="77777777" w:rsidR="00823317" w:rsidRDefault="001D0AD2">
      <w:pPr>
        <w:pStyle w:val="Kazalovsebine5"/>
        <w:tabs>
          <w:tab w:val="end" w:leader="dot" w:pos="512pt"/>
        </w:tabs>
        <w:rPr>
          <w:rFonts w:ascii="Calibri" w:hAnsi="Calibri"/>
          <w:sz w:val="22"/>
        </w:rPr>
      </w:pPr>
      <w:hyperlink w:anchor="_Toc256001439" w:history="1">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_Toc256001439 \h </w:instrText>
        </w:r>
        <w:r w:rsidR="00B16CCF">
          <w:fldChar w:fldCharType="separate"/>
        </w:r>
        <w:r w:rsidR="00B16CCF">
          <w:t>322</w:t>
        </w:r>
        <w:r w:rsidR="00B16CCF">
          <w:fldChar w:fldCharType="end"/>
        </w:r>
      </w:hyperlink>
    </w:p>
    <w:p w14:paraId="1E47B69D" w14:textId="77777777" w:rsidR="00823317" w:rsidRDefault="001D0AD2">
      <w:pPr>
        <w:pStyle w:val="Kazalovsebine5"/>
        <w:tabs>
          <w:tab w:val="end" w:leader="dot" w:pos="512pt"/>
        </w:tabs>
        <w:rPr>
          <w:rFonts w:ascii="Calibri" w:hAnsi="Calibri"/>
          <w:sz w:val="22"/>
        </w:rPr>
      </w:pPr>
      <w:hyperlink w:anchor="_Toc256001440" w:history="1">
        <w:r w:rsidR="00A77B3E">
          <w:rPr>
            <w:rStyle w:val="Hiperpovezava"/>
          </w:rPr>
          <w:t>Tabela 7: Razsežnost 6 – sekundarna področja ESS+</w:t>
        </w:r>
        <w:r w:rsidR="00B16CCF">
          <w:tab/>
        </w:r>
        <w:r w:rsidR="00B16CCF">
          <w:fldChar w:fldCharType="begin"/>
        </w:r>
        <w:r w:rsidR="00B16CCF">
          <w:instrText xml:space="preserve"> PAGEREF _Toc256001440 \h </w:instrText>
        </w:r>
        <w:r w:rsidR="00B16CCF">
          <w:fldChar w:fldCharType="separate"/>
        </w:r>
        <w:r w:rsidR="00B16CCF">
          <w:t>322</w:t>
        </w:r>
        <w:r w:rsidR="00B16CCF">
          <w:fldChar w:fldCharType="end"/>
        </w:r>
      </w:hyperlink>
    </w:p>
    <w:p w14:paraId="403564B9" w14:textId="77777777" w:rsidR="00823317" w:rsidRDefault="001D0AD2">
      <w:pPr>
        <w:pStyle w:val="Kazalovsebine5"/>
        <w:tabs>
          <w:tab w:val="end" w:leader="dot" w:pos="512pt"/>
        </w:tabs>
        <w:rPr>
          <w:rFonts w:ascii="Calibri" w:hAnsi="Calibri"/>
          <w:sz w:val="22"/>
        </w:rPr>
      </w:pPr>
      <w:hyperlink w:anchor="_Toc256001441" w:history="1">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_Toc256001441 \h </w:instrText>
        </w:r>
        <w:r w:rsidR="00B16CCF">
          <w:fldChar w:fldCharType="separate"/>
        </w:r>
        <w:r w:rsidR="00B16CCF">
          <w:t>322</w:t>
        </w:r>
        <w:r w:rsidR="00B16CCF">
          <w:fldChar w:fldCharType="end"/>
        </w:r>
      </w:hyperlink>
    </w:p>
    <w:p w14:paraId="5B65F62E" w14:textId="77777777" w:rsidR="00823317" w:rsidRDefault="001D0AD2">
      <w:pPr>
        <w:pStyle w:val="Kazalovsebine2"/>
        <w:tabs>
          <w:tab w:val="end" w:leader="dot" w:pos="512pt"/>
        </w:tabs>
        <w:rPr>
          <w:rFonts w:ascii="Calibri" w:hAnsi="Calibri"/>
          <w:sz w:val="22"/>
        </w:rPr>
      </w:pPr>
      <w:hyperlink w:anchor="_Toc256001442" w:history="1">
        <w:r w:rsidR="00A77B3E">
          <w:rPr>
            <w:rStyle w:val="Hiperpovezava"/>
          </w:rPr>
          <w:t>2.2. Prednostne naloge za tehnično pomoč</w:t>
        </w:r>
        <w:r w:rsidR="00B16CCF">
          <w:tab/>
        </w:r>
        <w:r w:rsidR="00B16CCF">
          <w:fldChar w:fldCharType="begin"/>
        </w:r>
        <w:r w:rsidR="00B16CCF">
          <w:instrText xml:space="preserve"> PAGEREF _Toc256001442 \h </w:instrText>
        </w:r>
        <w:r w:rsidR="00B16CCF">
          <w:fldChar w:fldCharType="separate"/>
        </w:r>
        <w:r w:rsidR="00B16CCF">
          <w:t>324</w:t>
        </w:r>
        <w:r w:rsidR="00B16CCF">
          <w:fldChar w:fldCharType="end"/>
        </w:r>
      </w:hyperlink>
    </w:p>
    <w:p w14:paraId="71A22EE8" w14:textId="77777777" w:rsidR="00823317" w:rsidRDefault="001D0AD2">
      <w:pPr>
        <w:pStyle w:val="Kazalovsebine1"/>
        <w:tabs>
          <w:tab w:val="end" w:leader="dot" w:pos="512pt"/>
        </w:tabs>
        <w:rPr>
          <w:rFonts w:ascii="Calibri" w:hAnsi="Calibri"/>
          <w:sz w:val="22"/>
        </w:rPr>
      </w:pPr>
      <w:hyperlink w:anchor="_Toc256001443" w:history="1">
        <w:r w:rsidR="00A77B3E">
          <w:rPr>
            <w:rStyle w:val="Hiperpovezava"/>
          </w:rPr>
          <w:t>3. Načrt financiranja</w:t>
        </w:r>
        <w:r w:rsidR="00B16CCF">
          <w:tab/>
        </w:r>
        <w:r w:rsidR="00B16CCF">
          <w:fldChar w:fldCharType="begin"/>
        </w:r>
        <w:r w:rsidR="00B16CCF">
          <w:instrText xml:space="preserve"> PAGEREF _Toc256001443 \h </w:instrText>
        </w:r>
        <w:r w:rsidR="00B16CCF">
          <w:fldChar w:fldCharType="separate"/>
        </w:r>
        <w:r w:rsidR="00B16CCF">
          <w:t>325</w:t>
        </w:r>
        <w:r w:rsidR="00B16CCF">
          <w:fldChar w:fldCharType="end"/>
        </w:r>
      </w:hyperlink>
    </w:p>
    <w:p w14:paraId="75EE5F35" w14:textId="77777777" w:rsidR="00823317" w:rsidRDefault="001D0AD2">
      <w:pPr>
        <w:pStyle w:val="Kazalovsebine2"/>
        <w:tabs>
          <w:tab w:val="end" w:leader="dot" w:pos="512pt"/>
        </w:tabs>
        <w:rPr>
          <w:rFonts w:ascii="Calibri" w:hAnsi="Calibri"/>
          <w:sz w:val="22"/>
        </w:rPr>
      </w:pPr>
      <w:hyperlink w:anchor="_Toc256001444" w:history="1">
        <w:r w:rsidR="00A77B3E">
          <w:rPr>
            <w:rStyle w:val="Hiperpovezava"/>
          </w:rPr>
          <w:t>3.1. Prerazporeditve in prispevki (1)</w:t>
        </w:r>
        <w:r w:rsidR="00B16CCF">
          <w:tab/>
        </w:r>
        <w:r w:rsidR="00B16CCF">
          <w:fldChar w:fldCharType="begin"/>
        </w:r>
        <w:r w:rsidR="00B16CCF">
          <w:instrText xml:space="preserve"> PAGEREF _Toc256001444 \h </w:instrText>
        </w:r>
        <w:r w:rsidR="00B16CCF">
          <w:fldChar w:fldCharType="separate"/>
        </w:r>
        <w:r w:rsidR="00B16CCF">
          <w:t>325</w:t>
        </w:r>
        <w:r w:rsidR="00B16CCF">
          <w:fldChar w:fldCharType="end"/>
        </w:r>
      </w:hyperlink>
    </w:p>
    <w:p w14:paraId="54C767DE" w14:textId="77777777" w:rsidR="00823317" w:rsidRDefault="001D0AD2">
      <w:pPr>
        <w:pStyle w:val="Kazalovsebine4"/>
        <w:tabs>
          <w:tab w:val="end" w:leader="dot" w:pos="512pt"/>
        </w:tabs>
        <w:rPr>
          <w:rFonts w:ascii="Calibri" w:hAnsi="Calibri"/>
          <w:sz w:val="22"/>
        </w:rPr>
      </w:pPr>
      <w:hyperlink w:anchor="_Toc256001445" w:history="1">
        <w:r w:rsidR="00A77B3E">
          <w:rPr>
            <w:rStyle w:val="Hiperpovezava"/>
          </w:rPr>
          <w:t>Tabela 15A: Prispevki v InvestEU* (razčlenitev po letih)</w:t>
        </w:r>
        <w:r w:rsidR="00B16CCF">
          <w:tab/>
        </w:r>
        <w:r w:rsidR="00B16CCF">
          <w:fldChar w:fldCharType="begin"/>
        </w:r>
        <w:r w:rsidR="00B16CCF">
          <w:instrText xml:space="preserve"> PAGEREF _Toc256001445 \h </w:instrText>
        </w:r>
        <w:r w:rsidR="00B16CCF">
          <w:fldChar w:fldCharType="separate"/>
        </w:r>
        <w:r w:rsidR="00B16CCF">
          <w:t>325</w:t>
        </w:r>
        <w:r w:rsidR="00B16CCF">
          <w:fldChar w:fldCharType="end"/>
        </w:r>
      </w:hyperlink>
    </w:p>
    <w:p w14:paraId="00E893FB" w14:textId="77777777" w:rsidR="00823317" w:rsidRDefault="001D0AD2">
      <w:pPr>
        <w:pStyle w:val="Kazalovsebine4"/>
        <w:tabs>
          <w:tab w:val="end" w:leader="dot" w:pos="512pt"/>
        </w:tabs>
        <w:rPr>
          <w:rFonts w:ascii="Calibri" w:hAnsi="Calibri"/>
          <w:sz w:val="22"/>
        </w:rPr>
      </w:pPr>
      <w:hyperlink w:anchor="_Toc256001446" w:history="1">
        <w:r w:rsidR="00A77B3E">
          <w:rPr>
            <w:rStyle w:val="Hiperpovezava"/>
          </w:rPr>
          <w:t>Tabela 15B: Prispevki v InvestEU* (povzetek)</w:t>
        </w:r>
        <w:r w:rsidR="00B16CCF">
          <w:tab/>
        </w:r>
        <w:r w:rsidR="00B16CCF">
          <w:fldChar w:fldCharType="begin"/>
        </w:r>
        <w:r w:rsidR="00B16CCF">
          <w:instrText xml:space="preserve"> PAGEREF _Toc256001446 \h </w:instrText>
        </w:r>
        <w:r w:rsidR="00B16CCF">
          <w:fldChar w:fldCharType="separate"/>
        </w:r>
        <w:r w:rsidR="00B16CCF">
          <w:t>325</w:t>
        </w:r>
        <w:r w:rsidR="00B16CCF">
          <w:fldChar w:fldCharType="end"/>
        </w:r>
      </w:hyperlink>
    </w:p>
    <w:p w14:paraId="7581BFF9" w14:textId="77777777" w:rsidR="00823317" w:rsidRDefault="001D0AD2">
      <w:pPr>
        <w:pStyle w:val="Kazalovsebine4"/>
        <w:tabs>
          <w:tab w:val="end" w:leader="dot" w:pos="512pt"/>
        </w:tabs>
        <w:rPr>
          <w:rFonts w:ascii="Calibri" w:hAnsi="Calibri"/>
          <w:sz w:val="22"/>
        </w:rPr>
      </w:pPr>
      <w:hyperlink w:anchor="_Toc256001447" w:history="1">
        <w:r w:rsidR="00A77B3E">
          <w:rPr>
            <w:rStyle w:val="Hiperpovezava"/>
          </w:rPr>
          <w:t>Utemeljitev, ob upoštevanju, kako navedeni zneski prispevajo k doseganju ciljev politike, izbranih v programu v skladu s členom 10(1) uredbe o InvestEU</w:t>
        </w:r>
        <w:r w:rsidR="00B16CCF">
          <w:tab/>
        </w:r>
        <w:r w:rsidR="00B16CCF">
          <w:fldChar w:fldCharType="begin"/>
        </w:r>
        <w:r w:rsidR="00B16CCF">
          <w:instrText xml:space="preserve"> PAGEREF _Toc256001447 \h </w:instrText>
        </w:r>
        <w:r w:rsidR="00B16CCF">
          <w:fldChar w:fldCharType="separate"/>
        </w:r>
        <w:r w:rsidR="00B16CCF">
          <w:t>325</w:t>
        </w:r>
        <w:r w:rsidR="00B16CCF">
          <w:fldChar w:fldCharType="end"/>
        </w:r>
      </w:hyperlink>
    </w:p>
    <w:p w14:paraId="0DAEB1B7" w14:textId="77777777" w:rsidR="00823317" w:rsidRDefault="001D0AD2">
      <w:pPr>
        <w:pStyle w:val="Kazalovsebine4"/>
        <w:tabs>
          <w:tab w:val="end" w:leader="dot" w:pos="512pt"/>
        </w:tabs>
        <w:rPr>
          <w:rFonts w:ascii="Calibri" w:hAnsi="Calibri"/>
          <w:sz w:val="22"/>
        </w:rPr>
      </w:pPr>
      <w:hyperlink w:anchor="_Toc256001448" w:history="1">
        <w:r w:rsidR="00A77B3E">
          <w:rPr>
            <w:rStyle w:val="Hiperpovezava"/>
          </w:rPr>
          <w:t>Tabela 16A: Prerazporeditve v instrumente v okviru neposrednega ali posrednega upravljanja (razčlenitev po letih)</w:t>
        </w:r>
        <w:r w:rsidR="00B16CCF">
          <w:tab/>
        </w:r>
        <w:r w:rsidR="00B16CCF">
          <w:fldChar w:fldCharType="begin"/>
        </w:r>
        <w:r w:rsidR="00B16CCF">
          <w:instrText xml:space="preserve"> PAGEREF _Toc256001448 \h </w:instrText>
        </w:r>
        <w:r w:rsidR="00B16CCF">
          <w:fldChar w:fldCharType="separate"/>
        </w:r>
        <w:r w:rsidR="00B16CCF">
          <w:t>326</w:t>
        </w:r>
        <w:r w:rsidR="00B16CCF">
          <w:fldChar w:fldCharType="end"/>
        </w:r>
      </w:hyperlink>
    </w:p>
    <w:p w14:paraId="01E47B0C" w14:textId="77777777" w:rsidR="00823317" w:rsidRDefault="001D0AD2">
      <w:pPr>
        <w:pStyle w:val="Kazalovsebine4"/>
        <w:tabs>
          <w:tab w:val="end" w:leader="dot" w:pos="512pt"/>
        </w:tabs>
        <w:rPr>
          <w:rFonts w:ascii="Calibri" w:hAnsi="Calibri"/>
          <w:sz w:val="22"/>
        </w:rPr>
      </w:pPr>
      <w:hyperlink w:anchor="_Toc256001449" w:history="1">
        <w:r w:rsidR="00A77B3E">
          <w:rPr>
            <w:rStyle w:val="Hiperpovezava"/>
          </w:rPr>
          <w:t>Tabela 16B: Prerazporeditve v instrumente v okviru neposrednega ali posrednega upravljanja* (povzetek)</w:t>
        </w:r>
        <w:r w:rsidR="00B16CCF">
          <w:tab/>
        </w:r>
        <w:r w:rsidR="00B16CCF">
          <w:fldChar w:fldCharType="begin"/>
        </w:r>
        <w:r w:rsidR="00B16CCF">
          <w:instrText xml:space="preserve"> PAGEREF _Toc256001449 \h </w:instrText>
        </w:r>
        <w:r w:rsidR="00B16CCF">
          <w:fldChar w:fldCharType="separate"/>
        </w:r>
        <w:r w:rsidR="00B16CCF">
          <w:t>326</w:t>
        </w:r>
        <w:r w:rsidR="00B16CCF">
          <w:fldChar w:fldCharType="end"/>
        </w:r>
      </w:hyperlink>
    </w:p>
    <w:p w14:paraId="35512C5D" w14:textId="77777777" w:rsidR="00823317" w:rsidRDefault="001D0AD2">
      <w:pPr>
        <w:pStyle w:val="Kazalovsebine4"/>
        <w:tabs>
          <w:tab w:val="end" w:leader="dot" w:pos="512pt"/>
        </w:tabs>
        <w:rPr>
          <w:rFonts w:ascii="Calibri" w:hAnsi="Calibri"/>
          <w:sz w:val="22"/>
        </w:rPr>
      </w:pPr>
      <w:hyperlink w:anchor="_Toc256001450" w:history="1">
        <w:r w:rsidR="00A77B3E">
          <w:rPr>
            <w:rStyle w:val="Hiperpovezava"/>
          </w:rPr>
          <w:t>Prerazporeditve v instrumente v okviru neposrednega ali posrednega upravljanja – utemeljitev</w:t>
        </w:r>
        <w:r w:rsidR="00B16CCF">
          <w:tab/>
        </w:r>
        <w:r w:rsidR="00B16CCF">
          <w:fldChar w:fldCharType="begin"/>
        </w:r>
        <w:r w:rsidR="00B16CCF">
          <w:instrText xml:space="preserve"> PAGEREF _Toc256001450 \h </w:instrText>
        </w:r>
        <w:r w:rsidR="00B16CCF">
          <w:fldChar w:fldCharType="separate"/>
        </w:r>
        <w:r w:rsidR="00B16CCF">
          <w:t>326</w:t>
        </w:r>
        <w:r w:rsidR="00B16CCF">
          <w:fldChar w:fldCharType="end"/>
        </w:r>
      </w:hyperlink>
    </w:p>
    <w:p w14:paraId="061FBDB0" w14:textId="77777777" w:rsidR="00823317" w:rsidRDefault="001D0AD2">
      <w:pPr>
        <w:pStyle w:val="Kazalovsebine4"/>
        <w:tabs>
          <w:tab w:val="end" w:leader="dot" w:pos="512pt"/>
        </w:tabs>
        <w:rPr>
          <w:rFonts w:ascii="Calibri" w:hAnsi="Calibri"/>
          <w:sz w:val="22"/>
        </w:rPr>
      </w:pPr>
      <w:hyperlink w:anchor="_Toc256001451" w:history="1">
        <w:r w:rsidR="00A77B3E">
          <w:rPr>
            <w:rStyle w:val="Hiperpovezava"/>
          </w:rPr>
          <w:t>Tabela 17A: Prerazporeditve med skladi ESRR, ESS+ in Kohezijskim skladom ali v drugi sklad ali sklade (razčlenitev po letih)</w:t>
        </w:r>
        <w:r w:rsidR="00B16CCF">
          <w:tab/>
        </w:r>
        <w:r w:rsidR="00B16CCF">
          <w:fldChar w:fldCharType="begin"/>
        </w:r>
        <w:r w:rsidR="00B16CCF">
          <w:instrText xml:space="preserve"> PAGEREF _Toc256001451 \h </w:instrText>
        </w:r>
        <w:r w:rsidR="00B16CCF">
          <w:fldChar w:fldCharType="separate"/>
        </w:r>
        <w:r w:rsidR="00B16CCF">
          <w:t>326</w:t>
        </w:r>
        <w:r w:rsidR="00B16CCF">
          <w:fldChar w:fldCharType="end"/>
        </w:r>
      </w:hyperlink>
    </w:p>
    <w:p w14:paraId="0ABCC183" w14:textId="77777777" w:rsidR="00823317" w:rsidRDefault="001D0AD2">
      <w:pPr>
        <w:pStyle w:val="Kazalovsebine4"/>
        <w:tabs>
          <w:tab w:val="end" w:leader="dot" w:pos="512pt"/>
        </w:tabs>
        <w:rPr>
          <w:rFonts w:ascii="Calibri" w:hAnsi="Calibri"/>
          <w:sz w:val="22"/>
        </w:rPr>
      </w:pPr>
      <w:hyperlink w:anchor="_Toc256001452" w:history="1">
        <w:r w:rsidR="00A77B3E">
          <w:rPr>
            <w:rStyle w:val="Hiperpovezava"/>
          </w:rPr>
          <w:t>Tabela 17B: Prerazporeditve med skladi ESRR, ESS+ in Kohezijskim skladom ali v drugi sklad ali sklade (povzetek)</w:t>
        </w:r>
        <w:r w:rsidR="00B16CCF">
          <w:tab/>
        </w:r>
        <w:r w:rsidR="00B16CCF">
          <w:fldChar w:fldCharType="begin"/>
        </w:r>
        <w:r w:rsidR="00B16CCF">
          <w:instrText xml:space="preserve"> PAGEREF _Toc256001452 \h </w:instrText>
        </w:r>
        <w:r w:rsidR="00B16CCF">
          <w:fldChar w:fldCharType="separate"/>
        </w:r>
        <w:r w:rsidR="00B16CCF">
          <w:t>326</w:t>
        </w:r>
        <w:r w:rsidR="00B16CCF">
          <w:fldChar w:fldCharType="end"/>
        </w:r>
      </w:hyperlink>
    </w:p>
    <w:p w14:paraId="06587764" w14:textId="77777777" w:rsidR="00823317" w:rsidRDefault="001D0AD2">
      <w:pPr>
        <w:pStyle w:val="Kazalovsebine4"/>
        <w:tabs>
          <w:tab w:val="end" w:leader="dot" w:pos="512pt"/>
        </w:tabs>
        <w:rPr>
          <w:rFonts w:ascii="Calibri" w:hAnsi="Calibri"/>
          <w:sz w:val="22"/>
        </w:rPr>
      </w:pPr>
      <w:hyperlink w:anchor="_Toc256001453" w:history="1">
        <w:r w:rsidR="00A77B3E">
          <w:rPr>
            <w:rStyle w:val="Hiperpovezava"/>
          </w:rPr>
          <w:t>Prerazporeditve med skladi z deljenim upravljanjem, vključno med skladi kohezijske politike – utemeljitev</w:t>
        </w:r>
        <w:r w:rsidR="00B16CCF">
          <w:tab/>
        </w:r>
        <w:r w:rsidR="00B16CCF">
          <w:fldChar w:fldCharType="begin"/>
        </w:r>
        <w:r w:rsidR="00B16CCF">
          <w:instrText xml:space="preserve"> PAGEREF _Toc256001453 \h </w:instrText>
        </w:r>
        <w:r w:rsidR="00B16CCF">
          <w:fldChar w:fldCharType="separate"/>
        </w:r>
        <w:r w:rsidR="00B16CCF">
          <w:t>327</w:t>
        </w:r>
        <w:r w:rsidR="00B16CCF">
          <w:fldChar w:fldCharType="end"/>
        </w:r>
      </w:hyperlink>
    </w:p>
    <w:p w14:paraId="0AE8DEAB" w14:textId="77777777" w:rsidR="00823317" w:rsidRDefault="001D0AD2">
      <w:pPr>
        <w:pStyle w:val="Kazalovsebine4"/>
        <w:tabs>
          <w:tab w:val="end" w:leader="dot" w:pos="512pt"/>
        </w:tabs>
        <w:rPr>
          <w:rFonts w:ascii="Calibri" w:hAnsi="Calibri"/>
          <w:sz w:val="22"/>
        </w:rPr>
      </w:pPr>
      <w:hyperlink w:anchor="_Toc256001454" w:history="1">
        <w:r w:rsidR="00A77B3E">
          <w:rPr>
            <w:rStyle w:val="Hiperpovezava"/>
          </w:rPr>
          <w:t>Preglednica 21: Sredstva, ki prispevajo k ciljem iz člena 21c(3) Uredbe (EU) 2021/241</w:t>
        </w:r>
        <w:r w:rsidR="00B16CCF">
          <w:tab/>
        </w:r>
        <w:r w:rsidR="00B16CCF">
          <w:fldChar w:fldCharType="begin"/>
        </w:r>
        <w:r w:rsidR="00B16CCF">
          <w:instrText xml:space="preserve"> PAGEREF _Toc256001454 \h </w:instrText>
        </w:r>
        <w:r w:rsidR="00B16CCF">
          <w:fldChar w:fldCharType="separate"/>
        </w:r>
        <w:r w:rsidR="00B16CCF">
          <w:t>328</w:t>
        </w:r>
        <w:r w:rsidR="00B16CCF">
          <w:fldChar w:fldCharType="end"/>
        </w:r>
      </w:hyperlink>
    </w:p>
    <w:p w14:paraId="22B30776" w14:textId="77777777" w:rsidR="00823317" w:rsidRDefault="001D0AD2">
      <w:pPr>
        <w:pStyle w:val="Kazalovsebine2"/>
        <w:tabs>
          <w:tab w:val="end" w:leader="dot" w:pos="512pt"/>
        </w:tabs>
        <w:rPr>
          <w:rFonts w:ascii="Calibri" w:hAnsi="Calibri"/>
          <w:sz w:val="22"/>
        </w:rPr>
      </w:pPr>
      <w:hyperlink w:anchor="_Toc256001455" w:history="1">
        <w:r w:rsidR="00A77B3E">
          <w:rPr>
            <w:rStyle w:val="Hiperpovezava"/>
          </w:rPr>
          <w:t>3.2. SPP: dodelitev v programu in prerazporeditve (1)</w:t>
        </w:r>
        <w:r w:rsidR="00B16CCF">
          <w:tab/>
        </w:r>
        <w:r w:rsidR="00B16CCF">
          <w:fldChar w:fldCharType="begin"/>
        </w:r>
        <w:r w:rsidR="00B16CCF">
          <w:instrText xml:space="preserve"> PAGEREF _Toc256001455 \h </w:instrText>
        </w:r>
        <w:r w:rsidR="00B16CCF">
          <w:fldChar w:fldCharType="separate"/>
        </w:r>
        <w:r w:rsidR="00B16CCF">
          <w:t>328</w:t>
        </w:r>
        <w:r w:rsidR="00B16CCF">
          <w:fldChar w:fldCharType="end"/>
        </w:r>
      </w:hyperlink>
    </w:p>
    <w:p w14:paraId="4931FC54" w14:textId="77777777" w:rsidR="00823317" w:rsidRDefault="001D0AD2">
      <w:pPr>
        <w:pStyle w:val="Kazalovsebine4"/>
        <w:tabs>
          <w:tab w:val="end" w:leader="dot" w:pos="512pt"/>
        </w:tabs>
        <w:rPr>
          <w:rFonts w:ascii="Calibri" w:hAnsi="Calibri"/>
          <w:sz w:val="22"/>
        </w:rPr>
      </w:pPr>
      <w:hyperlink w:anchor="_Toc256001456" w:history="1">
        <w:r w:rsidR="00A77B3E">
          <w:rPr>
            <w:rStyle w:val="Hiperpovezava"/>
          </w:rPr>
          <w:t>3.2.1. Sredstva SPP, dodeljena programu pred prerazporeditvami po prednostnih nalogah (kjer je ustrezno) (2)</w:t>
        </w:r>
        <w:r w:rsidR="00B16CCF">
          <w:tab/>
        </w:r>
        <w:r w:rsidR="00B16CCF">
          <w:fldChar w:fldCharType="begin"/>
        </w:r>
        <w:r w:rsidR="00B16CCF">
          <w:instrText xml:space="preserve"> PAGEREF _Toc256001456 \h </w:instrText>
        </w:r>
        <w:r w:rsidR="00B16CCF">
          <w:fldChar w:fldCharType="separate"/>
        </w:r>
        <w:r w:rsidR="00B16CCF">
          <w:t>328</w:t>
        </w:r>
        <w:r w:rsidR="00B16CCF">
          <w:fldChar w:fldCharType="end"/>
        </w:r>
      </w:hyperlink>
    </w:p>
    <w:p w14:paraId="1DAA00C7" w14:textId="77777777" w:rsidR="00823317" w:rsidRDefault="001D0AD2">
      <w:pPr>
        <w:pStyle w:val="Kazalovsebine4"/>
        <w:tabs>
          <w:tab w:val="end" w:leader="dot" w:pos="512pt"/>
        </w:tabs>
        <w:rPr>
          <w:rFonts w:ascii="Calibri" w:hAnsi="Calibri"/>
          <w:sz w:val="22"/>
        </w:rPr>
      </w:pPr>
      <w:hyperlink w:anchor="_Toc256001457" w:history="1">
        <w:r w:rsidR="00A77B3E">
          <w:rPr>
            <w:rStyle w:val="Hiperpovezava"/>
          </w:rPr>
          <w:t>Tabela 18: Dodelitev iz SPP v program v skladu s členom 3 uredbe o SPP pred prerazporeditvami</w:t>
        </w:r>
        <w:r w:rsidR="00B16CCF">
          <w:tab/>
        </w:r>
        <w:r w:rsidR="00B16CCF">
          <w:fldChar w:fldCharType="begin"/>
        </w:r>
        <w:r w:rsidR="00B16CCF">
          <w:instrText xml:space="preserve"> PAGEREF _Toc256001457 \h </w:instrText>
        </w:r>
        <w:r w:rsidR="00B16CCF">
          <w:fldChar w:fldCharType="separate"/>
        </w:r>
        <w:r w:rsidR="00B16CCF">
          <w:t>328</w:t>
        </w:r>
        <w:r w:rsidR="00B16CCF">
          <w:fldChar w:fldCharType="end"/>
        </w:r>
      </w:hyperlink>
    </w:p>
    <w:p w14:paraId="1DEC991A" w14:textId="77777777" w:rsidR="00823317" w:rsidRDefault="001D0AD2">
      <w:pPr>
        <w:pStyle w:val="Kazalovsebine4"/>
        <w:tabs>
          <w:tab w:val="end" w:leader="dot" w:pos="512pt"/>
        </w:tabs>
        <w:rPr>
          <w:rFonts w:ascii="Calibri" w:hAnsi="Calibri"/>
          <w:sz w:val="22"/>
        </w:rPr>
      </w:pPr>
      <w:hyperlink w:anchor="_Toc256001458" w:history="1">
        <w:r w:rsidR="00A77B3E">
          <w:rPr>
            <w:rStyle w:val="Hiperpovezava"/>
          </w:rPr>
          <w:t>3.2.2. Prerazporeditve v SPP kot dopolnilna podpora (1) (kjer je ustrezno)</w:t>
        </w:r>
        <w:r w:rsidR="00B16CCF">
          <w:tab/>
        </w:r>
        <w:r w:rsidR="00B16CCF">
          <w:fldChar w:fldCharType="begin"/>
        </w:r>
        <w:r w:rsidR="00B16CCF">
          <w:instrText xml:space="preserve"> PAGEREF _Toc256001458 \h </w:instrText>
        </w:r>
        <w:r w:rsidR="00B16CCF">
          <w:fldChar w:fldCharType="separate"/>
        </w:r>
        <w:r w:rsidR="00B16CCF">
          <w:t>329</w:t>
        </w:r>
        <w:r w:rsidR="00B16CCF">
          <w:fldChar w:fldCharType="end"/>
        </w:r>
      </w:hyperlink>
    </w:p>
    <w:p w14:paraId="18BA46E0" w14:textId="77777777" w:rsidR="00823317" w:rsidRDefault="001D0AD2">
      <w:pPr>
        <w:pStyle w:val="Kazalovsebine4"/>
        <w:tabs>
          <w:tab w:val="end" w:leader="dot" w:pos="512pt"/>
        </w:tabs>
        <w:rPr>
          <w:rFonts w:ascii="Calibri" w:hAnsi="Calibri"/>
          <w:sz w:val="22"/>
        </w:rPr>
      </w:pPr>
      <w:hyperlink w:anchor="_Toc256001459" w:history="1">
        <w:r w:rsidR="00A77B3E">
          <w:rPr>
            <w:rStyle w:val="Hiperpovezava"/>
          </w:rPr>
          <w:t>Tabela 18A: Prerazporeditve v SPP v okviru programa (razčlenitev po letih)</w:t>
        </w:r>
        <w:r w:rsidR="00B16CCF">
          <w:tab/>
        </w:r>
        <w:r w:rsidR="00B16CCF">
          <w:fldChar w:fldCharType="begin"/>
        </w:r>
        <w:r w:rsidR="00B16CCF">
          <w:instrText xml:space="preserve"> PAGEREF _Toc256001459 \h </w:instrText>
        </w:r>
        <w:r w:rsidR="00B16CCF">
          <w:fldChar w:fldCharType="separate"/>
        </w:r>
        <w:r w:rsidR="00B16CCF">
          <w:t>329</w:t>
        </w:r>
        <w:r w:rsidR="00B16CCF">
          <w:fldChar w:fldCharType="end"/>
        </w:r>
      </w:hyperlink>
    </w:p>
    <w:p w14:paraId="3D3DBD57" w14:textId="77777777" w:rsidR="00823317" w:rsidRDefault="001D0AD2">
      <w:pPr>
        <w:pStyle w:val="Kazalovsebine4"/>
        <w:tabs>
          <w:tab w:val="end" w:leader="dot" w:pos="512pt"/>
        </w:tabs>
        <w:rPr>
          <w:rFonts w:ascii="Calibri" w:hAnsi="Calibri"/>
          <w:sz w:val="22"/>
        </w:rPr>
      </w:pPr>
      <w:hyperlink w:anchor="_Toc256001460" w:history="1">
        <w:r w:rsidR="00A77B3E">
          <w:rPr>
            <w:rStyle w:val="Hiperpovezava"/>
          </w:rPr>
          <w:t>Tabela 18B: Prerazporeditev sredstev ESRR in ESS+ v SPP v okviru programa</w:t>
        </w:r>
        <w:r w:rsidR="00B16CCF">
          <w:tab/>
        </w:r>
        <w:r w:rsidR="00B16CCF">
          <w:fldChar w:fldCharType="begin"/>
        </w:r>
        <w:r w:rsidR="00B16CCF">
          <w:instrText xml:space="preserve"> PAGEREF _Toc256001460 \h </w:instrText>
        </w:r>
        <w:r w:rsidR="00B16CCF">
          <w:fldChar w:fldCharType="separate"/>
        </w:r>
        <w:r w:rsidR="00B16CCF">
          <w:t>329</w:t>
        </w:r>
        <w:r w:rsidR="00B16CCF">
          <w:fldChar w:fldCharType="end"/>
        </w:r>
      </w:hyperlink>
    </w:p>
    <w:p w14:paraId="049594C4" w14:textId="77777777" w:rsidR="00823317" w:rsidRDefault="001D0AD2">
      <w:pPr>
        <w:pStyle w:val="Kazalovsebine4"/>
        <w:tabs>
          <w:tab w:val="end" w:leader="dot" w:pos="512pt"/>
        </w:tabs>
        <w:rPr>
          <w:rFonts w:ascii="Calibri" w:hAnsi="Calibri"/>
          <w:sz w:val="22"/>
        </w:rPr>
      </w:pPr>
      <w:hyperlink w:anchor="_Toc256001461" w:history="1">
        <w:r w:rsidR="00A77B3E">
          <w:rPr>
            <w:rStyle w:val="Hiperpovezava"/>
          </w:rPr>
          <w:t>Tabela 18C: Prerazporeditve v SPP iz drugih programov (razčlenitev po letih)</w:t>
        </w:r>
        <w:r w:rsidR="00B16CCF">
          <w:tab/>
        </w:r>
        <w:r w:rsidR="00B16CCF">
          <w:fldChar w:fldCharType="begin"/>
        </w:r>
        <w:r w:rsidR="00B16CCF">
          <w:instrText xml:space="preserve"> PAGEREF _Toc256001461 \h </w:instrText>
        </w:r>
        <w:r w:rsidR="00B16CCF">
          <w:fldChar w:fldCharType="separate"/>
        </w:r>
        <w:r w:rsidR="00B16CCF">
          <w:t>329</w:t>
        </w:r>
        <w:r w:rsidR="00B16CCF">
          <w:fldChar w:fldCharType="end"/>
        </w:r>
      </w:hyperlink>
    </w:p>
    <w:p w14:paraId="7978D4BA" w14:textId="77777777" w:rsidR="00823317" w:rsidRDefault="001D0AD2">
      <w:pPr>
        <w:pStyle w:val="Kazalovsebine4"/>
        <w:tabs>
          <w:tab w:val="end" w:leader="dot" w:pos="512pt"/>
        </w:tabs>
        <w:rPr>
          <w:rFonts w:ascii="Calibri" w:hAnsi="Calibri"/>
          <w:sz w:val="22"/>
        </w:rPr>
      </w:pPr>
      <w:hyperlink w:anchor="_Toc256001462" w:history="1">
        <w:r w:rsidR="00A77B3E">
          <w:rPr>
            <w:rStyle w:val="Hiperpovezava"/>
          </w:rPr>
          <w:t>Tabela 18D: Prerazporeditev sredstev ESRR in ESS+ iz drugih programov v SPP v tem programu</w:t>
        </w:r>
        <w:r w:rsidR="00B16CCF">
          <w:tab/>
        </w:r>
        <w:r w:rsidR="00B16CCF">
          <w:fldChar w:fldCharType="begin"/>
        </w:r>
        <w:r w:rsidR="00B16CCF">
          <w:instrText xml:space="preserve"> PAGEREF _Toc256001462 \h </w:instrText>
        </w:r>
        <w:r w:rsidR="00B16CCF">
          <w:fldChar w:fldCharType="separate"/>
        </w:r>
        <w:r w:rsidR="00B16CCF">
          <w:t>330</w:t>
        </w:r>
        <w:r w:rsidR="00B16CCF">
          <w:fldChar w:fldCharType="end"/>
        </w:r>
      </w:hyperlink>
    </w:p>
    <w:p w14:paraId="2B85E63F" w14:textId="77777777" w:rsidR="00823317" w:rsidRDefault="001D0AD2">
      <w:pPr>
        <w:pStyle w:val="Kazalovsebine4"/>
        <w:tabs>
          <w:tab w:val="end" w:leader="dot" w:pos="512pt"/>
        </w:tabs>
        <w:rPr>
          <w:rFonts w:ascii="Calibri" w:hAnsi="Calibri"/>
          <w:sz w:val="22"/>
        </w:rPr>
      </w:pPr>
      <w:hyperlink w:anchor="_Toc256001463" w:history="1">
        <w:r w:rsidR="00A77B3E">
          <w:rPr>
            <w:rStyle w:val="Hiperpovezava"/>
          </w:rPr>
          <w:t>Utemeljitev dopolnilne prerazporeditve iz ESRR in ESS+ na podlagi načrtovanih vrst ukrepov</w:t>
        </w:r>
        <w:r w:rsidR="00B16CCF">
          <w:tab/>
        </w:r>
        <w:r w:rsidR="00B16CCF">
          <w:fldChar w:fldCharType="begin"/>
        </w:r>
        <w:r w:rsidR="00B16CCF">
          <w:instrText xml:space="preserve"> PAGEREF _Toc256001463 \h </w:instrText>
        </w:r>
        <w:r w:rsidR="00B16CCF">
          <w:fldChar w:fldCharType="separate"/>
        </w:r>
        <w:r w:rsidR="00B16CCF">
          <w:t>330</w:t>
        </w:r>
        <w:r w:rsidR="00B16CCF">
          <w:fldChar w:fldCharType="end"/>
        </w:r>
      </w:hyperlink>
    </w:p>
    <w:p w14:paraId="4ADED055" w14:textId="77777777" w:rsidR="00823317" w:rsidRDefault="001D0AD2">
      <w:pPr>
        <w:pStyle w:val="Kazalovsebine2"/>
        <w:tabs>
          <w:tab w:val="end" w:leader="dot" w:pos="512pt"/>
        </w:tabs>
        <w:rPr>
          <w:rFonts w:ascii="Calibri" w:hAnsi="Calibri"/>
          <w:sz w:val="22"/>
        </w:rPr>
      </w:pPr>
      <w:hyperlink w:anchor="_Toc256001464" w:history="1">
        <w:r w:rsidR="00A77B3E">
          <w:rPr>
            <w:rStyle w:val="Hiperpovezava"/>
            <w:rFonts w:ascii="TimesNewRoman" w:eastAsia="TimesNewRoman" w:hAnsi="TimesNewRoman" w:cs="TimesNewRoman"/>
          </w:rPr>
          <w:t>3.3. Prerazporeditve med kategorijami regij na podlagi vmesnega pregleda</w:t>
        </w:r>
        <w:r w:rsidR="00B16CCF">
          <w:tab/>
        </w:r>
        <w:r w:rsidR="00B16CCF">
          <w:fldChar w:fldCharType="begin"/>
        </w:r>
        <w:r w:rsidR="00B16CCF">
          <w:instrText xml:space="preserve"> PAGEREF _Toc256001464 \h </w:instrText>
        </w:r>
        <w:r w:rsidR="00B16CCF">
          <w:fldChar w:fldCharType="separate"/>
        </w:r>
        <w:r w:rsidR="00B16CCF">
          <w:t>330</w:t>
        </w:r>
        <w:r w:rsidR="00B16CCF">
          <w:fldChar w:fldCharType="end"/>
        </w:r>
      </w:hyperlink>
    </w:p>
    <w:p w14:paraId="60EB37BA" w14:textId="77777777" w:rsidR="00823317" w:rsidRDefault="001D0AD2">
      <w:pPr>
        <w:pStyle w:val="Kazalovsebine4"/>
        <w:tabs>
          <w:tab w:val="end" w:leader="dot" w:pos="512pt"/>
        </w:tabs>
        <w:rPr>
          <w:rFonts w:ascii="Calibri" w:hAnsi="Calibri"/>
          <w:sz w:val="22"/>
        </w:rPr>
      </w:pPr>
      <w:hyperlink w:anchor="_Toc256001465" w:history="1">
        <w:r w:rsidR="00A77B3E">
          <w:rPr>
            <w:rStyle w:val="Hiperpovezava"/>
            <w:rFonts w:ascii="TimesNewRoman" w:eastAsia="TimesNewRoman" w:hAnsi="TimesNewRoman" w:cs="TimesNewRoman"/>
          </w:rPr>
          <w:t>Tabela 19A: Prerazporeditve med kategorijami regij na podlagi vmesnega pregleda v okviru programa (razčlenitev po letih)</w:t>
        </w:r>
        <w:r w:rsidR="00B16CCF">
          <w:tab/>
        </w:r>
        <w:r w:rsidR="00B16CCF">
          <w:fldChar w:fldCharType="begin"/>
        </w:r>
        <w:r w:rsidR="00B16CCF">
          <w:instrText xml:space="preserve"> PAGEREF _Toc256001465 \h </w:instrText>
        </w:r>
        <w:r w:rsidR="00B16CCF">
          <w:fldChar w:fldCharType="separate"/>
        </w:r>
        <w:r w:rsidR="00B16CCF">
          <w:t>330</w:t>
        </w:r>
        <w:r w:rsidR="00B16CCF">
          <w:fldChar w:fldCharType="end"/>
        </w:r>
      </w:hyperlink>
    </w:p>
    <w:p w14:paraId="3AC5B529" w14:textId="77777777" w:rsidR="00823317" w:rsidRDefault="001D0AD2">
      <w:pPr>
        <w:pStyle w:val="Kazalovsebine4"/>
        <w:tabs>
          <w:tab w:val="end" w:leader="dot" w:pos="512pt"/>
        </w:tabs>
        <w:rPr>
          <w:rFonts w:ascii="Calibri" w:hAnsi="Calibri"/>
          <w:sz w:val="22"/>
        </w:rPr>
      </w:pPr>
      <w:hyperlink w:anchor="_Toc256001466" w:history="1">
        <w:r w:rsidR="00A77B3E">
          <w:rPr>
            <w:rStyle w:val="Hiperpovezava"/>
            <w:rFonts w:ascii="TimesNewRoman" w:eastAsia="TimesNewRoman" w:hAnsi="TimesNewRoman" w:cs="TimesNewRoman"/>
          </w:rPr>
          <w:t>Tabela 19B: Prerazporeditve med kategorijami regij na podlagi vmesnega pregleda v druge programe (razčlenitev po letih)</w:t>
        </w:r>
        <w:r w:rsidR="00B16CCF">
          <w:tab/>
        </w:r>
        <w:r w:rsidR="00B16CCF">
          <w:fldChar w:fldCharType="begin"/>
        </w:r>
        <w:r w:rsidR="00B16CCF">
          <w:instrText xml:space="preserve"> PAGEREF _Toc256001466 \h </w:instrText>
        </w:r>
        <w:r w:rsidR="00B16CCF">
          <w:fldChar w:fldCharType="separate"/>
        </w:r>
        <w:r w:rsidR="00B16CCF">
          <w:t>330</w:t>
        </w:r>
        <w:r w:rsidR="00B16CCF">
          <w:fldChar w:fldCharType="end"/>
        </w:r>
      </w:hyperlink>
    </w:p>
    <w:p w14:paraId="4DC3B086" w14:textId="77777777" w:rsidR="00823317" w:rsidRDefault="001D0AD2">
      <w:pPr>
        <w:pStyle w:val="Kazalovsebine2"/>
        <w:tabs>
          <w:tab w:val="end" w:leader="dot" w:pos="512pt"/>
        </w:tabs>
        <w:rPr>
          <w:rFonts w:ascii="Calibri" w:hAnsi="Calibri"/>
          <w:sz w:val="22"/>
        </w:rPr>
      </w:pPr>
      <w:hyperlink w:anchor="_Toc256001467" w:history="1">
        <w:r w:rsidR="00A77B3E">
          <w:rPr>
            <w:rStyle w:val="Hiperpovezava"/>
            <w:rFonts w:ascii="TimesNewRoman" w:eastAsia="TimesNewRoman" w:hAnsi="TimesNewRoman" w:cs="TimesNewRoman"/>
          </w:rPr>
          <w:t>3.4. Prerazporeditve nazaj (1)</w:t>
        </w:r>
        <w:r w:rsidR="00B16CCF">
          <w:tab/>
        </w:r>
        <w:r w:rsidR="00B16CCF">
          <w:fldChar w:fldCharType="begin"/>
        </w:r>
        <w:r w:rsidR="00B16CCF">
          <w:instrText xml:space="preserve"> PAGEREF _Toc256001467 \h </w:instrText>
        </w:r>
        <w:r w:rsidR="00B16CCF">
          <w:fldChar w:fldCharType="separate"/>
        </w:r>
        <w:r w:rsidR="00B16CCF">
          <w:t>331</w:t>
        </w:r>
        <w:r w:rsidR="00B16CCF">
          <w:fldChar w:fldCharType="end"/>
        </w:r>
      </w:hyperlink>
    </w:p>
    <w:p w14:paraId="6757DB38" w14:textId="77777777" w:rsidR="00823317" w:rsidRDefault="001D0AD2">
      <w:pPr>
        <w:pStyle w:val="Kazalovsebine4"/>
        <w:tabs>
          <w:tab w:val="end" w:leader="dot" w:pos="512pt"/>
        </w:tabs>
        <w:rPr>
          <w:rFonts w:ascii="Calibri" w:hAnsi="Calibri"/>
          <w:sz w:val="22"/>
        </w:rPr>
      </w:pPr>
      <w:hyperlink w:anchor="_Toc256001468" w:history="1">
        <w:r w:rsidR="00A77B3E">
          <w:rPr>
            <w:rStyle w:val="Hiperpovezava"/>
            <w:rFonts w:ascii="TimesNewRoman" w:eastAsia="TimesNewRoman" w:hAnsi="TimesNewRoman" w:cs="TimesNewRoman"/>
          </w:rPr>
          <w:t>Tabela 20A: Prerazporeditve nazaj (razčlenitev po letih)</w:t>
        </w:r>
        <w:r w:rsidR="00B16CCF">
          <w:tab/>
        </w:r>
        <w:r w:rsidR="00B16CCF">
          <w:fldChar w:fldCharType="begin"/>
        </w:r>
        <w:r w:rsidR="00B16CCF">
          <w:instrText xml:space="preserve"> PAGEREF _Toc256001468 \h </w:instrText>
        </w:r>
        <w:r w:rsidR="00B16CCF">
          <w:fldChar w:fldCharType="separate"/>
        </w:r>
        <w:r w:rsidR="00B16CCF">
          <w:t>331</w:t>
        </w:r>
        <w:r w:rsidR="00B16CCF">
          <w:fldChar w:fldCharType="end"/>
        </w:r>
      </w:hyperlink>
    </w:p>
    <w:p w14:paraId="3081EBAE" w14:textId="77777777" w:rsidR="00823317" w:rsidRDefault="001D0AD2">
      <w:pPr>
        <w:pStyle w:val="Kazalovsebine4"/>
        <w:tabs>
          <w:tab w:val="end" w:leader="dot" w:pos="512pt"/>
        </w:tabs>
        <w:rPr>
          <w:rFonts w:ascii="Calibri" w:hAnsi="Calibri"/>
          <w:sz w:val="22"/>
        </w:rPr>
      </w:pPr>
      <w:hyperlink w:anchor="_Toc256001469" w:history="1">
        <w:r w:rsidR="00A77B3E">
          <w:rPr>
            <w:rStyle w:val="Hiperpovezava"/>
          </w:rPr>
          <w:t>Tabela 20B: Prerazporeditve nazaj* (povzetek)</w:t>
        </w:r>
        <w:r w:rsidR="00B16CCF">
          <w:tab/>
        </w:r>
        <w:r w:rsidR="00B16CCF">
          <w:fldChar w:fldCharType="begin"/>
        </w:r>
        <w:r w:rsidR="00B16CCF">
          <w:instrText xml:space="preserve"> PAGEREF _Toc256001469 \h </w:instrText>
        </w:r>
        <w:r w:rsidR="00B16CCF">
          <w:fldChar w:fldCharType="separate"/>
        </w:r>
        <w:r w:rsidR="00B16CCF">
          <w:t>331</w:t>
        </w:r>
        <w:r w:rsidR="00B16CCF">
          <w:fldChar w:fldCharType="end"/>
        </w:r>
      </w:hyperlink>
    </w:p>
    <w:p w14:paraId="033B411D" w14:textId="77777777" w:rsidR="00823317" w:rsidRDefault="001D0AD2">
      <w:pPr>
        <w:pStyle w:val="Kazalovsebine2"/>
        <w:tabs>
          <w:tab w:val="end" w:leader="dot" w:pos="512pt"/>
        </w:tabs>
        <w:rPr>
          <w:rFonts w:ascii="Calibri" w:hAnsi="Calibri"/>
          <w:sz w:val="22"/>
        </w:rPr>
      </w:pPr>
      <w:hyperlink w:anchor="_Toc256001470" w:history="1">
        <w:r w:rsidR="00A77B3E">
          <w:rPr>
            <w:rStyle w:val="Hiperpovezava"/>
            <w:rFonts w:ascii="TimesNewRoman" w:eastAsia="TimesNewRoman" w:hAnsi="TimesNewRoman" w:cs="TimesNewRoman"/>
          </w:rPr>
          <w:t>3.5. Finančna sredstva po letih</w:t>
        </w:r>
        <w:r w:rsidR="00B16CCF">
          <w:tab/>
        </w:r>
        <w:r w:rsidR="00B16CCF">
          <w:fldChar w:fldCharType="begin"/>
        </w:r>
        <w:r w:rsidR="00B16CCF">
          <w:instrText xml:space="preserve"> PAGEREF _Toc256001470 \h </w:instrText>
        </w:r>
        <w:r w:rsidR="00B16CCF">
          <w:fldChar w:fldCharType="separate"/>
        </w:r>
        <w:r w:rsidR="00B16CCF">
          <w:t>332</w:t>
        </w:r>
        <w:r w:rsidR="00B16CCF">
          <w:fldChar w:fldCharType="end"/>
        </w:r>
      </w:hyperlink>
    </w:p>
    <w:p w14:paraId="133DB347" w14:textId="77777777" w:rsidR="00823317" w:rsidRDefault="001D0AD2">
      <w:pPr>
        <w:pStyle w:val="Kazalovsebine4"/>
        <w:tabs>
          <w:tab w:val="end" w:leader="dot" w:pos="512pt"/>
        </w:tabs>
        <w:rPr>
          <w:rFonts w:ascii="Calibri" w:hAnsi="Calibri"/>
          <w:sz w:val="22"/>
        </w:rPr>
      </w:pPr>
      <w:hyperlink w:anchor="_Toc256001471" w:history="1">
        <w:r w:rsidR="00A77B3E">
          <w:rPr>
            <w:rStyle w:val="Hiperpovezava"/>
            <w:rFonts w:ascii="TimesNewRoman" w:eastAsia="TimesNewRoman" w:hAnsi="TimesNewRoman" w:cs="TimesNewRoman"/>
          </w:rPr>
          <w:t>Tabela 10: Finančna sredstva po letih</w:t>
        </w:r>
        <w:r w:rsidR="00B16CCF">
          <w:tab/>
        </w:r>
        <w:r w:rsidR="00B16CCF">
          <w:fldChar w:fldCharType="begin"/>
        </w:r>
        <w:r w:rsidR="00B16CCF">
          <w:instrText xml:space="preserve"> PAGEREF _Toc256001471 \h </w:instrText>
        </w:r>
        <w:r w:rsidR="00B16CCF">
          <w:fldChar w:fldCharType="separate"/>
        </w:r>
        <w:r w:rsidR="00B16CCF">
          <w:t>332</w:t>
        </w:r>
        <w:r w:rsidR="00B16CCF">
          <w:fldChar w:fldCharType="end"/>
        </w:r>
      </w:hyperlink>
    </w:p>
    <w:p w14:paraId="4113780C" w14:textId="77777777" w:rsidR="00823317" w:rsidRDefault="001D0AD2">
      <w:pPr>
        <w:pStyle w:val="Kazalovsebine2"/>
        <w:tabs>
          <w:tab w:val="end" w:leader="dot" w:pos="512pt"/>
        </w:tabs>
        <w:rPr>
          <w:rFonts w:ascii="Calibri" w:hAnsi="Calibri"/>
          <w:sz w:val="22"/>
        </w:rPr>
      </w:pPr>
      <w:hyperlink w:anchor="_Toc256001472" w:history="1">
        <w:r w:rsidR="00A77B3E">
          <w:rPr>
            <w:rStyle w:val="Hiperpovezava"/>
            <w:rFonts w:ascii="TimesNewRoman" w:eastAsia="TimesNewRoman" w:hAnsi="TimesNewRoman" w:cs="TimesNewRoman"/>
          </w:rPr>
          <w:t>3.6. Skupna finančna sredstva po skladih in nacionalno sofinanciranje</w:t>
        </w:r>
        <w:r w:rsidR="00B16CCF">
          <w:tab/>
        </w:r>
        <w:r w:rsidR="00B16CCF">
          <w:fldChar w:fldCharType="begin"/>
        </w:r>
        <w:r w:rsidR="00B16CCF">
          <w:instrText xml:space="preserve"> PAGEREF _Toc256001472 \h </w:instrText>
        </w:r>
        <w:r w:rsidR="00B16CCF">
          <w:fldChar w:fldCharType="separate"/>
        </w:r>
        <w:r w:rsidR="00B16CCF">
          <w:t>333</w:t>
        </w:r>
        <w:r w:rsidR="00B16CCF">
          <w:fldChar w:fldCharType="end"/>
        </w:r>
      </w:hyperlink>
    </w:p>
    <w:p w14:paraId="22F13941" w14:textId="77777777" w:rsidR="00823317" w:rsidRDefault="001D0AD2">
      <w:pPr>
        <w:pStyle w:val="Kazalovsebine4"/>
        <w:tabs>
          <w:tab w:val="end" w:leader="dot" w:pos="512pt"/>
        </w:tabs>
        <w:rPr>
          <w:rFonts w:ascii="Calibri" w:hAnsi="Calibri"/>
          <w:sz w:val="22"/>
        </w:rPr>
      </w:pPr>
      <w:hyperlink w:anchor="_Toc256001473" w:history="1">
        <w:r w:rsidR="00A77B3E">
          <w:rPr>
            <w:rStyle w:val="Hiperpovezava"/>
            <w:rFonts w:ascii="TimesNewRoman" w:eastAsia="TimesNewRoman" w:hAnsi="TimesNewRoman" w:cs="TimesNewRoman"/>
          </w:rPr>
          <w:t>Tabela 11: Skupne finančne dodelitve po skladih in nacionalni prispevek</w:t>
        </w:r>
        <w:r w:rsidR="00B16CCF">
          <w:tab/>
        </w:r>
        <w:r w:rsidR="00B16CCF">
          <w:fldChar w:fldCharType="begin"/>
        </w:r>
        <w:r w:rsidR="00B16CCF">
          <w:instrText xml:space="preserve"> PAGEREF _Toc256001473 \h </w:instrText>
        </w:r>
        <w:r w:rsidR="00B16CCF">
          <w:fldChar w:fldCharType="separate"/>
        </w:r>
        <w:r w:rsidR="00B16CCF">
          <w:t>333</w:t>
        </w:r>
        <w:r w:rsidR="00B16CCF">
          <w:fldChar w:fldCharType="end"/>
        </w:r>
      </w:hyperlink>
    </w:p>
    <w:p w14:paraId="1B2E44BD" w14:textId="77777777" w:rsidR="00823317" w:rsidRDefault="001D0AD2">
      <w:pPr>
        <w:pStyle w:val="Kazalovsebine1"/>
        <w:tabs>
          <w:tab w:val="end" w:leader="dot" w:pos="512pt"/>
        </w:tabs>
        <w:rPr>
          <w:rFonts w:ascii="Calibri" w:hAnsi="Calibri"/>
          <w:sz w:val="22"/>
        </w:rPr>
      </w:pPr>
      <w:hyperlink w:anchor="_Toc256001474" w:history="1">
        <w:r w:rsidR="00A77B3E">
          <w:rPr>
            <w:rStyle w:val="Hiperpovezava"/>
          </w:rPr>
          <w:t>4. Omogočitveni pogoji</w:t>
        </w:r>
        <w:r w:rsidR="00B16CCF">
          <w:tab/>
        </w:r>
        <w:r w:rsidR="00B16CCF">
          <w:fldChar w:fldCharType="begin"/>
        </w:r>
        <w:r w:rsidR="00B16CCF">
          <w:instrText xml:space="preserve"> PAGEREF _Toc256001474 \h </w:instrText>
        </w:r>
        <w:r w:rsidR="00B16CCF">
          <w:fldChar w:fldCharType="separate"/>
        </w:r>
        <w:r w:rsidR="00B16CCF">
          <w:t>335</w:t>
        </w:r>
        <w:r w:rsidR="00B16CCF">
          <w:fldChar w:fldCharType="end"/>
        </w:r>
      </w:hyperlink>
    </w:p>
    <w:p w14:paraId="590FBD22" w14:textId="77777777" w:rsidR="00823317" w:rsidRDefault="001D0AD2">
      <w:pPr>
        <w:pStyle w:val="Kazalovsebine1"/>
        <w:tabs>
          <w:tab w:val="end" w:leader="dot" w:pos="512pt"/>
        </w:tabs>
        <w:rPr>
          <w:rFonts w:ascii="Calibri" w:hAnsi="Calibri"/>
          <w:sz w:val="22"/>
        </w:rPr>
      </w:pPr>
      <w:hyperlink w:anchor="_Toc256001475" w:history="1">
        <w:r w:rsidR="00A77B3E">
          <w:rPr>
            <w:rStyle w:val="Hiperpovezava"/>
          </w:rPr>
          <w:t>5. Organi, pristojni za program</w:t>
        </w:r>
        <w:r w:rsidR="00B16CCF">
          <w:tab/>
        </w:r>
        <w:r w:rsidR="00B16CCF">
          <w:fldChar w:fldCharType="begin"/>
        </w:r>
        <w:r w:rsidR="00B16CCF">
          <w:instrText xml:space="preserve"> PAGEREF _Toc256001475 \h </w:instrText>
        </w:r>
        <w:r w:rsidR="00B16CCF">
          <w:fldChar w:fldCharType="separate"/>
        </w:r>
        <w:r w:rsidR="00B16CCF">
          <w:t>380</w:t>
        </w:r>
        <w:r w:rsidR="00B16CCF">
          <w:fldChar w:fldCharType="end"/>
        </w:r>
      </w:hyperlink>
    </w:p>
    <w:p w14:paraId="4BD79D37" w14:textId="77777777" w:rsidR="00823317" w:rsidRDefault="001D0AD2">
      <w:pPr>
        <w:pStyle w:val="Kazalovsebine2"/>
        <w:tabs>
          <w:tab w:val="end" w:leader="dot" w:pos="512pt"/>
        </w:tabs>
        <w:rPr>
          <w:rFonts w:ascii="Calibri" w:hAnsi="Calibri"/>
          <w:sz w:val="22"/>
        </w:rPr>
      </w:pPr>
      <w:hyperlink w:anchor="_Toc256001476" w:history="1">
        <w:r w:rsidR="00A77B3E">
          <w:rPr>
            <w:rStyle w:val="Hiperpovezava"/>
            <w:rFonts w:ascii="TimesNewRoman" w:eastAsia="TimesNewRoman" w:hAnsi="TimesNewRoman" w:cs="TimesNewRoman"/>
          </w:rPr>
          <w:t>Tabela 13: Organi, pristojni za program</w:t>
        </w:r>
        <w:r w:rsidR="00B16CCF">
          <w:tab/>
        </w:r>
        <w:r w:rsidR="00B16CCF">
          <w:fldChar w:fldCharType="begin"/>
        </w:r>
        <w:r w:rsidR="00B16CCF">
          <w:instrText xml:space="preserve"> PAGEREF _Toc256001476 \h </w:instrText>
        </w:r>
        <w:r w:rsidR="00B16CCF">
          <w:fldChar w:fldCharType="separate"/>
        </w:r>
        <w:r w:rsidR="00B16CCF">
          <w:t>380</w:t>
        </w:r>
        <w:r w:rsidR="00B16CCF">
          <w:fldChar w:fldCharType="end"/>
        </w:r>
      </w:hyperlink>
    </w:p>
    <w:p w14:paraId="29B714FC" w14:textId="77777777" w:rsidR="00823317" w:rsidRDefault="001D0AD2">
      <w:pPr>
        <w:pStyle w:val="Kazalovsebine2"/>
        <w:tabs>
          <w:tab w:val="end" w:leader="dot" w:pos="512pt"/>
        </w:tabs>
        <w:rPr>
          <w:rFonts w:ascii="Calibri" w:hAnsi="Calibri"/>
          <w:sz w:val="22"/>
        </w:rPr>
      </w:pPr>
      <w:hyperlink w:anchor="_Toc256001477" w:history="1">
        <w:r w:rsidR="00A77B3E">
          <w:rPr>
            <w:rStyle w:val="Hiperpovezava"/>
            <w:rFonts w:ascii="TimesNewRoman" w:eastAsia="TimesNewRoman" w:hAnsi="TimesNewRoman" w:cs="TimesNewRoman"/>
          </w:rPr>
          <w:t>Porazdelitev povrnjenih zneskov za tehnično pomoč v skladu s členom 36(5) uredbe o skupnih določbah, če je za prejemanje plačil Komisije opredeljenih več teles</w:t>
        </w:r>
        <w:r w:rsidR="00B16CCF">
          <w:tab/>
        </w:r>
        <w:r w:rsidR="00B16CCF">
          <w:fldChar w:fldCharType="begin"/>
        </w:r>
        <w:r w:rsidR="00B16CCF">
          <w:instrText xml:space="preserve"> PAGEREF _Toc256001477 \h </w:instrText>
        </w:r>
        <w:r w:rsidR="00B16CCF">
          <w:fldChar w:fldCharType="separate"/>
        </w:r>
        <w:r w:rsidR="00B16CCF">
          <w:t>380</w:t>
        </w:r>
        <w:r w:rsidR="00B16CCF">
          <w:fldChar w:fldCharType="end"/>
        </w:r>
      </w:hyperlink>
    </w:p>
    <w:p w14:paraId="6FACBE64" w14:textId="77777777" w:rsidR="00823317" w:rsidRDefault="001D0AD2">
      <w:pPr>
        <w:pStyle w:val="Kazalovsebine1"/>
        <w:tabs>
          <w:tab w:val="end" w:leader="dot" w:pos="512pt"/>
        </w:tabs>
        <w:rPr>
          <w:rFonts w:ascii="Calibri" w:hAnsi="Calibri"/>
          <w:sz w:val="22"/>
        </w:rPr>
      </w:pPr>
      <w:hyperlink w:anchor="_Toc256001478" w:history="1">
        <w:r w:rsidR="00A77B3E">
          <w:rPr>
            <w:rStyle w:val="Hiperpovezava"/>
            <w:rFonts w:ascii="TimesNewRoman" w:eastAsia="TimesNewRoman" w:hAnsi="TimesNewRoman" w:cs="TimesNewRoman"/>
          </w:rPr>
          <w:t>6. Partnerstvo</w:t>
        </w:r>
        <w:r w:rsidR="00B16CCF">
          <w:tab/>
        </w:r>
        <w:r w:rsidR="00B16CCF">
          <w:fldChar w:fldCharType="begin"/>
        </w:r>
        <w:r w:rsidR="00B16CCF">
          <w:instrText xml:space="preserve"> PAGEREF _Toc256001478 \h </w:instrText>
        </w:r>
        <w:r w:rsidR="00B16CCF">
          <w:fldChar w:fldCharType="separate"/>
        </w:r>
        <w:r w:rsidR="00B16CCF">
          <w:t>381</w:t>
        </w:r>
        <w:r w:rsidR="00B16CCF">
          <w:fldChar w:fldCharType="end"/>
        </w:r>
      </w:hyperlink>
    </w:p>
    <w:p w14:paraId="51110108" w14:textId="77777777" w:rsidR="00823317" w:rsidRDefault="001D0AD2">
      <w:pPr>
        <w:pStyle w:val="Kazalovsebine1"/>
        <w:tabs>
          <w:tab w:val="end" w:leader="dot" w:pos="512pt"/>
        </w:tabs>
        <w:rPr>
          <w:rFonts w:ascii="Calibri" w:hAnsi="Calibri"/>
          <w:sz w:val="22"/>
        </w:rPr>
      </w:pPr>
      <w:hyperlink w:anchor="_Toc256001479" w:history="1">
        <w:r w:rsidR="00A77B3E">
          <w:rPr>
            <w:rStyle w:val="Hiperpovezava"/>
            <w:rFonts w:ascii="TimesNewRoman" w:eastAsia="TimesNewRoman" w:hAnsi="TimesNewRoman" w:cs="TimesNewRoman"/>
          </w:rPr>
          <w:t>7. Komuniciranje in prepoznavnost</w:t>
        </w:r>
        <w:r w:rsidR="00B16CCF">
          <w:tab/>
        </w:r>
        <w:r w:rsidR="00B16CCF">
          <w:fldChar w:fldCharType="begin"/>
        </w:r>
        <w:r w:rsidR="00B16CCF">
          <w:instrText xml:space="preserve"> PAGEREF _Toc256001479 \h </w:instrText>
        </w:r>
        <w:r w:rsidR="00B16CCF">
          <w:fldChar w:fldCharType="separate"/>
        </w:r>
        <w:r w:rsidR="00B16CCF">
          <w:t>383</w:t>
        </w:r>
        <w:r w:rsidR="00B16CCF">
          <w:fldChar w:fldCharType="end"/>
        </w:r>
      </w:hyperlink>
    </w:p>
    <w:p w14:paraId="14616FBE" w14:textId="77777777" w:rsidR="00823317" w:rsidRDefault="001D0AD2">
      <w:pPr>
        <w:pStyle w:val="Kazalovsebine1"/>
        <w:tabs>
          <w:tab w:val="end" w:leader="dot" w:pos="512pt"/>
        </w:tabs>
        <w:rPr>
          <w:rFonts w:ascii="Calibri" w:hAnsi="Calibri"/>
          <w:sz w:val="22"/>
        </w:rPr>
      </w:pPr>
      <w:hyperlink w:anchor="_Toc256001480" w:history="1">
        <w:r w:rsidR="00A77B3E">
          <w:rPr>
            <w:rStyle w:val="Hiperpovezava"/>
            <w:rFonts w:ascii="TimesNewRoman" w:eastAsia="TimesNewRoman" w:hAnsi="TimesNewRoman" w:cs="TimesNewRoman"/>
          </w:rPr>
          <w:t>8. Uporaba stroškov na enoto, pavšalnih zneskov, pavšalnih stopenj in financiranja, ki ni povezano s stroški</w:t>
        </w:r>
        <w:r w:rsidR="00B16CCF">
          <w:tab/>
        </w:r>
        <w:r w:rsidR="00B16CCF">
          <w:fldChar w:fldCharType="begin"/>
        </w:r>
        <w:r w:rsidR="00B16CCF">
          <w:instrText xml:space="preserve"> PAGEREF _Toc256001480 \h </w:instrText>
        </w:r>
        <w:r w:rsidR="00B16CCF">
          <w:fldChar w:fldCharType="separate"/>
        </w:r>
        <w:r w:rsidR="00B16CCF">
          <w:t>385</w:t>
        </w:r>
        <w:r w:rsidR="00B16CCF">
          <w:fldChar w:fldCharType="end"/>
        </w:r>
      </w:hyperlink>
    </w:p>
    <w:p w14:paraId="79088BB6" w14:textId="77777777" w:rsidR="00823317" w:rsidRDefault="001D0AD2">
      <w:pPr>
        <w:pStyle w:val="Kazalovsebine2"/>
        <w:tabs>
          <w:tab w:val="end" w:leader="dot" w:pos="512pt"/>
        </w:tabs>
        <w:rPr>
          <w:rFonts w:ascii="Calibri" w:hAnsi="Calibri"/>
          <w:sz w:val="22"/>
        </w:rPr>
      </w:pPr>
      <w:hyperlink w:anchor="_Toc256001481" w:history="1">
        <w:r w:rsidR="00A77B3E">
          <w:rPr>
            <w:rStyle w:val="Hiperpovezava"/>
            <w:rFonts w:ascii="TimesNewRoman" w:eastAsia="TimesNewRoman" w:hAnsi="TimesNewRoman" w:cs="TimesNewRoman"/>
          </w:rPr>
          <w:t>Tabela 14: Uporaba stroškov na enoto, pavšalnih zneskov, pavšalnih stopenj in financiranja, ki ni povezano s stroški</w:t>
        </w:r>
        <w:r w:rsidR="00B16CCF">
          <w:tab/>
        </w:r>
        <w:r w:rsidR="00B16CCF">
          <w:fldChar w:fldCharType="begin"/>
        </w:r>
        <w:r w:rsidR="00B16CCF">
          <w:instrText xml:space="preserve"> PAGEREF _Toc256001481 \h </w:instrText>
        </w:r>
        <w:r w:rsidR="00B16CCF">
          <w:fldChar w:fldCharType="separate"/>
        </w:r>
        <w:r w:rsidR="00B16CCF">
          <w:t>385</w:t>
        </w:r>
        <w:r w:rsidR="00B16CCF">
          <w:fldChar w:fldCharType="end"/>
        </w:r>
      </w:hyperlink>
    </w:p>
    <w:p w14:paraId="57E4AE17" w14:textId="77777777" w:rsidR="00823317" w:rsidRDefault="001D0AD2">
      <w:pPr>
        <w:pStyle w:val="Kazalovsebine1"/>
        <w:tabs>
          <w:tab w:val="end" w:leader="dot" w:pos="512pt"/>
        </w:tabs>
        <w:rPr>
          <w:rFonts w:ascii="Calibri" w:hAnsi="Calibri"/>
          <w:sz w:val="22"/>
        </w:rPr>
      </w:pPr>
      <w:hyperlink w:anchor="_Toc256001482" w:history="1">
        <w:r w:rsidR="00A77B3E">
          <w:rPr>
            <w:rStyle w:val="Hiperpovezava"/>
            <w:rFonts w:ascii="TimesNewRoman" w:eastAsia="TimesNewRoman" w:hAnsi="TimesNewRoman" w:cs="TimesNewRoman"/>
          </w:rPr>
          <w:t>Dodatek 1: Prispevek Unije na podlagi stroškov na enoto, pavšalnih zneskov in pavšalnih stopenj</w:t>
        </w:r>
        <w:r w:rsidR="00B16CCF">
          <w:tab/>
        </w:r>
        <w:r w:rsidR="00B16CCF">
          <w:fldChar w:fldCharType="begin"/>
        </w:r>
        <w:r w:rsidR="00B16CCF">
          <w:instrText xml:space="preserve"> PAGEREF _Toc256001482 \h </w:instrText>
        </w:r>
        <w:r w:rsidR="00B16CCF">
          <w:fldChar w:fldCharType="separate"/>
        </w:r>
        <w:r w:rsidR="00B16CCF">
          <w:t>386</w:t>
        </w:r>
        <w:r w:rsidR="00B16CCF">
          <w:fldChar w:fldCharType="end"/>
        </w:r>
      </w:hyperlink>
    </w:p>
    <w:p w14:paraId="7AF794A0" w14:textId="77777777" w:rsidR="00823317" w:rsidRDefault="001D0AD2">
      <w:pPr>
        <w:pStyle w:val="Kazalovsebine2"/>
        <w:tabs>
          <w:tab w:val="end" w:leader="dot" w:pos="512pt"/>
        </w:tabs>
        <w:rPr>
          <w:rFonts w:ascii="Calibri" w:hAnsi="Calibri"/>
          <w:sz w:val="22"/>
        </w:rPr>
      </w:pPr>
      <w:hyperlink w:anchor="_Toc256001483" w:history="1">
        <w:r w:rsidR="00A77B3E">
          <w:rPr>
            <w:rStyle w:val="Hiperpovezava"/>
            <w:rFonts w:ascii="TimesNewRoman" w:eastAsia="TimesNewRoman" w:hAnsi="TimesNewRoman" w:cs="TimesNewRoman"/>
          </w:rPr>
          <w:t>A. Povzetek glavnih elementov</w:t>
        </w:r>
        <w:r w:rsidR="00B16CCF">
          <w:tab/>
        </w:r>
        <w:r w:rsidR="00B16CCF">
          <w:fldChar w:fldCharType="begin"/>
        </w:r>
        <w:r w:rsidR="00B16CCF">
          <w:instrText xml:space="preserve"> PAGEREF _Toc256001483 \h </w:instrText>
        </w:r>
        <w:r w:rsidR="00B16CCF">
          <w:fldChar w:fldCharType="separate"/>
        </w:r>
        <w:r w:rsidR="00B16CCF">
          <w:t>386</w:t>
        </w:r>
        <w:r w:rsidR="00B16CCF">
          <w:fldChar w:fldCharType="end"/>
        </w:r>
      </w:hyperlink>
    </w:p>
    <w:p w14:paraId="070DAA07" w14:textId="77777777" w:rsidR="00823317" w:rsidRDefault="001D0AD2">
      <w:pPr>
        <w:pStyle w:val="Kazalovsebine2"/>
        <w:tabs>
          <w:tab w:val="end" w:leader="dot" w:pos="512pt"/>
        </w:tabs>
        <w:rPr>
          <w:rFonts w:ascii="Calibri" w:hAnsi="Calibri"/>
          <w:sz w:val="22"/>
        </w:rPr>
      </w:pPr>
      <w:hyperlink w:anchor="_Toc256001484" w:history="1">
        <w:r w:rsidR="00A77B3E">
          <w:rPr>
            <w:rStyle w:val="Hiperpovezava"/>
            <w:rFonts w:ascii="TimesNewRoman" w:eastAsia="TimesNewRoman" w:hAnsi="TimesNewRoman" w:cs="TimesNewRoman"/>
          </w:rPr>
          <w:t>B. Podrobnosti glede na vrsto operacije</w:t>
        </w:r>
        <w:r w:rsidR="00B16CCF">
          <w:tab/>
        </w:r>
        <w:r w:rsidR="00B16CCF">
          <w:fldChar w:fldCharType="begin"/>
        </w:r>
        <w:r w:rsidR="00B16CCF">
          <w:instrText xml:space="preserve"> PAGEREF _Toc256001484 \h </w:instrText>
        </w:r>
        <w:r w:rsidR="00B16CCF">
          <w:fldChar w:fldCharType="separate"/>
        </w:r>
        <w:r w:rsidR="00B16CCF">
          <w:t>387</w:t>
        </w:r>
        <w:r w:rsidR="00B16CCF">
          <w:fldChar w:fldCharType="end"/>
        </w:r>
      </w:hyperlink>
    </w:p>
    <w:p w14:paraId="3240713C" w14:textId="77777777" w:rsidR="00823317" w:rsidRDefault="001D0AD2">
      <w:pPr>
        <w:pStyle w:val="Kazalovsebine2"/>
        <w:tabs>
          <w:tab w:val="end" w:leader="dot" w:pos="512pt"/>
        </w:tabs>
        <w:rPr>
          <w:rFonts w:ascii="Calibri" w:hAnsi="Calibri"/>
          <w:sz w:val="22"/>
        </w:rPr>
      </w:pPr>
      <w:hyperlink w:anchor="_Toc256001485" w:history="1">
        <w:r w:rsidR="00A77B3E">
          <w:rPr>
            <w:rStyle w:val="Hiperpovezava"/>
            <w:rFonts w:ascii="TimesNewRoman" w:eastAsia="TimesNewRoman" w:hAnsi="TimesNewRoman" w:cs="TimesNewRoman"/>
          </w:rPr>
          <w:t>C. Izračun standardnih stroškov na enoto, pavšalnih zneskov in pavšalnih stopenj</w:t>
        </w:r>
        <w:r w:rsidR="00B16CCF">
          <w:tab/>
        </w:r>
        <w:r w:rsidR="00B16CCF">
          <w:fldChar w:fldCharType="begin"/>
        </w:r>
        <w:r w:rsidR="00B16CCF">
          <w:instrText xml:space="preserve"> PAGEREF _Toc256001485 \h </w:instrText>
        </w:r>
        <w:r w:rsidR="00B16CCF">
          <w:fldChar w:fldCharType="separate"/>
        </w:r>
        <w:r w:rsidR="00B16CCF">
          <w:t>387</w:t>
        </w:r>
        <w:r w:rsidR="00B16CCF">
          <w:fldChar w:fldCharType="end"/>
        </w:r>
      </w:hyperlink>
    </w:p>
    <w:p w14:paraId="6D44E874" w14:textId="77777777" w:rsidR="00823317" w:rsidRDefault="001D0AD2">
      <w:pPr>
        <w:pStyle w:val="Kazalovsebine2"/>
        <w:tabs>
          <w:tab w:val="end" w:leader="dot" w:pos="512pt"/>
        </w:tabs>
        <w:rPr>
          <w:rFonts w:ascii="Calibri" w:hAnsi="Calibri"/>
          <w:sz w:val="22"/>
        </w:rPr>
      </w:pPr>
      <w:hyperlink w:anchor="_Toc256001486" w:history="1">
        <w:r w:rsidR="00A77B3E">
          <w:rPr>
            <w:rStyle w:val="Hiperpovezava"/>
            <w:rFonts w:ascii="TimesNewRoman" w:eastAsia="TimesNewRoman" w:hAnsi="TimesNewRoman" w:cs="TimesNewRoman"/>
          </w:rPr>
          <w:t>1. Vir podatkov, uporabljenih za izračun standardnih stroškov na enoto, pavšalnih zneskov ali pavšalnih stopenj (kdo je predložil, zbral in evidentiral podatke; kje so podatki shranjeni; presečni datumi; potrjevanje itd.)</w:t>
        </w:r>
        <w:r w:rsidR="00B16CCF">
          <w:tab/>
        </w:r>
        <w:r w:rsidR="00B16CCF">
          <w:fldChar w:fldCharType="begin"/>
        </w:r>
        <w:r w:rsidR="00B16CCF">
          <w:instrText xml:space="preserve"> PAGEREF _Toc256001486 \h </w:instrText>
        </w:r>
        <w:r w:rsidR="00B16CCF">
          <w:fldChar w:fldCharType="separate"/>
        </w:r>
        <w:r w:rsidR="00B16CCF">
          <w:t>387</w:t>
        </w:r>
        <w:r w:rsidR="00B16CCF">
          <w:fldChar w:fldCharType="end"/>
        </w:r>
      </w:hyperlink>
    </w:p>
    <w:p w14:paraId="0796AC4B" w14:textId="77777777" w:rsidR="00823317" w:rsidRDefault="001D0AD2">
      <w:pPr>
        <w:pStyle w:val="Kazalovsebine2"/>
        <w:tabs>
          <w:tab w:val="end" w:leader="dot" w:pos="512pt"/>
        </w:tabs>
        <w:rPr>
          <w:rFonts w:ascii="Calibri" w:hAnsi="Calibri"/>
          <w:sz w:val="22"/>
        </w:rPr>
      </w:pPr>
      <w:hyperlink w:anchor="_Toc256001487" w:history="1">
        <w:r w:rsidR="00A77B3E">
          <w:rPr>
            <w:rStyle w:val="Hiperpovezava"/>
            <w:rFonts w:ascii="TimesNewRoman" w:eastAsia="TimesNewRoman" w:hAnsi="TimesNewRoman" w:cs="TimesNewRoman"/>
          </w:rPr>
          <w:t>2. Navedite, zakaj sta predlagana metoda in izračun na podlagi člena 94(2) uredbe o skupnih določbah relevantna za vrsto operacije.</w:t>
        </w:r>
        <w:r w:rsidR="00B16CCF">
          <w:tab/>
        </w:r>
        <w:r w:rsidR="00B16CCF">
          <w:fldChar w:fldCharType="begin"/>
        </w:r>
        <w:r w:rsidR="00B16CCF">
          <w:instrText xml:space="preserve"> PAGEREF _Toc256001487 \h </w:instrText>
        </w:r>
        <w:r w:rsidR="00B16CCF">
          <w:fldChar w:fldCharType="separate"/>
        </w:r>
        <w:r w:rsidR="00B16CCF">
          <w:t>387</w:t>
        </w:r>
        <w:r w:rsidR="00B16CCF">
          <w:fldChar w:fldCharType="end"/>
        </w:r>
      </w:hyperlink>
    </w:p>
    <w:p w14:paraId="3A5C805B" w14:textId="77777777" w:rsidR="00823317" w:rsidRDefault="001D0AD2">
      <w:pPr>
        <w:pStyle w:val="Kazalovsebine2"/>
        <w:tabs>
          <w:tab w:val="end" w:leader="dot" w:pos="512pt"/>
        </w:tabs>
        <w:rPr>
          <w:rFonts w:ascii="Calibri" w:hAnsi="Calibri"/>
          <w:sz w:val="22"/>
        </w:rPr>
      </w:pPr>
      <w:hyperlink w:anchor="_Toc256001488" w:history="1">
        <w:r w:rsidR="00A77B3E">
          <w:rPr>
            <w:rStyle w:val="Hiperpovezava"/>
            <w:rFonts w:ascii="TimesNewRoman" w:eastAsia="TimesNewRoman" w:hAnsi="TimesNewRoman" w:cs="TimesNewRoman"/>
          </w:rPr>
          <w:t>3. Navedite, kako so bili izračuni narejeni, vključno zlasti s predpostavkami v smislu kakovosti ali količin. Če je to relevantno, je treba uporabiti in na zahtevo predložiti statistične dokaze in referenčne vrednosti v obliki, ki jo lahko uporabi Evropska komisija.</w:t>
        </w:r>
        <w:r w:rsidR="00B16CCF">
          <w:tab/>
        </w:r>
        <w:r w:rsidR="00B16CCF">
          <w:fldChar w:fldCharType="begin"/>
        </w:r>
        <w:r w:rsidR="00B16CCF">
          <w:instrText xml:space="preserve"> PAGEREF _Toc256001488 \h </w:instrText>
        </w:r>
        <w:r w:rsidR="00B16CCF">
          <w:fldChar w:fldCharType="separate"/>
        </w:r>
        <w:r w:rsidR="00B16CCF">
          <w:t>387</w:t>
        </w:r>
        <w:r w:rsidR="00B16CCF">
          <w:fldChar w:fldCharType="end"/>
        </w:r>
      </w:hyperlink>
    </w:p>
    <w:p w14:paraId="09B4E500" w14:textId="77777777" w:rsidR="00823317" w:rsidRDefault="001D0AD2">
      <w:pPr>
        <w:pStyle w:val="Kazalovsebine2"/>
        <w:tabs>
          <w:tab w:val="end" w:leader="dot" w:pos="512pt"/>
        </w:tabs>
        <w:rPr>
          <w:rFonts w:ascii="Calibri" w:hAnsi="Calibri"/>
          <w:sz w:val="22"/>
        </w:rPr>
      </w:pPr>
      <w:hyperlink w:anchor="_Toc256001489" w:history="1">
        <w:r w:rsidR="00A77B3E">
          <w:rPr>
            <w:rStyle w:val="Hiperpovezava"/>
            <w:rFonts w:ascii="TimesNewRoman" w:eastAsia="TimesNewRoman" w:hAnsi="TimesNewRoman" w:cs="TimesNewRoman"/>
          </w:rPr>
          <w:t>4. Pojasnite, kako ste zagotovili, da so bili v izračun standardnih stroškov na enoto, pavšalnega zneska ali pavšalne stopnje vključeni le upravičeni izdatki.</w:t>
        </w:r>
        <w:r w:rsidR="00B16CCF">
          <w:tab/>
        </w:r>
        <w:r w:rsidR="00B16CCF">
          <w:fldChar w:fldCharType="begin"/>
        </w:r>
        <w:r w:rsidR="00B16CCF">
          <w:instrText xml:space="preserve"> PAGEREF _Toc256001489 \h </w:instrText>
        </w:r>
        <w:r w:rsidR="00B16CCF">
          <w:fldChar w:fldCharType="separate"/>
        </w:r>
        <w:r w:rsidR="00B16CCF">
          <w:t>387</w:t>
        </w:r>
        <w:r w:rsidR="00B16CCF">
          <w:fldChar w:fldCharType="end"/>
        </w:r>
      </w:hyperlink>
    </w:p>
    <w:p w14:paraId="7BC1DE7A" w14:textId="77777777" w:rsidR="00823317" w:rsidRDefault="001D0AD2">
      <w:pPr>
        <w:pStyle w:val="Kazalovsebine2"/>
        <w:tabs>
          <w:tab w:val="end" w:leader="dot" w:pos="512pt"/>
        </w:tabs>
        <w:rPr>
          <w:rFonts w:ascii="Calibri" w:hAnsi="Calibri"/>
          <w:sz w:val="22"/>
        </w:rPr>
      </w:pPr>
      <w:hyperlink w:anchor="_Toc256001490" w:history="1">
        <w:r w:rsidR="00A77B3E">
          <w:rPr>
            <w:rStyle w:val="Hiperpovezava"/>
            <w:rFonts w:ascii="TimesNewRoman" w:eastAsia="TimesNewRoman" w:hAnsi="TimesNewRoman" w:cs="TimesNewRoman"/>
          </w:rPr>
          <w:t>5. Ocena revizijskega organa v zvezi z metodologijo za izračun in zneski ter ureditvijo za zagotovitev potrjevanja, kakovosti, zbiranja in shranjevanja podatkov.</w:t>
        </w:r>
        <w:r w:rsidR="00B16CCF">
          <w:tab/>
        </w:r>
        <w:r w:rsidR="00B16CCF">
          <w:fldChar w:fldCharType="begin"/>
        </w:r>
        <w:r w:rsidR="00B16CCF">
          <w:instrText xml:space="preserve"> PAGEREF _Toc256001490 \h </w:instrText>
        </w:r>
        <w:r w:rsidR="00B16CCF">
          <w:fldChar w:fldCharType="separate"/>
        </w:r>
        <w:r w:rsidR="00B16CCF">
          <w:t>387</w:t>
        </w:r>
        <w:r w:rsidR="00B16CCF">
          <w:fldChar w:fldCharType="end"/>
        </w:r>
      </w:hyperlink>
    </w:p>
    <w:p w14:paraId="5780F856" w14:textId="77777777" w:rsidR="00823317" w:rsidRDefault="001D0AD2">
      <w:pPr>
        <w:pStyle w:val="Kazalovsebine1"/>
        <w:tabs>
          <w:tab w:val="end" w:leader="dot" w:pos="512pt"/>
        </w:tabs>
        <w:rPr>
          <w:rFonts w:ascii="Calibri" w:hAnsi="Calibri"/>
          <w:sz w:val="22"/>
        </w:rPr>
      </w:pPr>
      <w:hyperlink w:anchor="_Toc256001491" w:history="1">
        <w:r w:rsidR="00A77B3E">
          <w:rPr>
            <w:rStyle w:val="Hiperpovezava"/>
          </w:rPr>
          <w:t>Dodatek 2: Prispevek Unije, temelječ na financiranju, ki ni povezano s stroški</w:t>
        </w:r>
        <w:r w:rsidR="00B16CCF">
          <w:tab/>
        </w:r>
        <w:r w:rsidR="00B16CCF">
          <w:fldChar w:fldCharType="begin"/>
        </w:r>
        <w:r w:rsidR="00B16CCF">
          <w:instrText xml:space="preserve"> PAGEREF _Toc256001491 \h </w:instrText>
        </w:r>
        <w:r w:rsidR="00B16CCF">
          <w:fldChar w:fldCharType="separate"/>
        </w:r>
        <w:r w:rsidR="00B16CCF">
          <w:t>388</w:t>
        </w:r>
        <w:r w:rsidR="00B16CCF">
          <w:fldChar w:fldCharType="end"/>
        </w:r>
      </w:hyperlink>
    </w:p>
    <w:p w14:paraId="09C3EB90" w14:textId="77777777" w:rsidR="00823317" w:rsidRDefault="001D0AD2">
      <w:pPr>
        <w:pStyle w:val="Kazalovsebine2"/>
        <w:tabs>
          <w:tab w:val="end" w:leader="dot" w:pos="512pt"/>
        </w:tabs>
        <w:rPr>
          <w:rFonts w:ascii="Calibri" w:hAnsi="Calibri"/>
          <w:sz w:val="22"/>
        </w:rPr>
      </w:pPr>
      <w:hyperlink w:anchor="_Toc256001492" w:history="1">
        <w:r w:rsidR="00A77B3E">
          <w:rPr>
            <w:rStyle w:val="Hiperpovezava"/>
            <w:rFonts w:ascii="TimesNewRoman" w:eastAsia="TimesNewRoman" w:hAnsi="TimesNewRoman" w:cs="TimesNewRoman"/>
          </w:rPr>
          <w:t>A. Povzetek glavnih elementov</w:t>
        </w:r>
        <w:r w:rsidR="00B16CCF">
          <w:tab/>
        </w:r>
        <w:r w:rsidR="00B16CCF">
          <w:fldChar w:fldCharType="begin"/>
        </w:r>
        <w:r w:rsidR="00B16CCF">
          <w:instrText xml:space="preserve"> PAGEREF _Toc256001492 \h </w:instrText>
        </w:r>
        <w:r w:rsidR="00B16CCF">
          <w:fldChar w:fldCharType="separate"/>
        </w:r>
        <w:r w:rsidR="00B16CCF">
          <w:t>388</w:t>
        </w:r>
        <w:r w:rsidR="00B16CCF">
          <w:fldChar w:fldCharType="end"/>
        </w:r>
      </w:hyperlink>
    </w:p>
    <w:p w14:paraId="3C30B181" w14:textId="77777777" w:rsidR="00823317" w:rsidRDefault="001D0AD2">
      <w:pPr>
        <w:pStyle w:val="Kazalovsebine2"/>
        <w:tabs>
          <w:tab w:val="end" w:leader="dot" w:pos="512pt"/>
        </w:tabs>
        <w:rPr>
          <w:rFonts w:ascii="Calibri" w:hAnsi="Calibri"/>
          <w:sz w:val="22"/>
        </w:rPr>
      </w:pPr>
      <w:hyperlink w:anchor="_Toc256001493" w:history="1">
        <w:r w:rsidR="00A77B3E">
          <w:rPr>
            <w:rStyle w:val="Hiperpovezava"/>
            <w:rFonts w:ascii="TimesNewRoman" w:eastAsia="TimesNewRoman" w:hAnsi="TimesNewRoman" w:cs="TimesNewRoman"/>
          </w:rPr>
          <w:t>B. Podrobnosti glede na vrsto operacije</w:t>
        </w:r>
        <w:r w:rsidR="00B16CCF">
          <w:tab/>
        </w:r>
        <w:r w:rsidR="00B16CCF">
          <w:fldChar w:fldCharType="begin"/>
        </w:r>
        <w:r w:rsidR="00B16CCF">
          <w:instrText xml:space="preserve"> PAGEREF _Toc256001493 \h </w:instrText>
        </w:r>
        <w:r w:rsidR="00B16CCF">
          <w:fldChar w:fldCharType="separate"/>
        </w:r>
        <w:r w:rsidR="00B16CCF">
          <w:t>389</w:t>
        </w:r>
        <w:r w:rsidR="00B16CCF">
          <w:fldChar w:fldCharType="end"/>
        </w:r>
      </w:hyperlink>
    </w:p>
    <w:p w14:paraId="33167290" w14:textId="77777777" w:rsidR="00823317" w:rsidRDefault="001D0AD2">
      <w:pPr>
        <w:pStyle w:val="Kazalovsebine1"/>
        <w:tabs>
          <w:tab w:val="end" w:leader="dot" w:pos="512pt"/>
        </w:tabs>
        <w:rPr>
          <w:rFonts w:ascii="Calibri" w:hAnsi="Calibri"/>
          <w:sz w:val="22"/>
        </w:rPr>
      </w:pPr>
      <w:hyperlink w:anchor="_Toc256001494" w:history="1">
        <w:r w:rsidR="00A77B3E">
          <w:rPr>
            <w:rStyle w:val="Hiperpovezava"/>
            <w:rFonts w:ascii="TimesNewRoman" w:eastAsia="TimesNewRoman" w:hAnsi="TimesNewRoman" w:cs="TimesNewRoman"/>
          </w:rPr>
          <w:t>Dodatek 3</w:t>
        </w:r>
        <w:r w:rsidR="00B16CCF">
          <w:tab/>
        </w:r>
        <w:r w:rsidR="00B16CCF">
          <w:fldChar w:fldCharType="begin"/>
        </w:r>
        <w:r w:rsidR="00B16CCF">
          <w:instrText xml:space="preserve"> PAGEREF _Toc256001494 \h </w:instrText>
        </w:r>
        <w:r w:rsidR="00B16CCF">
          <w:fldChar w:fldCharType="separate"/>
        </w:r>
        <w:r w:rsidR="00B16CCF">
          <w:t>390</w:t>
        </w:r>
        <w:r w:rsidR="00B16CCF">
          <w:fldChar w:fldCharType="end"/>
        </w:r>
      </w:hyperlink>
    </w:p>
    <w:p w14:paraId="7F35C9D6" w14:textId="77777777" w:rsidR="00823317" w:rsidRDefault="001D0AD2">
      <w:pPr>
        <w:pStyle w:val="Kazalovsebine1"/>
        <w:tabs>
          <w:tab w:val="end" w:leader="dot" w:pos="512pt"/>
        </w:tabs>
        <w:rPr>
          <w:rFonts w:ascii="Calibri" w:hAnsi="Calibri"/>
          <w:sz w:val="22"/>
        </w:rPr>
      </w:pPr>
      <w:hyperlink w:anchor="_Toc256001495" w:history="1">
        <w:r w:rsidR="00A77B3E">
          <w:rPr>
            <w:rStyle w:val="Hiperpovezava"/>
            <w:rFonts w:ascii="TimesNewRoman" w:eastAsia="TimesNewRoman" w:hAnsi="TimesNewRoman" w:cs="TimesNewRoman"/>
          </w:rPr>
          <w:t>Območni načrt za pravični prehod - ONPP SAŠA.OBMOČNI NAČRT ZA PRAVIČNI PREHOD SAVINJSKO ŠALEŠKE PREMOGOVNE REGIJE (4.0)</w:t>
        </w:r>
        <w:r w:rsidR="00B16CCF">
          <w:tab/>
        </w:r>
        <w:r w:rsidR="00B16CCF">
          <w:fldChar w:fldCharType="begin"/>
        </w:r>
        <w:r w:rsidR="00B16CCF">
          <w:instrText xml:space="preserve"> PAGEREF _Toc256001495 \h </w:instrText>
        </w:r>
        <w:r w:rsidR="00B16CCF">
          <w:fldChar w:fldCharType="separate"/>
        </w:r>
        <w:r w:rsidR="00B16CCF">
          <w:t>391</w:t>
        </w:r>
        <w:r w:rsidR="00B16CCF">
          <w:fldChar w:fldCharType="end"/>
        </w:r>
      </w:hyperlink>
    </w:p>
    <w:p w14:paraId="4D8D1A8A" w14:textId="77777777" w:rsidR="00823317" w:rsidRDefault="001D0AD2">
      <w:pPr>
        <w:pStyle w:val="Kazalovsebine1"/>
        <w:tabs>
          <w:tab w:val="end" w:leader="dot" w:pos="512pt"/>
        </w:tabs>
        <w:rPr>
          <w:rFonts w:ascii="Calibri" w:hAnsi="Calibri"/>
          <w:sz w:val="22"/>
        </w:rPr>
      </w:pPr>
      <w:hyperlink w:anchor="_Toc256001496" w:history="1">
        <w:r w:rsidR="00A77B3E">
          <w:rPr>
            <w:rStyle w:val="Hiperpovezava"/>
            <w:rFonts w:ascii="TimesNewRoman" w:eastAsia="TimesNewRoman" w:hAnsi="TimesNewRoman" w:cs="TimesNewRoman"/>
          </w:rPr>
          <w:t>1. Oris procesa prehoda in opredelitev najbolj prizadetih območij v državi članici</w:t>
        </w:r>
        <w:r w:rsidR="00B16CCF">
          <w:tab/>
        </w:r>
        <w:r w:rsidR="00B16CCF">
          <w:fldChar w:fldCharType="begin"/>
        </w:r>
        <w:r w:rsidR="00B16CCF">
          <w:instrText xml:space="preserve"> PAGEREF _Toc256001496 \h </w:instrText>
        </w:r>
        <w:r w:rsidR="00B16CCF">
          <w:fldChar w:fldCharType="separate"/>
        </w:r>
        <w:r w:rsidR="00B16CCF">
          <w:t>391</w:t>
        </w:r>
        <w:r w:rsidR="00B16CCF">
          <w:fldChar w:fldCharType="end"/>
        </w:r>
      </w:hyperlink>
    </w:p>
    <w:p w14:paraId="39400D74" w14:textId="77777777" w:rsidR="00823317" w:rsidRDefault="001D0AD2">
      <w:pPr>
        <w:pStyle w:val="Kazalovsebine1"/>
        <w:tabs>
          <w:tab w:val="end" w:leader="dot" w:pos="512pt"/>
        </w:tabs>
        <w:rPr>
          <w:rFonts w:ascii="Calibri" w:hAnsi="Calibri"/>
          <w:sz w:val="22"/>
        </w:rPr>
      </w:pPr>
      <w:hyperlink w:anchor="_Toc256001497" w:history="1">
        <w:r w:rsidR="00A77B3E">
          <w:rPr>
            <w:rStyle w:val="Hiperpovezava"/>
            <w:rFonts w:ascii="TimesNewRoman" w:eastAsia="TimesNewRoman" w:hAnsi="TimesNewRoman" w:cs="TimesNewRoman"/>
          </w:rPr>
          <w:t>2. Ocena izzivov, povezanih s prehodom, za vsako opredeljeno območje</w:t>
        </w:r>
        <w:r w:rsidR="00B16CCF">
          <w:tab/>
        </w:r>
        <w:r w:rsidR="00B16CCF">
          <w:fldChar w:fldCharType="begin"/>
        </w:r>
        <w:r w:rsidR="00B16CCF">
          <w:instrText xml:space="preserve"> PAGEREF _Toc256001497 \h </w:instrText>
        </w:r>
        <w:r w:rsidR="00B16CCF">
          <w:fldChar w:fldCharType="separate"/>
        </w:r>
        <w:r w:rsidR="00B16CCF">
          <w:t>394</w:t>
        </w:r>
        <w:r w:rsidR="00B16CCF">
          <w:fldChar w:fldCharType="end"/>
        </w:r>
      </w:hyperlink>
    </w:p>
    <w:p w14:paraId="6950F580" w14:textId="77777777" w:rsidR="00823317" w:rsidRDefault="001D0AD2">
      <w:pPr>
        <w:pStyle w:val="Kazalovsebine2"/>
        <w:tabs>
          <w:tab w:val="end" w:leader="dot" w:pos="512pt"/>
        </w:tabs>
        <w:rPr>
          <w:rFonts w:ascii="Calibri" w:hAnsi="Calibri"/>
          <w:sz w:val="22"/>
        </w:rPr>
      </w:pPr>
      <w:hyperlink w:anchor="_Toc256001498" w:history="1">
        <w:r w:rsidR="00A77B3E">
          <w:rPr>
            <w:rStyle w:val="Hiperpovezava"/>
            <w:rFonts w:ascii="TimesNewRoman" w:eastAsia="TimesNewRoman" w:hAnsi="TimesNewRoman" w:cs="TimesNewRoman"/>
          </w:rPr>
          <w:t>Ozemlje: SAVINJSKO ŠALEŠKA PREMOGOVNA REGIJA</w:t>
        </w:r>
        <w:r w:rsidR="00B16CCF">
          <w:tab/>
        </w:r>
        <w:r w:rsidR="00B16CCF">
          <w:fldChar w:fldCharType="begin"/>
        </w:r>
        <w:r w:rsidR="00B16CCF">
          <w:instrText xml:space="preserve"> PAGEREF _Toc256001498 \h </w:instrText>
        </w:r>
        <w:r w:rsidR="00B16CCF">
          <w:fldChar w:fldCharType="separate"/>
        </w:r>
        <w:r w:rsidR="00B16CCF">
          <w:t>394</w:t>
        </w:r>
        <w:r w:rsidR="00B16CCF">
          <w:fldChar w:fldCharType="end"/>
        </w:r>
      </w:hyperlink>
    </w:p>
    <w:p w14:paraId="61E731F3" w14:textId="77777777" w:rsidR="00823317" w:rsidRDefault="001D0AD2">
      <w:pPr>
        <w:pStyle w:val="Kazalovsebine3"/>
        <w:tabs>
          <w:tab w:val="end" w:leader="dot" w:pos="512pt"/>
        </w:tabs>
        <w:rPr>
          <w:rFonts w:ascii="Calibri" w:hAnsi="Calibri"/>
          <w:sz w:val="22"/>
        </w:rPr>
      </w:pPr>
      <w:hyperlink w:anchor="_Toc256001499" w:history="1">
        <w:r w:rsidR="00A77B3E">
          <w:rPr>
            <w:rStyle w:val="Hiperpovezava"/>
            <w:rFonts w:ascii="TimesNewRoman" w:eastAsia="TimesNewRoman" w:hAnsi="TimesNewRoman" w:cs="TimesNewRoman"/>
          </w:rPr>
          <w:t>2.1. Ocena gospodarskih, socialnih in območnih učinkov prehoda na podnebno nevtralno gospodarstvo Unije do leta 2050</w:t>
        </w:r>
        <w:r w:rsidR="00B16CCF">
          <w:tab/>
        </w:r>
        <w:r w:rsidR="00B16CCF">
          <w:fldChar w:fldCharType="begin"/>
        </w:r>
        <w:r w:rsidR="00B16CCF">
          <w:instrText xml:space="preserve"> PAGEREF _Toc256001499 \h </w:instrText>
        </w:r>
        <w:r w:rsidR="00B16CCF">
          <w:fldChar w:fldCharType="separate"/>
        </w:r>
        <w:r w:rsidR="00B16CCF">
          <w:t>394</w:t>
        </w:r>
        <w:r w:rsidR="00B16CCF">
          <w:fldChar w:fldCharType="end"/>
        </w:r>
      </w:hyperlink>
    </w:p>
    <w:p w14:paraId="7D741A2E" w14:textId="77777777" w:rsidR="00823317" w:rsidRDefault="001D0AD2">
      <w:pPr>
        <w:pStyle w:val="Kazalovsebine3"/>
        <w:tabs>
          <w:tab w:val="end" w:leader="dot" w:pos="512pt"/>
        </w:tabs>
        <w:rPr>
          <w:rFonts w:ascii="Calibri" w:hAnsi="Calibri"/>
          <w:sz w:val="22"/>
        </w:rPr>
      </w:pPr>
      <w:hyperlink w:anchor="_Toc256001500" w:history="1">
        <w:r w:rsidR="00A77B3E">
          <w:rPr>
            <w:rStyle w:val="Hiperpovezava"/>
            <w:rFonts w:ascii="TimesNewRoman" w:eastAsia="TimesNewRoman" w:hAnsi="TimesNewRoman" w:cs="TimesNewRoman"/>
          </w:rPr>
          <w:t>2.2. Razvojne potrebe in cilji do leta 2030 z namenom doseči podnebno nevtralno gospodarstvo Unije do leta 2050</w:t>
        </w:r>
        <w:r w:rsidR="00B16CCF">
          <w:tab/>
        </w:r>
        <w:r w:rsidR="00B16CCF">
          <w:fldChar w:fldCharType="begin"/>
        </w:r>
        <w:r w:rsidR="00B16CCF">
          <w:instrText xml:space="preserve"> PAGEREF _Toc256001500 \h </w:instrText>
        </w:r>
        <w:r w:rsidR="00B16CCF">
          <w:fldChar w:fldCharType="separate"/>
        </w:r>
        <w:r w:rsidR="00B16CCF">
          <w:t>397</w:t>
        </w:r>
        <w:r w:rsidR="00B16CCF">
          <w:fldChar w:fldCharType="end"/>
        </w:r>
      </w:hyperlink>
    </w:p>
    <w:p w14:paraId="6A1D4DEB" w14:textId="77777777" w:rsidR="00823317" w:rsidRDefault="001D0AD2">
      <w:pPr>
        <w:pStyle w:val="Kazalovsebine3"/>
        <w:tabs>
          <w:tab w:val="end" w:leader="dot" w:pos="512pt"/>
        </w:tabs>
        <w:rPr>
          <w:rFonts w:ascii="Calibri" w:hAnsi="Calibri"/>
          <w:sz w:val="22"/>
        </w:rPr>
      </w:pPr>
      <w:hyperlink w:anchor="_Toc256001501" w:history="1">
        <w:r w:rsidR="00A77B3E">
          <w:rPr>
            <w:rStyle w:val="Hiperpovezava"/>
            <w:rFonts w:ascii="TimesNewRoman" w:eastAsia="TimesNewRoman" w:hAnsi="TimesNewRoman" w:cs="TimesNewRoman"/>
          </w:rPr>
          <w:t>2.3. Skladnost z drugimi ustreznimi nacionalnimi, regionalnimi ali teritorialnimi strategijami in načrti</w:t>
        </w:r>
        <w:r w:rsidR="00B16CCF">
          <w:tab/>
        </w:r>
        <w:r w:rsidR="00B16CCF">
          <w:fldChar w:fldCharType="begin"/>
        </w:r>
        <w:r w:rsidR="00B16CCF">
          <w:instrText xml:space="preserve"> PAGEREF _Toc256001501 \h </w:instrText>
        </w:r>
        <w:r w:rsidR="00B16CCF">
          <w:fldChar w:fldCharType="separate"/>
        </w:r>
        <w:r w:rsidR="00B16CCF">
          <w:t>400</w:t>
        </w:r>
        <w:r w:rsidR="00B16CCF">
          <w:fldChar w:fldCharType="end"/>
        </w:r>
      </w:hyperlink>
    </w:p>
    <w:p w14:paraId="01433047" w14:textId="77777777" w:rsidR="00823317" w:rsidRDefault="001D0AD2">
      <w:pPr>
        <w:pStyle w:val="Kazalovsebine3"/>
        <w:tabs>
          <w:tab w:val="end" w:leader="dot" w:pos="512pt"/>
        </w:tabs>
        <w:rPr>
          <w:rFonts w:ascii="Calibri" w:hAnsi="Calibri"/>
          <w:sz w:val="22"/>
        </w:rPr>
      </w:pPr>
      <w:hyperlink w:anchor="_Toc256001502" w:history="1">
        <w:r w:rsidR="00A77B3E">
          <w:rPr>
            <w:rStyle w:val="Hiperpovezava"/>
            <w:rFonts w:ascii="TimesNewRoman" w:eastAsia="TimesNewRoman" w:hAnsi="TimesNewRoman" w:cs="TimesNewRoman"/>
          </w:rPr>
          <w:t>2.4. Predvidene vrste operacij</w:t>
        </w:r>
        <w:r w:rsidR="00B16CCF">
          <w:tab/>
        </w:r>
        <w:r w:rsidR="00B16CCF">
          <w:fldChar w:fldCharType="begin"/>
        </w:r>
        <w:r w:rsidR="00B16CCF">
          <w:instrText xml:space="preserve"> PAGEREF _Toc256001502 \h </w:instrText>
        </w:r>
        <w:r w:rsidR="00B16CCF">
          <w:fldChar w:fldCharType="separate"/>
        </w:r>
        <w:r w:rsidR="00B16CCF">
          <w:t>401</w:t>
        </w:r>
        <w:r w:rsidR="00B16CCF">
          <w:fldChar w:fldCharType="end"/>
        </w:r>
      </w:hyperlink>
    </w:p>
    <w:p w14:paraId="099FC998" w14:textId="77777777" w:rsidR="00823317" w:rsidRDefault="001D0AD2">
      <w:pPr>
        <w:pStyle w:val="Kazalovsebine1"/>
        <w:tabs>
          <w:tab w:val="end" w:leader="dot" w:pos="512pt"/>
        </w:tabs>
        <w:rPr>
          <w:rFonts w:ascii="Calibri" w:hAnsi="Calibri"/>
          <w:sz w:val="22"/>
        </w:rPr>
      </w:pPr>
      <w:hyperlink w:anchor="_Toc256001503" w:history="1">
        <w:r w:rsidR="00A77B3E">
          <w:rPr>
            <w:rStyle w:val="Hiperpovezava"/>
            <w:rFonts w:ascii="TimesNewRoman" w:eastAsia="TimesNewRoman" w:hAnsi="TimesNewRoman" w:cs="TimesNewRoman"/>
          </w:rPr>
          <w:t>3. Mehanizmi upravljanja</w:t>
        </w:r>
        <w:r w:rsidR="00B16CCF">
          <w:tab/>
        </w:r>
        <w:r w:rsidR="00B16CCF">
          <w:fldChar w:fldCharType="begin"/>
        </w:r>
        <w:r w:rsidR="00B16CCF">
          <w:instrText xml:space="preserve"> PAGEREF _Toc256001503 \h </w:instrText>
        </w:r>
        <w:r w:rsidR="00B16CCF">
          <w:fldChar w:fldCharType="separate"/>
        </w:r>
        <w:r w:rsidR="00B16CCF">
          <w:t>406</w:t>
        </w:r>
        <w:r w:rsidR="00B16CCF">
          <w:fldChar w:fldCharType="end"/>
        </w:r>
      </w:hyperlink>
    </w:p>
    <w:p w14:paraId="52058FBB" w14:textId="77777777" w:rsidR="00823317" w:rsidRDefault="001D0AD2">
      <w:pPr>
        <w:pStyle w:val="Kazalovsebine1"/>
        <w:tabs>
          <w:tab w:val="end" w:leader="dot" w:pos="512pt"/>
        </w:tabs>
        <w:rPr>
          <w:rFonts w:ascii="Calibri" w:hAnsi="Calibri"/>
          <w:sz w:val="22"/>
        </w:rPr>
      </w:pPr>
      <w:hyperlink w:anchor="_Toc256001504" w:history="1">
        <w:r w:rsidR="00A77B3E">
          <w:rPr>
            <w:rStyle w:val="Hiperpovezava"/>
            <w:rFonts w:ascii="TimesNewRoman" w:eastAsia="TimesNewRoman" w:hAnsi="TimesNewRoman" w:cs="TimesNewRoman"/>
          </w:rPr>
          <w:t>4. Kazalniki učinkov ali rezultatov za posamezni program</w:t>
        </w:r>
        <w:r w:rsidR="00B16CCF">
          <w:tab/>
        </w:r>
        <w:r w:rsidR="00B16CCF">
          <w:fldChar w:fldCharType="begin"/>
        </w:r>
        <w:r w:rsidR="00B16CCF">
          <w:instrText xml:space="preserve"> PAGEREF _Toc256001504 \h </w:instrText>
        </w:r>
        <w:r w:rsidR="00B16CCF">
          <w:fldChar w:fldCharType="separate"/>
        </w:r>
        <w:r w:rsidR="00B16CCF">
          <w:t>408</w:t>
        </w:r>
        <w:r w:rsidR="00B16CCF">
          <w:fldChar w:fldCharType="end"/>
        </w:r>
      </w:hyperlink>
    </w:p>
    <w:p w14:paraId="3A67D12A" w14:textId="77777777" w:rsidR="00823317" w:rsidRDefault="001D0AD2">
      <w:pPr>
        <w:pStyle w:val="Kazalovsebine2"/>
        <w:tabs>
          <w:tab w:val="end" w:leader="dot" w:pos="512pt"/>
        </w:tabs>
        <w:rPr>
          <w:rFonts w:ascii="Calibri" w:hAnsi="Calibri"/>
          <w:sz w:val="22"/>
        </w:rPr>
      </w:pPr>
      <w:hyperlink w:anchor="_Toc256001505" w:history="1">
        <w:r w:rsidR="00A77B3E">
          <w:rPr>
            <w:rStyle w:val="Hiperpovezava"/>
            <w:rFonts w:ascii="TimesNewRoman" w:eastAsia="TimesNewRoman" w:hAnsi="TimesNewRoman" w:cs="TimesNewRoman"/>
          </w:rPr>
          <w:t>Utemeljitev na podlagi predvidenih vrst operacij, da so kazalniki učinka ali rezultatov, specifični za posamezni program, potrebni</w:t>
        </w:r>
        <w:r w:rsidR="00B16CCF">
          <w:tab/>
        </w:r>
        <w:r w:rsidR="00B16CCF">
          <w:fldChar w:fldCharType="begin"/>
        </w:r>
        <w:r w:rsidR="00B16CCF">
          <w:instrText xml:space="preserve"> PAGEREF _Toc256001505 \h </w:instrText>
        </w:r>
        <w:r w:rsidR="00B16CCF">
          <w:fldChar w:fldCharType="separate"/>
        </w:r>
        <w:r w:rsidR="00B16CCF">
          <w:t>408</w:t>
        </w:r>
        <w:r w:rsidR="00B16CCF">
          <w:fldChar w:fldCharType="end"/>
        </w:r>
      </w:hyperlink>
    </w:p>
    <w:p w14:paraId="3BCFFA58" w14:textId="77777777" w:rsidR="00823317" w:rsidRDefault="001D0AD2">
      <w:pPr>
        <w:pStyle w:val="Kazalovsebine2"/>
        <w:tabs>
          <w:tab w:val="end" w:leader="dot" w:pos="512pt"/>
        </w:tabs>
        <w:rPr>
          <w:rFonts w:ascii="Calibri" w:hAnsi="Calibri"/>
          <w:sz w:val="22"/>
        </w:rPr>
      </w:pPr>
      <w:hyperlink w:anchor="_Toc256001506" w:history="1">
        <w:r w:rsidR="00A77B3E">
          <w:rPr>
            <w:rStyle w:val="Hiperpovezava"/>
            <w:rFonts w:ascii="TimesNewRoman" w:eastAsia="TimesNewRoman" w:hAnsi="TimesNewRoman" w:cs="TimesNewRoman"/>
          </w:rPr>
          <w:t>Tabela 1: Kazalniki učinka</w:t>
        </w:r>
        <w:r w:rsidR="00B16CCF">
          <w:tab/>
        </w:r>
        <w:r w:rsidR="00B16CCF">
          <w:fldChar w:fldCharType="begin"/>
        </w:r>
        <w:r w:rsidR="00B16CCF">
          <w:instrText xml:space="preserve"> PAGEREF _Toc256001506 \h </w:instrText>
        </w:r>
        <w:r w:rsidR="00B16CCF">
          <w:fldChar w:fldCharType="separate"/>
        </w:r>
        <w:r w:rsidR="00B16CCF">
          <w:t>409</w:t>
        </w:r>
        <w:r w:rsidR="00B16CCF">
          <w:fldChar w:fldCharType="end"/>
        </w:r>
      </w:hyperlink>
    </w:p>
    <w:p w14:paraId="34C3E3C0" w14:textId="77777777" w:rsidR="00823317" w:rsidRDefault="001D0AD2">
      <w:pPr>
        <w:pStyle w:val="Kazalovsebine2"/>
        <w:tabs>
          <w:tab w:val="end" w:leader="dot" w:pos="512pt"/>
        </w:tabs>
        <w:rPr>
          <w:rFonts w:ascii="Calibri" w:hAnsi="Calibri"/>
          <w:sz w:val="22"/>
        </w:rPr>
      </w:pPr>
      <w:hyperlink w:anchor="_Toc256001507" w:history="1">
        <w:r w:rsidR="00A77B3E">
          <w:rPr>
            <w:rStyle w:val="Hiperpovezava"/>
            <w:rFonts w:ascii="TimesNewRoman" w:eastAsia="TimesNewRoman" w:hAnsi="TimesNewRoman" w:cs="TimesNewRoman"/>
          </w:rPr>
          <w:t>Tabela 2: Kazalniki rezultatov</w:t>
        </w:r>
        <w:r w:rsidR="00B16CCF">
          <w:tab/>
        </w:r>
        <w:r w:rsidR="00B16CCF">
          <w:fldChar w:fldCharType="begin"/>
        </w:r>
        <w:r w:rsidR="00B16CCF">
          <w:instrText xml:space="preserve"> PAGEREF _Toc256001507 \h </w:instrText>
        </w:r>
        <w:r w:rsidR="00B16CCF">
          <w:fldChar w:fldCharType="separate"/>
        </w:r>
        <w:r w:rsidR="00B16CCF">
          <w:t>409</w:t>
        </w:r>
        <w:r w:rsidR="00B16CCF">
          <w:fldChar w:fldCharType="end"/>
        </w:r>
      </w:hyperlink>
    </w:p>
    <w:p w14:paraId="5A051829" w14:textId="77777777" w:rsidR="00823317" w:rsidRDefault="001D0AD2">
      <w:pPr>
        <w:pStyle w:val="Kazalovsebine1"/>
        <w:tabs>
          <w:tab w:val="end" w:leader="dot" w:pos="512pt"/>
        </w:tabs>
        <w:rPr>
          <w:rFonts w:ascii="Calibri" w:hAnsi="Calibri"/>
          <w:sz w:val="22"/>
        </w:rPr>
      </w:pPr>
      <w:hyperlink w:anchor="_Toc256001508" w:history="1">
        <w:r w:rsidR="00A77B3E">
          <w:rPr>
            <w:rStyle w:val="Hiperpovezava"/>
            <w:rFonts w:ascii="TimesNewRoman" w:eastAsia="TimesNewRoman" w:hAnsi="TimesNewRoman" w:cs="TimesNewRoman"/>
          </w:rPr>
          <w:t>Območni načrt za pravični prehod - ONPP Zasavje.OBMOČNI NAČRT ZA PRAVIČNI PREHOD ZASAVSKE PREMOGOVNE REGIJE (4.0)</w:t>
        </w:r>
        <w:r w:rsidR="00B16CCF">
          <w:tab/>
        </w:r>
        <w:r w:rsidR="00B16CCF">
          <w:fldChar w:fldCharType="begin"/>
        </w:r>
        <w:r w:rsidR="00B16CCF">
          <w:instrText xml:space="preserve"> PAGEREF _Toc256001508 \h </w:instrText>
        </w:r>
        <w:r w:rsidR="00B16CCF">
          <w:fldChar w:fldCharType="separate"/>
        </w:r>
        <w:r w:rsidR="00B16CCF">
          <w:t>410</w:t>
        </w:r>
        <w:r w:rsidR="00B16CCF">
          <w:fldChar w:fldCharType="end"/>
        </w:r>
      </w:hyperlink>
    </w:p>
    <w:p w14:paraId="107CCDD1" w14:textId="77777777" w:rsidR="00823317" w:rsidRDefault="001D0AD2">
      <w:pPr>
        <w:pStyle w:val="Kazalovsebine1"/>
        <w:tabs>
          <w:tab w:val="end" w:leader="dot" w:pos="512pt"/>
        </w:tabs>
        <w:rPr>
          <w:rFonts w:ascii="Calibri" w:hAnsi="Calibri"/>
          <w:sz w:val="22"/>
        </w:rPr>
      </w:pPr>
      <w:hyperlink w:anchor="_Toc256001509" w:history="1">
        <w:r w:rsidR="00A77B3E">
          <w:rPr>
            <w:rStyle w:val="Hiperpovezava"/>
            <w:rFonts w:ascii="TimesNewRoman" w:eastAsia="TimesNewRoman" w:hAnsi="TimesNewRoman" w:cs="TimesNewRoman"/>
          </w:rPr>
          <w:t>1. Oris procesa prehoda in opredelitev najbolj prizadetih območij v državi članici</w:t>
        </w:r>
        <w:r w:rsidR="00B16CCF">
          <w:tab/>
        </w:r>
        <w:r w:rsidR="00B16CCF">
          <w:fldChar w:fldCharType="begin"/>
        </w:r>
        <w:r w:rsidR="00B16CCF">
          <w:instrText xml:space="preserve"> PAGEREF _Toc256001509 \h </w:instrText>
        </w:r>
        <w:r w:rsidR="00B16CCF">
          <w:fldChar w:fldCharType="separate"/>
        </w:r>
        <w:r w:rsidR="00B16CCF">
          <w:t>410</w:t>
        </w:r>
        <w:r w:rsidR="00B16CCF">
          <w:fldChar w:fldCharType="end"/>
        </w:r>
      </w:hyperlink>
    </w:p>
    <w:p w14:paraId="1EF07424" w14:textId="77777777" w:rsidR="00823317" w:rsidRDefault="001D0AD2">
      <w:pPr>
        <w:pStyle w:val="Kazalovsebine1"/>
        <w:tabs>
          <w:tab w:val="end" w:leader="dot" w:pos="512pt"/>
        </w:tabs>
        <w:rPr>
          <w:rFonts w:ascii="Calibri" w:hAnsi="Calibri"/>
          <w:sz w:val="22"/>
        </w:rPr>
      </w:pPr>
      <w:hyperlink w:anchor="_Toc256001510" w:history="1">
        <w:r w:rsidR="00A77B3E">
          <w:rPr>
            <w:rStyle w:val="Hiperpovezava"/>
            <w:rFonts w:ascii="TimesNewRoman" w:eastAsia="TimesNewRoman" w:hAnsi="TimesNewRoman" w:cs="TimesNewRoman"/>
          </w:rPr>
          <w:t>2. Ocena izzivov, povezanih s prehodom, za vsako opredeljeno območje</w:t>
        </w:r>
        <w:r w:rsidR="00B16CCF">
          <w:tab/>
        </w:r>
        <w:r w:rsidR="00B16CCF">
          <w:fldChar w:fldCharType="begin"/>
        </w:r>
        <w:r w:rsidR="00B16CCF">
          <w:instrText xml:space="preserve"> PAGEREF _Toc256001510 \h </w:instrText>
        </w:r>
        <w:r w:rsidR="00B16CCF">
          <w:fldChar w:fldCharType="separate"/>
        </w:r>
        <w:r w:rsidR="00B16CCF">
          <w:t>414</w:t>
        </w:r>
        <w:r w:rsidR="00B16CCF">
          <w:fldChar w:fldCharType="end"/>
        </w:r>
      </w:hyperlink>
    </w:p>
    <w:p w14:paraId="09A438D0" w14:textId="77777777" w:rsidR="00823317" w:rsidRDefault="001D0AD2">
      <w:pPr>
        <w:pStyle w:val="Kazalovsebine2"/>
        <w:tabs>
          <w:tab w:val="end" w:leader="dot" w:pos="512pt"/>
        </w:tabs>
        <w:rPr>
          <w:rFonts w:ascii="Calibri" w:hAnsi="Calibri"/>
          <w:sz w:val="22"/>
        </w:rPr>
      </w:pPr>
      <w:hyperlink w:anchor="_Toc256001511" w:history="1">
        <w:r w:rsidR="00A77B3E">
          <w:rPr>
            <w:rStyle w:val="Hiperpovezava"/>
            <w:rFonts w:ascii="TimesNewRoman" w:eastAsia="TimesNewRoman" w:hAnsi="TimesNewRoman" w:cs="TimesNewRoman"/>
          </w:rPr>
          <w:t>Ozemlje: ZASAVSKA PREMOGOVNA REGIJE</w:t>
        </w:r>
        <w:r w:rsidR="00B16CCF">
          <w:tab/>
        </w:r>
        <w:r w:rsidR="00B16CCF">
          <w:fldChar w:fldCharType="begin"/>
        </w:r>
        <w:r w:rsidR="00B16CCF">
          <w:instrText xml:space="preserve"> PAGEREF _Toc256001511 \h </w:instrText>
        </w:r>
        <w:r w:rsidR="00B16CCF">
          <w:fldChar w:fldCharType="separate"/>
        </w:r>
        <w:r w:rsidR="00B16CCF">
          <w:t>414</w:t>
        </w:r>
        <w:r w:rsidR="00B16CCF">
          <w:fldChar w:fldCharType="end"/>
        </w:r>
      </w:hyperlink>
    </w:p>
    <w:p w14:paraId="7C242BB9" w14:textId="77777777" w:rsidR="00823317" w:rsidRDefault="001D0AD2">
      <w:pPr>
        <w:pStyle w:val="Kazalovsebine3"/>
        <w:tabs>
          <w:tab w:val="end" w:leader="dot" w:pos="512pt"/>
        </w:tabs>
        <w:rPr>
          <w:rFonts w:ascii="Calibri" w:hAnsi="Calibri"/>
          <w:sz w:val="22"/>
        </w:rPr>
      </w:pPr>
      <w:hyperlink w:anchor="_Toc256001512" w:history="1">
        <w:r w:rsidR="00A77B3E">
          <w:rPr>
            <w:rStyle w:val="Hiperpovezava"/>
            <w:rFonts w:ascii="TimesNewRoman" w:eastAsia="TimesNewRoman" w:hAnsi="TimesNewRoman" w:cs="TimesNewRoman"/>
          </w:rPr>
          <w:t>2.1. Ocena gospodarskih, socialnih in območnih učinkov prehoda na podnebno nevtralno gospodarstvo Unije do leta 2050</w:t>
        </w:r>
        <w:r w:rsidR="00B16CCF">
          <w:tab/>
        </w:r>
        <w:r w:rsidR="00B16CCF">
          <w:fldChar w:fldCharType="begin"/>
        </w:r>
        <w:r w:rsidR="00B16CCF">
          <w:instrText xml:space="preserve"> PAGEREF _Toc256001512 \h </w:instrText>
        </w:r>
        <w:r w:rsidR="00B16CCF">
          <w:fldChar w:fldCharType="separate"/>
        </w:r>
        <w:r w:rsidR="00B16CCF">
          <w:t>414</w:t>
        </w:r>
        <w:r w:rsidR="00B16CCF">
          <w:fldChar w:fldCharType="end"/>
        </w:r>
      </w:hyperlink>
    </w:p>
    <w:p w14:paraId="12AE3FD6" w14:textId="77777777" w:rsidR="00823317" w:rsidRDefault="001D0AD2">
      <w:pPr>
        <w:pStyle w:val="Kazalovsebine3"/>
        <w:tabs>
          <w:tab w:val="end" w:leader="dot" w:pos="512pt"/>
        </w:tabs>
        <w:rPr>
          <w:rFonts w:ascii="Calibri" w:hAnsi="Calibri"/>
          <w:sz w:val="22"/>
        </w:rPr>
      </w:pPr>
      <w:hyperlink w:anchor="_Toc256001513" w:history="1">
        <w:r w:rsidR="00A77B3E">
          <w:rPr>
            <w:rStyle w:val="Hiperpovezava"/>
            <w:rFonts w:ascii="TimesNewRoman" w:eastAsia="TimesNewRoman" w:hAnsi="TimesNewRoman" w:cs="TimesNewRoman"/>
          </w:rPr>
          <w:t>2.2. Razvojne potrebe in cilji do leta 2030 z namenom doseči podnebno nevtralno gospodarstvo Unije do leta 2050</w:t>
        </w:r>
        <w:r w:rsidR="00B16CCF">
          <w:tab/>
        </w:r>
        <w:r w:rsidR="00B16CCF">
          <w:fldChar w:fldCharType="begin"/>
        </w:r>
        <w:r w:rsidR="00B16CCF">
          <w:instrText xml:space="preserve"> PAGEREF _Toc256001513 \h </w:instrText>
        </w:r>
        <w:r w:rsidR="00B16CCF">
          <w:fldChar w:fldCharType="separate"/>
        </w:r>
        <w:r w:rsidR="00B16CCF">
          <w:t>417</w:t>
        </w:r>
        <w:r w:rsidR="00B16CCF">
          <w:fldChar w:fldCharType="end"/>
        </w:r>
      </w:hyperlink>
    </w:p>
    <w:p w14:paraId="41D3B04F" w14:textId="77777777" w:rsidR="00823317" w:rsidRDefault="001D0AD2">
      <w:pPr>
        <w:pStyle w:val="Kazalovsebine3"/>
        <w:tabs>
          <w:tab w:val="end" w:leader="dot" w:pos="512pt"/>
        </w:tabs>
        <w:rPr>
          <w:rFonts w:ascii="Calibri" w:hAnsi="Calibri"/>
          <w:sz w:val="22"/>
        </w:rPr>
      </w:pPr>
      <w:hyperlink w:anchor="_Toc256001514" w:history="1">
        <w:r w:rsidR="00A77B3E">
          <w:rPr>
            <w:rStyle w:val="Hiperpovezava"/>
            <w:rFonts w:ascii="TimesNewRoman" w:eastAsia="TimesNewRoman" w:hAnsi="TimesNewRoman" w:cs="TimesNewRoman"/>
          </w:rPr>
          <w:t>2.3. Skladnost z drugimi ustreznimi nacionalnimi, regionalnimi ali teritorialnimi strategijami in načrti</w:t>
        </w:r>
        <w:r w:rsidR="00B16CCF">
          <w:tab/>
        </w:r>
        <w:r w:rsidR="00B16CCF">
          <w:fldChar w:fldCharType="begin"/>
        </w:r>
        <w:r w:rsidR="00B16CCF">
          <w:instrText xml:space="preserve"> PAGEREF _Toc256001514 \h </w:instrText>
        </w:r>
        <w:r w:rsidR="00B16CCF">
          <w:fldChar w:fldCharType="separate"/>
        </w:r>
        <w:r w:rsidR="00B16CCF">
          <w:t>420</w:t>
        </w:r>
        <w:r w:rsidR="00B16CCF">
          <w:fldChar w:fldCharType="end"/>
        </w:r>
      </w:hyperlink>
    </w:p>
    <w:p w14:paraId="711FB00C" w14:textId="77777777" w:rsidR="00823317" w:rsidRDefault="001D0AD2">
      <w:pPr>
        <w:pStyle w:val="Kazalovsebine3"/>
        <w:tabs>
          <w:tab w:val="end" w:leader="dot" w:pos="512pt"/>
        </w:tabs>
        <w:rPr>
          <w:rFonts w:ascii="Calibri" w:hAnsi="Calibri"/>
          <w:sz w:val="22"/>
        </w:rPr>
      </w:pPr>
      <w:hyperlink w:anchor="_Toc256001515" w:history="1">
        <w:r w:rsidR="00A77B3E">
          <w:rPr>
            <w:rStyle w:val="Hiperpovezava"/>
            <w:rFonts w:ascii="TimesNewRoman" w:eastAsia="TimesNewRoman" w:hAnsi="TimesNewRoman" w:cs="TimesNewRoman"/>
          </w:rPr>
          <w:t>2.4. Predvidene vrste operacij</w:t>
        </w:r>
        <w:r w:rsidR="00B16CCF">
          <w:tab/>
        </w:r>
        <w:r w:rsidR="00B16CCF">
          <w:fldChar w:fldCharType="begin"/>
        </w:r>
        <w:r w:rsidR="00B16CCF">
          <w:instrText xml:space="preserve"> PAGEREF _Toc256001515 \h </w:instrText>
        </w:r>
        <w:r w:rsidR="00B16CCF">
          <w:fldChar w:fldCharType="separate"/>
        </w:r>
        <w:r w:rsidR="00B16CCF">
          <w:t>421</w:t>
        </w:r>
        <w:r w:rsidR="00B16CCF">
          <w:fldChar w:fldCharType="end"/>
        </w:r>
      </w:hyperlink>
    </w:p>
    <w:p w14:paraId="67B1A508" w14:textId="77777777" w:rsidR="00823317" w:rsidRDefault="001D0AD2">
      <w:pPr>
        <w:pStyle w:val="Kazalovsebine1"/>
        <w:tabs>
          <w:tab w:val="end" w:leader="dot" w:pos="512pt"/>
        </w:tabs>
        <w:rPr>
          <w:rFonts w:ascii="Calibri" w:hAnsi="Calibri"/>
          <w:sz w:val="22"/>
        </w:rPr>
      </w:pPr>
      <w:hyperlink w:anchor="_Toc256001516" w:history="1">
        <w:r w:rsidR="00A77B3E">
          <w:rPr>
            <w:rStyle w:val="Hiperpovezava"/>
            <w:rFonts w:ascii="TimesNewRoman" w:eastAsia="TimesNewRoman" w:hAnsi="TimesNewRoman" w:cs="TimesNewRoman"/>
          </w:rPr>
          <w:t>3. Mehanizmi upravljanja</w:t>
        </w:r>
        <w:r w:rsidR="00B16CCF">
          <w:tab/>
        </w:r>
        <w:r w:rsidR="00B16CCF">
          <w:fldChar w:fldCharType="begin"/>
        </w:r>
        <w:r w:rsidR="00B16CCF">
          <w:instrText xml:space="preserve"> PAGEREF _Toc256001516 \h </w:instrText>
        </w:r>
        <w:r w:rsidR="00B16CCF">
          <w:fldChar w:fldCharType="separate"/>
        </w:r>
        <w:r w:rsidR="00B16CCF">
          <w:t>425</w:t>
        </w:r>
        <w:r w:rsidR="00B16CCF">
          <w:fldChar w:fldCharType="end"/>
        </w:r>
      </w:hyperlink>
    </w:p>
    <w:p w14:paraId="25151AAB" w14:textId="77777777" w:rsidR="00823317" w:rsidRDefault="001D0AD2">
      <w:pPr>
        <w:pStyle w:val="Kazalovsebine1"/>
        <w:tabs>
          <w:tab w:val="end" w:leader="dot" w:pos="512pt"/>
        </w:tabs>
        <w:rPr>
          <w:rFonts w:ascii="Calibri" w:hAnsi="Calibri"/>
          <w:sz w:val="22"/>
        </w:rPr>
      </w:pPr>
      <w:hyperlink w:anchor="_Toc256001517" w:history="1">
        <w:r w:rsidR="00A77B3E">
          <w:rPr>
            <w:rStyle w:val="Hiperpovezava"/>
            <w:rFonts w:ascii="TimesNewRoman" w:eastAsia="TimesNewRoman" w:hAnsi="TimesNewRoman" w:cs="TimesNewRoman"/>
          </w:rPr>
          <w:t>4. Kazalniki učinkov ali rezultatov za posamezni program</w:t>
        </w:r>
        <w:r w:rsidR="00B16CCF">
          <w:tab/>
        </w:r>
        <w:r w:rsidR="00B16CCF">
          <w:fldChar w:fldCharType="begin"/>
        </w:r>
        <w:r w:rsidR="00B16CCF">
          <w:instrText xml:space="preserve"> PAGEREF _Toc256001517 \h </w:instrText>
        </w:r>
        <w:r w:rsidR="00B16CCF">
          <w:fldChar w:fldCharType="separate"/>
        </w:r>
        <w:r w:rsidR="00B16CCF">
          <w:t>427</w:t>
        </w:r>
        <w:r w:rsidR="00B16CCF">
          <w:fldChar w:fldCharType="end"/>
        </w:r>
      </w:hyperlink>
    </w:p>
    <w:p w14:paraId="35ACE824" w14:textId="77777777" w:rsidR="00823317" w:rsidRDefault="001D0AD2">
      <w:pPr>
        <w:pStyle w:val="Kazalovsebine2"/>
        <w:tabs>
          <w:tab w:val="end" w:leader="dot" w:pos="512pt"/>
        </w:tabs>
        <w:rPr>
          <w:rFonts w:ascii="Calibri" w:hAnsi="Calibri"/>
          <w:sz w:val="22"/>
        </w:rPr>
      </w:pPr>
      <w:hyperlink w:anchor="_Toc256001518" w:history="1">
        <w:r w:rsidR="00A77B3E">
          <w:rPr>
            <w:rStyle w:val="Hiperpovezava"/>
            <w:rFonts w:ascii="TimesNewRoman" w:eastAsia="TimesNewRoman" w:hAnsi="TimesNewRoman" w:cs="TimesNewRoman"/>
          </w:rPr>
          <w:t>Utemeljitev na podlagi predvidenih vrst operacij, da so kazalniki učinka ali rezultatov, specifični za posamezni program, potrebni</w:t>
        </w:r>
        <w:r w:rsidR="00B16CCF">
          <w:tab/>
        </w:r>
        <w:r w:rsidR="00B16CCF">
          <w:fldChar w:fldCharType="begin"/>
        </w:r>
        <w:r w:rsidR="00B16CCF">
          <w:instrText xml:space="preserve"> PAGEREF _Toc256001518 \h </w:instrText>
        </w:r>
        <w:r w:rsidR="00B16CCF">
          <w:fldChar w:fldCharType="separate"/>
        </w:r>
        <w:r w:rsidR="00B16CCF">
          <w:t>427</w:t>
        </w:r>
        <w:r w:rsidR="00B16CCF">
          <w:fldChar w:fldCharType="end"/>
        </w:r>
      </w:hyperlink>
    </w:p>
    <w:p w14:paraId="455274A2" w14:textId="77777777" w:rsidR="00823317" w:rsidRDefault="001D0AD2">
      <w:pPr>
        <w:pStyle w:val="Kazalovsebine2"/>
        <w:tabs>
          <w:tab w:val="end" w:leader="dot" w:pos="512pt"/>
        </w:tabs>
        <w:rPr>
          <w:rFonts w:ascii="Calibri" w:hAnsi="Calibri"/>
          <w:sz w:val="22"/>
        </w:rPr>
      </w:pPr>
      <w:hyperlink w:anchor="_Toc256001519" w:history="1">
        <w:r w:rsidR="00A77B3E">
          <w:rPr>
            <w:rStyle w:val="Hiperpovezava"/>
            <w:rFonts w:ascii="TimesNewRoman" w:eastAsia="TimesNewRoman" w:hAnsi="TimesNewRoman" w:cs="TimesNewRoman"/>
          </w:rPr>
          <w:t>Tabela 1: Kazalniki učinka</w:t>
        </w:r>
        <w:r w:rsidR="00B16CCF">
          <w:tab/>
        </w:r>
        <w:r w:rsidR="00B16CCF">
          <w:fldChar w:fldCharType="begin"/>
        </w:r>
        <w:r w:rsidR="00B16CCF">
          <w:instrText xml:space="preserve"> PAGEREF _Toc256001519 \h </w:instrText>
        </w:r>
        <w:r w:rsidR="00B16CCF">
          <w:fldChar w:fldCharType="separate"/>
        </w:r>
        <w:r w:rsidR="00B16CCF">
          <w:t>428</w:t>
        </w:r>
        <w:r w:rsidR="00B16CCF">
          <w:fldChar w:fldCharType="end"/>
        </w:r>
      </w:hyperlink>
    </w:p>
    <w:p w14:paraId="0751569A" w14:textId="77777777" w:rsidR="00823317" w:rsidRDefault="001D0AD2">
      <w:pPr>
        <w:pStyle w:val="Kazalovsebine2"/>
        <w:tabs>
          <w:tab w:val="end" w:leader="dot" w:pos="512pt"/>
        </w:tabs>
        <w:rPr>
          <w:rFonts w:ascii="Calibri" w:hAnsi="Calibri"/>
          <w:sz w:val="22"/>
        </w:rPr>
      </w:pPr>
      <w:hyperlink w:anchor="_Toc256001520" w:history="1">
        <w:r w:rsidR="00A77B3E">
          <w:rPr>
            <w:rStyle w:val="Hiperpovezava"/>
            <w:rFonts w:ascii="TimesNewRoman" w:eastAsia="TimesNewRoman" w:hAnsi="TimesNewRoman" w:cs="TimesNewRoman"/>
          </w:rPr>
          <w:t>Tabela 2: Kazalniki rezultatov</w:t>
        </w:r>
        <w:r w:rsidR="00B16CCF">
          <w:tab/>
        </w:r>
        <w:r w:rsidR="00B16CCF">
          <w:fldChar w:fldCharType="begin"/>
        </w:r>
        <w:r w:rsidR="00B16CCF">
          <w:instrText xml:space="preserve"> PAGEREF _Toc256001520 \h </w:instrText>
        </w:r>
        <w:r w:rsidR="00B16CCF">
          <w:fldChar w:fldCharType="separate"/>
        </w:r>
        <w:r w:rsidR="00B16CCF">
          <w:t>428</w:t>
        </w:r>
        <w:r w:rsidR="00B16CCF">
          <w:fldChar w:fldCharType="end"/>
        </w:r>
      </w:hyperlink>
    </w:p>
    <w:p w14:paraId="56740D10" w14:textId="77777777" w:rsidR="00823317" w:rsidRDefault="001D0AD2">
      <w:pPr>
        <w:pStyle w:val="Kazalovsebine1"/>
        <w:tabs>
          <w:tab w:val="end" w:leader="dot" w:pos="512pt"/>
        </w:tabs>
        <w:rPr>
          <w:rFonts w:ascii="Calibri" w:hAnsi="Calibri"/>
          <w:sz w:val="22"/>
        </w:rPr>
      </w:pPr>
      <w:hyperlink w:anchor="_Toc256001521" w:history="1">
        <w:r w:rsidR="00A77B3E">
          <w:rPr>
            <w:rStyle w:val="Hiperpovezava"/>
            <w:rFonts w:ascii="TimesNewRoman" w:eastAsia="TimesNewRoman" w:hAnsi="TimesNewRoman" w:cs="TimesNewRoman"/>
          </w:rPr>
          <w:t>DOKUMENTI</w:t>
        </w:r>
        <w:r w:rsidR="00B16CCF">
          <w:tab/>
        </w:r>
        <w:r w:rsidR="00B16CCF">
          <w:fldChar w:fldCharType="begin"/>
        </w:r>
        <w:r w:rsidR="00B16CCF">
          <w:instrText xml:space="preserve"> PAGEREF _Toc256001521 \h </w:instrText>
        </w:r>
        <w:r w:rsidR="00B16CCF">
          <w:fldChar w:fldCharType="separate"/>
        </w:r>
        <w:r w:rsidR="00B16CCF">
          <w:t>429</w:t>
        </w:r>
        <w:r w:rsidR="00B16CCF">
          <w:fldChar w:fldCharType="end"/>
        </w:r>
      </w:hyperlink>
    </w:p>
    <w:p w14:paraId="3D2604B7" w14:textId="77777777" w:rsidR="00A77B3E" w:rsidRPr="00EB2379" w:rsidRDefault="00B16CCF">
      <w:pPr>
        <w:pStyle w:val="Naslov1"/>
        <w:spacing w:before="5pt" w:after="0pt"/>
        <w:rPr>
          <w:rFonts w:ascii="Times New Roman" w:hAnsi="Times New Roman" w:cs="Times New Roman"/>
          <w:b w:val="0"/>
          <w:color w:val="000000"/>
          <w:sz w:val="24"/>
          <w:lang w:val="it-IT"/>
        </w:rPr>
      </w:pPr>
      <w:r>
        <w:rPr>
          <w:rFonts w:ascii="Times New Roman" w:hAnsi="Times New Roman" w:cs="Times New Roman"/>
          <w:b w:val="0"/>
          <w:color w:val="000000"/>
          <w:sz w:val="24"/>
        </w:rPr>
        <w:fldChar w:fldCharType="end"/>
      </w:r>
      <w:r w:rsidRPr="00EB2379">
        <w:rPr>
          <w:rFonts w:ascii="Times New Roman" w:hAnsi="Times New Roman" w:cs="Times New Roman"/>
          <w:b w:val="0"/>
          <w:color w:val="000000"/>
          <w:sz w:val="24"/>
          <w:lang w:val="it-IT"/>
        </w:rPr>
        <w:br w:type="page"/>
      </w:r>
      <w:bookmarkStart w:id="0" w:name="_Toc256000761"/>
      <w:r w:rsidRPr="00EB2379">
        <w:rPr>
          <w:rFonts w:ascii="Times New Roman" w:hAnsi="Times New Roman" w:cs="Times New Roman"/>
          <w:b w:val="0"/>
          <w:color w:val="000000"/>
          <w:sz w:val="24"/>
          <w:lang w:val="it-IT"/>
        </w:rPr>
        <w:lastRenderedPageBreak/>
        <w:t>1. Strategija programa: glavni izzivi in odzivi politik</w:t>
      </w:r>
      <w:bookmarkEnd w:id="0"/>
    </w:p>
    <w:p w14:paraId="768FBB84" w14:textId="77777777" w:rsidR="00A77B3E" w:rsidRDefault="00B16CCF">
      <w:pPr>
        <w:spacing w:before="5pt"/>
        <w:rPr>
          <w:color w:val="000000"/>
          <w:sz w:val="0"/>
        </w:rPr>
      </w:pPr>
      <w:r>
        <w:rPr>
          <w:color w:val="000000"/>
        </w:rPr>
        <w:t>Sklic: člen 22(3)(a)(i) do (viii) in (x) ter (b) Uredbe (EU) 2021/1060 (uredba o skupnih določbah)</w:t>
      </w:r>
    </w:p>
    <w:p w14:paraId="0319AB6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823317" w14:paraId="783326BA"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D0FFA9" w14:textId="77777777" w:rsidR="00A77B3E" w:rsidRDefault="00A77B3E">
            <w:pPr>
              <w:spacing w:before="5pt"/>
              <w:rPr>
                <w:color w:val="000000"/>
                <w:sz w:val="0"/>
              </w:rPr>
            </w:pPr>
          </w:p>
          <w:p w14:paraId="0EECB231" w14:textId="77777777" w:rsidR="00A77B3E" w:rsidRDefault="00B16CCF">
            <w:pPr>
              <w:spacing w:before="5pt"/>
              <w:rPr>
                <w:color w:val="000000"/>
              </w:rPr>
            </w:pPr>
            <w:r>
              <w:rPr>
                <w:color w:val="000000"/>
              </w:rPr>
              <w:t xml:space="preserve">Pri pripravi Programa evropske kohezijske politike v obdobju 2021-2027 v Sloveniji (Program) smo izhajali iz </w:t>
            </w:r>
            <w:r>
              <w:rPr>
                <w:b/>
                <w:bCs/>
                <w:color w:val="000000"/>
              </w:rPr>
              <w:t>Strategije razvoja Slovenije 2030</w:t>
            </w:r>
            <w:r>
              <w:rPr>
                <w:color w:val="000000"/>
              </w:rPr>
              <w:t xml:space="preserve"> (SRS 2030). Napredek pri doseganju ciljev letno spremlja Urad Republike Slovenije za makroekonomske analize in razvoj (UMAR) v Poročilu o razvoju (PoR). </w:t>
            </w:r>
            <w:r>
              <w:rPr>
                <w:b/>
                <w:bCs/>
                <w:color w:val="000000"/>
              </w:rPr>
              <w:t>PoR 2021 in 2022[1]</w:t>
            </w:r>
            <w:r>
              <w:rPr>
                <w:color w:val="000000"/>
              </w:rPr>
              <w:t xml:space="preserve"> ugotavljata, da so ključnega pomena ukrepi v smeri večje odpornosti gospodarstva in družbe, izkoriščanja novih priložnosti ter pospešitve prehoda v visoko produktivno, nizkoogljično in krožno gospodarstvo.</w:t>
            </w:r>
          </w:p>
          <w:p w14:paraId="297CCA53" w14:textId="77777777" w:rsidR="00A77B3E" w:rsidRDefault="00B16CCF">
            <w:pPr>
              <w:spacing w:before="5pt"/>
              <w:rPr>
                <w:color w:val="000000"/>
              </w:rPr>
            </w:pPr>
            <w:r>
              <w:rPr>
                <w:color w:val="000000"/>
              </w:rPr>
              <w:t>Za doseganje ciljev SRS 2030 moramo ukrepe prednostno usmerjati na področja, kjer zaznavamo največje izzive:</w:t>
            </w:r>
          </w:p>
          <w:p w14:paraId="336A9627" w14:textId="77777777" w:rsidR="00A77B3E" w:rsidRDefault="00B16CCF">
            <w:pPr>
              <w:spacing w:before="5pt"/>
              <w:rPr>
                <w:color w:val="000000"/>
              </w:rPr>
            </w:pPr>
            <w:r>
              <w:rPr>
                <w:color w:val="000000"/>
              </w:rPr>
              <w:t>-</w:t>
            </w:r>
            <w:r>
              <w:rPr>
                <w:b/>
                <w:bCs/>
                <w:color w:val="000000"/>
              </w:rPr>
              <w:t>pospeševanje rasti produktivnosti, vključno z razvojem ustreznih kompetenc</w:t>
            </w:r>
            <w:r>
              <w:rPr>
                <w:color w:val="000000"/>
              </w:rPr>
              <w:t>;</w:t>
            </w:r>
          </w:p>
          <w:p w14:paraId="1B0F16A5" w14:textId="77777777" w:rsidR="00A77B3E" w:rsidRDefault="00B16CCF">
            <w:pPr>
              <w:spacing w:before="5pt"/>
              <w:rPr>
                <w:color w:val="000000"/>
              </w:rPr>
            </w:pPr>
            <w:r>
              <w:rPr>
                <w:color w:val="000000"/>
              </w:rPr>
              <w:t>-</w:t>
            </w:r>
            <w:r>
              <w:rPr>
                <w:b/>
                <w:bCs/>
                <w:color w:val="000000"/>
              </w:rPr>
              <w:t>pospeševanje prehoda v nizkoogljično krožno gospodarstvo</w:t>
            </w:r>
            <w:r>
              <w:rPr>
                <w:color w:val="000000"/>
              </w:rPr>
              <w:t>;</w:t>
            </w:r>
          </w:p>
          <w:p w14:paraId="2CE48A2D" w14:textId="77777777" w:rsidR="00A77B3E" w:rsidRPr="00EB2379" w:rsidRDefault="00B16CCF">
            <w:pPr>
              <w:spacing w:before="5pt"/>
              <w:rPr>
                <w:color w:val="000000"/>
                <w:lang w:val="it-IT"/>
              </w:rPr>
            </w:pPr>
            <w:r w:rsidRPr="00EB2379">
              <w:rPr>
                <w:color w:val="000000"/>
                <w:lang w:val="it-IT"/>
              </w:rPr>
              <w:t>-</w:t>
            </w:r>
            <w:r w:rsidRPr="00EB2379">
              <w:rPr>
                <w:b/>
                <w:bCs/>
                <w:color w:val="000000"/>
                <w:lang w:val="it-IT"/>
              </w:rPr>
              <w:t>krepitev odpornosti zdravstvenega sistema in finančne vzdržnosti sistemov socialne varnosti</w:t>
            </w:r>
            <w:r w:rsidRPr="00EB2379">
              <w:rPr>
                <w:color w:val="000000"/>
                <w:lang w:val="it-IT"/>
              </w:rPr>
              <w:t>;</w:t>
            </w:r>
          </w:p>
          <w:p w14:paraId="5695B474" w14:textId="77777777" w:rsidR="00A77B3E" w:rsidRPr="00EB2379" w:rsidRDefault="00B16CCF">
            <w:pPr>
              <w:spacing w:before="5pt"/>
              <w:rPr>
                <w:color w:val="000000"/>
                <w:lang w:val="it-IT"/>
              </w:rPr>
            </w:pPr>
            <w:r w:rsidRPr="00EB2379">
              <w:rPr>
                <w:color w:val="000000"/>
                <w:lang w:val="it-IT"/>
              </w:rPr>
              <w:t>-</w:t>
            </w:r>
            <w:r w:rsidRPr="00EB2379">
              <w:rPr>
                <w:b/>
                <w:bCs/>
                <w:color w:val="000000"/>
                <w:lang w:val="it-IT"/>
              </w:rPr>
              <w:t>krepitev razvojne vloge države in njenih institucij</w:t>
            </w:r>
            <w:r w:rsidRPr="00EB2379">
              <w:rPr>
                <w:color w:val="000000"/>
                <w:lang w:val="it-IT"/>
              </w:rPr>
              <w:t>: izboljšanje učinkovitosti upravljanja javnega sektorja in zmanjšanje regulatornih bremen ostaja izziv, ki je bil v največji meri naslovljen v Načrtu za okrevanje in odpornost (NOO), zato ga v Programu posebej ne izpostavljamo.</w:t>
            </w:r>
          </w:p>
          <w:p w14:paraId="4838AF01" w14:textId="77777777" w:rsidR="00A77B3E" w:rsidRPr="00EB2379" w:rsidRDefault="00B16CCF">
            <w:pPr>
              <w:spacing w:before="5pt"/>
              <w:rPr>
                <w:color w:val="000000"/>
                <w:lang w:val="it-IT"/>
              </w:rPr>
            </w:pPr>
            <w:r w:rsidRPr="00EB2379">
              <w:rPr>
                <w:color w:val="000000"/>
                <w:lang w:val="it-IT"/>
              </w:rPr>
              <w:t>Na podlagi relevantnih dokumentov, specifičnih vrednotenj, poročil, Priporočil Sveta EU v zvezi z nacionalnim reformnim programom Slovenije za leta 2019, 2020 in 2022 (Priporočila Sveta EU) in strateških prioritet EK, smo oblikovali ukrepe za učinkovito reševanje identificiranih izzivov. Ti so med seboj soodvisni, zato bomo zagotavljali največje možne vsebinske in izvedbene sinergije ter spodbujali iskanje sistemskih horizontalnih rešitev. V NOO je velik poudarek namenjen tudi reformam, zaradi katerih bomo hitreje in bolj učinkovito prispevali k ciljem politik EU in Programa. Pri ukrepih naložbenega dela NOO ter tega Programa bomo zagotavljali jasno razmejevanje oz. komplementarnost področij in podprtih ukrepov.</w:t>
            </w:r>
          </w:p>
          <w:p w14:paraId="419E87E3" w14:textId="77777777" w:rsidR="00A77B3E" w:rsidRPr="00EB2379" w:rsidRDefault="00B16CCF">
            <w:pPr>
              <w:spacing w:before="5pt"/>
              <w:rPr>
                <w:color w:val="000000"/>
                <w:lang w:val="it-IT"/>
              </w:rPr>
            </w:pPr>
            <w:r w:rsidRPr="00EB2379">
              <w:rPr>
                <w:color w:val="000000"/>
                <w:lang w:val="it-IT"/>
              </w:rPr>
              <w:t>Slovenija bo pri naložbah upoštevala omilitvene ukrepe iz Celovite presoje vplivov na okolje (Priloga: Omilitveni ukrepi in priporočila) in načelo »Da se ne škoduje bistveno« (Priloga: DNSH). S sredstvi EKP bomo podprli tudi najbolj ranljive in izpostavljene družbenim in gospodarskim posledicam zelenega prehoda. Kjer bo to relevantno, bo Program podpiral naložbe, ki uspešno povezujejo načela trajnosti, estetike in vključenosti v skladu s pobudo Novi evropski Bauhaus.</w:t>
            </w:r>
          </w:p>
          <w:p w14:paraId="79CFF716" w14:textId="77777777" w:rsidR="00A77B3E" w:rsidRPr="00EB2379" w:rsidRDefault="00B16CCF">
            <w:pPr>
              <w:spacing w:before="5pt"/>
              <w:rPr>
                <w:color w:val="000000"/>
                <w:lang w:val="it-IT"/>
              </w:rPr>
            </w:pPr>
            <w:r w:rsidRPr="00EB2379">
              <w:rPr>
                <w:color w:val="000000"/>
                <w:lang w:val="it-IT"/>
              </w:rPr>
              <w:t>Slovenija je razdeljena na dve kohezijski regiji, pri čemer se Kohezijska regija Zahodna Slovenija (KRZS) uvršča med razvite, Kohezijska regija Vzhodna Slovenija (KRVS) pa med manj razvite. Izziv KRVZ je zmanjšanje razvojnega zaostanka tako na ravni EU kot tudi v primerjavi s slovenskim povprečjem ter bolj razvito KRZS. V KRZS so kljub splošni večji razvitosti prisotne velike razlike v stopnji razvitosti med razvojnimi NUTS-3 regijami in tudi znotraj njih, ki so se v letu 2020 zopet povečale zaradi epidemije covid-19. Proračun Republike Slovenije bo zagotavljal ustrezno višino nacionalnega prispevka, ki bo omogočal ustrezno izvedbo operacij v obeh kohezijskih regijah[2]. Za spodbujanje povezovanja urbanega in podeželskega območja ter zmanjšanje razvojnih razlik bodo uporabljeni trije teritorialni pristopi. Trajnostni razvoj mest bo podprt s pristopom celostne teritorialne naložbe (CTN) na treh specifičnih ciljih (SC) (RSO2.7, 2.8 in 5.1), lokalni razvoj s pristopom lokalni razvoj, ki ga vodi skupnost (CLLD), na SC RSO5.2 ter regionalni razvoj z mehanizmom dogovori za razvoj regij (DRR) na štirih SC (RSO1.3, 2.5, 2.7 in 3.2). V izbor operacij so v prvi fazi vključeni nosilci odločanja in predstavniki mest, območij LAS ter regij. Podrobneje je pojasnjeno v poglavjih 1.1 in 2 pri posameznih SC.</w:t>
            </w:r>
          </w:p>
          <w:p w14:paraId="3A470F36" w14:textId="77777777" w:rsidR="00A77B3E" w:rsidRPr="00EB2379" w:rsidRDefault="00B16CCF">
            <w:pPr>
              <w:spacing w:before="5pt"/>
              <w:rPr>
                <w:color w:val="000000"/>
                <w:lang w:val="it-IT"/>
              </w:rPr>
            </w:pPr>
            <w:r w:rsidRPr="00EB2379">
              <w:rPr>
                <w:color w:val="000000"/>
                <w:lang w:val="it-IT"/>
              </w:rPr>
              <w:t>V obdobju 2014-2020 so se oblikovale številne dobre prakse, med ključnimi predvsem odlično sodelovanje resorjev pri načrtovanju strateških dokumentov kot podlagah za oblikovanje programskih dokumentov (npr.: Strategija pametne specializacije 2030 (S5)). Dobro sodelovanje iz obdobja 2014-2020 smo prenesli tudi v programiranje dokumentov in ukrepov 2021-2027, ki bodo podlaga za sodelovanje pri njihovem izvajanju. Konkretneje je opredeljeno na ravni ukrepov v 2. poglavju.</w:t>
            </w:r>
          </w:p>
          <w:p w14:paraId="531F6D26" w14:textId="77777777" w:rsidR="00A77B3E" w:rsidRPr="00EB2379" w:rsidRDefault="00B16CCF">
            <w:pPr>
              <w:spacing w:before="5pt"/>
              <w:rPr>
                <w:color w:val="000000"/>
                <w:lang w:val="it-IT"/>
              </w:rPr>
            </w:pPr>
            <w:r w:rsidRPr="00EB2379">
              <w:rPr>
                <w:color w:val="000000"/>
                <w:lang w:val="it-IT"/>
              </w:rPr>
              <w:t>Ključni izzivi ter prednostni ukrepi Slovenije:</w:t>
            </w:r>
          </w:p>
          <w:p w14:paraId="77AB1F2C" w14:textId="77777777" w:rsidR="00A77B3E" w:rsidRPr="00EB2379" w:rsidRDefault="00B16CCF">
            <w:pPr>
              <w:spacing w:before="5pt"/>
              <w:rPr>
                <w:color w:val="000000"/>
                <w:lang w:val="it-IT"/>
              </w:rPr>
            </w:pPr>
            <w:r w:rsidRPr="00EB2379">
              <w:rPr>
                <w:b/>
                <w:bCs/>
                <w:color w:val="000000"/>
                <w:lang w:val="it-IT"/>
              </w:rPr>
              <w:lastRenderedPageBreak/>
              <w:t>1.Pospeševanje rasti produktivnosti</w:t>
            </w:r>
          </w:p>
          <w:p w14:paraId="7AD7C90D" w14:textId="77777777" w:rsidR="00A77B3E" w:rsidRPr="00EB2379" w:rsidRDefault="00B16CCF">
            <w:pPr>
              <w:spacing w:before="5pt"/>
              <w:rPr>
                <w:color w:val="000000"/>
                <w:lang w:val="it-IT"/>
              </w:rPr>
            </w:pPr>
            <w:r w:rsidRPr="00EB2379">
              <w:rPr>
                <w:b/>
                <w:bCs/>
                <w:color w:val="000000"/>
                <w:lang w:val="it-IT"/>
              </w:rPr>
              <w:t>Poročilo o produktivnosti 2021[3]</w:t>
            </w:r>
            <w:r w:rsidRPr="00EB2379">
              <w:rPr>
                <w:color w:val="000000"/>
                <w:lang w:val="it-IT"/>
              </w:rPr>
              <w:t xml:space="preserve"> (PoP) poudarja, da prehod v nizkoogljično krožno gospodarstvo postaja vse pomembnejši dejavnik zagotavljanja dolgoročne rasti produktivnosti ter odpornosti gospodarstva in družbe. Temu sledi tudi prenovljena S5, in sicer: (i) razvoj kadrov in spretnosti prihodnosti, (ii) vloga javnih financ pri spodbujanju pametne, digitalno-inovacijske preobrazbe ter (iii) trajnostna preobrazba v nizkoogljično in krožno gospodarstvo.</w:t>
            </w:r>
          </w:p>
          <w:p w14:paraId="4348F17B" w14:textId="77777777" w:rsidR="00A77B3E" w:rsidRPr="00EB2379" w:rsidRDefault="00B16CCF">
            <w:pPr>
              <w:spacing w:before="5pt"/>
              <w:rPr>
                <w:color w:val="000000"/>
                <w:lang w:val="it-IT"/>
              </w:rPr>
            </w:pPr>
            <w:r w:rsidRPr="00EB2379">
              <w:rPr>
                <w:color w:val="000000"/>
                <w:lang w:val="it-IT"/>
              </w:rPr>
              <w:t>Slovenija je v času gospodarske rasti 2014-2019 nekoliko zmanjšala zaostanek v gospodarski razvitosti in je v letu 2019 dosegla 89 % povprečja EU. Hitrejše razvojno dohitevanje je omejevala predvsem rast produktivnosti, ki je zaradi majhnih vlaganj tudi v obdobju gospodarske konjunkture ostala skromna. Še posebej izstopa počasen napredek pri vlaganjih v različne oblike neoprijemljivega kapitala, ki je ključen dejavnik rasti produktivnosti sodobnih gospodarstev, epidemija pa je še dodatno poudarila pomen tovrstnih vlaganj.</w:t>
            </w:r>
          </w:p>
          <w:p w14:paraId="6064DBF7" w14:textId="77777777" w:rsidR="00A77B3E" w:rsidRPr="00EB2379" w:rsidRDefault="00B16CCF">
            <w:pPr>
              <w:spacing w:before="5pt"/>
              <w:rPr>
                <w:color w:val="000000"/>
                <w:lang w:val="it-IT"/>
              </w:rPr>
            </w:pPr>
            <w:r w:rsidRPr="00EB2379">
              <w:rPr>
                <w:color w:val="000000"/>
                <w:lang w:val="it-IT"/>
              </w:rPr>
              <w:t>PoP 2021 v okviru tega izziva med prednostnimi ukrepi države navaja:</w:t>
            </w:r>
          </w:p>
          <w:p w14:paraId="18577C3B" w14:textId="77777777" w:rsidR="00A77B3E" w:rsidRPr="00EB2379" w:rsidRDefault="00B16CCF">
            <w:pPr>
              <w:spacing w:before="5pt"/>
              <w:rPr>
                <w:color w:val="000000"/>
                <w:lang w:val="it-IT"/>
              </w:rPr>
            </w:pPr>
            <w:r w:rsidRPr="00EB2379">
              <w:rPr>
                <w:color w:val="000000"/>
                <w:lang w:val="it-IT"/>
              </w:rPr>
              <w:t>-</w:t>
            </w:r>
            <w:r w:rsidRPr="00EB2379">
              <w:rPr>
                <w:b/>
                <w:bCs/>
                <w:i/>
                <w:iCs/>
                <w:color w:val="000000"/>
                <w:lang w:val="it-IT"/>
              </w:rPr>
              <w:t>povečanje vlaganj države za pametno in trajnostno preobrazbo in zagotovitev infrastrukturnih pogojev.</w:t>
            </w:r>
          </w:p>
          <w:p w14:paraId="6F45B3AE" w14:textId="77777777" w:rsidR="00A77B3E" w:rsidRPr="00EB2379" w:rsidRDefault="00B16CCF">
            <w:pPr>
              <w:spacing w:before="5pt"/>
              <w:rPr>
                <w:color w:val="000000"/>
                <w:lang w:val="it-IT"/>
              </w:rPr>
            </w:pPr>
            <w:r w:rsidRPr="00EB2379">
              <w:rPr>
                <w:color w:val="000000"/>
                <w:lang w:val="it-IT"/>
              </w:rPr>
              <w:t>Za dvig produktivnosti so nujna vlaganja države v digitalno in zeleno preobrazbo. Treba je okrepiti znanstveno-raziskovalni, inovacijski in digitalni ekosistem, spodbujati medsebojno povezovanje in skupna vlaganja, delitev tveganj in bolj intenzivno mednarodno sodelovanje za prebojne inovacije in hitrejšo rast produktivnosti. Na dvig učinkovitosti ekosistema bodo vplivale tudi reforme iz NOO. Zagotoviti je treba še (i) digitalno (npr. digitalna dostopnost podeželskih območij, tehnologije nove generacije), (ii) raziskovalno-razvojno in (iii) zeleno (npr. ukrepi za podporo proizvodnji obnovljivih virov energije (OVE), trajnostno mobilnost, itd.) infrastrukturo, ob upoštevanju načel javnega naročanja inovativnih rešitev, ki ima na produktivnost poudarjen srednjeročni učinek.</w:t>
            </w:r>
          </w:p>
          <w:p w14:paraId="600B08A7" w14:textId="77777777" w:rsidR="00A77B3E" w:rsidRPr="00EB2379" w:rsidRDefault="00B16CCF">
            <w:pPr>
              <w:spacing w:before="5pt"/>
              <w:rPr>
                <w:color w:val="000000"/>
                <w:lang w:val="it-IT"/>
              </w:rPr>
            </w:pPr>
            <w:r w:rsidRPr="00EB2379">
              <w:rPr>
                <w:color w:val="000000"/>
                <w:lang w:val="it-IT"/>
              </w:rPr>
              <w:t>Digitalna preobrazba in prehod v digitalno družbo lahko bistveno pripomoreta k doseganju vseh ciljev iz SRS 2030. Slovenija se po evropskem indeksu digitalnega gospodarstva in družbe (DESI) že od leta 2016 uvršča nad povprečje EU (2021: 13. mesto), pri čemer trendno izgubljamo konkurenčnost na področju povezljivosti, največji zaostanek pa je na področju vsaj osnovnih digitalnih kompetenc. Primerjalno nazadujemo tudi pri pokritosti s fiksnim širokopasovnim omrežjem, kar je neugodno za zagotavljanje kakovosti digitalne dostopnosti vsem, še posebej podeželskim območjem.</w:t>
            </w:r>
          </w:p>
          <w:p w14:paraId="2257E4FB" w14:textId="77777777" w:rsidR="00A77B3E" w:rsidRPr="00EB2379" w:rsidRDefault="00B16CCF">
            <w:pPr>
              <w:spacing w:before="5pt"/>
              <w:rPr>
                <w:color w:val="000000"/>
                <w:lang w:val="it-IT"/>
              </w:rPr>
            </w:pPr>
            <w:r w:rsidRPr="00EB2379">
              <w:rPr>
                <w:color w:val="000000"/>
                <w:lang w:val="it-IT"/>
              </w:rPr>
              <w:t>Po evropskem inovacijskem indeksu (EII) se Slovenija v 2021 že tretje leto uvršča med zmerne inovatorke. Med komponentami EII je glede na povprečje EU najslabši rezultat pri naložbah podjetij. Poslabšalo se je tudi že sicer nizko financiranje in podpora za rizični kapital. Pri naložbah v RRI, IKT in skupnem številu raziskovalcev precej zaostajamo za najboljšimi. Krepiti moramo raziskovalne zmogljivosti javnega sektorja in vlagati v človeške vire za dvig inovacijske dejavnosti gospodarstva. Inovacijska aktivnost podjetij malih in srednjih podjetij (MSP) je še vedno pod povprečjem EU.</w:t>
            </w:r>
          </w:p>
          <w:p w14:paraId="20F843C2" w14:textId="77777777" w:rsidR="00A77B3E" w:rsidRPr="00EB2379" w:rsidRDefault="00B16CCF">
            <w:pPr>
              <w:spacing w:before="5pt"/>
              <w:rPr>
                <w:color w:val="000000"/>
                <w:lang w:val="it-IT"/>
              </w:rPr>
            </w:pPr>
            <w:r w:rsidRPr="00EB2379">
              <w:rPr>
                <w:color w:val="000000"/>
                <w:lang w:val="it-IT"/>
              </w:rPr>
              <w:t>-</w:t>
            </w:r>
            <w:r w:rsidRPr="00EB2379">
              <w:rPr>
                <w:b/>
                <w:bCs/>
                <w:i/>
                <w:iCs/>
                <w:color w:val="000000"/>
                <w:lang w:val="it-IT"/>
              </w:rPr>
              <w:t>Izboljšanje poslovnega in inovacijskega okolja ter spodbujanje podjetniškega sektorja k vlaganjem v digitalno, inovacijsko in zeleno preobrazbo.</w:t>
            </w:r>
          </w:p>
          <w:p w14:paraId="6F4C2365" w14:textId="77777777" w:rsidR="00A77B3E" w:rsidRPr="00EB2379" w:rsidRDefault="00B16CCF">
            <w:pPr>
              <w:spacing w:before="5pt"/>
              <w:rPr>
                <w:color w:val="000000"/>
                <w:lang w:val="it-IT"/>
              </w:rPr>
            </w:pPr>
            <w:r w:rsidRPr="00EB2379">
              <w:rPr>
                <w:color w:val="000000"/>
                <w:lang w:val="it-IT"/>
              </w:rPr>
              <w:t>Produktivnost je gonilna sila za uspešno delujoče gospodarstvo in višjo gospodarsko razvitost s končnim ciljem blaginje prebivalstva. Pri tem je prehod v nizkoogljično krožno gospodarstvo vse pomembnejši dejavnik, tudi zaradi trenda rasti cen energentov in surovin. Zato je treba začeti s korenitejšimi sistemskimi premiki na osnovi novih znanj, inovacij in naložb v čistejše tehnologije.[4]</w:t>
            </w:r>
          </w:p>
          <w:p w14:paraId="56F6C330" w14:textId="77777777" w:rsidR="00A77B3E" w:rsidRPr="00EB2379" w:rsidRDefault="00B16CCF">
            <w:pPr>
              <w:spacing w:before="5pt"/>
              <w:rPr>
                <w:color w:val="000000"/>
                <w:lang w:val="it-IT"/>
              </w:rPr>
            </w:pPr>
            <w:r w:rsidRPr="00EB2379">
              <w:rPr>
                <w:color w:val="000000"/>
                <w:lang w:val="it-IT"/>
              </w:rPr>
              <w:t>Industrija se vse bolj usmerja od delovno intenzivnih in nizko tehnološko zahtevnih proizvodov v visoko tehnološko zahtevne. To se kaže v njihovem večjem tržnem deležu in primerjalno ugodnih gibanjih produktivnosti. Manjšo konkurenčnost dosegamo pri storitvah, ki temeljijo na znanju, vključno z IKT.</w:t>
            </w:r>
          </w:p>
          <w:p w14:paraId="53AAFF0C" w14:textId="77777777" w:rsidR="00A77B3E" w:rsidRPr="00EB2379" w:rsidRDefault="00B16CCF">
            <w:pPr>
              <w:spacing w:before="5pt"/>
              <w:rPr>
                <w:color w:val="000000"/>
                <w:lang w:val="it-IT"/>
              </w:rPr>
            </w:pPr>
            <w:r w:rsidRPr="00EB2379">
              <w:rPr>
                <w:color w:val="000000"/>
                <w:lang w:val="it-IT"/>
              </w:rPr>
              <w:t xml:space="preserve">Slovenija mora spodbuditi vlaganja v ključne omogočitvene faktorje za digitalno in inovacijsko preobrazbo podjetij, to je od vlaganj v podatke in analitiko, do sistemov in tehnologij, talentov in organizacijskega kapitala, ki so ključ do naprednih, pametnih, podatkovno upravljanih podjetij, kjer so poseben izziv MSP. Ker prehod v četrto industrijsko revolucijo spreminja naravo inoviranja, moramo pospešiti uvajanje novih poslovnih modelov, prebojnih in disruptivnih inovacij ter prilagojenih procesov </w:t>
            </w:r>
            <w:r w:rsidRPr="00EB2379">
              <w:rPr>
                <w:color w:val="000000"/>
                <w:lang w:val="it-IT"/>
              </w:rPr>
              <w:lastRenderedPageBreak/>
              <w:t>in organizacije poslovanja, vključno z domačim in mednarodnim povezovanjem. Izboljševati pa bo treba tudi poslovno in inovacijsko okolje.</w:t>
            </w:r>
          </w:p>
          <w:p w14:paraId="62075DCD" w14:textId="77777777" w:rsidR="00A77B3E" w:rsidRPr="00EB2379" w:rsidRDefault="00B16CCF">
            <w:pPr>
              <w:spacing w:before="5pt"/>
              <w:rPr>
                <w:color w:val="000000"/>
                <w:lang w:val="it-IT"/>
              </w:rPr>
            </w:pPr>
            <w:r w:rsidRPr="00EB2379">
              <w:rPr>
                <w:color w:val="000000"/>
                <w:lang w:val="it-IT"/>
              </w:rPr>
              <w:t>Pri tem je pomembna tudi komplementarnost vsebin z NOO.</w:t>
            </w:r>
          </w:p>
          <w:p w14:paraId="4FA677A2" w14:textId="77777777" w:rsidR="00A77B3E" w:rsidRPr="00EB2379" w:rsidRDefault="00B16CCF">
            <w:pPr>
              <w:spacing w:before="5pt"/>
              <w:rPr>
                <w:color w:val="000000"/>
                <w:lang w:val="it-IT"/>
              </w:rPr>
            </w:pPr>
            <w:r w:rsidRPr="00EB2379">
              <w:rPr>
                <w:color w:val="000000"/>
                <w:lang w:val="it-IT"/>
              </w:rPr>
              <w:t>-</w:t>
            </w:r>
            <w:r w:rsidRPr="00EB2379">
              <w:rPr>
                <w:b/>
                <w:bCs/>
                <w:i/>
                <w:iCs/>
                <w:color w:val="000000"/>
                <w:lang w:val="it-IT"/>
              </w:rPr>
              <w:t>Krepitev znanj in spretnosti prihodnosti.</w:t>
            </w:r>
          </w:p>
          <w:p w14:paraId="40486CD9" w14:textId="77777777" w:rsidR="00A77B3E" w:rsidRPr="00EB2379" w:rsidRDefault="00B16CCF">
            <w:pPr>
              <w:spacing w:before="5pt"/>
              <w:rPr>
                <w:color w:val="000000"/>
                <w:lang w:val="it-IT"/>
              </w:rPr>
            </w:pPr>
            <w:r w:rsidRPr="00EB2379">
              <w:rPr>
                <w:color w:val="000000"/>
                <w:lang w:val="it-IT"/>
              </w:rPr>
              <w:t>V Sloveniji največjo nevarnost predstavlja večletno upadanje vključenosti odraslih in zaposlenih v vseživljenjsko učenje (VŽU), kar vpliva na razvoj ustreznih kompetenc mladih in odraslih. To zahteva povečanje vlaganj v človeške vire za pokrivanje trenutnih vrzeli ter spodbujanje vključenosti odraslih v VŽU za uspešno soočanje s prihajajočimi izzivi (npr. digitalni, krožnost), tudi tistih, katerih delovna mesta bodo v večji meri izpostavljena avtomatizaciji in spremembam.</w:t>
            </w:r>
          </w:p>
          <w:p w14:paraId="3584A95C" w14:textId="77777777" w:rsidR="00A77B3E" w:rsidRPr="00EB2379" w:rsidRDefault="00B16CCF">
            <w:pPr>
              <w:spacing w:before="5pt"/>
              <w:rPr>
                <w:color w:val="000000"/>
                <w:lang w:val="it-IT"/>
              </w:rPr>
            </w:pPr>
            <w:r w:rsidRPr="00EB2379">
              <w:rPr>
                <w:color w:val="000000"/>
                <w:lang w:val="it-IT"/>
              </w:rPr>
              <w:t>Posodobljeni in v prihodnost usmerjeni sistemi izobraževanja in usposabljanja morajo biti bolj fleksibilni, vedno večji pomen pa bodo imeli tudi interdisciplinarni pristopi in prečne kompetence (podjetnost, inovativnost in ustvarjalnost).</w:t>
            </w:r>
          </w:p>
          <w:p w14:paraId="3D61F0CF" w14:textId="77777777" w:rsidR="00A77B3E" w:rsidRPr="00EB2379" w:rsidRDefault="00B16CCF">
            <w:pPr>
              <w:spacing w:before="5pt"/>
              <w:rPr>
                <w:color w:val="000000"/>
                <w:lang w:val="it-IT"/>
              </w:rPr>
            </w:pPr>
            <w:r w:rsidRPr="00EB2379">
              <w:rPr>
                <w:b/>
                <w:bCs/>
                <w:color w:val="000000"/>
                <w:lang w:val="it-IT"/>
              </w:rPr>
              <w:t>2.Prehod v nizkoogljično krožno gospodarstvo</w:t>
            </w:r>
          </w:p>
          <w:p w14:paraId="71600C7D" w14:textId="77777777" w:rsidR="00A77B3E" w:rsidRPr="00EB2379" w:rsidRDefault="00B16CCF">
            <w:pPr>
              <w:spacing w:before="5pt"/>
              <w:rPr>
                <w:color w:val="000000"/>
                <w:lang w:val="it-IT"/>
              </w:rPr>
            </w:pPr>
            <w:r w:rsidRPr="00EB2379">
              <w:rPr>
                <w:color w:val="000000"/>
                <w:lang w:val="it-IT"/>
              </w:rPr>
              <w:t>Evropski zeleni dogovor je postavil ambiciozne cilje za preobrazbo gospodarstva EU in okvir za dosego podnebno nevtralnega, krožnega gospodarstva najkasneje do leta 2050. Uredba (EU) 2021/1119 je prelila navedene cilje v t.i. evropski podnebni zakon, ki med drugim določa vmesni cilj zmanjšanja neto emisij toplogrednih plinov (TGP) za vsaj 55 % do leta 2030 glede na leto 1990. Slovenija se zavezuje, da bo s sredstvi Programa iskala največji učinek pri: dobavi čiste, dostopne in varne energije; pospeševanju prehoda k trajnostni in pametni mobilnosti; mobilizaciji industrije za čisto in krožno gospodarstvo; pobudi za prenovo – z gradnjo in prenovo na energetsko in snovno učinkovit način; ambicijah za doseganje ničelnega onesnaževanja za okolje brez toksičnih snovi; ohranjanju in obnovi ekosistemov in biotske raznovrstnosti ter blažitvi podnebnih sprememb; oblikovanju regij in mest, ki so odporna na vplive podnebnih sprememb in pri drugih področjih, v skladu s specifičnimi pobudami Evropskega zelenega dogovora. Dodatno bo uporabila sredstva skladov za mobiliziranje in krepitev raziskav na področju trajnosti. Zmanjševanje emisij TGP je tesno povezano z dekarbonizacijo in dvigom snovne učinkovitosti v ključnih sektorjih. UMAR v okviru tega izziva identificira naslednja prednostna področja ukrepanja:</w:t>
            </w:r>
          </w:p>
          <w:p w14:paraId="0CCC08B5" w14:textId="77777777" w:rsidR="00A77B3E" w:rsidRPr="00EB2379" w:rsidRDefault="00B16CCF">
            <w:pPr>
              <w:spacing w:before="5pt"/>
              <w:rPr>
                <w:color w:val="000000"/>
                <w:lang w:val="it-IT"/>
              </w:rPr>
            </w:pPr>
            <w:r w:rsidRPr="00EB2379">
              <w:rPr>
                <w:color w:val="000000"/>
                <w:lang w:val="it-IT"/>
              </w:rPr>
              <w:t>-</w:t>
            </w:r>
            <w:r w:rsidRPr="00EB2379">
              <w:rPr>
                <w:b/>
                <w:bCs/>
                <w:i/>
                <w:iCs/>
                <w:color w:val="000000"/>
                <w:lang w:val="it-IT"/>
              </w:rPr>
              <w:t>ustrezno spodbujanje trajnostne mobilnosti ter razširitev in posodobitev infrastrukture zanjo, tudi z uporabo sodobnih tehnoloških rešitev.</w:t>
            </w:r>
          </w:p>
          <w:p w14:paraId="0A76AD72" w14:textId="77777777" w:rsidR="00A77B3E" w:rsidRPr="00EB2379" w:rsidRDefault="00B16CCF">
            <w:pPr>
              <w:spacing w:before="5pt"/>
              <w:rPr>
                <w:color w:val="000000"/>
                <w:lang w:val="it-IT"/>
              </w:rPr>
            </w:pPr>
            <w:r w:rsidRPr="00EB2379">
              <w:rPr>
                <w:color w:val="000000"/>
                <w:lang w:val="it-IT"/>
              </w:rPr>
              <w:t>Emisije iz prometa so leta 2020 v Sloveniji predstavljale največji vir emisij TGP v neETS[5] sektorju (47 %; leta 2005 le 38 %),[6] saj se večina blaga prepelje s tovornjaki in večina potnikov z avtomobili. V potniškem prometu je uporaba železnice in drugih javnih prevoznih sredstev v mednarodni primerjavi majhna, delno zaradi razgibanosti reliefa in razpršeni poselitvi. Težave pri dostopu do javnega potniškega prometa (JPP) ima v Sloveniji velik delež prebivalcev (2019: 40 %[7]). Zaradi ukrepov ob epidemiji covid-19, se je delež JPP v skupnem prometu še zmanjšal[8].Zaradi naraščajočih izpustov TGP iz sektorja prometa, bo treba pospešiti dolgoročne sistemske premike. Večja razvejanost, frekventnost, uskladitev in prilagoditev voznih redov bo ob potnikom in okolju prijaznejših voznih sredstvih prispevala k celovitejšemu uveljavljanju trajnostne mobilnosti.[9] Kljub ugodnemu deležu v letu 2020 (10,9 %[10]), bo treba še naprej podpirati uporabo OVE v prometu za dosego sektorskega cilja Celovitega nacionalnega energetskega in podnebnega načrta do leta 2030 (posodobljen NEPN 2024). Deloma bomo k reševanju teh izzivov pripomogli z reformami in naložbami v NOO.</w:t>
            </w:r>
          </w:p>
          <w:p w14:paraId="05E8AFE8" w14:textId="77777777" w:rsidR="00A77B3E" w:rsidRPr="00EB2379" w:rsidRDefault="00B16CCF">
            <w:pPr>
              <w:spacing w:before="5pt"/>
              <w:rPr>
                <w:color w:val="000000"/>
                <w:lang w:val="it-IT"/>
              </w:rPr>
            </w:pPr>
            <w:r w:rsidRPr="00EB2379">
              <w:rPr>
                <w:color w:val="000000"/>
                <w:lang w:val="it-IT"/>
              </w:rPr>
              <w:t>Napovedi prometnih tokov, prometne varnosti, vplivov na okolje ter socialne sprejemljivosti so bili podlaga za oblikovanje ukrepov v Strategiji razvoja prometa v RS do leta 2030[11]. Trajnostno mobilnost na lokalni ravni spodbujamo s sistemsko podporo celostnim prometnim strategijam (SUMP[12]), ki jih je sprejelo že 83 mest, a jih bo treba novelirati. Tovrstne strategije bo treba pripraviti tudi za regionalno raven. Ukrepi, predvideni v strategijah, bodo prispevali k doseganju ciljev predvidenih v pobudi "Cities Mission", ki se zavzema za podnebno nevtralnost mest.</w:t>
            </w:r>
          </w:p>
          <w:p w14:paraId="4AB10151" w14:textId="77777777" w:rsidR="00A77B3E" w:rsidRPr="00EB2379" w:rsidRDefault="00B16CCF">
            <w:pPr>
              <w:spacing w:before="5pt"/>
              <w:rPr>
                <w:color w:val="000000"/>
                <w:lang w:val="it-IT"/>
              </w:rPr>
            </w:pPr>
            <w:r w:rsidRPr="00EB2379">
              <w:rPr>
                <w:color w:val="000000"/>
                <w:lang w:val="it-IT"/>
              </w:rPr>
              <w:t>S problematiko prometa je povezana tudi kakovost zraka, predvsem v urbanih območjih, kjer so prebivalci še vedno bolj kot je povprečje EU, izpostavljeni prašnim delcem[13].</w:t>
            </w:r>
          </w:p>
          <w:p w14:paraId="038C5673" w14:textId="77777777" w:rsidR="00A77B3E" w:rsidRPr="00EB2379" w:rsidRDefault="00B16CCF">
            <w:pPr>
              <w:spacing w:before="5pt"/>
              <w:rPr>
                <w:color w:val="000000"/>
                <w:lang w:val="it-IT"/>
              </w:rPr>
            </w:pPr>
            <w:r w:rsidRPr="00EB2379">
              <w:rPr>
                <w:color w:val="000000"/>
                <w:lang w:val="it-IT"/>
              </w:rPr>
              <w:lastRenderedPageBreak/>
              <w:t>-</w:t>
            </w:r>
            <w:r w:rsidRPr="00EB2379">
              <w:rPr>
                <w:b/>
                <w:bCs/>
                <w:i/>
                <w:iCs/>
                <w:color w:val="000000"/>
                <w:lang w:val="it-IT"/>
              </w:rPr>
              <w:t>Uvajanje novih nizkoogljičnih krožnih poslovnih modelov, vključno z učinkovitejšim ravnanjem z odpadki</w:t>
            </w:r>
            <w:r w:rsidRPr="00EB2379">
              <w:rPr>
                <w:color w:val="000000"/>
                <w:lang w:val="it-IT"/>
              </w:rPr>
              <w:t>.</w:t>
            </w:r>
          </w:p>
          <w:p w14:paraId="39DD1AF9" w14:textId="77777777" w:rsidR="00A77B3E" w:rsidRPr="00EB2379" w:rsidRDefault="00B16CCF">
            <w:pPr>
              <w:spacing w:before="5pt"/>
              <w:rPr>
                <w:color w:val="000000"/>
                <w:lang w:val="it-IT"/>
              </w:rPr>
            </w:pPr>
            <w:r w:rsidRPr="00EB2379">
              <w:rPr>
                <w:color w:val="000000"/>
                <w:lang w:val="it-IT"/>
              </w:rPr>
              <w:t>Prehod v nizkoogljično krožno gospodarstvo je treba razumeti v širšem kontekstu rasti produktivnosti, saj bo v prihodnosti dostop do surovin in energentov ter njihove cene predstavljal še pomembnejši element konkurenčnosti poslovanja podjetij in industrije. V primeru Slovenije, ki se uvršča pod povprečje EU tako pri energetski kot tudi pri snovni in emisijski produktivnosti, je nujno, da ta izziv rešuje sistemsko.</w:t>
            </w:r>
          </w:p>
          <w:p w14:paraId="726087D6" w14:textId="77777777" w:rsidR="00A77B3E" w:rsidRPr="00EB2379" w:rsidRDefault="00B16CCF">
            <w:pPr>
              <w:spacing w:before="5pt"/>
              <w:rPr>
                <w:color w:val="000000"/>
                <w:lang w:val="it-IT"/>
              </w:rPr>
            </w:pPr>
            <w:r w:rsidRPr="00EB2379">
              <w:rPr>
                <w:color w:val="000000"/>
                <w:lang w:val="it-IT"/>
              </w:rPr>
              <w:t>Kar 55 % slovenskih MSP meni, da jim subvencije pomagajo pri bolj učinkovitem ravnanju z viri (EU: 36 %)[14]. Med anketiranimi MSP se je glede na leto 2017 dvignil delež tistih, ki ponujajo zelene produkte in storitve (za 14 o.t.), in povečal delež zelenih delovnih mest (za 17 o.t.). Podjetja si pri razvoju novih zelenih izdelkov in storitev želijo tudi podpore v obliki tehnične pomoči in svetovanja, kako prepoznati potencialne trge ali stranke ter za trženje in distribucijo.[15] Preobrazbo v smeri dekarbonizacije gospodarstva bomo deloma podpirali z reformami in naložbami v NOO. Ne glede na to pa bodo na tem področju nujna dodatna vlaganja v RRI, krepitev podpornega okolja, podporo zmanjševanju procesnih emisij, pa tudi razvoj novih okoljsko bolj sprejemljivih izdelkov, storitev in poslovnih modelov. Pomembno vlogo pri preobrazbi mora imeti tudi kreativni sektor in izboljšanje tovrstnih kompetenc v javnem sektorju.</w:t>
            </w:r>
          </w:p>
          <w:p w14:paraId="7C482495" w14:textId="77777777" w:rsidR="00A77B3E" w:rsidRPr="00EB2379" w:rsidRDefault="00B16CCF">
            <w:pPr>
              <w:spacing w:before="5pt"/>
              <w:rPr>
                <w:color w:val="000000"/>
                <w:lang w:val="it-IT"/>
              </w:rPr>
            </w:pPr>
            <w:r w:rsidRPr="00EB2379">
              <w:rPr>
                <w:color w:val="000000"/>
                <w:lang w:val="it-IT"/>
              </w:rPr>
              <w:t>-</w:t>
            </w:r>
            <w:r w:rsidRPr="00EB2379">
              <w:rPr>
                <w:b/>
                <w:bCs/>
                <w:i/>
                <w:iCs/>
                <w:color w:val="000000"/>
                <w:lang w:val="it-IT"/>
              </w:rPr>
              <w:t>Spodbujanje učinkovite rabe energije in bistveno povečanje zmogljivosti za večjo rabo OVE, predvsem z učinkovitejšim umeščanjem projektov v prostor.</w:t>
            </w:r>
          </w:p>
          <w:p w14:paraId="76B07477" w14:textId="77777777" w:rsidR="00A77B3E" w:rsidRPr="00EB2379" w:rsidRDefault="00B16CCF">
            <w:pPr>
              <w:spacing w:before="5pt"/>
              <w:rPr>
                <w:color w:val="000000"/>
                <w:lang w:val="it-IT"/>
              </w:rPr>
            </w:pPr>
            <w:r w:rsidRPr="00EB2379">
              <w:rPr>
                <w:color w:val="000000"/>
                <w:lang w:val="it-IT"/>
              </w:rPr>
              <w:t>Vlaganja v učinkovito rabo energije so temelj prehoda v podnebno nevtralnost. V gospodinjstvih se je končna rabe energije znižala zaradi občasno višjih temperatur v kurilnih sezonah, delilnikov toplote, sodobnejših ogrevalnih naprav in energetske sanacije stavb.[16] V skladu s posodobljenim NEPN 2024 mora Slovenija do leta 2030 doseči vsaj 35 % izboljšanje energetske učinkovitosti. Cilje bomo dosegli s kombinacijo virov (nacionalnih, NOO in EKP). Nujna so vlaganja v energetsko prenovo stavb javnega sektorja, kjer je v letu 2020 kumulativna raba končne energije zaostajala za 26 %, kumulativno zmanjšanje emisije CO2 pa za 12 % za ciljnima vrednostma. Glede na dobre izkušnje, je treba naloge obstoječe projektne pisarne nadgraditi z nalogami sistemskega pospeševalca projektov energetske prenove javnih stavb. Zaradi ambicioznosti ciljev do leta 2030 je treba zagotoviti ustrezno intenzivnost izvajanja ukrepov v gospodinjstvih. Poseben izziv predstavlja energetska revščina, saj ima več kot 40 % enostanovanjskih stavb visoke stroške za ogrevanje. V skladu s posodobljenim NEPN 2024 in Dolgoročno strategijo energetske prenove stavb do leta 2050 (DSEPS 2050)[17],[18] je nujna hitra vzpostavitev celovitega pristopa za reševanje tega problema.</w:t>
            </w:r>
          </w:p>
          <w:p w14:paraId="6A7101AC" w14:textId="77777777" w:rsidR="00A77B3E" w:rsidRPr="00EB2379" w:rsidRDefault="00B16CCF">
            <w:pPr>
              <w:spacing w:before="5pt"/>
              <w:rPr>
                <w:color w:val="000000"/>
                <w:lang w:val="it-IT"/>
              </w:rPr>
            </w:pPr>
            <w:r w:rsidRPr="00EB2379">
              <w:rPr>
                <w:color w:val="000000"/>
                <w:lang w:val="it-IT"/>
              </w:rPr>
              <w:t>Raba OVE se je v končni rabi energije v obdobju 2005-2020 povečala najmanj od vseh držav članic EU (SI 6 %, EU 92 %)[19]. Slovenija se je tako za dosego cilja poslužila mehanizma statističnega prenosa OVE iz druge države članice EU.[20] Ob taki dinamiki so hkrati zelo oddaljeni tudi cilji za prihodnja leta.[21] Kapacitete za rabo OVE je mogoče povečati tudi s spodbujanjem samooskrbe z energijo na ravni gospodinjstev in v skupnostih. Ob dosedanji dinamiki je v letu 2023 pričakovati, da se bo z električno energijo samooskrbovalo več kot 26.000 odjemalcev, skupna moč tovrstnih naprav pa bi znašala skoraj 337 MW.[22] Zaradi povečevanja uvajanja OVE, posodobljen NEPN 2024 med ključnimi izzivi navaja tudi pospešeni razvoj omrežja za distribucijo električne energije, kar bo omogočilo pospešeno izkoriščanje prožnosti virov in bremen, integracijo toplotnih črpalk, izpolnjevanje zahtev, povezanih s pospešenim uvajanjem e-mobilnosti in pospešeno integracijo naprav za proizvodnjo električne energije iz OVE.[23] Za uspešno integracijo OVE so pomembne tudi kapacitete za shranjevanje energije.</w:t>
            </w:r>
          </w:p>
          <w:p w14:paraId="0C5A1AD9" w14:textId="77777777" w:rsidR="00A77B3E" w:rsidRPr="00EB2379" w:rsidRDefault="00B16CCF">
            <w:pPr>
              <w:spacing w:before="5pt"/>
              <w:rPr>
                <w:color w:val="000000"/>
                <w:lang w:val="it-IT"/>
              </w:rPr>
            </w:pPr>
            <w:r w:rsidRPr="00EB2379">
              <w:rPr>
                <w:color w:val="000000"/>
                <w:lang w:val="it-IT"/>
              </w:rPr>
              <w:t>Tudi Slovenija se sooča s posledicami podnebnih sprememb, ki se odražajo predvsem v t.i. podnebno pogojenih nesrečah, med katerimi skladno z Državno oceno tveganj za nesreče iz leta 2018[24] in na podlagi analize preteklih nesreč ter njihovih škod[25], največje tveganje predstavljajo poplave, žled z ujmami in veliki požari v naravnem okolju. Požari v naravi so vedno bolj kompleksni in obsežni, kar terja medsektorski odziv, ob odsotnosti ustrezne opreme in sredstev za njihovo gašenje pa tudi aktivacijo tujih sil in sredstev[26]. Celovitost pristopa vlaganj na tem področju bomo zagotovili tudi z izvedbo reforme in naložb iz NOO.</w:t>
            </w:r>
          </w:p>
          <w:p w14:paraId="77C4B7DE" w14:textId="77777777" w:rsidR="00A77B3E" w:rsidRPr="00EB2379" w:rsidRDefault="00B16CCF">
            <w:pPr>
              <w:spacing w:before="5pt"/>
              <w:rPr>
                <w:color w:val="000000"/>
                <w:lang w:val="it-IT"/>
              </w:rPr>
            </w:pPr>
            <w:r w:rsidRPr="00EB2379">
              <w:rPr>
                <w:color w:val="000000"/>
                <w:lang w:val="it-IT"/>
              </w:rPr>
              <w:lastRenderedPageBreak/>
              <w:t>Sredstva, ki smo jih vložili v sistem za odvajanje in čiščenje odpadnih voda še ne zadoščajo za to, da bi Slovenija izpolnila zahteve evropske direktive.[27] V Sloveniji je na javni vodovod, ki zagotavlja dobro kakovost dobavljene vode, priključenih skoraj 90 % prebivalcev, vendar pa nekatere regije še vedno zaostajajo. Problematične so tudi visoke izgube v vodovodnem omrežju kot posledica starosti infrastrukture. V NOO načrtovana reforma na področju gospodarskih javnih služb varstva okolja bo prispevala k naložbam v infrastrukturo, ki bodo omogočale dolgoročno kakovostno in stroškovno učinkovito storitev vsem prebivalcem Slovenije.</w:t>
            </w:r>
          </w:p>
          <w:p w14:paraId="50CEB2F6" w14:textId="77777777" w:rsidR="00A77B3E" w:rsidRPr="00EB2379" w:rsidRDefault="00B16CCF">
            <w:pPr>
              <w:spacing w:before="5pt"/>
              <w:rPr>
                <w:color w:val="000000"/>
                <w:lang w:val="it-IT"/>
              </w:rPr>
            </w:pPr>
            <w:r w:rsidRPr="00EB2379">
              <w:rPr>
                <w:color w:val="000000"/>
                <w:lang w:val="it-IT"/>
              </w:rPr>
              <w:t>Stanje na področju biotske raznovrstnosti se v Sloveniji slabša. Med evidentiranimi pritiski in grožnjami za evropsko pomembne vrste in habitatne tipe v Sloveniji izstopajo pozidava, zlasti z urbanizacijo, neurejeno gospodarsko javno infrastrukturo, industrializacijo in prometom, nedomišljeni načini urejanja vodotokov, tudi zaradi zagotavljanja protipoplavne varnosti ter zaraščanja kmetijskih zemljišč in intenziviranja kmetijstva in gozdarstva. To negativno vpliva tudi na krajinsko pestrost in povezanost ekosistemov. Grožnjo biotski raznovrstnosti in naravnim vrednotam povečuje tudi pretirana raba zaradi rekreacije in turističnega obiska. Podnebne spremembe in širjenje invazivnih tujerodnih vrst še dodatno poslabšujejo stanje.</w:t>
            </w:r>
          </w:p>
          <w:p w14:paraId="24B47630" w14:textId="77777777" w:rsidR="00A77B3E" w:rsidRPr="00EB2379" w:rsidRDefault="00B16CCF">
            <w:pPr>
              <w:spacing w:before="5pt"/>
              <w:rPr>
                <w:color w:val="000000"/>
                <w:lang w:val="it-IT"/>
              </w:rPr>
            </w:pPr>
            <w:r w:rsidRPr="00EB2379">
              <w:rPr>
                <w:b/>
                <w:bCs/>
                <w:color w:val="000000"/>
                <w:lang w:val="it-IT"/>
              </w:rPr>
              <w:t>3.Vključujoč družbeni razvoj in medgeneracijska solidarnost</w:t>
            </w:r>
          </w:p>
          <w:p w14:paraId="3A26DBB7" w14:textId="77777777" w:rsidR="00A77B3E" w:rsidRPr="00EB2379" w:rsidRDefault="00B16CCF">
            <w:pPr>
              <w:spacing w:before="5pt"/>
              <w:rPr>
                <w:color w:val="000000"/>
                <w:lang w:val="it-IT"/>
              </w:rPr>
            </w:pPr>
            <w:r w:rsidRPr="00EB2379">
              <w:rPr>
                <w:color w:val="000000"/>
                <w:lang w:val="it-IT"/>
              </w:rPr>
              <w:t>Ob ukrepih za odpravo dolgoletnih težav, ki jih je epidemija še zaostrila (zdravstvo, socialno varstvo), je pomembno še naprej izboljševati dostop do zaposlitve, dolgotrajne oskrbe, kakovostnega učnega okolja in krepiti kompetence ljudi, k čemur bodo, tudi v skladu s preteklimi izkušnjami in izvedenimi vrednotenji ukrepov, usmerjena prizadevanja na CP 4. Ukrepi Programa bodo komplementarno dopolnjevali ukrepe iz NOO in Programa za odpravljanje materialne prikrajšanosti v Sloveniji v obdobju 2021-2027.</w:t>
            </w:r>
          </w:p>
          <w:p w14:paraId="7FC7D1DF" w14:textId="77777777" w:rsidR="00A77B3E" w:rsidRPr="00EB2379" w:rsidRDefault="00B16CCF">
            <w:pPr>
              <w:spacing w:before="5pt"/>
              <w:rPr>
                <w:color w:val="000000"/>
                <w:lang w:val="it-IT"/>
              </w:rPr>
            </w:pPr>
            <w:r w:rsidRPr="00EB2379">
              <w:rPr>
                <w:color w:val="000000"/>
                <w:lang w:val="it-IT"/>
              </w:rPr>
              <w:t>UMAR v PoR 2021 in 2022 v okviru tega izziva med prednostnimi ukrepi države navaja:</w:t>
            </w:r>
          </w:p>
          <w:p w14:paraId="2FCB4269" w14:textId="77777777" w:rsidR="00A77B3E" w:rsidRPr="00EB2379" w:rsidRDefault="00B16CCF">
            <w:pPr>
              <w:spacing w:before="5pt"/>
              <w:rPr>
                <w:color w:val="000000"/>
                <w:lang w:val="it-IT"/>
              </w:rPr>
            </w:pPr>
            <w:r w:rsidRPr="00EB2379">
              <w:rPr>
                <w:color w:val="000000"/>
                <w:lang w:val="it-IT"/>
              </w:rPr>
              <w:t>-</w:t>
            </w:r>
            <w:r w:rsidRPr="00EB2379">
              <w:rPr>
                <w:b/>
                <w:bCs/>
                <w:i/>
                <w:iCs/>
                <w:color w:val="000000"/>
                <w:lang w:val="it-IT"/>
              </w:rPr>
              <w:t xml:space="preserve">ustrezno ureditev financiranja in povečanja zmogljivosti sistema dolgotrajne oskrbe (zlasti sistema oskrbe na domu) in zdravstva, vključno s spodbujanjem zdravega načina življenja ter celovito pokojninsko reformo za javnofinančno vzdržnost pokojninskega sistema in zagotovitev dostojnih pokojnin. </w:t>
            </w:r>
          </w:p>
          <w:p w14:paraId="23BF8D4A" w14:textId="77777777" w:rsidR="00A77B3E" w:rsidRPr="00EB2379" w:rsidRDefault="00B16CCF">
            <w:pPr>
              <w:spacing w:before="5pt"/>
              <w:rPr>
                <w:color w:val="000000"/>
                <w:lang w:val="it-IT"/>
              </w:rPr>
            </w:pPr>
            <w:r w:rsidRPr="00EB2379">
              <w:rPr>
                <w:color w:val="000000"/>
                <w:lang w:val="it-IT"/>
              </w:rPr>
              <w:t>Izboljševanje zdravja prebivalcev se je, merjeno s ključnimi kazalniki zdravstvenega stanja, v zadnjih letih pred epidemijo covida-19 upočasnilo. Ob njenem nastopu pa so se najprej zaostrile že dolgoletne težave dostopnosti zdravstva in dolgotrajne oskrbe. Posledice epidemije za kakovost življenja prebivalcev se že odražajo v nekaterih kazalnikih za leto 2020, številne pa lahko glede na ocene in analize EK, OECD idr. institucij pričakujemo tudi v letu 2021, zato bo nanje treba odgovoriti hitro, celovito in ciljno.</w:t>
            </w:r>
          </w:p>
          <w:p w14:paraId="069C0CE1" w14:textId="77777777" w:rsidR="00A77B3E" w:rsidRPr="00EB2379" w:rsidRDefault="00B16CCF">
            <w:pPr>
              <w:spacing w:before="5pt"/>
              <w:rPr>
                <w:color w:val="000000"/>
                <w:lang w:val="it-IT"/>
              </w:rPr>
            </w:pPr>
            <w:r w:rsidRPr="00EB2379">
              <w:rPr>
                <w:color w:val="000000"/>
                <w:lang w:val="it-IT"/>
              </w:rPr>
              <w:t>Prizadevanja za trajnostno in kakovostno dolgotrajno oskrbo in deinstitucionalizacijo so se v zadnjih letih okrepila. V tem smislu je treba še naprej spodbujati vključenost v družbo ljudi, ki potrebujejo dolgotrajno oskrbo, si prizadevati za normalizacijo njihovih življenj v skladu z njihovimi potrebami in željami, jih podpirati pri zagotavljanju čim bolj samostojnega življenja ter vlagati v infrastrukturne prilagoditve ali zagotovitve bivalnih okolji, ki prispevajo k zagotavljanju njihovega samostojnega življenja.</w:t>
            </w:r>
          </w:p>
          <w:p w14:paraId="2BA6C1AC" w14:textId="77777777" w:rsidR="00A77B3E" w:rsidRPr="00EB2379" w:rsidRDefault="00B16CCF">
            <w:pPr>
              <w:spacing w:before="5pt"/>
              <w:rPr>
                <w:color w:val="000000"/>
                <w:lang w:val="it-IT"/>
              </w:rPr>
            </w:pPr>
            <w:r w:rsidRPr="00EB2379">
              <w:rPr>
                <w:color w:val="000000"/>
                <w:lang w:val="it-IT"/>
              </w:rPr>
              <w:t>V zadnjem desetletju je bil v zdravstvu z vidika zmogljivosti sistema največji izziv obvladovanje rastočega števila bolnikov s kroničnimi degenerativnimi boleznimi in rastočega števila starejših od 80 let, ki imajo težave s krhkostjo, pogosto več kroničnih bolezni hkrati, so odvisni od pomoči drugih oseb ter potrebujejo dolgotrajno oskrbo (DO). Ob tem so se z uporabo novih tehnologij in postopkov zdravljenja ter zaradi potrebe po večji učinkovitosti sistema tudi v Sloveniji uspešno uvajali novi modeli akutne obravnave na primarni in sekundarni ravni. Po drugi strani se v Sloveniji niso upoštevale potrebe po vzpostavitvi zmogljivosti za obravnavo starejših in multimorbidnih bolnikov, po uvajanju novih kapacitet za neakutno obravnavo, podaljšano bolnišnično zdravljenje, zgodnjo rehabilitacijo, integrirano DO in oskrbo na domu, zato bomo ta področja krepili v Programu. K reševanju navedenih izzivov bodo prispevali tudi reforma zdravstvenega sistema, sistemska reforma na področju DO ter načrtovane naložbe iz NOO.</w:t>
            </w:r>
          </w:p>
          <w:p w14:paraId="3760A439" w14:textId="77777777" w:rsidR="00A77B3E" w:rsidRPr="00EB2379" w:rsidRDefault="00B16CCF">
            <w:pPr>
              <w:spacing w:before="5pt"/>
              <w:rPr>
                <w:color w:val="000000"/>
                <w:lang w:val="it-IT"/>
              </w:rPr>
            </w:pPr>
            <w:r w:rsidRPr="00EB2379">
              <w:rPr>
                <w:color w:val="000000"/>
                <w:lang w:val="it-IT"/>
              </w:rPr>
              <w:lastRenderedPageBreak/>
              <w:t>-</w:t>
            </w:r>
            <w:r w:rsidRPr="00EB2379">
              <w:rPr>
                <w:b/>
                <w:bCs/>
                <w:i/>
                <w:iCs/>
                <w:color w:val="000000"/>
                <w:lang w:val="it-IT"/>
              </w:rPr>
              <w:t>Zagotavljanje zadostnega obsega delovne sile tudi z aktivnim vključevanjem priseljencev v socialno in družbeno življenje.</w:t>
            </w:r>
          </w:p>
          <w:p w14:paraId="1188F627" w14:textId="77777777" w:rsidR="00A77B3E" w:rsidRPr="00EB2379" w:rsidRDefault="00B16CCF">
            <w:pPr>
              <w:spacing w:before="5pt"/>
              <w:rPr>
                <w:color w:val="000000"/>
                <w:lang w:val="it-IT"/>
              </w:rPr>
            </w:pPr>
            <w:r w:rsidRPr="00EB2379">
              <w:rPr>
                <w:color w:val="000000"/>
                <w:lang w:val="it-IT"/>
              </w:rPr>
              <w:t>Kljub pozitivnim gospodarskim in socialnim gibanjem so se nekatere družbene skupine še naprej spoprijemale z različnimi izzivi:</w:t>
            </w:r>
          </w:p>
          <w:p w14:paraId="4E57E8AB" w14:textId="77777777" w:rsidR="00A77B3E" w:rsidRPr="00EB2379" w:rsidRDefault="00B16CCF">
            <w:pPr>
              <w:spacing w:before="5pt"/>
              <w:rPr>
                <w:color w:val="000000"/>
                <w:lang w:val="it-IT"/>
              </w:rPr>
            </w:pPr>
            <w:r w:rsidRPr="00EB2379">
              <w:rPr>
                <w:color w:val="000000"/>
                <w:lang w:val="it-IT"/>
              </w:rPr>
              <w:t>Konec aprila 2022 je bilo registriranih 58.081 brezposelnih oseb, kar je 26,7 % manj kot aprila 2021 in najnižje doslej. Okrepljena gospodarska aktivnost je ob demografskih spremembah pripeljala do presežnega povpraševanja po delovni sili, kar se še vedno nadaljuje in zaradi česar se delodajalci soočajo s težavami pri iskanju ustreznega kadra. V navedenih razmerah se krepijo strukturni problemi brezposelnosti, saj se povečuje delež dolgotrajno brezposelnih, ki za ponovno vključitev na trg dela potrebujejo dodatno in poglobljeno intenzivno obravnavo. UMAR v Pomladanski napovedi[28] napoveduje, da se bo naraščanje zaposlenosti in upadanje brezposelnosti še nadaljevalo, hkrati pa se bo zaradi demografskih gibanj krepil vpliv omejitev, povezanih z razpoložljivostjo delovne sile.</w:t>
            </w:r>
          </w:p>
          <w:p w14:paraId="1D85D24C" w14:textId="77777777" w:rsidR="00A77B3E" w:rsidRPr="00EB2379" w:rsidRDefault="00B16CCF">
            <w:pPr>
              <w:spacing w:before="5pt"/>
              <w:rPr>
                <w:color w:val="000000"/>
                <w:lang w:val="it-IT"/>
              </w:rPr>
            </w:pPr>
            <w:r w:rsidRPr="00EB2379">
              <w:rPr>
                <w:color w:val="000000"/>
                <w:lang w:val="it-IT"/>
              </w:rPr>
              <w:t>Delež zaposlenih s pogodbami za določen čas in prekarnimi pogodbami ostaja nad povprečjem EU, zato je nujno ustrezno informiranje in usposabljanje o pravicah delavcev. Na področju udeležbe na trgu dela zaradi staranja prebivalstva še vedno ostajajo izzivi pri starejših delavcih in zlasti pri nizko usposobljenih starejših delavcih (stopnja zaposlenosti v 3. četrtletju leta 2019 pri prvih SI: 48,9 % EU: 60,2 % in pri drugih SI: 27,5 % EU: 45,3 %). Še vedno je velik izziv tudi dolgotrajna brezposelnost starejših delavcev, pri čemer za njegovo reševanje aktivne politike trga dela še vedno niso dovolj učinkovite. Projekt OECD »Vključevanje dolgotrajno brezposelnih oseb na trg dela in »mapping« NEET izpostavlja, da je za reševanje tega izziva treba izvajati ocene usposobljenosti posameznika in vključevanje v različne oblike usposabljanja, prilagojene posameznikom.</w:t>
            </w:r>
          </w:p>
          <w:p w14:paraId="31E16FD9" w14:textId="77777777" w:rsidR="00A77B3E" w:rsidRPr="00EB2379" w:rsidRDefault="00B16CCF">
            <w:pPr>
              <w:spacing w:before="5pt"/>
              <w:rPr>
                <w:color w:val="000000"/>
                <w:lang w:val="it-IT"/>
              </w:rPr>
            </w:pPr>
            <w:r w:rsidRPr="00EB2379">
              <w:rPr>
                <w:color w:val="000000"/>
                <w:lang w:val="it-IT"/>
              </w:rPr>
              <w:t>Po indeksu enakosti spolov je bila Slovenija leta 2021 nekoliko pod povprečjem EU (v letu 2021 je med vsemi članicami najbolj nazadovala) in bistveno zaostaja za ciljem SRS 2030. Neenakosti med spoloma so bile najbolj izrazite na področjih znanja in moči.</w:t>
            </w:r>
          </w:p>
          <w:p w14:paraId="308CA130" w14:textId="77777777" w:rsidR="00A77B3E" w:rsidRPr="00EB2379" w:rsidRDefault="00B16CCF">
            <w:pPr>
              <w:spacing w:before="5pt"/>
              <w:rPr>
                <w:color w:val="000000"/>
                <w:lang w:val="it-IT"/>
              </w:rPr>
            </w:pPr>
            <w:r w:rsidRPr="00EB2379">
              <w:rPr>
                <w:color w:val="000000"/>
                <w:lang w:val="it-IT"/>
              </w:rPr>
              <w:t>Epidemija je sprva nadpovprečno poslabšala položaj na trgu dela nizko izobraženim, zaposlenim z nizkimi dohodki, mladim in ženskam. Večja prizadetost oseb z nizko izobrazbo in žensk je bila posledica izrazite sektorske in poklicne dimenzije epidemije, saj so bile zaprtju in padcu aktivnosti izpostavljene predvsem določene dejavnosti in poklici, v katerih so nadpovprečno zastopane ženske, plače pa so podpovprečne. Mladi pa so bili še bolj izpostavljeni začasnim oblikam dela. S ponovnim odpiranjem dejavnosti in zaposlovanjem so se razmere na trgu dela postopno izboljševale tudi za ranljive skupine. K boljšim zaposlitvenim priložnostim za ranljive skupine je podobno kot že pred epidemijo prispevalo pomanjkanje delovne sile. Ranljive ciljne skupine imajo več osebnih okoliščin, ki jim otežujejo vstop na trg dela, zato je nujna predhodna aktivacija, ki vključuje postopno smiselno organiziranje časa, opravil in postopno urejanje osebnih okoliščin. V tem procesu je nujno sodelovanje različnih institucij, ki obravnavajo istega posameznika in mu nudijo storitve vezane na področje dela institucije. Nujna je modernizacija storitev na področju socialnega varstva in povezovanja s storitvami na trgu dela.</w:t>
            </w:r>
          </w:p>
          <w:p w14:paraId="1E10819C" w14:textId="77777777" w:rsidR="00A77B3E" w:rsidRPr="00EB2379" w:rsidRDefault="00B16CCF">
            <w:pPr>
              <w:spacing w:before="5pt"/>
              <w:rPr>
                <w:color w:val="000000"/>
                <w:lang w:val="it-IT"/>
              </w:rPr>
            </w:pPr>
            <w:r w:rsidRPr="00EB2379">
              <w:rPr>
                <w:color w:val="000000"/>
                <w:lang w:val="it-IT"/>
              </w:rPr>
              <w:t>Epidemija covida-19 je opozorila tudi na pomen ukrepov na področju varnosti in zdravja pri delu. V obdobju epidemije se je močno povečalo delo na domu, ki prinaša pozitivne učinke na porabo časa za posameznika in okolje, lahko pa povzroča tudi večja tveganja kostno-mišičnih obolenj zaradi neurejene ergonomije delovnih mest in preveč intenzivne ali pogoste uporabe sodobnih IKT, kar pred področje varnosti in zdravja pri delu postavlja nove izzive.</w:t>
            </w:r>
          </w:p>
          <w:p w14:paraId="7A4908F9" w14:textId="77777777" w:rsidR="00A77B3E" w:rsidRPr="00EB2379" w:rsidRDefault="00B16CCF">
            <w:pPr>
              <w:spacing w:before="5pt"/>
              <w:rPr>
                <w:color w:val="000000"/>
                <w:lang w:val="it-IT"/>
              </w:rPr>
            </w:pPr>
            <w:r w:rsidRPr="00EB2379">
              <w:rPr>
                <w:color w:val="000000"/>
                <w:lang w:val="it-IT"/>
              </w:rPr>
              <w:t>-</w:t>
            </w:r>
            <w:r w:rsidRPr="00EB2379">
              <w:rPr>
                <w:b/>
                <w:bCs/>
                <w:i/>
                <w:iCs/>
                <w:color w:val="000000"/>
                <w:lang w:val="it-IT"/>
              </w:rPr>
              <w:t>Krepitev vseživljenjskega učenja in prilagajanja delovnih mest za daljšo delovno aktivnost in večjo vključenost starejših v družbo.</w:t>
            </w:r>
          </w:p>
          <w:p w14:paraId="5EEA2759" w14:textId="77777777" w:rsidR="00A77B3E" w:rsidRPr="00EB2379" w:rsidRDefault="00B16CCF">
            <w:pPr>
              <w:spacing w:before="5pt"/>
              <w:rPr>
                <w:color w:val="000000"/>
                <w:lang w:val="it-IT"/>
              </w:rPr>
            </w:pPr>
            <w:r w:rsidRPr="00EB2379">
              <w:rPr>
                <w:color w:val="000000"/>
                <w:lang w:val="it-IT"/>
              </w:rPr>
              <w:t xml:space="preserve">Smiselno se naveden ukrep komplementarno povezuje s </w:t>
            </w:r>
            <w:r w:rsidRPr="00EB2379">
              <w:rPr>
                <w:i/>
                <w:iCs/>
                <w:color w:val="000000"/>
                <w:lang w:val="it-IT"/>
              </w:rPr>
              <w:t>»Krepitvijo znanj in spretnosti prihodnosti«</w:t>
            </w:r>
            <w:r w:rsidRPr="00EB2379">
              <w:rPr>
                <w:color w:val="000000"/>
                <w:lang w:val="it-IT"/>
              </w:rPr>
              <w:t xml:space="preserve"> na CP 1. Prebivalstvo Slovenije je razmeroma dobro izobraženo, vse večji izziv pa je razvoj ustreznih kompetenc, da bi zadovoljili ne le trenutne, ampak prihodnje potrebe družbe in gospodarstva, zato je treba okrepiti vlaganja za učinkovito prilagajanje vseh vrst izobraževanj[29]. Treba bo vzpostaviti odziven in partnerski sistem napovedovanja srednjeročnih potreb po kompetencah ter povečati vključenost odraslih v VŽU. K odpravljanju neskladij v znanju in spretnostih na trgu dela bo pripomogla tudi vrsta reform in naložb iz NOO.</w:t>
            </w:r>
          </w:p>
          <w:p w14:paraId="57F47AF1" w14:textId="77777777" w:rsidR="00A77B3E" w:rsidRPr="00EB2379" w:rsidRDefault="00B16CCF">
            <w:pPr>
              <w:spacing w:before="5pt"/>
              <w:rPr>
                <w:color w:val="000000"/>
                <w:lang w:val="it-IT"/>
              </w:rPr>
            </w:pPr>
            <w:r w:rsidRPr="00EB2379">
              <w:rPr>
                <w:color w:val="000000"/>
                <w:lang w:val="it-IT"/>
              </w:rPr>
              <w:lastRenderedPageBreak/>
              <w:t>Trend večletnega upadanja vključenosti odraslih in zaposlenih v VŽU je zaskrbljujoč. Udeležba starejših delavcev, nizko usposobljenih in neaktivnih oseb v izobraževanju je pod povprečjem EU.</w:t>
            </w:r>
            <w:r w:rsidRPr="00EB2379">
              <w:rPr>
                <w:b/>
                <w:bCs/>
                <w:color w:val="000000"/>
                <w:lang w:val="it-IT"/>
              </w:rPr>
              <w:t xml:space="preserve"> </w:t>
            </w:r>
            <w:r w:rsidRPr="00EB2379">
              <w:rPr>
                <w:color w:val="000000"/>
                <w:lang w:val="it-IT"/>
              </w:rPr>
              <w:t>Smernice OECD za izvajanje Strategije spretnosti za Slovenijo določajo, da je za izpolnitev dolgoročnih ciljev nujen dobro usklajen sistem izobraževanja odraslih.</w:t>
            </w:r>
          </w:p>
          <w:p w14:paraId="591D41D2" w14:textId="77777777" w:rsidR="00A77B3E" w:rsidRPr="00EB2379" w:rsidRDefault="00B16CCF">
            <w:pPr>
              <w:spacing w:before="5pt"/>
              <w:rPr>
                <w:color w:val="000000"/>
                <w:lang w:val="it-IT"/>
              </w:rPr>
            </w:pPr>
            <w:r w:rsidRPr="00EB2379">
              <w:rPr>
                <w:color w:val="000000"/>
                <w:lang w:val="it-IT"/>
              </w:rPr>
              <w:t>Matematična in naravoslovna pismenost mladih sta na visoki ravni (PISA 2018), kljub temu pa obstajajo določene razlike med uspehi šolajočih glede na spol ter migrantsko ozadje. Neugodna so tudi gibanja na področju branja knjig, že vrsto let je prepočasen razvoj jezikovnih virov in tehnologij za uveljavljanje in razvoj slovenskega jezika. Zaradi določitve pravice do uporabe in razvoja znakovnega jezika ter jezika gluhoslepih v Ustavi Republike Slovenije[30] so potrebne prilagoditve za večjo dostopnost in kakovost vzgoje in izobraževanja. Določene vrzeli v znanju so posledica šolanja na daljavo med epidemijo, še zlasti za ranljivejše skupine otrok, zato so potrebni učinkoviti ukrepi za zmanjšanje vrzeli v kompetencah otrok ter odpravo drugih posledic epidemije na vzgojo in izobraževanje.</w:t>
            </w:r>
          </w:p>
          <w:p w14:paraId="52730010" w14:textId="77777777" w:rsidR="00A77B3E" w:rsidRPr="00EB2379" w:rsidRDefault="00B16CCF">
            <w:pPr>
              <w:spacing w:before="5pt"/>
              <w:rPr>
                <w:color w:val="000000"/>
                <w:lang w:val="it-IT"/>
              </w:rPr>
            </w:pPr>
            <w:r w:rsidRPr="00EB2379">
              <w:rPr>
                <w:color w:val="000000"/>
                <w:lang w:val="it-IT"/>
              </w:rPr>
              <w:t>Več kot polovica učiteljev v izobraževanju je starejših od 50 let, velik delež se jih že približuje upokojitveni starosti, zato na nekaterih področjih že prihaja do pomanjkanja.</w:t>
            </w:r>
          </w:p>
          <w:p w14:paraId="20D6396F" w14:textId="77777777" w:rsidR="00A77B3E" w:rsidRPr="00EB2379" w:rsidRDefault="00B16CCF">
            <w:pPr>
              <w:spacing w:before="5pt"/>
              <w:rPr>
                <w:color w:val="000000"/>
                <w:lang w:val="it-IT"/>
              </w:rPr>
            </w:pPr>
            <w:r w:rsidRPr="00EB2379">
              <w:rPr>
                <w:color w:val="000000"/>
                <w:lang w:val="it-IT"/>
              </w:rPr>
              <w:t>-</w:t>
            </w:r>
            <w:r w:rsidRPr="00EB2379">
              <w:rPr>
                <w:b/>
                <w:bCs/>
                <w:i/>
                <w:iCs/>
                <w:color w:val="000000"/>
                <w:lang w:val="it-IT"/>
              </w:rPr>
              <w:t>Krepitev vloge kulture in turizma za zagotavljanje kakovosti življenja prebivalcev</w:t>
            </w:r>
          </w:p>
          <w:p w14:paraId="55662613" w14:textId="77777777" w:rsidR="00A77B3E" w:rsidRPr="00EB2379" w:rsidRDefault="00B16CCF">
            <w:pPr>
              <w:spacing w:before="5pt"/>
              <w:rPr>
                <w:color w:val="000000"/>
                <w:lang w:val="it-IT"/>
              </w:rPr>
            </w:pPr>
            <w:r w:rsidRPr="00EB2379">
              <w:rPr>
                <w:color w:val="000000"/>
                <w:lang w:val="it-IT"/>
              </w:rPr>
              <w:t>Kulturni in kreativni sektor ima pomembno vlogo pri zagotavljanju kakovosti življenja prebivalcev ter pri lokalnem razvoju, revitalizaciji podeželja in mest, turističnem in gospodarskem razvoju. Ustvarja nova delovna mesta in prihodke ter dodano vrednost.[31] Številne pozitivne učinke ima povezovanje med kulturo in gospodarstvom, predvsem s turističnim sektorjem. Skupni BDP, ki je bil posledica turistične potrošnje, je v 2019 znašal 4.127 mio. EUR, v 2020 pa 2.485 mio. EUR. V 2019 je predstavljal 8,5 %, v 2020 pa 5,3 % BDP v gospodarstvu. Skupna dodana vrednost, ki je bila posledica turistične potrošnje, je v 2019 znašala 2.997 mio. EUR, v 2020 pa 1.817 mio. EUR, kar je pomenilo 7,1 % oz. 4,4 % celotne dodane vrednosti v gospodarstvu. Strategija slovenskega turizma 2022–2028[32] poleg vrednot narave krepi pomen kulture, avtentičnosti, zdravja in kakovosti bivanja. Slovenija je zelena destinacija, ki nudi raznolika in lahko dostopna kulturna doživetja z močnim lokalnim avtentičnim karakterjem. Med ključne izzive sodijo pomanjkanje kulturnih elementov v turistični ponudbi in podobi Slovenije kot zelene butične destinacije ter porušeno ravnotežje med turizmom, okoljem in prebivalci. Urejanje naravne in kulturne dediščine in njeno vključevanje v turistično ponudbo je strateškega pomena za razvitost posameznih destinacij in turistični ambient Slovenije ter vpliva na dvig kakovosti bivanja lokalnega prebivalstva.</w:t>
            </w:r>
          </w:p>
          <w:p w14:paraId="4ACF7D12" w14:textId="77777777" w:rsidR="00A77B3E" w:rsidRPr="00EB2379" w:rsidRDefault="00B16CCF">
            <w:pPr>
              <w:spacing w:before="5pt"/>
              <w:rPr>
                <w:color w:val="000000"/>
                <w:lang w:val="it-IT"/>
              </w:rPr>
            </w:pPr>
            <w:r w:rsidRPr="00EB2379">
              <w:rPr>
                <w:b/>
                <w:bCs/>
                <w:color w:val="000000"/>
                <w:lang w:val="it-IT"/>
              </w:rPr>
              <w:t>4.Pravičen prehod</w:t>
            </w:r>
          </w:p>
          <w:p w14:paraId="14FDF109" w14:textId="77777777" w:rsidR="00A77B3E" w:rsidRPr="00EB2379" w:rsidRDefault="00B16CCF">
            <w:pPr>
              <w:spacing w:before="5pt"/>
              <w:rPr>
                <w:color w:val="000000"/>
                <w:lang w:val="it-IT"/>
              </w:rPr>
            </w:pPr>
            <w:r w:rsidRPr="00EB2379">
              <w:rPr>
                <w:color w:val="000000"/>
                <w:lang w:val="it-IT"/>
              </w:rPr>
              <w:t>Temeljno usmeritev vlaganj Sklada za pravični prehod (SPP) predstavljata Priloga D Poročila o državi – Slovenija 2020 in Nacionalna strategija za izstop iz premoga in prestrukturiranje premogovnih regij v skladu z načeli pravičnega prehoda[33] (Strategija za izstop iz premoga). Identificirani sta 2 premogovni regiji, ki sta upravičeni območji pravičnega prehoda (Zasavje in Savinjsko Šaleška (SAŠA)). Regiji sta na različnih stopnjah prehoda, zato bo strategija vlaganj za vsako od njiju drugačna.</w:t>
            </w:r>
          </w:p>
          <w:p w14:paraId="6D14A369" w14:textId="77777777" w:rsidR="00A77B3E" w:rsidRDefault="00B16CCF">
            <w:pPr>
              <w:spacing w:before="5pt"/>
              <w:rPr>
                <w:color w:val="000000"/>
              </w:rPr>
            </w:pPr>
            <w:r w:rsidRPr="00EB2379">
              <w:rPr>
                <w:color w:val="000000"/>
                <w:lang w:val="it-IT"/>
              </w:rPr>
              <w:t xml:space="preserve">Zasavje, kjer rudnik ne deluje več, je za zaključek tranzicije treba podpreti predvsem s socialno-ekonomskimi vrstami ukrepov. Ožje vplivno območje obsega občine Trbovlje, Hrastnik in Zagorje ob Savi. Analiza vrzeli Zasavske regije[34] kaže, da večine delovnih mest, povezanih z izrabo premoga, od zaprtja rudnika, v regiji niso nadomestili. Tako je leta 2020 znašal povprečni indeks delovne migracije premogovnih občin 63,1[35], 23,3 točk manj kot leta 2000. Opaziti je mogoče tudi trend zmanjševanja števila prebivalcev (za 11 % v obdobju 2000-2021). Brezposelnost v regiji je okoli 13,5 %, najmanjša je v Zagorju ob Savi. V občini Trbovlje se soočajo z visokim odstotkom dolgotrajno brezposelnih in brezposelnih mladih (15,1 %). Za trg dela v regiji je značilen problem presežka oseb, ki nimajo ustreznih kompetenc, in ki predstavljajo največji delež tistih, ki so dolgotrajno brezposelni. Na drugi strani pa se v nekaterih sektorjih soočajo s pomanjkanjem ustrezno izobražene delovne sile. </w:t>
            </w:r>
            <w:r>
              <w:rPr>
                <w:color w:val="000000"/>
              </w:rPr>
              <w:t xml:space="preserve">Večina zaposlenih v regiji je starejših od 30 let, največ v skupini 50 do 59 let. V regiji trenutno ni na voljo novih priložnosti tako med MSP kot tudi med velikimi podjetji, da bi angažirala brezposelne osebe. Zato je ključnega pomena podpreti naložbe v izvajanje ciljno usmerjenih ukrepov za zmanjšanje trenutne vrzeli na trgu dela, krepitev in nadgradnjo RRI kapacitet v regiji na področjih S5, bolj kakovosten družbeno ekonomski razvoj v regiji, dvig kompetenc, diverzifikacijo gospodarstva in dvig dodane vrednosti na zaposlenega, ki </w:t>
            </w:r>
            <w:r>
              <w:rPr>
                <w:color w:val="000000"/>
              </w:rPr>
              <w:lastRenderedPageBreak/>
              <w:t>bodo ustvarila nove zaposlitvene priložnosti v MSP in velikih podjetjih. Širše območje predstavlja celotna Zasavska statistična regija, ki razen navedenih treh občin vključuje tudi občino Litija.</w:t>
            </w:r>
          </w:p>
          <w:p w14:paraId="4BCDD560" w14:textId="77777777" w:rsidR="00A77B3E" w:rsidRDefault="00B16CCF">
            <w:pPr>
              <w:spacing w:before="5pt"/>
              <w:rPr>
                <w:color w:val="000000"/>
              </w:rPr>
            </w:pPr>
            <w:r>
              <w:rPr>
                <w:color w:val="000000"/>
              </w:rPr>
              <w:t>Strategija za izstop iz premoga v regiji SAŠA predvideva prenehanje obratovanja šestega bloka TEŠ in pridobivanja lignita najpozneje v letu 2033. V tej regiji širše vplivno območje obsega 10 občin, ožje vplivno območje pa tri: Velenje, Šoštanj in Šmartno ob Paki (78 % vseh neposredno zaposlenih v lokalni premogovniški in energetski industriji oz. v družbah TEŠ in skupini PV). Analiza značilnosti zaposlitev v dejavnostih regije, povezanih z rabo premoga, v okviru analize vrzeli[36] kaže, da v panogi prevladujejo starejši zaposleni (do 35 let le 26 % vseh), kar kaže na to, da sektor za mlade ni med bolj privlačnimi. Za regijo je značilna tudi nizka mobilnost delovne sile. Z ukrepi iz sredstev SPP je treba podpirati diverzifikacijo dejavnosti energetskih podjetij, krepitev in nadgradnjo RRI kapacitet na področjih zelenega prehoda in S5, ukrepe za bolj učinkovito in uspešno zapolnjevanje prostih delovnih mest v panogah in sektorjih, kjer se že zdaj soočajo s pomanjkanjem delovne sile, krepitev kompetenc za različne ciljne skupine. V regiji pomembne zaposlitvene možnosti ponujajo tako velika podjetja kot MSP. Pri slednjih je število zaposlenih med letoma 2011 in 2020 naraslo za 12 %. Ukrepi za podporo gospodarski dejavnosti bodo usmerjeni predvsem v smer dvigovanja dodane vrednosti v obstoječih podjetjih in v razvoj novih propulzivnih podjetij. Med ključnimi izzivi v regiji je tudi zagotavljanje alternativnega vira toplote za sistem daljinskega ogrevanja.</w:t>
            </w:r>
          </w:p>
          <w:p w14:paraId="327FA2CF" w14:textId="77777777" w:rsidR="00A77B3E" w:rsidRDefault="00B16CCF">
            <w:pPr>
              <w:spacing w:before="5pt"/>
              <w:rPr>
                <w:color w:val="000000"/>
              </w:rPr>
            </w:pPr>
            <w:r>
              <w:rPr>
                <w:b/>
                <w:bCs/>
                <w:color w:val="000000"/>
              </w:rPr>
              <w:t>5.Administrativna usposobljenost</w:t>
            </w:r>
          </w:p>
          <w:p w14:paraId="6595BE5B" w14:textId="77777777" w:rsidR="00A77B3E" w:rsidRDefault="00B16CCF">
            <w:pPr>
              <w:spacing w:before="5pt"/>
              <w:rPr>
                <w:color w:val="000000"/>
              </w:rPr>
            </w:pPr>
            <w:r>
              <w:rPr>
                <w:color w:val="000000"/>
              </w:rPr>
              <w:t>Kakovostni institucionalni okvir in okvir upravljanja sta pomembna z vidika učinkovitosti in doseganja rezultatov Programa. V Sloveniji smo na tem področju identificirali[37] nekaj izzivov in zato pripravili podroben Načrt krepitve upravnih zmogljivosti v izvajanju EKP 2021-2027 (Načrt) v prilogi 1 Programa, v katerem so za te izzive ukrepi razvrščeni v 4 sklope:</w:t>
            </w:r>
          </w:p>
          <w:p w14:paraId="3CB49D1F" w14:textId="77777777" w:rsidR="00A77B3E" w:rsidRDefault="00B16CCF">
            <w:pPr>
              <w:spacing w:before="5pt"/>
              <w:rPr>
                <w:color w:val="000000"/>
              </w:rPr>
            </w:pPr>
            <w:r>
              <w:rPr>
                <w:color w:val="000000"/>
              </w:rPr>
              <w:t>-Upravljanje ljudi in organizacijsko upravljanje: največja pozornost je namenjena ukrepom za dvig usposobljenosti (novi in obstoječi strokovni ter vodstveni kader).</w:t>
            </w:r>
          </w:p>
          <w:p w14:paraId="77FC95F6" w14:textId="77777777" w:rsidR="00A77B3E" w:rsidRDefault="00B16CCF">
            <w:pPr>
              <w:spacing w:before="5pt"/>
              <w:rPr>
                <w:color w:val="000000"/>
              </w:rPr>
            </w:pPr>
            <w:r>
              <w:rPr>
                <w:color w:val="000000"/>
              </w:rPr>
              <w:t>-Ukrepi za strateško izvajanje Programa: podpora krepitvi dobrega upravljanja in upravne zmogljivosti; bolj učinkovitemu upravljanju z različnimi informacijami/viri podatkov; sodelovanja med ministrstvi in drugimi deležniki; zmogljivosti posredniških organov in končnih uporabnikov, itd.</w:t>
            </w:r>
          </w:p>
          <w:p w14:paraId="3011E731" w14:textId="77777777" w:rsidR="00A77B3E" w:rsidRDefault="00B16CCF">
            <w:pPr>
              <w:spacing w:before="5pt"/>
              <w:rPr>
                <w:color w:val="000000"/>
              </w:rPr>
            </w:pPr>
            <w:r>
              <w:rPr>
                <w:color w:val="000000"/>
              </w:rPr>
              <w:t>-Omogočitveni okvirni pogoji je sklop, ki zajema ukrepe za boljše sodelovanje z različnimi deležniki; zmanjšanje upravnega bremena; vrednotenja; preprečevanje nasprotij interesov in korupcije; večjo učinkovitost javnega naročanja, itd.</w:t>
            </w:r>
          </w:p>
          <w:p w14:paraId="39DF2123" w14:textId="77777777" w:rsidR="00A77B3E" w:rsidRDefault="00B16CCF">
            <w:pPr>
              <w:spacing w:before="5pt"/>
              <w:rPr>
                <w:color w:val="000000"/>
              </w:rPr>
            </w:pPr>
            <w:r>
              <w:rPr>
                <w:color w:val="000000"/>
              </w:rPr>
              <w:t>-V sklopu za upravičence in deležnike bomo izvajali ukrepe, s katerimi bomo na različnih področjih krepili usposobljenost različnih skupin deležnikov in s tem ob izboljšanju kakovosti izvajanja Programa zagotovili tudi spoštovanje načela partnerstva.</w:t>
            </w:r>
          </w:p>
          <w:p w14:paraId="4007097E" w14:textId="77777777" w:rsidR="00A77B3E" w:rsidRDefault="00B16CCF">
            <w:pPr>
              <w:spacing w:before="5pt"/>
              <w:rPr>
                <w:color w:val="000000"/>
              </w:rPr>
            </w:pPr>
            <w:r>
              <w:rPr>
                <w:color w:val="000000"/>
              </w:rPr>
              <w:t>Načrt predstavlja »živ dokument«. Njegovo izvajanje bo mogoče spremljati in ga nenehno posodabljati. Pri tem bosta imela ključno vlogo Organ upravljanja in Odbor za spremljanje. Slednji bo z zainteresiranimi deležniki tudi redno komuniciral in tako nudil podporo lastništvu nad Načrtom v celotnem obdobju izvajanja.</w:t>
            </w:r>
          </w:p>
          <w:p w14:paraId="6903EF14" w14:textId="77777777" w:rsidR="00A77B3E" w:rsidRDefault="00A77B3E">
            <w:pPr>
              <w:spacing w:before="5pt"/>
              <w:rPr>
                <w:color w:val="000000"/>
                <w:sz w:val="6"/>
              </w:rPr>
            </w:pPr>
          </w:p>
          <w:p w14:paraId="56F7B6F8" w14:textId="77777777" w:rsidR="00A77B3E" w:rsidRDefault="00A77B3E">
            <w:pPr>
              <w:spacing w:before="5pt"/>
              <w:rPr>
                <w:color w:val="000000"/>
                <w:sz w:val="6"/>
              </w:rPr>
            </w:pPr>
          </w:p>
        </w:tc>
      </w:tr>
    </w:tbl>
    <w:p w14:paraId="5D619738" w14:textId="77777777" w:rsidR="00A77B3E" w:rsidRDefault="00A77B3E">
      <w:pPr>
        <w:spacing w:before="5pt"/>
        <w:rPr>
          <w:color w:val="000000"/>
        </w:rPr>
        <w:sectPr w:rsidR="00A77B3E">
          <w:headerReference w:type="even" r:id="rId7"/>
          <w:headerReference w:type="default" r:id="rId8"/>
          <w:footerReference w:type="even" r:id="rId9"/>
          <w:footerReference w:type="default" r:id="rId10"/>
          <w:headerReference w:type="first" r:id="rId11"/>
          <w:footerReference w:type="first" r:id="rId12"/>
          <w:pgSz w:w="595.30pt" w:h="841.90pt"/>
          <w:pgMar w:top="36pt" w:right="46.80pt" w:bottom="43.20pt" w:left="36pt" w:header="0pt" w:footer="3.60pt" w:gutter="0pt"/>
          <w:cols w:space="36pt"/>
          <w:noEndnote/>
          <w:docGrid w:linePitch="360"/>
        </w:sectPr>
      </w:pPr>
    </w:p>
    <w:p w14:paraId="03F31DAF" w14:textId="77777777" w:rsidR="00A77B3E" w:rsidRPr="00EB2379" w:rsidRDefault="00B16CCF">
      <w:pPr>
        <w:spacing w:before="5pt"/>
        <w:rPr>
          <w:color w:val="000000"/>
          <w:lang w:val="it-IT"/>
        </w:rPr>
      </w:pPr>
      <w:r w:rsidRPr="00EB2379">
        <w:rPr>
          <w:color w:val="000000"/>
          <w:lang w:val="it-IT"/>
        </w:rPr>
        <w:lastRenderedPageBreak/>
        <w:t>1. Strategija programa: glavni izzivi in odzivi politik</w:t>
      </w:r>
    </w:p>
    <w:p w14:paraId="20C669FD" w14:textId="77777777" w:rsidR="00A77B3E" w:rsidRPr="00EB2379" w:rsidRDefault="00A77B3E">
      <w:pPr>
        <w:spacing w:before="5pt"/>
        <w:rPr>
          <w:color w:val="000000"/>
          <w:sz w:val="0"/>
          <w:lang w:val="it-IT"/>
        </w:rPr>
      </w:pPr>
    </w:p>
    <w:p w14:paraId="76DCD737" w14:textId="77777777" w:rsidR="00A77B3E" w:rsidRDefault="00B16CCF">
      <w:pPr>
        <w:pStyle w:val="Naslov2"/>
        <w:spacing w:before="5pt" w:after="0pt"/>
        <w:rPr>
          <w:rFonts w:ascii="TimesNewRoman" w:eastAsia="TimesNewRoman" w:hAnsi="TimesNewRoman" w:cs="TimesNewRoman"/>
          <w:b w:val="0"/>
          <w:i w:val="0"/>
          <w:color w:val="000000"/>
          <w:sz w:val="24"/>
        </w:rPr>
      </w:pPr>
      <w:bookmarkStart w:id="1" w:name="_Toc256000762"/>
      <w:r>
        <w:rPr>
          <w:rFonts w:ascii="TimesNewRoman" w:eastAsia="TimesNewRoman" w:hAnsi="TimesNewRoman" w:cs="TimesNewRoman"/>
          <w:b w:val="0"/>
          <w:i w:val="0"/>
          <w:color w:val="000000"/>
          <w:sz w:val="24"/>
        </w:rPr>
        <w:t>Tabela 1</w:t>
      </w:r>
      <w:bookmarkEnd w:id="1"/>
    </w:p>
    <w:p w14:paraId="11393DB0"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5057"/>
        <w:gridCol w:w="5057"/>
        <w:gridCol w:w="5058"/>
      </w:tblGrid>
      <w:tr w:rsidR="00823317" w14:paraId="67D346A5" w14:textId="77777777">
        <w:trPr>
          <w:trHeight w:val="160"/>
          <w:tblHeader/>
        </w:trPr>
        <w:tc>
          <w:tcPr>
            <w:tcW w:w="33.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004135" w14:textId="77777777" w:rsidR="00A77B3E" w:rsidRPr="00EB2379" w:rsidRDefault="00B16CCF">
            <w:pPr>
              <w:spacing w:before="5pt"/>
              <w:jc w:val="center"/>
              <w:rPr>
                <w:rFonts w:ascii="TimesNewRoman" w:eastAsia="TimesNewRoman" w:hAnsi="TimesNewRoman" w:cs="TimesNewRoman"/>
                <w:color w:val="000000"/>
                <w:lang w:val="it-IT"/>
              </w:rPr>
            </w:pPr>
            <w:r w:rsidRPr="00EB2379">
              <w:rPr>
                <w:rFonts w:ascii="TimesNewRoman" w:eastAsia="TimesNewRoman" w:hAnsi="TimesNewRoman" w:cs="TimesNewRoman"/>
                <w:color w:val="000000"/>
                <w:lang w:val="it-IT"/>
              </w:rPr>
              <w:t>Cilj politike ali specifični cilj SPP</w:t>
            </w:r>
          </w:p>
        </w:tc>
        <w:tc>
          <w:tcPr>
            <w:tcW w:w="33.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D277E8" w14:textId="77777777" w:rsidR="00A77B3E" w:rsidRPr="00EB2379" w:rsidRDefault="00B16CCF">
            <w:pPr>
              <w:spacing w:before="5pt"/>
              <w:jc w:val="center"/>
              <w:rPr>
                <w:rFonts w:ascii="TimesNewRoman" w:eastAsia="TimesNewRoman" w:hAnsi="TimesNewRoman" w:cs="TimesNewRoman"/>
                <w:color w:val="000000"/>
                <w:lang w:val="it-IT"/>
              </w:rPr>
            </w:pPr>
            <w:r w:rsidRPr="00EB2379">
              <w:rPr>
                <w:rFonts w:ascii="TimesNewRoman" w:eastAsia="TimesNewRoman" w:hAnsi="TimesNewRoman" w:cs="TimesNewRoman"/>
                <w:color w:val="000000"/>
                <w:lang w:val="it-IT"/>
              </w:rPr>
              <w:t>Specifični cilj ali namenska prednostna naloga *</w:t>
            </w:r>
          </w:p>
        </w:tc>
        <w:tc>
          <w:tcPr>
            <w:tcW w:w="33.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4EB71A" w14:textId="77777777" w:rsidR="00A77B3E" w:rsidRDefault="00B16CCF">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Utemeljitev (Povzetek)</w:t>
            </w:r>
          </w:p>
        </w:tc>
      </w:tr>
      <w:tr w:rsidR="00823317" w14:paraId="6B85132D" w14:textId="77777777">
        <w:trPr>
          <w:trHeight w:val="160"/>
        </w:trPr>
        <w:tc>
          <w:tcPr>
            <w:tcW w:w="33.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4A1EDB"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t>1. Konkurenčnejša in pametnejša Evropa s spodbujanjem inovativne in pametne gospodarske preobrazbe ter regionalne povezljivosti na področju IKT</w:t>
            </w:r>
          </w:p>
        </w:tc>
        <w:tc>
          <w:tcPr>
            <w:tcW w:w="33.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8E7526"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t>RSO1.1. Razvoj in izboljšanje raziskovalne in inovacijske zmogljivosti ter uvajanje naprednih tehnologij</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31187B"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Medtem ko je intenzivnost zasebnih naložb v raziskave in razvoj enaka povprečju EU, skromne javne naložbe v raziskave in razvoj še naprej vplivajo na uspešnost sistema raziskav in razvoja[38]. Slovenija je ob merjenju indeksa EII leta 2019 zdrsnila iz 12. na 15. mesto v skupino držav zmernih inovatork, kjer ostaja tudi v letu 2021[39]. Priporočilo Sveta EU poudarja, da omejena podpora ter slabo sodelovanje med znanostjo in gospodarstvom v Sloveniji ovirata ustanavljanje in rast inovativnih podjetij. Za vrnitev Slovenije med države močne inovatorke, so potrebne izboljšave RRI ekosistema ter zagotovitev usklajenih in stabilnih spodbud vlaganj v RRI. Javnofinančni odhodki za RRI se morajo povečati najmanj na 1 % BDP, pri čemer je treba dati prednost javnim naložbam v tehnološke in uporabne raziskave, s poudarkom na krepitvi sodelovanja med znanostjo in gospodarstvom, ki je sedaj večinoma omejeno na srednje in visokotehnološke sektorje, ter na uporabo naprednih tehnologij. S povečanjem naložb RRI moramo izboljšati tudi znanstveno odličnost (merjeno z deležem objav med 10 % najpogosteje navajanimi objavami po svetu), kjer Slovenija v privlačnosti raziskovalnega sistema glede na EII za leto 2021 zaostaja za povprečjem EU (17. mesto). Število raziskovalcev se je v zadnjem desetletju sicer precej povečalo, zlasti zaradi ugodnejših gibanj v zasebnem sektorju, kjer je zaposlenih </w:t>
            </w:r>
            <w:r>
              <w:rPr>
                <w:rFonts w:ascii="TimesNewRoman" w:eastAsia="TimesNewRoman" w:hAnsi="TimesNewRoman" w:cs="TimesNewRoman"/>
                <w:color w:val="000000"/>
              </w:rPr>
              <w:lastRenderedPageBreak/>
              <w:t>največ raziskovalcev, a še vedno zaostajamo za povprečjem EU. V javnem sektorju so gibanja večinoma neugodna, zlasti zaradi omejevanja zaposlovanja. Raziskovalna infrastruktura je dotrajana, pomanjkljivo izpolnjuje varnostne zahteve (požar, potres, dostopnost za gibalno ovirane, energetska varčnost), amortizirana in prostorsko neustrezna, kar onemogoča razvoj in omejuje absorpcijske zmožnosti za sodelovanje raziskovalnih organizacij kot ključnega partnerja v raziskovalnih in inovacijskih projektih. Razlike v inovacijski uspešnosti med KRVS in KRZS ovirajo sodelovanje in mreženje. Produktivnost dela je v KRVS v obdobju od 2010-2017 rastla po stopnji 1,4 % letno, v KRZS pa 1 % (EU povprečje 0,8 %), vendar pa razlika ostaja prenizka za zapiranje vrzeli do povprečja EU v sorazmerno kratkem času. Uporabljali bomo nepovratna in povratna sredstva, utemeljitev je v 2. poglavju.</w:t>
            </w:r>
          </w:p>
        </w:tc>
      </w:tr>
      <w:tr w:rsidR="00823317" w14:paraId="2F9A6ABD"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3DA626"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1. Konkurenčnejša in pametnejša Evropa s spodbujanjem inovativne in pametne gospodarske preobrazbe ter regionalne povezljivosti na področju IKT</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1BE2F0"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t>RSO1.2. Izkoriščanje prednosti digitalizacije za državljane, podjetja, raziskovalne organizacije in javne organe</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DDD0A7" w14:textId="77777777" w:rsidR="00A77B3E" w:rsidRDefault="00B16CCF">
            <w:pPr>
              <w:spacing w:before="5pt"/>
              <w:rPr>
                <w:rFonts w:ascii="TimesNewRoman" w:eastAsia="TimesNewRoman" w:hAnsi="TimesNewRoman" w:cs="TimesNewRoman"/>
                <w:color w:val="000000"/>
              </w:rPr>
            </w:pPr>
            <w:r w:rsidRPr="00EB2379">
              <w:rPr>
                <w:rFonts w:ascii="TimesNewRoman" w:eastAsia="TimesNewRoman" w:hAnsi="TimesNewRoman" w:cs="TimesNewRoman"/>
                <w:color w:val="000000"/>
                <w:lang w:val="it-IT"/>
              </w:rPr>
              <w:t xml:space="preserve">Slovenija se po indeksu DESI v letu 2021 uvršča na 13. mesto med 27 državami članicami EU[40]. Za uresničitev cilja SRS 2030 mora Slovenija svoja vlaganja v najnaprednejše digitalne tehnologije, glede na napredek iz zadnjih petih let, povečati za več kot 50 %. Na področju človeškega kapitala Slovenija sicer postopoma napreduje, a še vedno zaostaja za povprečjem EU po uporabi interneta, razsežnosti človeškega kapitala ter ravni osnovnih digitalnih spretnosti in znanj. Nekoliko spodbudnejši so bili v preteklih letih premiki na področju digitalnih javnih storitev, vendar predvsem pri ponudbi teh storitev (vnaprej izpolnjeni obrazci, možnost spletnega opravljanja storitev, odprti podatki), njihova uporaba pa je </w:t>
            </w:r>
            <w:r w:rsidRPr="00EB2379">
              <w:rPr>
                <w:rFonts w:ascii="TimesNewRoman" w:eastAsia="TimesNewRoman" w:hAnsi="TimesNewRoman" w:cs="TimesNewRoman"/>
                <w:color w:val="000000"/>
                <w:lang w:val="it-IT"/>
              </w:rPr>
              <w:lastRenderedPageBreak/>
              <w:t xml:space="preserve">ostajala majhna tako pri posameznikih kot v podjetjih[41]. Problematične pa še naprej ostajajo javne digitalne storitve za podjetja. Slovenska podjetja izkoriščajo priložnosti, ki jih ponujajo elektronska izmenjava informacij (uporablja jo 33 % podjetij; EU 34 %) ter uporaba družbenih medijev (uporablja jih 24 % podjetij; EU 25 %). Pri uporabi velepodatkov, storitvah v oblaku, so MSP, ki prodajajo prek spleta, ter prometu pri e-trgovanju tudi blizu povprečja EU. Slovenija ima več kot 40-letno tradicijo razvoja relativno dobrega in uspešnega raziskovalnega in izobraževalnega okolja in infrastrukture na področju umetne inteligence (v nadaljevanju: UI) in visokozmogljivega računalništva ter masovnih podatkov. Da ostanemo v svetovnem vrhu, moramo sredstva vlagati tudi v povečanje investicij za razvoj in uvajanje naprednih tehnologij (npr. UI) in rešitev v gospodarstvo in javno upravo. V 1. četrtletju 2020 je internet redno uporabljalo 87 % oseb, starih 16-74 let. Kljub široki uporabi internetnih storitev, pa se soočamo z razkorakom v digitalnih storitvah na ravni skupnosti in v ožjih življenjskih okoljih. Lokalne skupnosti izkazujejo digitalne potrebe predvsem na področju infrastrukture in energetske učinkovitosti (javna razsvetljava), učinkovite zemljiške politike, učinkovite rabe z vodo (vodooskrba in čistilne naprave) z namenom zmanjšanja izgub vode, na področju turizma (z namenom povezovanja občin s skupnimi digitalnimi platformami), na področju mobilnosti in krožnega gospodarstva. </w:t>
            </w:r>
            <w:r>
              <w:rPr>
                <w:rFonts w:ascii="TimesNewRoman" w:eastAsia="TimesNewRoman" w:hAnsi="TimesNewRoman" w:cs="TimesNewRoman"/>
                <w:color w:val="000000"/>
              </w:rPr>
              <w:t>Uporabljali bomo nepovratna sredstva, utemeljitev je v 2. poglavju.</w:t>
            </w:r>
          </w:p>
        </w:tc>
      </w:tr>
      <w:tr w:rsidR="00823317" w14:paraId="238DAF6C"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FDA6DB"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1. Konkurenčnejša in pametnejša Evropa s spodbujanjem inovativne in pametne gospodarske preobrazbe ter regionalne povezljivosti na področju IKT</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F7035E"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t>RSO1.3. Krepitev trajnostne rasti in konkurenčnosti MSP ter ustvarjanje delovnih mest v MSP, med drugim s produktivnimi naložbami</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48DE87"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V Sloveniji že več let ni porasta zgodnje podjetniške aktivnosti[42] - v letu 2020 se uvrščamo v zadnjo petino držav[43]. Pod povprečjem EU ostaja tudi inovacijska aktivnost podjetij zaradi opaznega zaostajanja MSP[44]. Start-up in Scale-up Iniciativa[45] poudarja, da premalo zagonskih podjetij (startup) preživi kritično začetno fazo (2-3 let), še manj pa jih preraste v večja podjetja (scaleup). Obe ciljni skupini rabita usklajeno podporo z uporabo pospeševalnikov, inkubatorjev in regulatornih peskovnikov za razvoj najnaprednejših tehnologij. Slovenija je izvozno usmerjena država z visokim deležem izvoza blaga, manjšim pa izvoza storitev. Izvozno gospodarstvo se je v času kriz izkazalo za najbolj odporno. Sto največjih podjetij ustvari 56 % izvoza, zato so še možnosti za povečanje deleža MSP v izvozu. Velik del izvoza deluje v okviru globalnih verig vrednosti, ki se soočajo z mega trendi, na katere se MSP lahko prilagodijo s povečanjem svoje konkurenčnosti, prilagodljivosti ter obvladovanjem najnaprednejših tehnologij ter posledično kotirajo višje v dobaviteljski verigi. Novembra 2021 je bilo registriranih 269 socialnih podjetij (180 KRVS, 89 KRZS). Na ravni EU sektor socialne ekonomije prispeva k BDP 8 %, v Sloveniji le 0,268 %[46], zato so nujne spodbude za zmanjšanje razvojnega zaostanka, predvsem s spodbujanjem razvoja družbenih inovacij.[47] Naslavljati moramo srebrno ekonomijo, saj smo po Indeksu aktivnega staranja 2018 pod povprečjem EU. Povečati mora podporo MSP, ki so usmerjena v reševanje izzivov, s katerimi se srečujejo starejši, npr. zdravstvene storitve, digitalizacija, mobilnost, </w:t>
            </w:r>
            <w:r>
              <w:rPr>
                <w:rFonts w:ascii="TimesNewRoman" w:eastAsia="TimesNewRoman" w:hAnsi="TimesNewRoman" w:cs="TimesNewRoman"/>
                <w:color w:val="000000"/>
              </w:rPr>
              <w:lastRenderedPageBreak/>
              <w:t>ipd.. S tem bodo komplementarno naslovljeni izzivi na področju razvoja družbenih inovacij in povečevanje odpornosti starajoče družbe. Podjetniška usposabljanja v večjih mestih so ovira za potencialne podjetnike iz manjših, oddaljenih in manj razvitih krajev (večji stroški prevoza, poraba časa, ipd.), zato je nujno decentralizirano izvajanje programov za pridobivanje podjetniških znanj in razvoj poslovnih idej. Podjetniki, ki ob podpori ustreznih institucij razvijejo poslovne ideje v svojih krajih, bodo v večji meri ustanavljali tam podjetja, s čimer se povečuje lokalna samooskrba in zmanjšujejo regijske razlike. Uporabljali bomo nepovratna in povratna sredstva, utemeljitev v 2. poglavju.</w:t>
            </w:r>
          </w:p>
        </w:tc>
      </w:tr>
      <w:tr w:rsidR="00823317" w14:paraId="345A17C0"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8F7590"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1. Konkurenčnejša in pametnejša Evropa s spodbujanjem inovativne in pametne gospodarske preobrazbe ter regionalne povezljivosti na področju IKT</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9DD90C" w14:textId="77777777" w:rsidR="00A77B3E" w:rsidRPr="00EB2379" w:rsidRDefault="00B16CCF">
            <w:pPr>
              <w:spacing w:before="5pt"/>
              <w:rPr>
                <w:rFonts w:ascii="TimesNewRoman" w:eastAsia="TimesNewRoman" w:hAnsi="TimesNewRoman" w:cs="TimesNewRoman"/>
                <w:color w:val="000000"/>
                <w:lang w:val="it-IT"/>
              </w:rPr>
            </w:pPr>
            <w:r w:rsidRPr="00EB2379">
              <w:rPr>
                <w:rFonts w:ascii="TimesNewRoman" w:eastAsia="TimesNewRoman" w:hAnsi="TimesNewRoman" w:cs="TimesNewRoman"/>
                <w:color w:val="000000"/>
                <w:lang w:val="it-IT"/>
              </w:rPr>
              <w:t>RSO1.4. Razvoj znanj in spretnosti za pametno specializacijo, industrijski prehod in podjetništvo</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9C82FD"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Slovenija ima med državami članicami EU sicer nadpovprečen delež visoko izobraženega prebivalstva, vendar pa se zaradi demografskih sprememb in hitrega tehnološkega napredka sooča z vse večjimi neskladji med ponudbo znanj in spretnosti ter potrebami družbe in gospodarstva[48], na kar opozarja že Poročilo o državi za leto 2019, Priloga D. Izziv ostaja, na kar opozarja tudi Poročilo o razvoju 2022, ki dodaja, da srednjeročno vse večji izziv postaja zagotavljanje znanj in spretnosti mladih in odraslih za digitalno in zeleno preobrazbo gospodarstva ter spoprijemanje z izzivi dolgožive družbe in tehnološkega razvoja, kar zahteva upoštevanje ne le trenutnih, ampak še zlasti bodočih potreb. Na slednje je opozoril že OECD leta 2018, ko je izpostavil, da je v Sloveniji ob čedalje manjših generacijah na trgu dela in posledičnem pomanjkanju delovne sile, 25 % delovnih mest </w:t>
            </w:r>
            <w:r>
              <w:rPr>
                <w:rFonts w:ascii="TimesNewRoman" w:eastAsia="TimesNewRoman" w:hAnsi="TimesNewRoman" w:cs="TimesNewRoman"/>
                <w:color w:val="000000"/>
              </w:rPr>
              <w:lastRenderedPageBreak/>
              <w:t>visoko izpostavljenih avtomatizaciji, 27 % pa izrazitim spremembam zaradi le-te, kar je krepko nad povprečjem držav OECD. Pomanjkanje ustreznih znanj in spretnosti se pojavlja tako pri diplomantih srednješolskega in terciarnega izobraževanja kot tudi pri že zaposlenih. Slaba polovica slovenskih podjetij se pri pridobivanju novih kadrov srečuje s pomanjkanjem želenih kompetenc na trgu dela.[49] Prilagajanje spremembam na delovnih mestih, ki jih povzroča industrija 4.0, pa ovira tudi čedalje manjša vključenost zaposlenih v vseživljenjsko učenje (v nadaljevanju: VŽU).[50] Regionalne razlike v izobraženosti prebivalstva in vključenosti v VŽU obstajajo. KRVS za KRZS zaostaja po deležu prebivalstva s terciarno izobrazbo, manjša pa je tudi vključenost zaposlenih v VŽU. Obe regiji pa se soočata s pomanjkanjem ustreznih znanj in spretnosti.[51] [52] Uporabljali bomo nepovratna sredstva, utemeljitev je v 2. poglavju.</w:t>
            </w:r>
          </w:p>
        </w:tc>
      </w:tr>
      <w:tr w:rsidR="00823317" w:rsidRPr="00EB2379" w14:paraId="26E8A591"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4DF38B"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1. Konkurenčnejša in pametnejša Evropa s spodbujanjem inovativne in pametne gospodarske preobrazbe ter regionalne povezljivosti na področju IKT</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8510AE"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t>RSO1.5. Izboljšanje digitalne povezljivosti</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DDE6B6" w14:textId="77777777" w:rsidR="00A77B3E" w:rsidRPr="00EB2379" w:rsidRDefault="00B16CCF">
            <w:pPr>
              <w:spacing w:before="5pt"/>
              <w:rPr>
                <w:rFonts w:ascii="TimesNewRoman" w:eastAsia="TimesNewRoman" w:hAnsi="TimesNewRoman" w:cs="TimesNewRoman"/>
                <w:color w:val="000000"/>
                <w:lang w:val="it-IT"/>
              </w:rPr>
            </w:pPr>
            <w:r>
              <w:rPr>
                <w:rFonts w:ascii="TimesNewRoman" w:eastAsia="TimesNewRoman" w:hAnsi="TimesNewRoman" w:cs="TimesNewRoman"/>
                <w:color w:val="000000"/>
              </w:rPr>
              <w:t xml:space="preserve">EK v okviru Evropske gigabitne družbe[53] predvideva 3 ključne cilje do konca leta 2025, in sicer: dostop vseh gospodinjstev (mestnih in podeželskih) do internetne povezljivosti s hitrostjo vsaj 100Mb/s, pokritost z omrežji 5G na vseh mestnih območjih in vseh večjih prizemnih prometnih poteh ter gigabitno povezljivost za vse glavne spodbujevalce socialno-ekonomskega razvoja (šole, digitalno intenzivna podjetja, univerze, JRO, bolnišnice, ipd.). Dodatno pa EK v okviru Digitalnega kompasa[54] predvideva popolno pokritost prebivalstva s širokopasovnimi omrežji ter naseljenih območij z omrežjem 5G do konca leta 2030. Strateški cilji Slovenije pri </w:t>
            </w:r>
            <w:r>
              <w:rPr>
                <w:rFonts w:ascii="TimesNewRoman" w:eastAsia="TimesNewRoman" w:hAnsi="TimesNewRoman" w:cs="TimesNewRoman"/>
                <w:color w:val="000000"/>
              </w:rPr>
              <w:lastRenderedPageBreak/>
              <w:t xml:space="preserve">razvoju gigabitne infrastrukture so v celoti usklajeni z digitalnimi cilji EU na področju povezljivosti in so opredeljeni v Načrtu razvoja gigabitne infrastrukture do 2030[55]. </w:t>
            </w:r>
            <w:r w:rsidRPr="00EB2379">
              <w:rPr>
                <w:rFonts w:ascii="TimesNewRoman" w:eastAsia="TimesNewRoman" w:hAnsi="TimesNewRoman" w:cs="TimesNewRoman"/>
                <w:color w:val="000000"/>
                <w:lang w:val="it-IT"/>
              </w:rPr>
              <w:t xml:space="preserve">Slovenija se po indeksu DESI v letu 2021 na področju povezljivosti uvršča na 9. mesto. Dodeljenih je 98 % spektra 5G. Širokopasovna dostopovna omrežja naslednje generacije pokrivajo 88 % gospodinjstev, kar je blizu povprečja EU, vendar je ta odstotek na podeželskih območjih znatno nižji, kar še vedno kaže na vrzel med mestnimi in podeželskimi območji.[56] Slovenija ima izrazito ruralno oziroma podeželsko okolje, saj velika večina prebivalcev (skoraj 70 %) živi v naseljih manjših od 10.000 prebivalcev[57]. Gradnja širokopasovnih omrežij je zaradi redke poseljenosti na podeželju ter številnih hribovitih področij v Sloveniji počasnejša in dražja. Z vsako pokrito belo liso postaja gradnja še dražja, saj so le-te vedno bolj odmaknjene od glavnih visokozmogljivih širokopasovnih omrežij. Kombinacija sredstev iz različnih virov je zato nujna. Na težave na različnih področjih, ki so pokazale potrebo po ureditvi širokopasovnih povezav, je še dodatno opozorila epidemija covid-19. Pri izvajanju osnovnošolskega in srednješolskega izobraževanja na daljavo so se pojavile težave glede nepokritosti nekaterih območij s fiksno širokopasovno infrastrukturo ter motenj pri delovanju spletnih učnih okolij. Tudi z epidemijo spodbujena povečana uporaba dela na daljavo, ki ima številne pozitivne učinke v regijah, je bila v veliko primerih onemogočena zaradi preslabe dostopnosti visoko zmogljivih </w:t>
            </w:r>
            <w:r w:rsidRPr="00EB2379">
              <w:rPr>
                <w:rFonts w:ascii="TimesNewRoman" w:eastAsia="TimesNewRoman" w:hAnsi="TimesNewRoman" w:cs="TimesNewRoman"/>
                <w:color w:val="000000"/>
                <w:lang w:val="it-IT"/>
              </w:rPr>
              <w:lastRenderedPageBreak/>
              <w:t>širokopasovnih omrežij.[58] Uporabljali bomo nepovratna sredstva, utemeljitev je v 2. poglavju.</w:t>
            </w:r>
          </w:p>
        </w:tc>
      </w:tr>
      <w:tr w:rsidR="00823317" w14:paraId="4D09AD64"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247029" w14:textId="77777777" w:rsidR="00A77B3E" w:rsidRPr="00EB2379" w:rsidRDefault="00B16CCF">
            <w:pPr>
              <w:spacing w:before="5pt"/>
              <w:rPr>
                <w:rFonts w:ascii="TimesNewRoman" w:eastAsia="TimesNewRoman" w:hAnsi="TimesNewRoman" w:cs="TimesNewRoman"/>
                <w:color w:val="000000"/>
                <w:lang w:val="it-IT"/>
              </w:rPr>
            </w:pPr>
            <w:r w:rsidRPr="00EB2379">
              <w:rPr>
                <w:rFonts w:ascii="TimesNewRoman" w:eastAsia="TimesNewRoman" w:hAnsi="TimesNewRoman" w:cs="TimesNewRoman"/>
                <w:color w:val="000000"/>
                <w:lang w:val="it-IT"/>
              </w:rPr>
              <w:lastRenderedPageBreak/>
              <w:t>1. Konkurenčnejša in pametnejša Evropa s spodbujanjem inovativne in pametne gospodarske preobrazbe ter regionalne povezljivosti na področju IKT</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EFAF7B" w14:textId="77777777" w:rsidR="00A77B3E" w:rsidRPr="00EB2379" w:rsidRDefault="00B16CCF">
            <w:pPr>
              <w:spacing w:before="5pt"/>
              <w:rPr>
                <w:rFonts w:ascii="TimesNewRoman" w:eastAsia="TimesNewRoman" w:hAnsi="TimesNewRoman" w:cs="TimesNewRoman"/>
                <w:color w:val="000000"/>
                <w:lang w:val="it-IT"/>
              </w:rPr>
            </w:pPr>
            <w:r w:rsidRPr="00EB2379">
              <w:rPr>
                <w:rFonts w:ascii="TimesNewRoman" w:eastAsia="TimesNewRoman" w:hAnsi="TimesNewRoman" w:cs="TimesNewRoman"/>
                <w:color w:val="000000"/>
                <w:lang w:val="it-IT"/>
              </w:rPr>
              <w:t>RSO1.6. Podpora naložb, ki prispevajo k ciljem platforme za strateške tehnologije za Evropo (v nadaljnjem besedilu: platforma STEP) iz člena 2 Uredbe (EU) 2024/795 Evropskega parlamenta in Sveta.</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2BF2AD"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Slovenija se sooča z izzivi na področju raziskav, razvoja in inovacij, ki omejujejo njeno produktivnost in konkurenčnost. Poročilo o produktivnosti 2023 kaže rast produktivnosti dela nad povprečjem EU, vendar nezadostno za zmanjšanje razvojne in inovacijske vrzeli. Ključne ovire so nizka javna vlaganja v RRI, omejeno sodelovanje med znanostjo in gospodarstvom ter premajhna usmerjenost v razvoj tehnologij prihodnosti, kar vpliva na konkurenčnost, sposobnost ustvarjanja visokotehnoloških inovacij in vključevanje v evropske vrednostne verige. Platforma STEP naslavlja strateške izzive EU: zmanjšanje strateških odvisnosti, razvoj in proizvodnja kritičnih tehnologij ter okrepitev vrednostnih verig na področjih digitalnih tehnologij/globokotehnoloških inovacij, čistih tehnologij in biotehnologij ter drugih področjih skladno s platformo STEP. Slovenija lahko prek strateških projektov krepi inovacijsko osnovo gospodarstva in njegovo konkurenčnost. Financiranje projektov s pečatom suverenosti in vključevanje v pomembne projekte skupnega evropskega interesa (IPCEI) bo okrepilo sodelovanje v evropskih konzorcijih in spodbujalo trajnostni gospodarski razvoj. Draghijevo poročilo poudarja vlaganja v strateške tehnologije kot ključna za odpornost in konkurenčnost EU. Slovenija mora slediti tem smernicam z naložbami v raziskave, razvoj in proizvodnjo kritičnih tehnologij. Povečati je treba sodelovanje med raziskovalnimi institucijami in gospodarstvom, </w:t>
            </w:r>
            <w:r>
              <w:rPr>
                <w:rFonts w:ascii="TimesNewRoman" w:eastAsia="TimesNewRoman" w:hAnsi="TimesNewRoman" w:cs="TimesNewRoman"/>
                <w:color w:val="000000"/>
              </w:rPr>
              <w:lastRenderedPageBreak/>
              <w:t xml:space="preserve">izboljšati razvojno sposobnost gospodarstva in raziskovalno in tehnološko infrastrukturo ter okrepiti samozadostnost v dobavnih verigah. Slovenija s tem specifičnim ciljem naslavlja Priporočila Sveta o ekonomskih politikah Slovenije za leto 2024, ki usmerjajo v povečanje konkurenčnosti gospodarstva z uporabo platforme STEP. Specifični cilj bo tudi preko podpore razvoju in/ali proizvodnji kritičnih tehnologij, prenosu inovacij ter vključevanju v projekte s pečatom suverenosti in IPCEI omogočil krepitev produktivnosti in konkurenčnosti ter prispeval k evropski strateški avtonomiji. </w:t>
            </w:r>
          </w:p>
        </w:tc>
      </w:tr>
      <w:tr w:rsidR="00823317" w:rsidRPr="00EB2379" w14:paraId="35AF5A27"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4DA74E"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2. Bolj zelena, nizkoogljična Evropa, ki je odporna in prehaja na ogljično nevtralno gospodarstvo s spodbujanjem čistega in pravičnega energetskega prehoda, zelenih in modrih naložb, krožnega gospodarstva, blaženja podnebnih sprememb in prilagajanja nanje ter preprečevanja in obvladovanja tveganj ter trajnostne mestne mobilnosti</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1803DF"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t>RSO2.1. Spodbujanje energijske učinkovitosti in zmanjševanje emisij toplogrednih plinov</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59661E" w14:textId="77777777" w:rsidR="00A77B3E" w:rsidRPr="00EB2379" w:rsidRDefault="00B16CCF">
            <w:pPr>
              <w:spacing w:before="5pt"/>
              <w:rPr>
                <w:rFonts w:ascii="TimesNewRoman" w:eastAsia="TimesNewRoman" w:hAnsi="TimesNewRoman" w:cs="TimesNewRoman"/>
                <w:color w:val="000000"/>
                <w:lang w:val="it-IT"/>
              </w:rPr>
            </w:pPr>
            <w:r>
              <w:rPr>
                <w:rFonts w:ascii="TimesNewRoman" w:eastAsia="TimesNewRoman" w:hAnsi="TimesNewRoman" w:cs="TimesNewRoman"/>
                <w:color w:val="000000"/>
              </w:rPr>
              <w:t xml:space="preserve">V sektorju neETS so bile v letu 2019 emisije TGP nižje od letnega cilja za 11,9 %, s čimer Slovenija izpolnjuje svoje obveznosti in zastavljene letne cilje, vendar pa to ne pomeni, da dolgoročno obvladuje emisije. Kljub temu, da se je v letu 2020 raba primarne energije v neETS sektorju zmanjšala že tretje leto zapored (za 2,62 % v primerjavi z letom 2019), bo za doseganje ciljev do 2030 odločilno obvladovanje končne energije, saj je napredek prepočasen. Slovenija je v letu 2020 dosegla le 65 % emisijske produktivnosti EU. Treba bo še dodatno okrepiti povezavo med ukrepi za razvoj gospodarstva in ukrepi za zmanjšanje emisij TGP. Trenutna prizadevanja za večjo energetsko učinkovitost kljub na videz ugodnim trendom doseganja cilja na ravni rabe primarne energije ne bodo zadoščala za obvladovanje rabe energije in emisij TGP. </w:t>
            </w:r>
            <w:r w:rsidRPr="00EB2379">
              <w:rPr>
                <w:rFonts w:ascii="TimesNewRoman" w:eastAsia="TimesNewRoman" w:hAnsi="TimesNewRoman" w:cs="TimesNewRoman"/>
                <w:color w:val="000000"/>
                <w:lang w:val="it-IT"/>
              </w:rPr>
              <w:t xml:space="preserve">Na to kaže tudi dejstvo, da ne dosegamo cilja na področju energetske prenove 3 % skupne tlorisne površine stavb v lasti in rabi osrednje vlade na leto. Energetska prenova stavb </w:t>
            </w:r>
            <w:r w:rsidRPr="00EB2379">
              <w:rPr>
                <w:rFonts w:ascii="TimesNewRoman" w:eastAsia="TimesNewRoman" w:hAnsi="TimesNewRoman" w:cs="TimesNewRoman"/>
                <w:color w:val="000000"/>
                <w:lang w:val="it-IT"/>
              </w:rPr>
              <w:lastRenderedPageBreak/>
              <w:t>(javnih, zasebnih storitvenih in večstanovanjskih), vključno z uvajanjem digitalnih tehnologij pametnih stavb, je eden od ukrepov za zmanjševanje rabe energije in emisij TGP, zato je treba izvajanje instrumentov na tem področju okrepiti in razširiti v skladu z načrtovanimi ukrepi DSEPS 2050. Pri večstanovanjskih stavbah je bilo identificirano večje število ovir in omejitvenih dejavnikov, ki otežujejo spontano odločanje za energetsko prenovo, npr. razpršeno lastništvo, demografska struktura in nemotiviranost lastnikov, energetska revščina, deljenje spodbud med lastnike in najemnike[59]. Poleg tega se kažejo potrebe po celostnih prenovah teh stavb, ki vključujejo tudi druge vidike prenove (potres, požar,…). Po podatkih iz raziskave Življenjski pogoji (EU-SILC) za leto 2020 je bila stopnja tveganja revščine 12,4 % (254.000 oseb), kar vpliva tudi na t.i. energetsko revščino. Od tega je bilo največ upokojencev (38,2 % oz. 19,5 % vseh upokojencev), sledili pa so delovno aktivni (5 % vseh delovno aktivnih), mladoletni (10,5 % vseh otrok), brezposelni (43,4 % vseh brezposelnih) ter ostali (19,6 % vseh nezmožnih za delo, gospodinj, študentov, drugih neaktivnih in nerazvrščenih oseb). Pri tem je bila stopnja tveganja revščine višja v KRVS kot pa v KRZS. Uporabljali bomo nepovratna in povratna sredstva, utemeljitev je v 2. poglavju.</w:t>
            </w:r>
          </w:p>
        </w:tc>
      </w:tr>
      <w:tr w:rsidR="00823317" w14:paraId="1B6FE403"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224810" w14:textId="77777777" w:rsidR="00A77B3E" w:rsidRPr="00EB2379" w:rsidRDefault="00B16CCF">
            <w:pPr>
              <w:spacing w:before="5pt"/>
              <w:rPr>
                <w:rFonts w:ascii="TimesNewRoman" w:eastAsia="TimesNewRoman" w:hAnsi="TimesNewRoman" w:cs="TimesNewRoman"/>
                <w:color w:val="000000"/>
                <w:lang w:val="it-IT"/>
              </w:rPr>
            </w:pPr>
            <w:r w:rsidRPr="00EB2379">
              <w:rPr>
                <w:rFonts w:ascii="TimesNewRoman" w:eastAsia="TimesNewRoman" w:hAnsi="TimesNewRoman" w:cs="TimesNewRoman"/>
                <w:color w:val="000000"/>
                <w:lang w:val="it-IT"/>
              </w:rPr>
              <w:lastRenderedPageBreak/>
              <w:t xml:space="preserve">2. Bolj zelena, nizkoogljična Evropa, ki je odporna in prehaja na ogljično nevtralno gospodarstvo s spodbujanjem čistega in pravičnega energetskega prehoda, zelenih in modrih naložb, krožnega gospodarstva, blaženja podnebnih sprememb in </w:t>
            </w:r>
            <w:r w:rsidRPr="00EB2379">
              <w:rPr>
                <w:rFonts w:ascii="TimesNewRoman" w:eastAsia="TimesNewRoman" w:hAnsi="TimesNewRoman" w:cs="TimesNewRoman"/>
                <w:color w:val="000000"/>
                <w:lang w:val="it-IT"/>
              </w:rPr>
              <w:lastRenderedPageBreak/>
              <w:t>prilagajanja nanje ter preprečevanja in obvladovanja tveganj ter trajnostne mestne mobilnosti</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3342A2" w14:textId="77777777" w:rsidR="00A77B3E" w:rsidRPr="00EB2379" w:rsidRDefault="00B16CCF">
            <w:pPr>
              <w:spacing w:before="5pt"/>
              <w:rPr>
                <w:rFonts w:ascii="TimesNewRoman" w:eastAsia="TimesNewRoman" w:hAnsi="TimesNewRoman" w:cs="TimesNewRoman"/>
                <w:color w:val="000000"/>
                <w:lang w:val="it-IT"/>
              </w:rPr>
            </w:pPr>
            <w:r w:rsidRPr="00EB2379">
              <w:rPr>
                <w:rFonts w:ascii="TimesNewRoman" w:eastAsia="TimesNewRoman" w:hAnsi="TimesNewRoman" w:cs="TimesNewRoman"/>
                <w:color w:val="000000"/>
                <w:lang w:val="it-IT"/>
              </w:rPr>
              <w:lastRenderedPageBreak/>
              <w:t>RSO2.2. Spodbujanje energije iz obnovljivih virov v skladu z Direktivo (EU) 2018/2001 o spodbujanju uporabe energije iz obnovljivih virov [1], vključno s trajnostnimi merili, določenimi v Direktivi</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90433A"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V obdobju 2005-2019 se je skupna raba OVE v Sloveniji povečala najmanj od vseh držav članic EU; po rabi virov, kot so vetrna, sončna in geotermalna energija, pa je Slovenija blizu dna lestvice držav članic EU[60]. Poleg nedoseganja </w:t>
            </w:r>
            <w:r>
              <w:rPr>
                <w:rFonts w:ascii="TimesNewRoman" w:eastAsia="TimesNewRoman" w:hAnsi="TimesNewRoman" w:cs="TimesNewRoman"/>
                <w:color w:val="000000"/>
              </w:rPr>
              <w:lastRenderedPageBreak/>
              <w:t>cilja za leto 2020, je Slovenija precej oddaljena tudi od cilja SRS 2030 in NEPN, to je, da do leta 2030 dosežemo ciljno vrednost 27 % deleža OVE v končni rabi energije (glede na izhodiščno vrednost 22 % v letu 2015). Pomemben izziv predstavlja tudi dejstvo, da je v strukturi OVE v Sloveniji velik delež klasičnih in manjši delež drugih virov, še posebej zaostajamo na področju uporabe vetrnic in toplotnih črpalk.[61] Za pospešitev rabe OVE v smeri cilja SRS 2030 in NEPN bo zato potreben hitrejši premik k zelenim energetskim naložbam. Za doseganje zastavljenih ciljev deleža OVE se bomo naslonili tudi na končno poročilo projekta “Facilitating Renewable Energy Deployment In Electricity Sector Of Slovenia” (Request For Service REFORM/SC2021/091), še posebej na področju vetrne energije, ki ima v Sloveniji omejene možnosti izkoriščanja. Slovenija nima možnosti za postavitev vetrnih elektrarn "off-shore". Zato so možnosti za umeščanje in izrabo vetrne energije v določeni meri omejena in manjša kakor v drugih državah EU. Dodatno možnosti za izrabo vetrne energije zmanjšuje zelo razpršena poselitev (omejeno število lokacij z ustrezno hitrostjo vetra in zahteve glede potrebnega odmika od naselij zaradi varstva pred hrupom). Uporabljali bomo nepovratna sredstva, utemeljitev je v 2. poglavju.</w:t>
            </w:r>
          </w:p>
        </w:tc>
      </w:tr>
      <w:tr w:rsidR="00823317" w14:paraId="4DC80B40"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8AF5B2"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 xml:space="preserve">2. Bolj zelena, nizkoogljična Evropa, ki je odporna in prehaja na ogljično nevtralno gospodarstvo s spodbujanjem čistega in pravičnega energetskega prehoda, zelenih in modrih naložb, krožnega gospodarstva, blaženja podnebnih sprememb in prilagajanja nanje ter preprečevanja in </w:t>
            </w:r>
            <w:r>
              <w:rPr>
                <w:rFonts w:ascii="TimesNewRoman" w:eastAsia="TimesNewRoman" w:hAnsi="TimesNewRoman" w:cs="TimesNewRoman"/>
                <w:color w:val="000000"/>
              </w:rPr>
              <w:lastRenderedPageBreak/>
              <w:t>obvladovanja tveganj ter trajnostne mestne mobilnosti</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0086C1"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RSO2.4. Spodbujanje prilagajanja podnebnim spremembam in preprečevanja tveganja nesreč ter odpornosti, ob upoštevanju ekosistemskih pristopov</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3E72D4"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Slovenija se zaradi spreminjanja podnebja sooča z vse pogostejšimi z vremenom povezanimi naravnimi nesrečami. </w:t>
            </w:r>
            <w:r w:rsidRPr="00EB2379">
              <w:rPr>
                <w:rFonts w:ascii="TimesNewRoman" w:eastAsia="TimesNewRoman" w:hAnsi="TimesNewRoman" w:cs="TimesNewRoman"/>
                <w:color w:val="000000"/>
                <w:lang w:val="it-IT"/>
              </w:rPr>
              <w:t xml:space="preserve">Poplave so samo v letu 2019 povzročile 120,5 mio EUR škode[62], v letih 2010-2020 pa za 1,64 mrd EUR škode[63]. Predhodna ocena poplavne ogroženosti Republike </w:t>
            </w:r>
            <w:r w:rsidRPr="00EB2379">
              <w:rPr>
                <w:rFonts w:ascii="TimesNewRoman" w:eastAsia="TimesNewRoman" w:hAnsi="TimesNewRoman" w:cs="TimesNewRoman"/>
                <w:color w:val="000000"/>
                <w:lang w:val="it-IT"/>
              </w:rPr>
              <w:lastRenderedPageBreak/>
              <w:t xml:space="preserve">Slovenije opredeljuje 86 območij pomembnega vpliva poplav, ki kljub dosedanjim vlaganjem na tem področju, še vedno niso ustrezno urejena. Obvladovanje poplavne ogroženosti je izredno pomemben segment upravljanja z vodami, vključno z najnaprednejšimi tehnologijami, ki omogočajo ustrezno prostorsko načrtovanje in njihovo napovedovanje. Tveganje predstavljajo tudi veliki požari v naravi, katerih kompleksnost, število, obseg in škoda (na ekosistemih, ogrožajo naselja, infrastrukturo) se zvišuje, hkrati pa se pojavljajo izven tradicionalno ogroženih območij in prinašajo velike stroške intervencij (3 večji požari 0,25 mio EUR; požari na Krasu 2022 nakazujejo na izredno veliko škodo in intervencijske stroške še pred zaključkom intervencije)[64]. Enote, ki se odzivajo ob tovrstnih nesrečah, ne razpolagajo z ustrezno opremo (pri požarih na Krasu potrebna aktivacija sil in sredstev iz sedmih tujih držav). Tveganje z velikimi posledicami na infrastrukturi, gozdovih, s potencialom verižnih dogodkov (npr. poplave, pojav škodljivcev itd.) predstavlja žled z ujmami[65] (430 mio EUR škode ob žledu leta 2014). Precej pogoste in z velikim vplivom pa so tudi druge vremenske ujme, ki so zgolj v prvih devetih mesecih leta 2020 terjale odziv 1000 enot na 700 lokacijah (toča, vetrolomi itd.). Gre za tveganja oz. nesreče, ki do sedaj niso bila ustrezno naslovljena v smislu zagotavljanja opreme, prav tako Slovenija nima primerne infrastrukture in programov za usposabljanje, enote ne razpolagajo z ustrezno opremo, ki bi omogočila učinkovito, pravočasno in varno spopadanje z njimi. </w:t>
            </w:r>
            <w:r>
              <w:rPr>
                <w:rFonts w:ascii="TimesNewRoman" w:eastAsia="TimesNewRoman" w:hAnsi="TimesNewRoman" w:cs="TimesNewRoman"/>
                <w:color w:val="000000"/>
              </w:rPr>
              <w:lastRenderedPageBreak/>
              <w:t>Uporabljali bomo nepovratna sredstva, utemeljitev je v 2. poglavju.</w:t>
            </w:r>
          </w:p>
        </w:tc>
      </w:tr>
      <w:tr w:rsidR="00823317" w14:paraId="012E924E"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648718"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2. Bolj zelena, nizkoogljična Evropa, ki je odporna in prehaja na ogljično nevtralno gospodarstvo s spodbujanjem čistega in pravičnega energetskega prehoda, zelenih in modrih naložb, krožnega gospodarstva, blaženja podnebnih sprememb in prilagajanja nanje ter preprečevanja in obvladovanja tveganj ter trajnostne mestne mobilnosti</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9F6C53" w14:textId="77777777" w:rsidR="00A77B3E" w:rsidRPr="00EB2379" w:rsidRDefault="00B16CCF">
            <w:pPr>
              <w:spacing w:before="5pt"/>
              <w:rPr>
                <w:rFonts w:ascii="TimesNewRoman" w:eastAsia="TimesNewRoman" w:hAnsi="TimesNewRoman" w:cs="TimesNewRoman"/>
                <w:color w:val="000000"/>
                <w:lang w:val="it-IT"/>
              </w:rPr>
            </w:pPr>
            <w:r w:rsidRPr="00EB2379">
              <w:rPr>
                <w:rFonts w:ascii="TimesNewRoman" w:eastAsia="TimesNewRoman" w:hAnsi="TimesNewRoman" w:cs="TimesNewRoman"/>
                <w:color w:val="000000"/>
                <w:lang w:val="it-IT"/>
              </w:rPr>
              <w:t>RSO2.5. Spodbujanje dostopa do vode in trajnostnega gospodarjenja z vodnimi viri</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0B865E" w14:textId="77777777" w:rsidR="00A77B3E" w:rsidRDefault="00B16CCF">
            <w:pPr>
              <w:spacing w:before="5pt"/>
              <w:rPr>
                <w:rFonts w:ascii="TimesNewRoman" w:eastAsia="TimesNewRoman" w:hAnsi="TimesNewRoman" w:cs="TimesNewRoman"/>
                <w:color w:val="000000"/>
              </w:rPr>
            </w:pPr>
            <w:r w:rsidRPr="00EB2379">
              <w:rPr>
                <w:rFonts w:ascii="TimesNewRoman" w:eastAsia="TimesNewRoman" w:hAnsi="TimesNewRoman" w:cs="TimesNewRoman"/>
                <w:color w:val="000000"/>
                <w:lang w:val="it-IT"/>
              </w:rPr>
              <w:t xml:space="preserve">Analiza ocene opremljenosti in stopnje priključenosti aglomeracij z ustrezno infrastrukturo na dan 31. 12. 2018, pripravljena v okviru Operativnega programa odvajanja in čiščenja komunalne odpadne vode, ki ga je Vlada RS sprejela 17. 9. 2020[66], je pokazala dejansko stanje opremljenosti aglomeracij, novelirane pa so bile tudi meje aglomeracij, ki bolje odražajo dejansko zgoščeno poselitev in nastajanje komunalne odpadne vode zaradi dejavnosti ter usklajenost z osnovnimi prostorskimi enotami. Novelirane aglomeracije so stopile v veljavo 1. 1. 2020 s spremembami in dopolnitvami Uredbe o odvajanju in čiščenju komunalne odpadne vode[67]. Kljub dosedanjim vlaganjem na področju odvajanja in čiščenja komunalne odpadne vode, Slovenija še ne izpolnjuje zahtev Direktive 91/271/EGS o čiščenju komunalne odpadne vode, na podlagi katere bi morala v skladu s pristopno pogodbo zgraditi ustrezno infrastrukturo za odvajanje in čiščenje odpadnih voda v aglomeracijah s skupno obremenitvijo, enako ali večjo od 2.000 PE. Posledično je napredek pri izboljševanju kakovosti stanja voda počasnejši, kot bi želeli. Operativni program oskrbe s pitno vodo za obdobje od 2022 do 2027[68] kot problematiki na področju oskrbe s pitno vodo v Sloveniji prepozna slabo zagotavljanje rezervnih vodnih virov in velike vodne izgube na vodovodnih sistemih. Za rezervni vodni vir se šteje neodvisen vir, ki zagotavlja nujni obseg porabe vode za pitje in osnovno higieno prebivalstva ter nujne </w:t>
            </w:r>
            <w:r w:rsidRPr="00EB2379">
              <w:rPr>
                <w:rFonts w:ascii="TimesNewRoman" w:eastAsia="TimesNewRoman" w:hAnsi="TimesNewRoman" w:cs="TimesNewRoman"/>
                <w:color w:val="000000"/>
                <w:lang w:val="it-IT"/>
              </w:rPr>
              <w:lastRenderedPageBreak/>
              <w:t xml:space="preserve">dejavnosti za delo in življenje na območju javnega vodovoda. Iz Operativnega programa izhaja, da tudi vseh 6 javnih vodovodov, ki oskrbujejo več kot 50.000 prebivalcev, nima zagotovljenega rezervnega zajetja vode, ki bi lahko v nujnih primerih, vsaj v nujnem obsegu porabe, zagotavljali ustrezno pitno vodo. Vodne izgube na vodovodnih sistemih so ocenjene na 27 %[69], in iz Operativnega programa izhaja, da je potrebno več kot 25 % cevi javnega vodovoda zaradi pretečene amortizacijske dobe obnoviti. Ključni izzivi glede opremljenosti in stopnje priključenosti aglomeracij ter oskrbe s pitno vodo so širšega regijskega pomena in so opredeljeni v regionalnih razvojnih programih (RRP), zato bo uporabljen pristop regionalnega razvoja, razen v kolikor bo z vidika izvedbe nujen centralen pristop. </w:t>
            </w:r>
            <w:r>
              <w:rPr>
                <w:rFonts w:ascii="TimesNewRoman" w:eastAsia="TimesNewRoman" w:hAnsi="TimesNewRoman" w:cs="TimesNewRoman"/>
                <w:color w:val="000000"/>
              </w:rPr>
              <w:t>Uporabljali bomo nepovratna sredstva - utemeljitev v 2. poglavju.</w:t>
            </w:r>
          </w:p>
        </w:tc>
      </w:tr>
      <w:tr w:rsidR="00823317" w14:paraId="46CE63A4"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AF58C1"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2. Bolj zelena, nizkoogljična Evropa, ki je odporna in prehaja na ogljično nevtralno gospodarstvo s spodbujanjem čistega in pravičnega energetskega prehoda, zelenih in modrih naložb, krožnega gospodarstva, blaženja podnebnih sprememb in prilagajanja nanje ter preprečevanja in obvladovanja tveganj ter trajnostne mestne mobilnosti</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ECDA93"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t>RSO2.6. Spodbujanje prehoda na krožno gospodarstvo, gospodarno z viri</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8A2586"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Snovna produktivnost je v Sloveniji še vedno pod povprečjem EU. Cilj je doseči 3,5 SKM/kg (SRS 2030), zato je v Sloveniji treba, v skladu s priporočili UMAR, pospešiti aktivnosti za prehod v nizkoogljično krožno gospodarstvo. V Slovenskem podjetniškem observatoriju 2017 je bilo ugotovljeno, da so najpomembnejše ovire, ki preprečujejo MSP sprejemanje načel in konceptov krožnega gospodarstva: pomanjkanje časa, človeškega kapitala, znanja in dostopa do informacij in financiranja. To je skladno tudi z ugotovitvami Eurobarometra[70], kjer 26 % anketiranih MSP-jev iz Slovenije (EU28: 23 %) meni, da bi jim pri izboljševanju snovne učinkovitosti pomagali s svetovalnimi storitvami, </w:t>
            </w:r>
            <w:r>
              <w:rPr>
                <w:rFonts w:ascii="TimesNewRoman" w:eastAsia="TimesNewRoman" w:hAnsi="TimesNewRoman" w:cs="TimesNewRoman"/>
                <w:color w:val="000000"/>
              </w:rPr>
              <w:lastRenderedPageBreak/>
              <w:t>kar 29 % pa je mnenja, da bi imeli koristi od predstavitev novih tehnologij in postopkov na tem področju (EU28: 22 %). 28 % anketiranih bi koristilo boljše sodelovanje med podjetji v različnih panogah za razvoj novih postopkov za ponovno uporabo odpadkov in stranskih proizvodov (EU28: 20 %). Uporabljali bomo nepovratna in povratna sredstva, utemeljitev je v 2. poglavju.</w:t>
            </w:r>
          </w:p>
        </w:tc>
      </w:tr>
      <w:tr w:rsidR="00823317" w14:paraId="0EED1294"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D15BDF"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2. Bolj zelena, nizkoogljična Evropa, ki je odporna in prehaja na ogljično nevtralno gospodarstvo s spodbujanjem čistega in pravičnega energetskega prehoda, zelenih in modrih naložb, krožnega gospodarstva, blaženja podnebnih sprememb in prilagajanja nanje ter preprečevanja in obvladovanja tveganj ter trajnostne mestne mobilnosti</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BE7D49"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t>RSO2.7. Izboljšanje varstva in ohranjanja narave ter biotske raznovrstnosti in zelene infrastrukture, tudi v mestnem okolju, in zmanjšanje vseh oblik onesnaževanja</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D93C5A"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Slovenija ima najvišji delež območij s statusom omrežja Natura 2000 v EU, tj. 37,9 % površin, a se stanje ohranjenosti živalskih in rastlinskih vrst in njihovih življenjskih okolij slabša. V zadnjem desetletju se je stanje ohranjenosti poslabšalo 34 % habitatnim tipom in 24 % vrstam. Tudi Evropska agencija za okolje nalaga Sloveniji izboljšanje stanja površin omrežja Nature 2000 (travniškim, gozdnim in sladkovodnim habitatom), ki so opredeljeni v vladnem Programu upravljanja območij Natura[71] in bodo opredeljeni v Programu upravljanja območij Natura 2000 za obdobje 2022-2028[72]. Kakovost zraka v Sloveniji znižujejo visoke koncentracije prašnih delcev, ki so povišane v hladni polovici leta. Zaradi prekoračenj dopustnega števila preseganj[73] na 6 območjih so bili sprejeti odloki o načrtih za kakovost zunanjega zraka. Slovenija že obnavlja obstoječo merilno mrežo, a določena območja ostajajo nepokrita. Na teh območjih država ne more zagotoviti obveščanja prebivalcev o kakovosti zunanjega zrak (PM10) in morebitnega sprejemanja ukrepov za izboljšanje kakovosti zraka[74]. V urbanih naseljih predstavlja vedno večji izziv večja koncentracija in gostota </w:t>
            </w:r>
            <w:r>
              <w:rPr>
                <w:rFonts w:ascii="TimesNewRoman" w:eastAsia="TimesNewRoman" w:hAnsi="TimesNewRoman" w:cs="TimesNewRoman"/>
                <w:color w:val="000000"/>
              </w:rPr>
              <w:lastRenderedPageBreak/>
              <w:t>prebivalstva, zagotavljanje, kakovost in uporabnost mestnih zelenih površin in njihova medsebojna povezanost. Povezovanje zagotavlja ekosistemske storitve z vzpostavitvijo tako imenovanih zelenih in modrih koridorjev, kar je tudi prioriteta EK[75]. Zelena infrastruktura zmanjšuje onesnaženja, povečuje absorpcijo padavin, hladi, izboljšuje zdravje in omogoča stik z naravo. Pomembna je za ustvarjanje delovnih mest ter spodbujanje trajnostnega razvoja[76]. Dostopna in privlačna zelena in modra urbana infrastruktura bi se morala uporabljati kot orodje za doseganje okoljskih, socialnih in gospodarskih razvojnih ciljev mest[77]. Notranji razvoj mest je treba spodbujati tudi preko boljše izkoriščenosti in kvalitetnejše rabe že tako omejenega prostora v mestih, ob hkratnem zagotavljanju visoke kakovosti življenja za prebivalce in obiskovalce mest[78]. Za vlaganja v zeleno infrastrukturo je smiselno, da se uporabita tako CTN kot DRR, da se podpre iniciative od spodaj navzgor, pri tem bo pri DRR fokus na celovitih regijskih projektih, pri CTN pa na območjih znotraj mestnih občin. Uporabljali bomo nepovratna sredstva (več v 2. poglavju).</w:t>
            </w:r>
          </w:p>
        </w:tc>
      </w:tr>
      <w:tr w:rsidR="00823317" w14:paraId="229F6DF4"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EE6EFD"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2. Bolj zelena, nizkoogljična Evropa, ki je odporna in prehaja na ogljično nevtralno gospodarstvo s spodbujanjem čistega in pravičnega energetskega prehoda, zelenih in modrih naložb, krožnega gospodarstva, blaženja podnebnih sprememb in prilagajanja nanje ter preprečevanja in obvladovanja tveganj ter trajnostne mestne mobilnosti</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24B4BA"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t>RSO2.8. Spodbujanje trajnostne večmodalne mestne mobilnosti v okviru prehoda na gospodarstvo z ničelno stopnjo neto emisij ogljika</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363517"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Največji izziv pri zmanjševanju emisij TGP imamo v Sloveniji v sektorju prometa, ki ni zajet v sistem EU za trgovanje in je leta 2020 znašal 47 %. Na kritični poti je tudi doseganje cilja pri merjenju števila potniških kilometrov v javnem potniškem prevozu (v nadaljevanju: JPP). V Sloveniji je ponudba JPP v regijah različna, kar vpliva na delež prebivalcev v ustrezni oddaljenosti do postajališč s primerno ali vsaj zadovoljivo pogostostjo voženj. Tako ima od 70 do 80 % prebivalcev v </w:t>
            </w:r>
            <w:r>
              <w:rPr>
                <w:rFonts w:ascii="TimesNewRoman" w:eastAsia="TimesNewRoman" w:hAnsi="TimesNewRoman" w:cs="TimesNewRoman"/>
                <w:color w:val="000000"/>
              </w:rPr>
              <w:lastRenderedPageBreak/>
              <w:t xml:space="preserve">osrednjeslovenski in gorenjski regiji JPP s primerno frekvenco, medtem ko je v goriški regiji ta bistveno nižji (med 30 in 40 % prebivalstva). Posledica je zelo pogosta uporaba avtomobila, ki je, glede na število osebnih vozil na prebivalca, najvišja v regijah z bolj razpršeno poselitvijo (primorsko-notranjska, goriška). V povezavi z JPP je izredno težavno tudi prestopanje med različnimi prometnimi sistemi, saj med njimi ni prestopnih točk, ali pa le-te niso dovolj udobne. </w:t>
            </w:r>
            <w:r w:rsidRPr="00EB2379">
              <w:rPr>
                <w:rFonts w:ascii="TimesNewRoman" w:eastAsia="TimesNewRoman" w:hAnsi="TimesNewRoman" w:cs="TimesNewRoman"/>
                <w:color w:val="000000"/>
                <w:lang w:val="it-IT"/>
              </w:rPr>
              <w:t xml:space="preserve">Nekatere vstopne točke na JPP tudi niso primerno opremljene s parkirnimi mesti za kolesa in avtomobile. V Sloveniji se od zastavljenega cilja oddaljujemo tako pri specifičnih emisijah novih vozil, saj se te povečujejo in ne zmanjšujejo, kot tudi pri ciljih na področju rabe alternativnih goriv v prometu, kjer ni dovolj javno dostopnih polnilnic za različne alternativne vire goriv. Podatki kažejo, da je v slovenskem voznem parku 53 % vozil z bencinskimi motorji in 46 % vozil z dizelskimi motorji. Vozila na alternativne energente predstavljajo trenutno majhen delež. Če želimo do leta 2030 doseči cilje na področju alternativnih goriv, moramo poleg ukrepov za izboljšanje JPP zagotoviti, da bo npr. med osebnimi vozili vsaj 17 % električnih vozil oz. priključnih hibridov (200.000 vozil) in 12 % električnih lahkih tovornih vozil (11.000 vozil)[79]. Z namenom spodbujanja urbane mobilnosti je smiselno, da se uporabi pristop CTN, da bomo lahko podprli iniciative od spodaj navzgor, ki imajo podlago v TUS in CPS, katere pripravljajo in potrdijo mestne občine, ki so nosilke urbanega razvoja. </w:t>
            </w:r>
            <w:r>
              <w:rPr>
                <w:rFonts w:ascii="TimesNewRoman" w:eastAsia="TimesNewRoman" w:hAnsi="TimesNewRoman" w:cs="TimesNewRoman"/>
                <w:color w:val="000000"/>
              </w:rPr>
              <w:t>Uporabljali bomo nepovratna sredstva, utemeljitev je v 2. poglavju.</w:t>
            </w:r>
          </w:p>
        </w:tc>
      </w:tr>
      <w:tr w:rsidR="00823317" w14:paraId="39A6E1A6"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49DEC3"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2. Bolj zelena, nizkoogljična Evropa, ki je odporna in prehaja na ogljično nevtralno gospodarstvo s spodbujanjem čistega in pravičnega energetskega prehoda, zelenih in modrih naložb, krožnega gospodarstva, blaženja podnebnih sprememb in prilagajanja nanje ter preprečevanja in obvladovanja tveganj ter trajnostne mestne mobilnosti</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F3D6BB"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t>RSO2.12. Promoting energy interconnectors and related transmission, distribution, storage and supportive infrastructure, as well as protection of critical energy infrastructure and the deployment of recharging infrastructure</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816907"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t>Republika Slovenija se sooča z izzivi pri doseganju zastavljenih ciljev na področju obnovljivih virov energije (OVE), kar narekuje potrebo po znatnem povečanju vlaganj tako v proizvodne zmogljivosti iz OVE kot tudi v celovito posodobitev elektroenergetskega omrežja. Ključni cilj teh naložb je povečanje energetske samozadostnosti in zmanjšanje odvisnosti od zunanjih virov energije, ob hkratnem zagotavljanju stabilnosti in zanesljivosti oskrbe. Omrežje mora biti tehnično in zmogljivostno prilagojeno izzivom prehoda v nizkoogljično družbo – zlasti učinkovitemu usklajevanju proizvodnje in porabe električne energije iz nestanovitnih virov, kot tudi razvoju električne mobilnosti. Naložbe so usmerjene v krepitev zmogljivosti, odpornosti na motnje, tehnološke naprednosti, povezljivosti ter prilagodljivosti sistema. Vzpostavljena infrastruktura bo omogočila boljše izkoriščanje prožnosti proizvodnih in porabniških virov, integracijo naprav za shranjevanje energije, pospešeno uvajanje e-mobilnosti (vključno s polnilnimi mesti za električna vozila) ter splošno večjo robustnost in učinkovitost energetskega sistema. Z zagotavljanjem celovite, napredne in odporne energetske infrastrukture bo Slovenija ustvarila ključne pogoje za uspešno energetsko in podnebno preobrazbo ter dolgoročno stabilnost oskrbe z energijo. Uporabljala se bodo nepovratna sredstva, utemeljitev je v 2. poglavju.</w:t>
            </w:r>
          </w:p>
        </w:tc>
      </w:tr>
      <w:tr w:rsidR="00823317" w:rsidRPr="00EB2379" w14:paraId="4036A48F"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2B7F4E"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t>3. Bolj povezana Evropa z izboljšanjem mobilnosti</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BFBC02" w14:textId="77777777" w:rsidR="00A77B3E" w:rsidRPr="00EB2379" w:rsidRDefault="00B16CCF">
            <w:pPr>
              <w:spacing w:before="5pt"/>
              <w:rPr>
                <w:rFonts w:ascii="TimesNewRoman" w:eastAsia="TimesNewRoman" w:hAnsi="TimesNewRoman" w:cs="TimesNewRoman"/>
                <w:color w:val="000000"/>
                <w:lang w:val="it-IT"/>
              </w:rPr>
            </w:pPr>
            <w:r w:rsidRPr="00EB2379">
              <w:rPr>
                <w:rFonts w:ascii="TimesNewRoman" w:eastAsia="TimesNewRoman" w:hAnsi="TimesNewRoman" w:cs="TimesNewRoman"/>
                <w:color w:val="000000"/>
                <w:lang w:val="it-IT"/>
              </w:rPr>
              <w:t>RSO3.1. Razvoj pametnega, varnega, trajnostnega in intermodalnega omrežja TEN-T, odpornega proti podnebnim spremembam</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9C8F69" w14:textId="77777777" w:rsidR="00A77B3E" w:rsidRPr="00EB2379" w:rsidRDefault="00B16CCF">
            <w:pPr>
              <w:spacing w:before="5pt"/>
              <w:rPr>
                <w:rFonts w:ascii="TimesNewRoman" w:eastAsia="TimesNewRoman" w:hAnsi="TimesNewRoman" w:cs="TimesNewRoman"/>
                <w:color w:val="000000"/>
                <w:lang w:val="it-IT"/>
              </w:rPr>
            </w:pPr>
            <w:r>
              <w:rPr>
                <w:rFonts w:ascii="TimesNewRoman" w:eastAsia="TimesNewRoman" w:hAnsi="TimesNewRoman" w:cs="TimesNewRoman"/>
                <w:color w:val="000000"/>
              </w:rPr>
              <w:t xml:space="preserve">Eden izmed glavnih povzročiteljev onesnaženosti zraka je naraščanje cestnega prometa[80], kar zelo prispeva k izpustom CO2 in onesnaževal zraka. V preračunu na BDP se je v obdobju 2010-2018 v </w:t>
            </w:r>
            <w:r>
              <w:rPr>
                <w:rFonts w:ascii="TimesNewRoman" w:eastAsia="TimesNewRoman" w:hAnsi="TimesNewRoman" w:cs="TimesNewRoman"/>
                <w:color w:val="000000"/>
              </w:rPr>
              <w:lastRenderedPageBreak/>
              <w:t xml:space="preserve">primerjavi z drugimi članicami EU promet v Sloveniji povečal daleč najbolj, za 18 % (v povprečju EU se je znižal za 3 %). </w:t>
            </w:r>
            <w:r w:rsidRPr="00EB2379">
              <w:rPr>
                <w:rFonts w:ascii="TimesNewRoman" w:eastAsia="TimesNewRoman" w:hAnsi="TimesNewRoman" w:cs="TimesNewRoman"/>
                <w:color w:val="000000"/>
                <w:lang w:val="it-IT"/>
              </w:rPr>
              <w:t xml:space="preserve">Razlog je, da se večina blaga prepelje s tovornjaki in večina potnikov z avtomobili. Slovenija tako še vedno zaostaja pri prehodu na brezemisijski prometni sektor do leta 2050. Poročilo o Sloveniji 2020 ugotavlja, da trajnostne prometne povezave, zlasti železniške, niso dovolj razvite, da bi v celoti podpirale prehod na druge oblike prevoza, usmerjen v zmanjševanje izpustov CO2, ali gospodarski razvoj manj razvitih regij. Javna železniška infrastruktura, tudi v okviru TEN-T omrežja, namreč na nekaterih postajah, postajališčih in medpostajnih odsekih ne ustreza današnjim prometnim zahtevam in predstavlja ozko grlo na javni železniški infrastrukturi, zaradi česar obstoječe železniško omrežje urbanih vozlišč onemogoča privlačen JPP. Zato so tako na TEN-T omrežju kot tudi na regionalnih progah javne železniške infrastrukture glavni cilji: povečanje zmogljivosti, povečanje progovne hitrosti in skrajšanje potovalnih časov, izboljšanje stabilnosti voznega reda, odprava ozkih grl, povečanje stopnje varnosti prometa, učinkovitejše vodenje prometa, znižanje obratovalnih stroškov, izboljšanje voznega reda potniških vlakov in drugi ukrepi (informacijska oprema in spremljajoči ukrepi (parkirišča, kolesarnice) na postajah in postajališčih za potnikom prijazne storitve). Navedeni cilji so nujni za povečanje deleža uporabe trajnostnih načinov prevoza. Treba je zagotoviti celovitost prometnega sistema, pri čemer je le-to osredotočeno na povečanje atraktivnosti JPP. Torej pritegniti potnike na </w:t>
            </w:r>
            <w:r w:rsidRPr="00EB2379">
              <w:rPr>
                <w:rFonts w:ascii="TimesNewRoman" w:eastAsia="TimesNewRoman" w:hAnsi="TimesNewRoman" w:cs="TimesNewRoman"/>
                <w:color w:val="000000"/>
                <w:lang w:val="it-IT"/>
              </w:rPr>
              <w:lastRenderedPageBreak/>
              <w:t>integriran JPP s kakovostno ponudbo celotnega prometnega sistema. Ob tem je nujno treba tudi izboljšati dostopnost prebivalstva do železniških postaj, ki so pogosto izven naselij, oziroma slabše dostopne peš ali s kolesom. Hkrati pa je treba zagotoviti tudi izboljšanje varnosti in pretočnosti cestne TEN-T infrastrukture ter izboljšanje povezljivosti s sosednjimi državami. Uporabljali bomo nepovratna in povratna sredstva, utemeljitev je v 2. poglavju.</w:t>
            </w:r>
          </w:p>
        </w:tc>
      </w:tr>
      <w:tr w:rsidR="00823317" w14:paraId="45F9706D"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53CDB5" w14:textId="77777777" w:rsidR="00A77B3E" w:rsidRPr="00EB2379" w:rsidRDefault="00B16CCF">
            <w:pPr>
              <w:spacing w:before="5pt"/>
              <w:rPr>
                <w:rFonts w:ascii="TimesNewRoman" w:eastAsia="TimesNewRoman" w:hAnsi="TimesNewRoman" w:cs="TimesNewRoman"/>
                <w:color w:val="000000"/>
                <w:lang w:val="it-IT"/>
              </w:rPr>
            </w:pPr>
            <w:r w:rsidRPr="00EB2379">
              <w:rPr>
                <w:rFonts w:ascii="TimesNewRoman" w:eastAsia="TimesNewRoman" w:hAnsi="TimesNewRoman" w:cs="TimesNewRoman"/>
                <w:color w:val="000000"/>
                <w:lang w:val="it-IT"/>
              </w:rPr>
              <w:lastRenderedPageBreak/>
              <w:t>3. Bolj povezana Evropa z izboljšanjem mobilnosti</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073E5F" w14:textId="77777777" w:rsidR="00A77B3E" w:rsidRPr="00EB2379" w:rsidRDefault="00B16CCF">
            <w:pPr>
              <w:spacing w:before="5pt"/>
              <w:rPr>
                <w:rFonts w:ascii="TimesNewRoman" w:eastAsia="TimesNewRoman" w:hAnsi="TimesNewRoman" w:cs="TimesNewRoman"/>
                <w:color w:val="000000"/>
                <w:lang w:val="it-IT"/>
              </w:rPr>
            </w:pPr>
            <w:r w:rsidRPr="00EB2379">
              <w:rPr>
                <w:rFonts w:ascii="TimesNewRoman" w:eastAsia="TimesNewRoman" w:hAnsi="TimesNewRoman" w:cs="TimesNewRoman"/>
                <w:color w:val="000000"/>
                <w:lang w:val="it-IT"/>
              </w:rPr>
              <w:t>RSO3.2. Razvoj in krepitev trajnostne, pametne in intermodalne nacionalne, regionalne in lokalne mobilnosti, odporne proti podnebnim spremembam, vključno z boljšim dostopom do omrežja TEN-T in čezmejno mobilnostjo</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F07D09"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Poleg TEN-T železniškega omrežja lahko na vlogo JPP in s tem zmanjšanje onesnaženosti zraka in izpustov CO2 pomembno vpliva tudi izboljšanje regionalnega železniškega omrežja, ki se sooča z enakimi izzivi kot TEN-T omrežje, zato je ključno vlaganje tudi na tem področju. Cilj PN 5 je povezava celovitega prometnega sistema. Kljub posodobitvi železniškega sistema, organiziranju konkurenčnejšega JPP in uveljavitvi sistema P+R bo leta 2030 na okoli 230 km cest presežena prepustnost. Kljub uveljavitvi trajnostne prometne politike bodo nastajali slabše prepustni odseki na cestnem omrežju, kar bo imelo neugodne posledice. To je omejitveni dejavnik skladnega regionalnega razvoja Slovenije za območja, ki ne ležijo ob AC križu. Območja zaradi slabe dostopnosti in s tem višjih prevoznih stroškov postajajo lokacijsko nekonkurenčna. Odpraviti je treba ozka grla in prometne zastoje na cestah, zagotoviti večjo varnost, manjše negativne vplive na okolje in boljšo dostopnost ter tudi zaradi problema mobilnostne revščine izboljšati ponudbo JPP. V Sloveniji stroški gospodinjstev za promet predstavljajo najvišji delež od vseh držav EU[81], </w:t>
            </w:r>
            <w:r>
              <w:rPr>
                <w:rFonts w:ascii="TimesNewRoman" w:eastAsia="TimesNewRoman" w:hAnsi="TimesNewRoman" w:cs="TimesNewRoman"/>
                <w:color w:val="000000"/>
              </w:rPr>
              <w:lastRenderedPageBreak/>
              <w:t xml:space="preserve">ob višanju cen energije pa se pričakuje, da bo ta delež rasel še naprej. Z vidika celovitejšega uveljavljanja trajnostne mobilnosti se kaže kot priložnost tudi izboljšanje državnega omrežja kolesarskih povezav[82], zlasti v širših mestnih območjih, potrebe v mestih in regijah pa so opredeljene v občinskih CPS.[83] V Sloveniji se je leta 2017 5 % vseh poti na delovni dan opravilo s kolesom, pri krajših poteh (med 1 km in 2,5 km) pa celo 8 %[84]. Kolesa lahko na krajših razdaljah uporabimo za prevoz na delo, v šolo, nakupe, na daljših razdaljah pa kot del intermodalnih poti kolo-JPP-kolo. Dostopnost do železniških postajališč je ključna, saj železnica lahko zagotovi hrbtenično prometno omrežje, ki brez napajalnega omrežja ne bo dosegla potenciala potnikov. </w:t>
            </w:r>
            <w:r w:rsidRPr="00EB2379">
              <w:rPr>
                <w:rFonts w:ascii="TimesNewRoman" w:eastAsia="TimesNewRoman" w:hAnsi="TimesNewRoman" w:cs="TimesNewRoman"/>
                <w:color w:val="000000"/>
                <w:lang w:val="it-IT"/>
              </w:rPr>
              <w:t xml:space="preserve">V Sloveniji kolesarske povezave niso ustrezno urejene, s čimer ne zagotavljamo ustrezne varnosti in udobja za vse udeležence v prometu. Težave regij, ki se soočajo z izzivi na področju povezljivosti je mogoče premostiti le s celostnim prometnim načrtovanjem in izvedbo ukrepov na regionalni ravni, kar bomo naslovili s pristopom regionalnega razvoja. </w:t>
            </w:r>
            <w:r>
              <w:rPr>
                <w:rFonts w:ascii="TimesNewRoman" w:eastAsia="TimesNewRoman" w:hAnsi="TimesNewRoman" w:cs="TimesNewRoman"/>
                <w:color w:val="000000"/>
              </w:rPr>
              <w:t>Uporabljali bomo nepovratna sredstva, utemeljitev je v 2. poglavju.</w:t>
            </w:r>
          </w:p>
        </w:tc>
      </w:tr>
      <w:tr w:rsidR="00823317" w14:paraId="48218D82"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5ADB3E"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3. Bolj povezana Evropa z izboljšanjem mobilnosti</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99A499"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t>RSO3.3. Razvoj odporne obrambne infrastrukture, prednostno tiste z dvojno rabo, tudi za spodbujanje vojaške mobilnosti v Uniji, ter izboljšanje civilne pripravljenosti</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4C81F0"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Investicije v dvojno rabo na področju bolnišnic, centrov odličnosti poklicnega in strokovnega izobraževanja in nacionalnega centra za zaščito in reševanje so strateške za izboljšanje nacionalne varnosti, odpornosti in gospodarske konkurenčnosti, saj omogočajo sinergijo med civilnimi in vojaškimi potrebami. Skladne z evropsko kohezijsko politiko, te investicije prispevajo k trajnostnemu razvoju, inovacijam in </w:t>
            </w:r>
            <w:r>
              <w:rPr>
                <w:rFonts w:ascii="TimesNewRoman" w:eastAsia="TimesNewRoman" w:hAnsi="TimesNewRoman" w:cs="TimesNewRoman"/>
                <w:color w:val="000000"/>
              </w:rPr>
              <w:lastRenderedPageBreak/>
              <w:t xml:space="preserve">večji pripravljenosti na krizne razmere, hkrati pa optimizirajo porabo sredstev in podpirajo strateške cilje države. Z njihovo izvedbo bomo okrepili tako civilno zaščito kot tudi obrambo ter izboljšali priprave na prihodnje izzive v Sloveniji. Uporabljali bomo nepovratna sredstva, utemeljitev je v 2. poglavju. </w:t>
            </w:r>
          </w:p>
        </w:tc>
      </w:tr>
      <w:tr w:rsidR="00823317" w14:paraId="408B1545"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3E8C58"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4. Bolj socialna in vključujoča Evropa za izvajanje evropskega stebra socialnih pravic</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9AD6D2"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t>RSO4.2. Doslednejše zagotavljanje enakega dostopa do vključujočih in kakovostnih storitev na področju izobraževanja, usposabljanja in vseživljenjskega učenja z razvojem dostopne infrastrukture, tudi s krepitvijo odpornosti za izobraževanje in usposabljanje na daljavo in prek spleta</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3021BD"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Za naslavljanje izziva zagotavljanja ustreznih infrastrukturnih pogojev je ministrstvo izdelalo analizi stanja javne izobraževalne ter visokošolske infrastrukture[108], iz katerih je razvidno, da sistematičnega vlaganja ni bilo oz. je obseg sredstev za ta namen nezadosten. Analizi kažeta, da je obstoječi stavbni fond v razmeroma slabem stanju, predvsem v KRVS, saj npr. kar 48,3 % objektov Univerze v Mariboru ni redno vzdrževanih (KRZS 5 % oz. 14 %[109]), potrebuje veliko vlaganj v vzdrževanje ter v zagotovitev dodatnih prostorov za razrešitev prostorske stiske in za prilagoditev novim zahtevam za izvajanje osnovne dejavnosti javnih zavodov. Analizi kažeta na veliko potrebo po investicijah v zagotavljanje nove trajnostne izobraževalne infrastrukture, predvsem na področju srednjega šolstva in visokošolskega izobraževanja. </w:t>
            </w:r>
            <w:r w:rsidRPr="00EB2379">
              <w:rPr>
                <w:rFonts w:ascii="TimesNewRoman" w:eastAsia="TimesNewRoman" w:hAnsi="TimesNewRoman" w:cs="TimesNewRoman"/>
                <w:color w:val="000000"/>
                <w:lang w:val="it-IT"/>
              </w:rPr>
              <w:t xml:space="preserve">Ozelenitev izobraževalne infrastrukture je skladna tudi s priporočili EK za leto 2019 ter iniciativo novega evropskega izobraževalnega prostora do leta 2025. Ker je razvojni zaostanek KRVS z vidika demografskih, socialnih in ekonomskih razmer večji, so vlaganja prednostno namenjena tej regiji. V obdobju 2014-2020 se je izkazalo, da visokošolski zavodi nimajo ustrezne infrastrukture za digitalizacijo študijskega procesa, zato tudi </w:t>
            </w:r>
            <w:r w:rsidRPr="00EB2379">
              <w:rPr>
                <w:rFonts w:ascii="TimesNewRoman" w:eastAsia="TimesNewRoman" w:hAnsi="TimesNewRoman" w:cs="TimesNewRoman"/>
                <w:color w:val="000000"/>
                <w:lang w:val="it-IT"/>
              </w:rPr>
              <w:lastRenderedPageBreak/>
              <w:t xml:space="preserve">ustreznih vsebinskih aktivnosti (spodbujanja uporabe IKT) ni mogoče ustrezno vpeljati v visokošolski pedagoški proces. Iz analize stanja[110] izhaja, da je stopnja odpisanosti IKT opreme na javnih univerzah nad 70 %. </w:t>
            </w:r>
            <w:r>
              <w:rPr>
                <w:rFonts w:ascii="TimesNewRoman" w:eastAsia="TimesNewRoman" w:hAnsi="TimesNewRoman" w:cs="TimesNewRoman"/>
                <w:color w:val="000000"/>
              </w:rPr>
              <w:t>Obstoječe diskovne kapacitete pa so zasedene preko 70 %, kar že predstavlja nevarnost za zagotavljanje nemotenega delovanja sistema. Iz analize raziskave (avgust 2021) izhaja, da organizacije v mladinskem sektorju potrebujejo posodobitev strojne in programske opreme, kar predstavlja potreben in nujen del za vzpostavitev podpornega okolja za nadaljnji razvoj digitalnih kompetenc mladih. K vključevanju uporabe IKT za namen modernizacije in dvig kakovosti mladinskega dela, neformalnega izobraževanja in druge oblike udejstvovanja mladih, katerih namen je spodbuditi mlade k digitalnemu mladinskemu delu, spodbujajo tudi različne evropske institucije. Vse naložbe bodo sledile načelom nediskriminacije z namenom onemogočanja izobraževalne segregacije. Uporabljali bomo nepovratna sredstva, utemeljitev je v 2. poglavju.</w:t>
            </w:r>
          </w:p>
        </w:tc>
      </w:tr>
      <w:tr w:rsidR="00823317" w14:paraId="42008A92"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BBC817"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4. Bolj socialna in vključujoča Evropa za izvajanje evropskega stebra socialnih pravic</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F7F3E5"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t>RSO4.3. Spodbujanje socialno-ekonomskega vključevanja marginaliziranih skupnosti, gospodinjstev z nizkimi dohodki in prikrajšanih skupin, tudi ljudi s posebnimi potrebami, s celostnimi ukrepi, vključno s stanovanjskimi in socialnimi storitvami</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54745B"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Konec leta 2020 je bilo v institucionalnem varstvu za otroke in odrasle z oviranostmi 4050 oseb (178 otrok in 3872 odraslih med 18 in 65 let), od tega je le 167 odraslih živelo v stanovanjskih skupinah, manjših od 6 ljudi. Večino oskrbe ljudem z oviranostjo zdaj zagotavljamo v institucijah, potekajo pa intenzivne priprave, da bomo to oskrbo v prihodnje zagotavljali z multidisciplinarni teami v skupnosti v skladu s procesom deinstitucionalizacije v Sloveniji, ki bo temeljil na Skupnih evropskih smernicah za prehod iz </w:t>
            </w:r>
            <w:r>
              <w:rPr>
                <w:rFonts w:ascii="TimesNewRoman" w:eastAsia="TimesNewRoman" w:hAnsi="TimesNewRoman" w:cs="TimesNewRoman"/>
                <w:color w:val="000000"/>
              </w:rPr>
              <w:lastRenderedPageBreak/>
              <w:t>institucionalne v skupnostno oskrbo in Konvenciji o pravicah invalidov. Skladno z osnutkom Strategije RS za deinstitucionalizacijo v socialnem varstvu za obdobje 2021-2033[127] bomo postopoma prešli na skupnostne storitve in posameznikom omogočili, da bodo živeli neodvisno, s podporo v skupnosti. Število oseb z demenco je v velikem porastu, saj najhitreje raste število starejših nad 80 let, ki tudi najbolj obolevajo za demenco. V preteklih letih smo naredili pomembne premike pri razvoju konceptov za delo z osebami z demenco, nismo pa uspeli zagotoviti prostorskih prilagoditev za izvedbo modernih konceptov dela s temi osebami. ReNPSV22–30 daje pomemben poudarek tudi uporabnikom z demenco. Cilj resolucije je zagotoviti okvirno 1300 mest v dnevnih oblikah varstva (dnevni centri). V Sloveniji nimamo na voljo zadostnih in primernih stalnih enot za začasne namestitve v skupnosti za različne ranljive ciljne skupine, v katerih bi posameznik ali družina z nudenjem skupnostnih storitev nižje intenzitete lahko začasno bival in se pripravil na življenje v ustreznejši trajni namestitvi. Za najbolj ranljive skupine, ki zaradi različnih razlogov ostanejo brez bivališč, je na trgu premalo stanovanj oziroma so najemnine previsoke. Nekatere si stanovanje tudi ne morejo zagotoviti zaradi predsodkov in nezaupanja najemodajalcev, ki pogosto ne želijo oddati stanovanj socialno ogroženim ljudem. Uporabljali bomo nepovratna sredstva, utemeljitev je v 2. poglavju.</w:t>
            </w:r>
          </w:p>
        </w:tc>
      </w:tr>
      <w:tr w:rsidR="00823317" w14:paraId="2C198083"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D0CFC4"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4. Bolj socialna in vključujoča Evropa za izvajanje evropskega stebra socialnih pravic</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BF6C0B"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RSO4.5. Zagotavljanje enakega dostopa do zdravstvenega varstva in krepitev odpornosti </w:t>
            </w:r>
            <w:r>
              <w:rPr>
                <w:rFonts w:ascii="TimesNewRoman" w:eastAsia="TimesNewRoman" w:hAnsi="TimesNewRoman" w:cs="TimesNewRoman"/>
                <w:color w:val="000000"/>
              </w:rPr>
              <w:lastRenderedPageBreak/>
              <w:t>zdravstvenih sistemov, vključno z osnovnim zdravstvenim varstvom, ter spodbujanje prehoda z institucionalne oskrbe na oskrbo v družini in skupnosti</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A0B3AB"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 xml:space="preserve">Projekcije za Slovenijo kažejo, da bo do leta 2030 skoraj ena od treh oseb (30,4 %) starejša od 60 let </w:t>
            </w:r>
            <w:r>
              <w:rPr>
                <w:rFonts w:ascii="TimesNewRoman" w:eastAsia="TimesNewRoman" w:hAnsi="TimesNewRoman" w:cs="TimesNewRoman"/>
                <w:color w:val="000000"/>
              </w:rPr>
              <w:lastRenderedPageBreak/>
              <w:t xml:space="preserve">in v stanju zmanjšanih možnosti ali invalidnosti, skoraj vsak peti prebivalec pa bo imel težave s kroničnimi bolečinami. Je pa Slovenija z 9,7 rehabilitacijskimi posteljami na 100.000 prebivalcev na 17. mestu med državami članicami EU, zato je povprečna zasedenost slovenskih rehabilitacijskih postelj kar 95,6 % (višjo zasedenost onemogočajo bolnišnične okužbe). S podobnimi razmerami se soočajo tudi bolnišnice drugih specialnosti, zato so v sklopu specialnih bolnišnic nujne investicije v nove kapacitete oz. dograditve obstoječih objektov in v modernizacijo opreme in naprav, ki bodo omogočile bolj kakovostno obravnavo pacientov in doseganje boljših rezultatov zdravljenja.[128] Dostopnost do zdravstvenih storitev je različna. Za zagotavljanje neprekinjene zdravstvene oskrbe je ključna vzpostavitev Satelitskih urgentnih centrov in dežurnih služb. Za optimizacijo zdravstvene oskrbe pa je ključnega pomena tudi optimalna pokritost javnih zdravstvenih zavodov s sodobno medicinsko opremo in digitalizacija podatkov, ki bodo dostopni in kakovostni. Število MRI in CT pregledov se izboljšuje, a še vedno zaostajamo za državami EU. Uvajanje novih preventivnih pristopov v vseh ambulantah na primarni ravni zagotavlja enak dostop do preventivnih programov za vse, s posebnim poudarkom na dostopnosti programov za ranljive skupine, s ciljem uspešnejšega preprečevanja in obvladovanja kroničnih bolezni in drugih stanj.[129] Po številu postelj za akutno obravnavo je Slovenija v povprečju EU15, v nasprotju z državami Srednje in Vzhodne Evrope, ki so drastično zmanjšale število postelj. V povprečju EU15 smo tudi po številu dni </w:t>
            </w:r>
            <w:r>
              <w:rPr>
                <w:rFonts w:ascii="TimesNewRoman" w:eastAsia="TimesNewRoman" w:hAnsi="TimesNewRoman" w:cs="TimesNewRoman"/>
                <w:color w:val="000000"/>
              </w:rPr>
              <w:lastRenderedPageBreak/>
              <w:t>v akutni obravnavi ter številu odpustov in ambulantnih obiskov. V letu 2020 je bilo na nacionalni ravni po podatkih Zavoda za zdravstveno zavarovanje Slovenije glede na leto 2019 v specialistični ambulantni obravnavi na sekundarni ravni opravljenih za 19 % manj prvih specialističnih pregledov, za 21 % manj ponovnih oziroma kontrolnih pregledov, za 15 % manj slikovne diagnostike, za 9 % manj posegov in za 3 % manj obravnav, dializ, aplikacij zdravil, ki se izvajajo ločeno od ostalih vrst obravnav.[130] Uporabljali bomo nepovratna sredstva, utemeljitev je v 2. poglavju.</w:t>
            </w:r>
          </w:p>
        </w:tc>
      </w:tr>
      <w:tr w:rsidR="00823317" w14:paraId="66048551"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63EFD0"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4. Bolj socialna in vključujoča Evropa za izvajanje evropskega stebra socialnih pravic</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F3F0AE"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t>RSO4.6. Krepitev vloge kulture in trajnostnega turizma pri gospodarskem razvoju, socialni vključenosti in socialnih inovacijah</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650F30"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Kulturna dediščina je skupno dobro in vrednota življenjskega okolja, zato je pomembna sestavina javnega prostora mest in drugih okolij.[131] Z ohranjanjem in oživljanjem kulturne dediščine se povečuje vrednost skupnih prostorov, namenjenih vsem državljanom in obiskovalcem. Izzivi in potrebe, ki jih bomo naslovili v okviru tega specifičnega cilja so ohranitev in varstvo kulturne dediščine za bodoče generacije (vključno z ohranjanjem znanja in veščin potrebnih za ohranjanje kulturne dediščine), zagotavljanje dostopnosti dediščine za vse (vključno z ranljivimi skupinami) ter aktiviranje potenciala kulturne dediščine za trajnostni razvoj in povečanje dodane vrednosti v slovenskem turizmu. Kultura in kulturna identiteta v najširšem smislu je tisti dejavnik, ki lahko ključno prispeva k izpopolnitvi verige vrednosti in povečanju dodane vrednosti v slovenskem turizmu. Strategija slovenskega turizma poudarja, da so ohranjeni naravna in kulturna dediščina temelj za turizem, ki s tem krepi </w:t>
            </w:r>
            <w:r>
              <w:rPr>
                <w:rFonts w:ascii="TimesNewRoman" w:eastAsia="TimesNewRoman" w:hAnsi="TimesNewRoman" w:cs="TimesNewRoman"/>
                <w:color w:val="000000"/>
              </w:rPr>
              <w:lastRenderedPageBreak/>
              <w:t>prepoznavnost Slovenije v širšem prostoru kot zelene, zdrave in aktivne države. Razvoj turizma se lahko šteje za uspešnega za destinacijo le, če se izvaja na trajnosten način, tako da turistična industrija v največji možni meri koristi lokalnemu prebivalstvu in da se na tak način občutljiva območja ter kulturna dediščina zaščitijo in ohranijo za prihodnje generacije. Potenciale, ki nam jih zagotavlja naravna in kulturna dediščina v preveliki meri izkoriščamo na najenostavnejši način. V ustvarjanje privlačnih turističnih proizvodov je treba vložiti več truda, znanja, kulture in odgovornosti in jih sestaviti v ponudbe z večjo dodano vrednostjo. Uporabljali bomo nepovratna sredstva, utemeljitev je v 2. poglavju.</w:t>
            </w:r>
          </w:p>
        </w:tc>
      </w:tr>
      <w:tr w:rsidR="00823317" w:rsidRPr="00EB2379" w14:paraId="3C3D0C59"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7B6F4F"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4. Bolj socialna in vključujoča Evropa za izvajanje evropskega stebra socialnih pravic</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69FF57" w14:textId="77777777" w:rsidR="00A77B3E" w:rsidRPr="00EB2379" w:rsidRDefault="00B16CCF">
            <w:pPr>
              <w:spacing w:before="5pt"/>
              <w:rPr>
                <w:rFonts w:ascii="TimesNewRoman" w:eastAsia="TimesNewRoman" w:hAnsi="TimesNewRoman" w:cs="TimesNewRoman"/>
                <w:color w:val="000000"/>
                <w:lang w:val="it-IT"/>
              </w:rPr>
            </w:pPr>
            <w:r w:rsidRPr="00EB2379">
              <w:rPr>
                <w:rFonts w:ascii="TimesNewRoman" w:eastAsia="TimesNewRoman" w:hAnsi="TimesNewRoman" w:cs="TimesNewRoman"/>
                <w:color w:val="000000"/>
                <w:lang w:val="it-IT"/>
              </w:rPr>
              <w:t>RSO4.7. Spodbujanje dostopa do cenovno dostopnih in trajnostnih stanovanj</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759E0B" w14:textId="77777777" w:rsidR="00A77B3E" w:rsidRPr="00EB2379" w:rsidRDefault="00B16CCF">
            <w:pPr>
              <w:spacing w:before="5pt"/>
              <w:rPr>
                <w:rFonts w:ascii="TimesNewRoman" w:eastAsia="TimesNewRoman" w:hAnsi="TimesNewRoman" w:cs="TimesNewRoman"/>
                <w:color w:val="000000"/>
                <w:lang w:val="it-IT"/>
              </w:rPr>
            </w:pPr>
            <w:r>
              <w:rPr>
                <w:rFonts w:ascii="TimesNewRoman" w:eastAsia="TimesNewRoman" w:hAnsi="TimesNewRoman" w:cs="TimesNewRoman"/>
                <w:color w:val="000000"/>
              </w:rPr>
              <w:t xml:space="preserve">Evropa se sooča s stanovanjsko krizo, kjer cene in najemnine močno rastejo, medtem ko plače ne sledijo enakemu tempu, kar povzroča vrzel med razpoložljivostjo in potrebami po dostopnih stanovanjih. V okviru tega specifičnega cilja bomo sofinancirali zagotavljanje cenovno dostopnih in trajnostnih javnih najemnih stanovanj in javnih najemnih oskrbovanih stanovanj. S sofinanciranjem izgradnje in nakupa, želimo prispevati k večji dostopnosti za ciljne skupine in omogočiti upravičencem cenejše zagotavljanje dodatnih tovrstnih stanovanj. Na podlagi Ankete o ugotavljanju potreb po vrstah stanovanjskega fonda v občinah ter o načrtovanih stanovanjskih projektih v 2025 je bilo ugotovljeno, da je v Sloveniji 30.650 javnih najemnih stanovanj, kar predstavlja 3,65 % vseh stanovanj v Sloveniji in smo krepko pod evropskim povprečjem, ki je 8 %. </w:t>
            </w:r>
            <w:r w:rsidRPr="00EB2379">
              <w:rPr>
                <w:rFonts w:ascii="TimesNewRoman" w:eastAsia="TimesNewRoman" w:hAnsi="TimesNewRoman" w:cs="TimesNewRoman"/>
                <w:color w:val="000000"/>
                <w:lang w:val="it-IT"/>
              </w:rPr>
              <w:t xml:space="preserve">Ta isti podatek tudi pove, da je na 1.000 </w:t>
            </w:r>
            <w:r w:rsidRPr="00EB2379">
              <w:rPr>
                <w:rFonts w:ascii="TimesNewRoman" w:eastAsia="TimesNewRoman" w:hAnsi="TimesNewRoman" w:cs="TimesNewRoman"/>
                <w:color w:val="000000"/>
                <w:lang w:val="it-IT"/>
              </w:rPr>
              <w:lastRenderedPageBreak/>
              <w:t xml:space="preserve">prebivalcev v Sloveniji le 14,86 javnih najemnih stanovanj. Na podlagi zbranih podatkov ankete je ocenjeno, da je potrebnih še dodatnih 20.407 javnih najemnih stanovanj, medtem ko je načrtovanih projektov za manj kot polovico potrebnih dodatnih stanovanj. Dodatno pridobljeni podatki kažejo, da si v Sloveniji približno 20 % enočlanskih gospodinjstev ne more privoščiti nakupa stanovanja s srednjo ceno, ne da bi preseglo prag stroškovne obremenitve in minimalne zahteve glede kreditne sposobnosti in enak odstotek zaradi minimalnih zahtev glede kreditne sposobnosti ne more pridobiti kredita. Približno 30 % gospodinjstev „par z 2 otroki“ si ne more privoščiti nakupa stanovanja s srednjo ceno. Hkrati minimalna zahteva glede kreditne sposobnosti preprečuje približno 40 % teh gospodinjstev, da bi pridobili kredit. Približno 10 % gospodinjstev „par z 2 otroki“ si ne more privoščiti nakupa stanovanja s 25-odstotno ceno, ne da bi preseglo prag stroškovne obremenitve. Hkrati minimalne zahteve glede kreditne sposobnosti omejijo približno 40 % teh gospodinjstev, da ne morejo pridobiti hipotekarnega kredita. </w:t>
            </w:r>
          </w:p>
        </w:tc>
      </w:tr>
      <w:tr w:rsidR="00823317" w14:paraId="5681C846"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0F9205" w14:textId="77777777" w:rsidR="00A77B3E" w:rsidRPr="00EB2379" w:rsidRDefault="00B16CCF">
            <w:pPr>
              <w:spacing w:before="5pt"/>
              <w:rPr>
                <w:rFonts w:ascii="TimesNewRoman" w:eastAsia="TimesNewRoman" w:hAnsi="TimesNewRoman" w:cs="TimesNewRoman"/>
                <w:color w:val="000000"/>
                <w:lang w:val="it-IT"/>
              </w:rPr>
            </w:pPr>
            <w:r w:rsidRPr="00EB2379">
              <w:rPr>
                <w:rFonts w:ascii="TimesNewRoman" w:eastAsia="TimesNewRoman" w:hAnsi="TimesNewRoman" w:cs="TimesNewRoman"/>
                <w:color w:val="000000"/>
                <w:lang w:val="it-IT"/>
              </w:rPr>
              <w:lastRenderedPageBreak/>
              <w:t>4. Bolj socialna in vključujoča Evropa za izvajanje evropskega stebra socialnih pravic</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617B92" w14:textId="77777777" w:rsidR="00A77B3E" w:rsidRPr="00EB2379" w:rsidRDefault="00B16CCF">
            <w:pPr>
              <w:spacing w:before="5pt"/>
              <w:rPr>
                <w:rFonts w:ascii="TimesNewRoman" w:eastAsia="TimesNewRoman" w:hAnsi="TimesNewRoman" w:cs="TimesNewRoman"/>
                <w:color w:val="000000"/>
                <w:lang w:val="it-IT"/>
              </w:rPr>
            </w:pPr>
            <w:r w:rsidRPr="00EB2379">
              <w:rPr>
                <w:rFonts w:ascii="TimesNewRoman" w:eastAsia="TimesNewRoman" w:hAnsi="TimesNewRoman" w:cs="TimesNewRoman"/>
                <w:color w:val="000000"/>
                <w:lang w:val="it-IT"/>
              </w:rPr>
              <w:t>ESO4.1. Izboljšanje dostopa do zaposlitve in aktivacijski ukrepi za vse iskalce zaposlitve, zlasti mlade, predvsem v okviru izvajanja jamstva za mlade, dolgotrajno brezposelne in prikrajšane skupine na trgu dela, in neaktivne osebe, kot tudi s spodbujanjem samozaposlovanja in socialnega gospodarstva</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CE5AE5"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Epidemija covid-19 je ustavila večletna ugodna gibanja na trgu dela[85], a se bodo po pričakovanjih le-ta v prihodnje nadaljevala, zaradi demografskih gibanj pa so možne omejitve razpoložljivosti delovne sile[86]. Na podlagi rednih poročil o izvajanju ukrepov države na trgu dela,[87] se ukrepe sprotno prilagaja na način, da se zagotavlja največja učinkovitost. Ukrepi aktivne politike zaposlovanja morajo biti osredotočeni na </w:t>
            </w:r>
            <w:r>
              <w:rPr>
                <w:rFonts w:ascii="TimesNewRoman" w:eastAsia="TimesNewRoman" w:hAnsi="TimesNewRoman" w:cs="TimesNewRoman"/>
                <w:color w:val="000000"/>
              </w:rPr>
              <w:lastRenderedPageBreak/>
              <w:t xml:space="preserve">zagotavljanje vključujočega in odzivnega trga dela in ciljno usmerjeni na blaženje vpliva kriz ter zmanjševanje strukturnih neskladij. Med dolgotrajno brezposelnimi (v nadaljevanju: DBO), kateri so nekoliko bolj izpostavljeni v KRVS (57,1 %) kot pa v KRZS (42,6 %), je bilo v Sloveniji v marcu 2022 starejših od 50 let 44,7%, oseb z osnovnošolsko izobrazbo 34,9 %, invalidov 22,5% ter mladih 12,3 %. DBO na podlagi izkušenj z izvajanjem dosedanjih ukrepov potrebujejo več podpore pri usposabljanju in izobraževanju za pridobivanje ustreznih kompetenc, vezanih na potrebe delodajalcev v lokalnem okolju.[88] Delež oseb, katerih zaposlitev je ogrožena, zadnja leta narašča. Konec leta 2018 je bilo v evidenci iskalcev zaposlitve takšnih 16,1 % zaposlenih, konec leta 2019 pa več kot 20 %. Hitrejša aktivacija presežnih delavcev je smiselna z vidika ohranitve delovne sposobnosti in konkurenčnosti na trgu dela. Segmentacija trga dela se je v zadnjih dveh letih pred epidemijo covida-19 nekoliko zmanjšala. Kljub temu ostajajo mladi močno izpostavljeni začasnim zaposlitvam.[89] Ti ob vstopu na trg dela zaradi pomanjkanja izkušenj in glede na doseženo izobrazbo težko najdejo ustrezno zaposlitev, še posebej prvo, kar lahko posledično vodi k sprejemanju različnih oblik prekarnega dela. Podatki kažejo na izrazit padec podjetniške aktivnosti starih 18 do 24 let, ki upada že tretje leto zapovrstjo (2016: 17,49 %; 2018: 5,18 %)[90]. Slovenija odstopa tudi po deležu ustaljenih mladih podjetnikov. Vključevanje žensk v podjetništvo narašča, a iz GEM Slovenija 2020[91] izhaja, da je vrzel med spoloma še vedno velika, predvsem na podeželju, kar nas umešča na </w:t>
            </w:r>
            <w:r>
              <w:rPr>
                <w:rFonts w:ascii="TimesNewRoman" w:eastAsia="TimesNewRoman" w:hAnsi="TimesNewRoman" w:cs="TimesNewRoman"/>
                <w:color w:val="000000"/>
              </w:rPr>
              <w:lastRenderedPageBreak/>
              <w:t>30. mesto (izmed 43 držav, vključenih v raziskavo). Pod povprečjem EU smo tudi v socialnem gospodarstvu, kjer je v Sloveniji zaposlenega le 0,26 % delovno aktivnega prebivalstva (EU povprečje: 6 %). Uporabljali bomo nepovratna sredstva (več v 2. poglavju).</w:t>
            </w:r>
          </w:p>
        </w:tc>
      </w:tr>
      <w:tr w:rsidR="00823317" w14:paraId="393EF105"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ED1167"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4. Bolj socialna in vključujoča Evropa za izvajanje evropskega stebra socialnih pravic</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C16C71"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t>ESO4.2. Posodabljanje institucij in služb trga dela za oceno in predvidevanje potreb po veščinah ter zagotavljanje pravočasne in prilagojene pomoči in podpore pri usklajevanju ponudbe in povpraševanja na trgu dela, prehodih in mobilnosti</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6A0496"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Slovenija se sooča s strukturnimi pomanjkljivostmi trga dela, zlasti z nizko stopnjo zaposlenosti nizko usposobljenih in starejših delavcev ter neskladjem med potrebami delodajalcev na eni ter znanji in spretnostmi oseb na trgu dela na drugi strani. Po podatkih ankete Napovednik zaposlovanja iz druge polovice leta 2021[92], se je s pomanjkanjem ustreznih kadrov soočala več kot polovica delodajalcev (51,2 %). Kar dve tretjini delodajalcev je kot ključni razlog za težave pri iskanju kadra za prosta delovna mesta opredelilo, da iskanega kadra ni. Zato je nujna vzpostavitev celovitega sistemskega modela srednjeročnega in dolgoročnega napovedovanja potreb po znanjih in kompetencah ter spodbujanje kariernega razvoja na vseh področjih in v vseh življenjskih obdobjih. S pomočjo platforme trga dela za dolgoročno napovedovanje kompetenc bo moč razvijati oz. usmerjati izobraževalno in štipendijsko politiko ter karierno orientacijo v podporo izvajanju ukrepov na CP 1. Zaradi sprememb načina dela in razmer na trgu dela je potrebno dodatno digitalizirati in racionalizirati delovne procese, krepiti sinergijsko povezovanje vseh deležnikov na vseh nivojih (nacionalni, regionalni, lokalni) ter zaposlenim v institucijah trga dela zagotoviti ustrezna znanja in usposobljenost. Potrebo po prilagajanju storitev institucij na trgu dela poudarja tudi analiza </w:t>
            </w:r>
            <w:r>
              <w:rPr>
                <w:rFonts w:ascii="TimesNewRoman" w:eastAsia="TimesNewRoman" w:hAnsi="TimesNewRoman" w:cs="TimesNewRoman"/>
                <w:color w:val="000000"/>
              </w:rPr>
              <w:lastRenderedPageBreak/>
              <w:t>OECD[93], ki izpostavlja, da je v prihodnje na Zavodu RS za zaposlovanje (v nadaljevanju: ZRSZ) treba okrepiti izvajanje oddaljenih storitev in izboljšati njegovo usposobljenost/sposobnost. To zajema predvidevanje potreb po spretnostih, zagotavljanje pravočasne in prilagojene pomoči in podpore pri usklajevanju ponudbe in povpraševanja ter kariernih prehodov in mobilnosti na trgu dela. Poseben pomen institucij trga dela je tudi v odpiranju možnosti zaposlovanja brezposelnih v tujini ter nadaljnji krepitvi povezav v okviru evropske mreže javnih služb za zaposlovanje EURES. V okviru te mreže se bo znotraj iskalcev zaposlitve naslavljalo tudi vključevanje najbolj ranljivih NEET in s tem naslavljalo problematiko zaposlovanja mladih od 18-35 let, ki je povezana z dolgotrajno brezposelnostjo, saj je ta problem zaznan v vseh statističnih regijah Slovenije. Uporabljali bomo nepovratna sredstva, utemeljitev je v 2. poglavju.</w:t>
            </w:r>
          </w:p>
        </w:tc>
      </w:tr>
      <w:tr w:rsidR="00823317" w14:paraId="621180DC"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B1107A"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4. Bolj socialna in vključujoča Evropa za izvajanje evropskega stebra socialnih pravic</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D1F2FC"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t>ESO4.4. Spodbujanje prilagajanja delavcev, podjetij in podjetnikov na spremembe, aktivnega in zdravega staranja ter zdravega in dobro prilagojenega delovnega okolja, ki obravnava tveganja za zdravje</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637F24"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V Sloveniji se delovno aktivno prebivalstvo od leta 2021 zaradi staranja zmanjšuje, glede na demografske projekcije pa se bo upadanje v prihodnje še pospešilo. Čez 5 let bo vsak četrti zaposleni starejši od 55 let. Pri tem pa je zaskrbljujoče dejstvo, da je delovna aktivnost v starosti 55-64 let z 52,3 % med najnižjimi v EU (povprečje EU27: 60,8 %, OECD: 61,7 %). Na nujnost ukrepanja na tem področju kažejo tudi podatki o koeficientu starostne odvisnosti starejšega prebivalstva, ki se bo po podatkih EUROSTAT v Sloveniji iz 30,5 % v letu 2019 (EU27: 31,4 %) do leta 2050 povišal kar na 54 % (EU27: 59,8 %). Ključni izzivi ostajajo </w:t>
            </w:r>
            <w:r>
              <w:rPr>
                <w:rFonts w:ascii="TimesNewRoman" w:eastAsia="TimesNewRoman" w:hAnsi="TimesNewRoman" w:cs="TimesNewRoman"/>
                <w:color w:val="000000"/>
              </w:rPr>
              <w:lastRenderedPageBreak/>
              <w:t xml:space="preserve">zagotavljanje ustrezne usposobljenosti starejših zaposlenih tudi zaradi nižje vključenosti starejših v VŽU ter povečanje privlačnosti dela, da bi motivirali starejše, da ostanejo dlje delovno aktivni. Nujnost slednjega izhaja iz tveganja prekomernega povečevanja izdatkov za pokojnine (iz 10,0 % BDP v 2019 na 15,7 % BDP v 2050) in nizkih pokojnin (183.000 upokojencev prejme starostno pokojnino pod pragom tveganja revščine (739 evrov)). Nizka stopnja delovne aktivnosti starejših je zagotovo povezana tudi s kazalnikom števila zdravih let življenja, ki je v Sloveniji pod povprečjem EU, močno pod povprečjem EU pa sta tudi samoocena zdravja in oviranosti. Nujno je celovito naslavljanje področja. Z vidika poštenih delovnih pogojev ostaja prekarno delo v Sloveniji prepogosta oblika dela, kjer negotovost ni rezultat prostovoljne izbire delavca. Tveganje prekarnosti je najpogostejše pri študentskem delu, agencijskih delavcih, ekonomsko odvisnih samozaposlenih, platformnih delavcih in posameznikih, ki delajo pretežno prek civilno pravnih pogodb, ter pri zaposlenih s pogodbami o zaposlitvi, krajših od treh mesecev.[94] [95] Področje varnosti in zdravja pri delu ni dovolj usklajeno s spreminjajočimi se oblikami dela in novimi razmerami, ki jih je pospešila epidemija covid-19 (povečanje dela na daljavo in obsega dela, ipd.), ter ni dovolj prilagojeno staranju prebivalstva in delovne sile ter digitalnemu in zelenemu prehodu.[96] Pereč problem med zaposlenimi v zaporskem sistemu pa je poklicna izgorelost, ki izhaja iz pomanjkanja znanj in veščin za soočanje z vsakodnevnimi stresnimi situacijami pri delu z </w:t>
            </w:r>
            <w:r>
              <w:rPr>
                <w:rFonts w:ascii="TimesNewRoman" w:eastAsia="TimesNewRoman" w:hAnsi="TimesNewRoman" w:cs="TimesNewRoman"/>
                <w:color w:val="000000"/>
              </w:rPr>
              <w:lastRenderedPageBreak/>
              <w:t>zaprtimi osebami. Uporabljali bomo nepovratna sredstva, utemeljitev je v 2. poglavju.</w:t>
            </w:r>
          </w:p>
        </w:tc>
      </w:tr>
      <w:tr w:rsidR="00823317" w14:paraId="1B463FF3"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8970A1"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4. Bolj socialna in vključujoča Evropa za izvajanje evropskega stebra socialnih pravic</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B2C23B"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t>ESO4.5. Izboljšanje kakovosti, vključenosti, učinkovitosti in ustreznosti sistemov izobraževanja in usposabljanja za potrebe trga dela, vključno z vrednotenjem neformalnega in priložnostnega učenja, da bi podprli pridobivanje ključnih kompetenc, tudi podjetniških in digitalnih veščin, ter s spodbujanjem uvedbe dualnih sistemov usposabljanja in vajeništev</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D220EE"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V preteklih letih je bilo premalo narejenega za odpravljanje neskladij v znanju in spretnostih na trgu dela, zato so nujna vlaganja v človeške vire in razvoj kadrov prihodnosti[97]. Raziskave delodajalcev kažejo, da se povpraševanje po spretnostih 21. stoletja (reševanje problemov, kritično razmišljanje, inovativnost, ipd.) hitro povečuje, na kar opozarja tudi Strategija spretnosti 2019. Mladim primanjkuje digitalnih, socialnih in čustvenih kompetenc, razvijati pa je treba vse ključne kompetence[98]. </w:t>
            </w:r>
            <w:r w:rsidRPr="00EB2379">
              <w:rPr>
                <w:rFonts w:ascii="TimesNewRoman" w:eastAsia="TimesNewRoman" w:hAnsi="TimesNewRoman" w:cs="TimesNewRoman"/>
                <w:color w:val="000000"/>
                <w:lang w:val="it-IT"/>
              </w:rPr>
              <w:t xml:space="preserve">Po podatkih PISA 2018 še vedno visok delež mladih ne dosega osnovnih ravni pismenosti. Dejavniki, ki vplivajo na uspešnost oz. izobraževalno pot, so predvsem socialno-ekonomski status, priseljensko ozadje ter spol. V obdobju 2014 -2020 so se karierni centri izkazali kot pomemben dejavnik pri kakovostnem odločanju za izbiro poklicne poti mladih, usklajeno s potrebami trga dela. Zaradi širših družbenih okoliščin (gospodarskih in demografskih gibanj, manjših generacij učečih se, itd.), ki vplivajo na percepcijo privlačnosti in družbenega ugleda poklica strokovnega delavca na področju vzgoje in izobraževanja ter znižujejo stabilnost pogojev dela, se manj oseb odloča za ta poklic, in povečujejo izstopi iz poklica. Polovica učiteljev v terciarnem in srednješolskem ter več kot tretjina v osnovnošolskem izobraževanju je starejših od 50 let[99]. Primanjkuje tudi strokovnjakov za izobraževanje oseb s posebnimi potrebami, na podeželskih območjih pa tudi učiteljev predmetov kot so naravoslovje, tehnologija, inženirstvo in </w:t>
            </w:r>
            <w:r w:rsidRPr="00EB2379">
              <w:rPr>
                <w:rFonts w:ascii="TimesNewRoman" w:eastAsia="TimesNewRoman" w:hAnsi="TimesNewRoman" w:cs="TimesNewRoman"/>
                <w:color w:val="000000"/>
                <w:lang w:val="it-IT"/>
              </w:rPr>
              <w:lastRenderedPageBreak/>
              <w:t xml:space="preserve">matematika[100]. 25 % generacije v starosti 16 in 17 let je vpisana v poklicne šole. Delodajalci iščejo kader s poklicno izobrazbo, trg dela pa zapuščajo starejši na teh delovnih mestih. Neskladja na trgu dela so povezana tudi s skromnim zanimanjem mladih za nekatere izobraževalne programe, premajhnim številom vpisnih mest, premajhno privlačnostjo poklicev in premajhnim sodelovanjem izobraževalnih ustanov z gospodarstvom, kar kaže na potrebo po nadaljnji krepitvi večje povezanosti med izobraževanjem in okoljem (tudi s širjenjem vajeništva)[101] ter poklicnim usmerjanjem mladih. Pri tem je pomembno tudi dokončanje študija v roku, pri čemer je Slovenija po deležu študentov prve stopnje na repu držav članic OECD[102]. </w:t>
            </w:r>
            <w:r>
              <w:rPr>
                <w:rFonts w:ascii="TimesNewRoman" w:eastAsia="TimesNewRoman" w:hAnsi="TimesNewRoman" w:cs="TimesNewRoman"/>
                <w:color w:val="000000"/>
              </w:rPr>
              <w:t>Uporabljali bomo nepovratna sredstva (več v 2. poglavju).</w:t>
            </w:r>
          </w:p>
        </w:tc>
      </w:tr>
      <w:tr w:rsidR="00823317" w14:paraId="132F1B77"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101FEC"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4. Bolj socialna in vključujoča Evropa za izvajanje evropskega stebra socialnih pravic</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A587FD"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t>ESO4.7. Spodbujanje vseživljenjskega učenja, zlasti prožnih možnosti za izpopolnjevanje in prekvalifikacijo za vse, ob upoštevanju podjetniških in digitalnih veščin, boljše predvidevanje sprememb in zahtev po novih veščinah na podlagi potreb trga dela, olajševanje prehodov med delovnimi mesti in spodbujanje poklicne mobilnosti</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5EB412"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Skladno s Priporočili Sveta EU za leto 2019[103] mora Slovenija izboljšati ustreznost izobraževanja in usposabljanja za potrebe trga dela ter ukrepe vseživljenjskega učenja (VŽU) za večjo zaposljivost, itd. V obdobju 2008-2019 je izstopala nizka vključenost zaposlenih na tistih delovnih mestih, ki so podvržena digitalizaciji in avtomatizaciji[104], kar negativno vpliva na njihove zaposlitvene možnosti. Vrsto let so nizke matematične in besedilne spretnosti odraslih[105], predvsem nizko izobraženih in starejših. Stopnja udeležbe v VŽU je bila v letu 2020 8,4 % (EU: 9,2 %), od tega v KRZS 9,3 %, v KRVS pa 7,6 %. Delež odraslih z nižjo izobrazbo ali brez, vključenih v VŽU, je petkrat nižji od visoko izobraženih. Ključna razloga za to sta pomanjkanje </w:t>
            </w:r>
            <w:r>
              <w:rPr>
                <w:rFonts w:ascii="TimesNewRoman" w:eastAsia="TimesNewRoman" w:hAnsi="TimesNewRoman" w:cs="TimesNewRoman"/>
                <w:color w:val="000000"/>
              </w:rPr>
              <w:lastRenderedPageBreak/>
              <w:t>motivacije ter nepripravljenost delodajalcev, da svoje zaposlene napotijo na usposabljanja z vidika nemotenega delovnega procesa (časovne, finančne in kadrovske ovire). Trend upadanja vključenosti v VŽU je neugoden z vidika konkurenčnosti podjetij, digitalne in zelene preobrazbe gospodarstva, ter spoprijemanja s spremembami, povzročenimi z epidemijo. To velja tudi za zaposlene v javnem sektorju. Epidemija covid-19 je poudarila pomen izobraževanja na daljavo pri zagotavljanju njegove dostopnosti. OECD[106] poudarja še pomen razvoja didaktičnih pristopov, usposobljenosti učiteljev za poučevanje na daljavo in vzpostavitve mehanizmov za zagotavljanje kakovosti izobraževanja.[107] Globalizacija, tehnološki napredek in demografske spremembe bodo nadalje preoblikovali življenje na vseh področjih, zaradi česar je ustrezna obravnava kompetenc vseh odraslih (vključno z mlajšimi odraslimi) še pomembnejša. 12,7 % delodajalcev pri zaposlovanju kot ključni problem izpostavlja neustrezne kompetence kandidatov, pri čemer gre predvsem za pomanjkanje poklicno specifičnih znanj, horizontalnih veščin in neustrezno izobrazbo. Akcijski načrt za evropski steber socialnih pravic zahteva okrepitev prizadevanj za povečanje udeležbe odraslih v VŽU in izboljšanje učnega uspeha v začetnem izobraževanju/usposabljanju. Vsaj 80 % oseb, starih od 16 do 74 let, bo moralo do leta 2030 v Sloveniji imeti vsaj osnovna digitalna znanja in spretnosti (DESI indeks za leto 2021: 55 %, kar je pod povprečjem EU). Uporabljali bomo nepovratna sredstva, utemeljitev v 2. poglavju.</w:t>
            </w:r>
          </w:p>
        </w:tc>
      </w:tr>
      <w:tr w:rsidR="00823317" w:rsidRPr="00EB2379" w14:paraId="6AD9F28A"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3D60B3"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4. Bolj socialna in vključujoča Evropa za izvajanje evropskega stebra socialnih pravic</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B37CE7"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t>ESO4.8. Pospeševanje dejavnega vključevanja za spodbujanje enakih možnosti, nediskriminacije in aktivne udeležbe ter povečevanje zaposljivosti, zlasti za prikrajšane skupine</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CBADDE" w14:textId="77777777" w:rsidR="00A77B3E" w:rsidRPr="00EB2379" w:rsidRDefault="00B16CCF">
            <w:pPr>
              <w:spacing w:before="5pt"/>
              <w:rPr>
                <w:rFonts w:ascii="TimesNewRoman" w:eastAsia="TimesNewRoman" w:hAnsi="TimesNewRoman" w:cs="TimesNewRoman"/>
                <w:color w:val="000000"/>
                <w:lang w:val="it-IT"/>
              </w:rPr>
            </w:pPr>
            <w:r>
              <w:rPr>
                <w:rFonts w:ascii="TimesNewRoman" w:eastAsia="TimesNewRoman" w:hAnsi="TimesNewRoman" w:cs="TimesNewRoman"/>
                <w:color w:val="000000"/>
              </w:rPr>
              <w:t xml:space="preserve">Po osnovnem scenariju projekcije prebivalstva za Slovenijo naj bi se število delovno sposobnega prebivalstva zmanjševalo, da bi jih lahko bilo leta 2060 kar pol milijona manj kot v letu 2013. Število prebivalcev starih 20-64 let je po letu 2013 začelo upadati in demografske spremembe že zmanjšujejo ponudbo delovne sile. </w:t>
            </w:r>
            <w:r w:rsidRPr="00EB2379">
              <w:rPr>
                <w:rFonts w:ascii="TimesNewRoman" w:eastAsia="TimesNewRoman" w:hAnsi="TimesNewRoman" w:cs="TimesNewRoman"/>
                <w:color w:val="000000"/>
                <w:lang w:val="it-IT"/>
              </w:rPr>
              <w:t xml:space="preserve">V zadnjih 2 letih se zato kaže povečano povpraševanje po delovni sili s strani delodajalcev. Po podatkih ZRSZ[111] je bilo septembra 2021 66.122 brezposelnih oseb, od katerih jih je 45,3 % prejemalo denarno socialno pomoč. Po strukturi brezposelnih oseb, največji delež pade na kategorijo dolgotrajno brezposelni (76,9 %) ter ženske (48,1 %), sledijo pa osebe z osnovnošolsko ali nižjo izobrazbo (38,9 %). Z omogočanjem čim hitrejšega vključevanja na trg dela se preprečuje tveganje odvisnosti od socialnih prejemkov zaradi brezposelnosti, hkrati pa se lahko zagotovi povračilo investicije, vložene v izobrazbo in usposabljanje. Kot kažejo izkušnje iz obdobja 2014-2020, je čim hitrejša aktivacija, zlasti dolgotrajno brezposelnih, nujna z vidika zagotavljanja delovne sile, ki jo ogrožajo pričakovane demografske spremembe oziroma staranje prebivalstva. Zato je smiselno s programi socialne aktivacije v prihodnje nadaljevati.[112] Posebna ciljna skupina so mladi NEET in mladi s posebnimi potrebami, ki jim je potrebno preko različnih oblik pomoči pomagati pri prehodu iz šolske sfere na trg dela, ter tako povečati njihovo zaposljivost. Pri tem se bodo upoštevale dosedanje izkušnje in vrednotenja izvedenih projektov iz 2014-2020.[113] Potrebe po ukrepanju in pomoči mladim s posebnimi potrebami pri prehodu na trg </w:t>
            </w:r>
            <w:r w:rsidRPr="00EB2379">
              <w:rPr>
                <w:rFonts w:ascii="TimesNewRoman" w:eastAsia="TimesNewRoman" w:hAnsi="TimesNewRoman" w:cs="TimesNewRoman"/>
                <w:color w:val="000000"/>
                <w:lang w:val="it-IT"/>
              </w:rPr>
              <w:lastRenderedPageBreak/>
              <w:t>dela so večje v KRVS, saj je v KRZS bistveno več priložnosti za vključevanje mladih v različne programe pomoči. Druga posebna ciljna skupina so zaprte osebe. V letu 2020 od celotne populacije zaprtih oseb kar 40,07 % ni imelo poklicne izobrazbe (39,88 % nižjo oz. srednjo poklicno šolo, 24,42 % osnovno šolo, 15,22 % srednjo strokovno šolo ali gimnazijo). Brez šolske izobrazbe je bilo 11,0 % zaprtih oseb, med njimi 2,5 % brez znanja pisanja, branja in poznavanja osnovnih računskih operacij. Predlog ukrepa sledi priporočilu Sveta Evrope za izobraževanje v zaporih (2011) in priporočilu št. R (2006) 2 o evropskih zaporskih pravilih. Uporabljali bomo nepovratna sredstva, utemeljitev je v 2. poglavju.</w:t>
            </w:r>
          </w:p>
        </w:tc>
      </w:tr>
      <w:tr w:rsidR="00823317" w14:paraId="3F832065"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3A909E" w14:textId="77777777" w:rsidR="00A77B3E" w:rsidRPr="00EB2379" w:rsidRDefault="00B16CCF">
            <w:pPr>
              <w:spacing w:before="5pt"/>
              <w:rPr>
                <w:rFonts w:ascii="TimesNewRoman" w:eastAsia="TimesNewRoman" w:hAnsi="TimesNewRoman" w:cs="TimesNewRoman"/>
                <w:color w:val="000000"/>
                <w:lang w:val="it-IT"/>
              </w:rPr>
            </w:pPr>
            <w:r w:rsidRPr="00EB2379">
              <w:rPr>
                <w:rFonts w:ascii="TimesNewRoman" w:eastAsia="TimesNewRoman" w:hAnsi="TimesNewRoman" w:cs="TimesNewRoman"/>
                <w:color w:val="000000"/>
                <w:lang w:val="it-IT"/>
              </w:rPr>
              <w:lastRenderedPageBreak/>
              <w:t>4. Bolj socialna in vključujoča Evropa za izvajanje evropskega stebra socialnih pravic</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CADA3C" w14:textId="77777777" w:rsidR="00A77B3E" w:rsidRPr="00EB2379" w:rsidRDefault="00B16CCF">
            <w:pPr>
              <w:spacing w:before="5pt"/>
              <w:rPr>
                <w:rFonts w:ascii="TimesNewRoman" w:eastAsia="TimesNewRoman" w:hAnsi="TimesNewRoman" w:cs="TimesNewRoman"/>
                <w:color w:val="000000"/>
                <w:lang w:val="it-IT"/>
              </w:rPr>
            </w:pPr>
            <w:r w:rsidRPr="00EB2379">
              <w:rPr>
                <w:rFonts w:ascii="TimesNewRoman" w:eastAsia="TimesNewRoman" w:hAnsi="TimesNewRoman" w:cs="TimesNewRoman"/>
                <w:color w:val="000000"/>
                <w:lang w:val="it-IT"/>
              </w:rPr>
              <w:t>ESO4.11. Krepitev enakopravnega in pravočasnega dostopa do kakovostnih, trajnostnih in cenovno ugodnih storitev, vključno s storitvami, ki spodbujajo dostop do stanovanj, in storitvami oskrbe, usmerjene v posameznika, vključno z zdravstveno oskrbo; posodobitev sistemov socialne zaščite, vključno s spodbujanjem dostopa do socialne zaščite, s posebnim poudarkom na otrocih in prikrajšanih skupinah; izboljšanje dostopnosti, tudi za invalide, učinkovitosti in odpornosti zdravstvenih sistemov in storitev dolgotrajne oskrbe</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230BA9"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Sistem socialnega varstva je razvejan in vključuje različne deležnike, kar povzroča nepovezanost stroke ter težave pri zagotavljanju enake kakovosti in dostopnosti do storitev, ustreznih analitičnih podlag in vodenja evidenc. Ciljne skupine in izzivi, s katerimi se soočajo, so opredeljene v Resoluciji o nacionalnem programu socialnega varstva za obdobje 2022-2030.[114] Slovenija se je zavezala k razvoju storitev za družine in otroke, zlasti iz ogroženih družin[115]. V Sloveniji se bo delež starih nad 65 let z 20 % v letu 2019 povečal na 31 % v letu 2050, kar bo močno vplivalo na vzdržnost zdravstvenega sistema[116] in nujnost krepitve sistema dolgotrajne oskrbe. Primerjalna analiza članic OECD kaže, da je v Sloveniji najslabše poskrbljeno za osebe z demenco. Za povprečjem EU zaostajamo po umrljivosti, kar je povezano z razširjenostjo nezdravega življenjskega sloga (nezdravo/moteno prehranjevanje, kajenje, </w:t>
            </w:r>
            <w:r>
              <w:rPr>
                <w:rFonts w:ascii="TimesNewRoman" w:eastAsia="TimesNewRoman" w:hAnsi="TimesNewRoman" w:cs="TimesNewRoman"/>
                <w:color w:val="000000"/>
              </w:rPr>
              <w:lastRenderedPageBreak/>
              <w:t xml:space="preserve">alkohol ter težave v duševnem zdravju) in je tudi razlog za visoko breme kroničnih bolezni[117] (srčno-žilne bolezni, rak[118])[119]. Stroški zdravljenja slednjih predstavljajo največje stroške zdravstva. Dejavniki tveganja so prisotni že pri otrocih in mladostnikih ter bolj izraženi pri prikrajšanih skupinah prebivalstva[120]. </w:t>
            </w:r>
            <w:r w:rsidRPr="00EB2379">
              <w:rPr>
                <w:rFonts w:ascii="TimesNewRoman" w:eastAsia="TimesNewRoman" w:hAnsi="TimesNewRoman" w:cs="TimesNewRoman"/>
                <w:color w:val="000000"/>
                <w:lang w:val="it-IT"/>
              </w:rPr>
              <w:t xml:space="preserve">Na področju prepovedanih drog zaznavamo povečano število smrti zaradi predoziranja. Za omogočitev najkrajšega možnega odzivnega časa in zagotavljanja enake dostopnosti bolnikov do nujne medicinske pomoči je treba vlagati v izobraževanje udeležencev. Podatki kažejo, da so digitalne spretnosti pod povprečjem EU[121] tudi v zdravstvenem sektorju. Obravnava pacienta zahteva ustrezno uporabo digitalnih orodij vseh udeležencev. Po podatkih SURS je okoli 170.000 invalidov in oseb s telesnimi okvarami (12-13 % prebivalcev). Za zagotovitev enakih možnosti so nujni ukrepi, ki premostijo ali zmanjšajo ovire za njihovo neodvisno življenje ter za enakopravno vključitev v družbo in delo. V Sloveniji je šibko razvito podporno okolje za socialno/družbeno inoviranje, kar negativno vpliva na razvoj in razširjanje geografsko razpršenih, potrebam uporabnikov prilagojenih in cenovno učinkovitih storitev za izboljšanje kakovosti življenja, družbene povezanosti in socialne vključenosti celotnega prebivalstva. </w:t>
            </w:r>
            <w:r>
              <w:rPr>
                <w:rFonts w:ascii="TimesNewRoman" w:eastAsia="TimesNewRoman" w:hAnsi="TimesNewRoman" w:cs="TimesNewRoman"/>
                <w:color w:val="000000"/>
              </w:rPr>
              <w:t>Uporabljali bomo nepovratna sredstva (več v 2. poglavju).</w:t>
            </w:r>
          </w:p>
        </w:tc>
      </w:tr>
      <w:tr w:rsidR="00823317" w14:paraId="6F72A361"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7E9FE7"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4. Bolj socialna in vključujoča Evropa za izvajanje evropskega stebra socialnih pravic</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C93943"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t>ESO4.12. Spodbujanje socialnega vključevanja oseb, izpostavljenih tveganju revščine ali socialni izključenosti, vključno z najbolj ogroženimi osebami in otroki</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A678BC"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Po podatkih SURS-a stopnja tveganja socialne izključenosti za leto 2021 znaša 13,8 % (v KRVS 15,4 %)[122]. Tveganje revščine in socialne izključenosti je nad povprečjem EU le pri starejših </w:t>
            </w:r>
            <w:r>
              <w:rPr>
                <w:rFonts w:ascii="TimesNewRoman" w:eastAsia="TimesNewRoman" w:hAnsi="TimesNewRoman" w:cs="TimesNewRoman"/>
                <w:color w:val="000000"/>
              </w:rPr>
              <w:lastRenderedPageBreak/>
              <w:t xml:space="preserve">ženskah (zlasti vdovah), rahlo nad povprečjem pa pri enočlanskih gospodinjstvih in pri brezposelnih. Veliko Romov nima dokončane osnovne šole, še manj jih je z zaključeno srednješolsko in visokošolsko izobrazbo. To vodi v slabše možnosti za zaposlitev, slabše materialne pogoje in v večje možnosti za tveganje revščine. V Sloveniji naj bi bilo 97 romskih naselij (3 v KRZS in 94 v KRVS)[123]. Ključni cilji in ukrepi za izboljšanje socialnega vključevanja in aktivacijo Romov so opredeljeni v Nacionalnem programu ukrepov Vlade RS za Rome za obdobje 2021-2030[124]. Od 170.000 oseb z invalidnostjo v Sloveniji je 8.000 otrok in mladostnikov[125]. Od 140 društev in organizacij, ki vključujejo telesne in gibalne dejavnosti s področja športa invalidov, jih ima le 61 % ustrezno usposobljene kadre in le 50 % izvaja ustrezne programe. Delež vključenih v sekundarno in terciarno izobraževanje je močno nad povprečjem EU. Kljub temu pa smo manj uspešni pri medkulturnem učenju in družbeni vključenosti ranljivih skupin otrok (zlasti Romov in priseljencev). Po raziskavi PISA 2018 priseljenci dosegajo nižje rezultate v bralnih dosežkih glede na celotno populacijo države kot pa je povprečje OECD. Z epidemijo covid-19 so se pogoji izobraževanja za šolajoče iz socialno-ekonomsko ranljivejših družin poslabšali, zlasti za otroke s posebnimi potrebami, saj se v izrednih razmerah šolski sistem ni dovolj prilagodil njihovim specifičnim potrebam.[126] V skladu s spremembo Ustave Republike Slovenije je bil v letu 2021 sprejet Akcijski načrt za pripravo predloga umestitve slovenskega znakovnega jezika v sistem predšolske vzgoje ter osnovnošolskega in </w:t>
            </w:r>
            <w:r>
              <w:rPr>
                <w:rFonts w:ascii="TimesNewRoman" w:eastAsia="TimesNewRoman" w:hAnsi="TimesNewRoman" w:cs="TimesNewRoman"/>
                <w:color w:val="000000"/>
              </w:rPr>
              <w:lastRenderedPageBreak/>
              <w:t>srednješolskega izobraževanja gluhih in naglušnih, ki predvideva ukrepe za umestitev slovenskega znakovnega jezika v vzgojno-izobraževalni sistem. Iz letnih poročil URSIKS izhaja, da se v zadnjih letih povečuje število zaprtih oseb, ki se iz različnih zdravstvenih in drugih omejitev, brez delovnih izkušenj in motivacije ne vključujejo v delo, izobraževanje in druge socialne aktivnosti v zaporu, s čimer se onemogoča uspešna reintegracija. Uporabljali bomo nepovratna sredstva (več v 2. poglavju).</w:t>
            </w:r>
          </w:p>
        </w:tc>
      </w:tr>
      <w:tr w:rsidR="00823317" w:rsidRPr="00EB2379" w14:paraId="2862621A"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F2AD56"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5. Evropa, ki je bliže državljanom, in sicer s spodbujanjem trajnostnega in celostnega razvoja vseh vrst območij ter lokalnih pobud</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F081B3"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t>RSO5.1. Spodbujanje celostnega in vključujočega socialnega, gospodarskega in okoljskega razvoja, kulture, naravne dediščine, trajnostnega turizma in varnosti na mestnih območjih</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AC987A" w14:textId="77777777" w:rsidR="00A77B3E" w:rsidRPr="00EB2379" w:rsidRDefault="00B16CCF">
            <w:pPr>
              <w:spacing w:before="5pt"/>
              <w:rPr>
                <w:rFonts w:ascii="TimesNewRoman" w:eastAsia="TimesNewRoman" w:hAnsi="TimesNewRoman" w:cs="TimesNewRoman"/>
                <w:color w:val="000000"/>
                <w:lang w:val="it-IT"/>
              </w:rPr>
            </w:pPr>
            <w:r>
              <w:rPr>
                <w:rFonts w:ascii="TimesNewRoman" w:eastAsia="TimesNewRoman" w:hAnsi="TimesNewRoman" w:cs="TimesNewRoman"/>
                <w:color w:val="000000"/>
              </w:rPr>
              <w:t xml:space="preserve">Mesta so nosilci razvoja na lokalni, regionalni in državni ravni, saj predstavljajo zaposlitvena, izobraževalna, kulturna in storitvena središča. Stopnja urbanizacije v Sloveniji je 55 %, v mestih pa dela preko 90 % vseh zaposlenih. </w:t>
            </w:r>
            <w:r w:rsidRPr="00EB2379">
              <w:rPr>
                <w:rFonts w:ascii="TimesNewRoman" w:eastAsia="TimesNewRoman" w:hAnsi="TimesNewRoman" w:cs="TimesNewRoman"/>
                <w:color w:val="000000"/>
                <w:lang w:val="it-IT"/>
              </w:rPr>
              <w:t xml:space="preserve">Kot drugod po svetu, se tudi slovenska urbana območja soočajo visoko stopnjo suburbanizacije. Le-ta med drugim predstavlja velik pritisk na še nepozidane površine, ki bi morale biti primarno namenjene ohranjanju narave in zagotavljanju oskrbe s hrano. Hkrati se v notranjih območjih mest nahajajo proste, slabo izkoriščene, v nekaterih primerih celo okoljsko degradirane površine, katerih prenova ali revitalizacija lahko prispeva k zmanjševanju potrebe po širjenju mest in mestnih naselij. Po stanju zadnjega ažuriranja podatkov imamo v Sloveniji namreč 1.057 funkcionalno degradiranih območij, s skupno površino 3.386 ha. Ocenjeno je, da je 81 območij, s skupno površino 236,25 ha primernih za takojšnjo reaktivacijo, oz. 224 območij, s skupno površino 236,25 ha primernih in deloma primernih za reaktivacijo.[132] Zato smo se v okviru Evropske kohezijske politike v </w:t>
            </w:r>
            <w:r w:rsidRPr="00EB2379">
              <w:rPr>
                <w:rFonts w:ascii="TimesNewRoman" w:eastAsia="TimesNewRoman" w:hAnsi="TimesNewRoman" w:cs="TimesNewRoman"/>
                <w:color w:val="000000"/>
                <w:lang w:val="it-IT"/>
              </w:rPr>
              <w:lastRenderedPageBreak/>
              <w:t>obdobju 2021-2027 odločili podpreti urbani razvoj z ukrepi za prenovo in oživitev praznih ter nezadostno izkoriščenih stavb in/ali zemljišč za bolj zelena, socialno vključujoča in produktivna slovenska mesta. Trajnostni razvoj mest z obravnavo gospodarskih, okoljskih, podnebnih, demografskih in socialnih izzivov bo podprt na podlagi trajnostnih urbanih strategij (v nadaljevanju: TUS), pri čemer bodo v ospredju mestne občine, kot jih opredeljuje 16. člen Zakona o lokalni samoupravi. Predstavniki mest bodo aktivno vključeni v izbor projektov. V skladu z navedenim bo navedeni specifični cilj v celoti izvajan v okviru mehanizma CTN. Uporabljali bomo nepovratna in povratna sredstva, utemeljitev je v 2. poglavju.</w:t>
            </w:r>
          </w:p>
        </w:tc>
      </w:tr>
      <w:tr w:rsidR="00823317" w14:paraId="1E6BE67D"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5A5AEE" w14:textId="77777777" w:rsidR="00A77B3E" w:rsidRPr="00EB2379" w:rsidRDefault="00B16CCF">
            <w:pPr>
              <w:spacing w:before="5pt"/>
              <w:rPr>
                <w:rFonts w:ascii="TimesNewRoman" w:eastAsia="TimesNewRoman" w:hAnsi="TimesNewRoman" w:cs="TimesNewRoman"/>
                <w:color w:val="000000"/>
                <w:lang w:val="it-IT"/>
              </w:rPr>
            </w:pPr>
            <w:r w:rsidRPr="00EB2379">
              <w:rPr>
                <w:rFonts w:ascii="TimesNewRoman" w:eastAsia="TimesNewRoman" w:hAnsi="TimesNewRoman" w:cs="TimesNewRoman"/>
                <w:color w:val="000000"/>
                <w:lang w:val="it-IT"/>
              </w:rPr>
              <w:lastRenderedPageBreak/>
              <w:t>5. Evropa, ki je bliže državljanom, in sicer s spodbujanjem trajnostnega in celostnega razvoja vseh vrst območij ter lokalnih pobud</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5F5458" w14:textId="77777777" w:rsidR="00A77B3E" w:rsidRPr="00EB2379" w:rsidRDefault="00B16CCF">
            <w:pPr>
              <w:spacing w:before="5pt"/>
              <w:rPr>
                <w:rFonts w:ascii="TimesNewRoman" w:eastAsia="TimesNewRoman" w:hAnsi="TimesNewRoman" w:cs="TimesNewRoman"/>
                <w:color w:val="000000"/>
                <w:lang w:val="it-IT"/>
              </w:rPr>
            </w:pPr>
            <w:r w:rsidRPr="00EB2379">
              <w:rPr>
                <w:rFonts w:ascii="TimesNewRoman" w:eastAsia="TimesNewRoman" w:hAnsi="TimesNewRoman" w:cs="TimesNewRoman"/>
                <w:color w:val="000000"/>
                <w:lang w:val="it-IT"/>
              </w:rPr>
              <w:t>RSO5.2. Spodbujanje celostnega in vključujočega socialnega, gospodarskega in okoljskega lokalnega razvoja, kulture, naravne dediščine, trajnostnega turizma in varnosti na območjih, ki niso mestna območja</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33A5C8"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Slovenija se je v okviru priprave Sporazuma o partnerstvu med Slovenijo in Evropsko komisijo za obdobje 2021-2027 odločila, da bo v obdobju 2021-2027 nadaljevala s podporo CLLD. Pristop »od spodaj navzgor« je izjemnega pomena za razvoj lokalno geografsko povezanih območij, v katerih prepoznajo posebne skupne razvojne potrebe, probleme in priložnosti, ki zahtevajo tudi drugačen razvojni pristop. Med ključnimi izzivi, s katerimi se spopada Slovenija in jih naslavljajo SRS 2030, Priporočila Sveta EU za leto 2019 in 2020 ter Dolgoročna vizija razvoja podeželja do 2040, je tudi zmanjševanje razvojnih razlik na lokalni ravni. Mestna in podeželska območja se soočajo z različnimi izzivi v razvoju, ki vplivajo na kakovost življenja lokalnega prebivalstva. Aktivno vključevanje in soodločanje partnerjev in drugih lokalnih deležnikov na nižjih ravneh zaradi </w:t>
            </w:r>
            <w:r>
              <w:rPr>
                <w:rFonts w:ascii="TimesNewRoman" w:eastAsia="TimesNewRoman" w:hAnsi="TimesNewRoman" w:cs="TimesNewRoman"/>
                <w:color w:val="000000"/>
              </w:rPr>
              <w:lastRenderedPageBreak/>
              <w:t>boljšega poznavanja lokalnih izzivov in potencialov predstavljajo ključen prispevek k uravnoteženemu razvoju, višji dodani vrednosti in dvigu odpornosti posameznih regij. Uporabljali bomo nepovratna sredstva, utemeljitev je v 2. poglavju.</w:t>
            </w:r>
          </w:p>
        </w:tc>
      </w:tr>
      <w:tr w:rsidR="00823317" w14:paraId="0758841D"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761491"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8. Omogočanje regijam in ljudem, da obravnavajo socialne, zaposlitvene, gospodarske in okoljske učinke, ki jih ima prehod na energetske in podnebne cilje Unije do leta 2030 in na podnebno nevtralno gospodarstvo Unije do leta 2050 na podlagi Pariškega sporazuma</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FFB945"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t>JSO8.1. Omogočanje regijam in ljudem, da obravnavajo socialne, zaposlitvene, gospodarske in okoljske učinke, ki jih ima prehod na energetske in podnebne cilje Unije do leta 2030 in na podnebno nevtralno gospodarstvo Unije do leta 2050 na podlagi Pariškega sporazuma</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73678F"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EK je za Slovenijo v Poročilu o državi – Slovenija 2020 v Prilogi D opredelila dve območji, odvisni od fosilnih goriv: • Savinjsko-Šaleška (SAŠA) regija: V skladu z NEPN Slovenija v Strategiji za izstop iz premoga[133] opredeljuje leto 2033 za letnico izstopa iz premoga, kar pomeni popolno opustitev pridobivanja premoga v premogovniku Velenje (PV). Zaprtje rudnika je povezano predvsem z blaženjem učinkov na ljudi in skupnosti, zato mora biti spodbujanje pravičnega prehoda v središču postopnega opuščanja premoga. V letu 2020 je samo skupina PV neposredno zaposlovala okoli 2.300 prebivalcev Šaleške doline, kar je skoraj 10 % celotnega delovno aktivnega prebivalstva regije, poleg tega pa je dodatno še 10 % lokalnega gospodarstva neposredno odvisnih od prihodkov premogovništva in zaposluje od 1500 do 2000 prebivalcev. Industrija, povezana z rabo premoga, je v letu 2018 neposredno generirala približno 30 % vseh prihodkov, ustvarjenih v lokalnem gospodarstvu. Dolga rudarska tradicija ima vpliv na vedenjske vzorce (npr. zanašanje na gotovost zaposlitve ipd.), pustila pa je tudi negativne vplive na površje (porušene hiše in preseljeni ljudje, nastanek umetnih jezer zaradi posedanja terena…). Zaradi tako pomembnega vpliva premogovništva na ljudi in regijo, mora biti spodbujanje pravičnega </w:t>
            </w:r>
            <w:r>
              <w:rPr>
                <w:rFonts w:ascii="TimesNewRoman" w:eastAsia="TimesNewRoman" w:hAnsi="TimesNewRoman" w:cs="TimesNewRoman"/>
                <w:color w:val="000000"/>
              </w:rPr>
              <w:lastRenderedPageBreak/>
              <w:t>prehoda v središču postopnega opuščanja premoga. • Zasavska regija: V letu 2020 v Zasavju ni bilo več pomembnih dejavnosti, povezanih s premogom, lokalno okolje pa je že v fazi prestrukturiranja gospodarstva zaradi izstopa iz premoga. Vendar pa v procesu zapiranja rudnikov (vključno z Rudnikom Trbovlje-Hrastnik; v nadaljevanju: RTH) niso bila v celoti upoštevana načela pravičnega prehoda, saj družbeno in gospodarsko prestrukturiranje v procesu ni bilo celovito obravnavano. Od leta 1995 je bilo izgubljenih 5.000 delovnih mest, leta 2017 je regija beležila primerjalno najnižji BDP na prebivalca (52,4 % slovenskega povprečja) in je imela enega najnižjih BDP na prebivalca v Sloveniji. Ukrepi, sprejeti z zakonom, ki ureja postopno zapiranje RTH in gospodarsko prestrukturiranje regije (sprejetim leta 2000), niso zagotovili ustreznega gospodarskega okrevanja regije. Uporabljali bomo nepovratna sredstva, utemeljitev je v 2. poglavju.</w:t>
            </w:r>
          </w:p>
        </w:tc>
      </w:tr>
    </w:tbl>
    <w:p w14:paraId="69D0F19F" w14:textId="77777777" w:rsidR="00A77B3E" w:rsidRPr="00EB2379" w:rsidRDefault="00B16CCF">
      <w:pPr>
        <w:spacing w:before="5pt"/>
        <w:rPr>
          <w:color w:val="000000"/>
          <w:lang w:val="it-IT"/>
        </w:rPr>
        <w:sectPr w:rsidR="00A77B3E" w:rsidRPr="00EB2379">
          <w:headerReference w:type="even" r:id="rId13"/>
          <w:headerReference w:type="default" r:id="rId14"/>
          <w:footerReference w:type="even" r:id="rId15"/>
          <w:footerReference w:type="default" r:id="rId16"/>
          <w:headerReference w:type="first" r:id="rId17"/>
          <w:footerReference w:type="first" r:id="rId18"/>
          <w:pgSz w:w="841.90pt" w:h="595.30pt" w:orient="landscape"/>
          <w:pgMar w:top="36pt" w:right="36pt" w:bottom="43.20pt" w:left="46.80pt" w:header="14.40pt" w:footer="3.60pt" w:gutter="0pt"/>
          <w:cols w:space="36pt"/>
          <w:noEndnote/>
          <w:docGrid w:linePitch="360"/>
        </w:sectPr>
      </w:pPr>
      <w:r w:rsidRPr="00EB2379">
        <w:rPr>
          <w:rFonts w:ascii="TimesNewRoman" w:eastAsia="TimesNewRoman" w:hAnsi="TimesNewRoman" w:cs="TimesNewRoman"/>
          <w:color w:val="000000"/>
          <w:lang w:val="it-IT"/>
        </w:rPr>
        <w:lastRenderedPageBreak/>
        <w:t>* Namenske prednostne naloge v skladu z uredbo o ESS+</w:t>
      </w:r>
    </w:p>
    <w:p w14:paraId="0FD25D98" w14:textId="77777777" w:rsidR="00A77B3E" w:rsidRDefault="00B16CCF">
      <w:pPr>
        <w:pStyle w:val="Naslov1"/>
        <w:spacing w:before="5pt" w:after="0pt"/>
        <w:rPr>
          <w:rFonts w:ascii="Times New Roman" w:hAnsi="Times New Roman" w:cs="Times New Roman"/>
          <w:b w:val="0"/>
          <w:color w:val="000000"/>
          <w:sz w:val="24"/>
        </w:rPr>
      </w:pPr>
      <w:bookmarkStart w:id="2" w:name="_Toc256000763"/>
      <w:r>
        <w:rPr>
          <w:rFonts w:ascii="Times New Roman" w:hAnsi="Times New Roman" w:cs="Times New Roman"/>
          <w:b w:val="0"/>
          <w:color w:val="000000"/>
          <w:sz w:val="24"/>
        </w:rPr>
        <w:lastRenderedPageBreak/>
        <w:t>2. Prednostne naloge</w:t>
      </w:r>
      <w:bookmarkEnd w:id="2"/>
    </w:p>
    <w:p w14:paraId="145D5B3A" w14:textId="77777777" w:rsidR="00A77B3E" w:rsidRDefault="00A77B3E">
      <w:pPr>
        <w:spacing w:before="5pt"/>
        <w:rPr>
          <w:color w:val="000000"/>
          <w:sz w:val="0"/>
        </w:rPr>
      </w:pPr>
    </w:p>
    <w:p w14:paraId="5C816CBA" w14:textId="77777777" w:rsidR="00A77B3E" w:rsidRDefault="00B16CCF">
      <w:pPr>
        <w:spacing w:before="5pt"/>
        <w:rPr>
          <w:color w:val="000000"/>
          <w:sz w:val="0"/>
        </w:rPr>
      </w:pPr>
      <w:r>
        <w:rPr>
          <w:color w:val="000000"/>
        </w:rPr>
        <w:t>Sklic: člen 22(2) in člen 22(3(c) uredbe o skupnih določbah</w:t>
      </w:r>
    </w:p>
    <w:p w14:paraId="6C34FF4C" w14:textId="77777777" w:rsidR="00A77B3E" w:rsidRPr="00EB2379" w:rsidRDefault="00B16CCF">
      <w:pPr>
        <w:pStyle w:val="Naslov2"/>
        <w:spacing w:before="5pt" w:after="0pt"/>
        <w:rPr>
          <w:rFonts w:ascii="TimesNewRoman" w:eastAsia="TimesNewRoman" w:hAnsi="TimesNewRoman" w:cs="TimesNewRoman"/>
          <w:b w:val="0"/>
          <w:i w:val="0"/>
          <w:color w:val="000000"/>
          <w:sz w:val="24"/>
          <w:lang w:val="it-IT"/>
        </w:rPr>
      </w:pPr>
      <w:bookmarkStart w:id="3" w:name="_Toc256000764"/>
      <w:r w:rsidRPr="00EB2379">
        <w:rPr>
          <w:rFonts w:ascii="TimesNewRoman" w:eastAsia="TimesNewRoman" w:hAnsi="TimesNewRoman" w:cs="TimesNewRoman"/>
          <w:b w:val="0"/>
          <w:i w:val="0"/>
          <w:color w:val="000000"/>
          <w:sz w:val="24"/>
          <w:lang w:val="it-IT"/>
        </w:rPr>
        <w:t>2.1. Prednostne naloge, razen tehnične pomoči</w:t>
      </w:r>
      <w:bookmarkEnd w:id="3"/>
    </w:p>
    <w:p w14:paraId="4832FDBF" w14:textId="77777777" w:rsidR="00A77B3E" w:rsidRPr="00EB2379" w:rsidRDefault="00A77B3E">
      <w:pPr>
        <w:spacing w:before="5pt"/>
        <w:rPr>
          <w:rFonts w:ascii="TimesNewRoman" w:eastAsia="TimesNewRoman" w:hAnsi="TimesNewRoman" w:cs="TimesNewRoman"/>
          <w:color w:val="000000"/>
          <w:sz w:val="0"/>
          <w:lang w:val="it-IT"/>
        </w:rPr>
      </w:pPr>
    </w:p>
    <w:p w14:paraId="673D5B08" w14:textId="77777777" w:rsidR="00A77B3E" w:rsidRPr="00EB2379" w:rsidRDefault="00B16CCF">
      <w:pPr>
        <w:pStyle w:val="Naslov3"/>
        <w:spacing w:before="5pt" w:after="0pt"/>
        <w:rPr>
          <w:rFonts w:ascii="Times New Roman" w:hAnsi="Times New Roman" w:cs="Times New Roman"/>
          <w:b w:val="0"/>
          <w:color w:val="000000"/>
          <w:sz w:val="24"/>
          <w:lang w:val="it-IT"/>
        </w:rPr>
      </w:pPr>
      <w:bookmarkStart w:id="4" w:name="_Toc256000765"/>
      <w:r w:rsidRPr="00EB2379">
        <w:rPr>
          <w:rFonts w:ascii="Times New Roman" w:hAnsi="Times New Roman" w:cs="Times New Roman"/>
          <w:b w:val="0"/>
          <w:color w:val="000000"/>
          <w:sz w:val="24"/>
          <w:lang w:val="it-IT"/>
        </w:rPr>
        <w:t>2.1.1. Prednostna naloga: 1. Inovacijska družba znanja</w:t>
      </w:r>
      <w:bookmarkEnd w:id="4"/>
      <w:r w:rsidRPr="00EB2379">
        <w:rPr>
          <w:rFonts w:ascii="Times New Roman" w:hAnsi="Times New Roman" w:cs="Times New Roman"/>
          <w:b w:val="0"/>
          <w:color w:val="000000"/>
          <w:sz w:val="24"/>
          <w:lang w:val="it-IT"/>
        </w:rPr>
        <w:t xml:space="preserve">  </w:t>
      </w:r>
    </w:p>
    <w:p w14:paraId="37DA2929" w14:textId="77777777" w:rsidR="00A77B3E" w:rsidRPr="00EB2379" w:rsidRDefault="00A77B3E">
      <w:pPr>
        <w:spacing w:before="5pt"/>
        <w:rPr>
          <w:color w:val="000000"/>
          <w:sz w:val="0"/>
          <w:lang w:val="it-IT"/>
        </w:rPr>
      </w:pPr>
    </w:p>
    <w:p w14:paraId="4769C8E9" w14:textId="77777777" w:rsidR="00A77B3E" w:rsidRDefault="00B16CCF">
      <w:pPr>
        <w:pStyle w:val="Naslov4"/>
        <w:spacing w:before="5pt" w:after="0pt"/>
        <w:rPr>
          <w:b w:val="0"/>
          <w:color w:val="000000"/>
          <w:sz w:val="24"/>
        </w:rPr>
      </w:pPr>
      <w:bookmarkStart w:id="5" w:name="_Toc256000766"/>
      <w:r w:rsidRPr="00EB2379">
        <w:rPr>
          <w:b w:val="0"/>
          <w:color w:val="000000"/>
          <w:sz w:val="24"/>
          <w:lang w:val="it-IT"/>
        </w:rPr>
        <w:t xml:space="preserve">2.1.1.1. Specifični cilj: RSO1.1. </w:t>
      </w:r>
      <w:r>
        <w:rPr>
          <w:b w:val="0"/>
          <w:color w:val="000000"/>
          <w:sz w:val="24"/>
        </w:rPr>
        <w:t>Razvoj in izboljšanje raziskovalne in inovacijske zmogljivosti ter uvajanje naprednih tehnologij (ESRR)</w:t>
      </w:r>
      <w:bookmarkEnd w:id="5"/>
    </w:p>
    <w:p w14:paraId="404D6345" w14:textId="77777777" w:rsidR="00A77B3E" w:rsidRDefault="00A77B3E">
      <w:pPr>
        <w:spacing w:before="5pt"/>
        <w:rPr>
          <w:color w:val="000000"/>
          <w:sz w:val="0"/>
        </w:rPr>
      </w:pPr>
    </w:p>
    <w:p w14:paraId="73E6129F" w14:textId="77777777" w:rsidR="00A77B3E" w:rsidRDefault="00B16CCF">
      <w:pPr>
        <w:pStyle w:val="Naslov4"/>
        <w:spacing w:before="5pt" w:after="0pt"/>
        <w:rPr>
          <w:b w:val="0"/>
          <w:color w:val="000000"/>
          <w:sz w:val="24"/>
        </w:rPr>
      </w:pPr>
      <w:bookmarkStart w:id="6" w:name="_Toc256000767"/>
      <w:r>
        <w:rPr>
          <w:b w:val="0"/>
          <w:color w:val="000000"/>
          <w:sz w:val="24"/>
        </w:rPr>
        <w:t>2.1.1.1.1. Ukrepi skladov</w:t>
      </w:r>
      <w:bookmarkEnd w:id="6"/>
    </w:p>
    <w:p w14:paraId="5C6565AE" w14:textId="77777777" w:rsidR="00A77B3E" w:rsidRDefault="00A77B3E">
      <w:pPr>
        <w:spacing w:before="5pt"/>
        <w:rPr>
          <w:color w:val="000000"/>
          <w:sz w:val="0"/>
        </w:rPr>
      </w:pPr>
    </w:p>
    <w:p w14:paraId="38FAB13B" w14:textId="77777777" w:rsidR="00A77B3E" w:rsidRDefault="00B16CCF">
      <w:pPr>
        <w:spacing w:before="5pt"/>
        <w:rPr>
          <w:color w:val="000000"/>
          <w:sz w:val="0"/>
        </w:rPr>
      </w:pPr>
      <w:r>
        <w:rPr>
          <w:color w:val="000000"/>
        </w:rPr>
        <w:t>Sklic: člen 22(3)(d)(i), (iii), (iv), (v), (vi) in (vii) uredbe o skupnih določbah</w:t>
      </w:r>
    </w:p>
    <w:p w14:paraId="046E094B" w14:textId="77777777" w:rsidR="00A77B3E" w:rsidRDefault="00B16CCF">
      <w:pPr>
        <w:pStyle w:val="Naslov5"/>
        <w:spacing w:before="5pt" w:after="0pt"/>
        <w:rPr>
          <w:b w:val="0"/>
          <w:i w:val="0"/>
          <w:color w:val="000000"/>
          <w:sz w:val="24"/>
        </w:rPr>
      </w:pPr>
      <w:bookmarkStart w:id="7" w:name="_Toc256000768"/>
      <w:r>
        <w:rPr>
          <w:b w:val="0"/>
          <w:i w:val="0"/>
          <w:color w:val="000000"/>
          <w:sz w:val="24"/>
        </w:rPr>
        <w:t>Povezane vrste ukrepov – člen 22(3)(d)(i) uredbe o skupnih določbah in člen 6 uredbe o ESS+:</w:t>
      </w:r>
      <w:bookmarkEnd w:id="7"/>
    </w:p>
    <w:p w14:paraId="0C67221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4D552D92"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tcPr>
          <w:p w14:paraId="6B93ADC3" w14:textId="77777777" w:rsidR="00A77B3E" w:rsidRDefault="00A77B3E">
            <w:pPr>
              <w:spacing w:before="5pt"/>
              <w:rPr>
                <w:color w:val="000000"/>
                <w:sz w:val="0"/>
              </w:rPr>
            </w:pPr>
          </w:p>
          <w:p w14:paraId="1B7DF0C7" w14:textId="77777777" w:rsidR="00A77B3E" w:rsidRDefault="00B16CCF">
            <w:pPr>
              <w:spacing w:before="5pt"/>
              <w:rPr>
                <w:color w:val="000000"/>
              </w:rPr>
            </w:pPr>
            <w:r>
              <w:rPr>
                <w:color w:val="000000"/>
              </w:rPr>
              <w:t>V skladu s Priporočilom Sveta EU za leto 2019 bomo izboljšali raziskovalni, razvojni in inovacijski ekosistem in zagotavljali vlaganja v RRI. Sredstva bodo namenjena krepitvi raziskovalne in inovacijske zmogljivosti ter uporabi naprednih tehnologij, da se:</w:t>
            </w:r>
          </w:p>
          <w:p w14:paraId="498ABB2A" w14:textId="77777777" w:rsidR="00A77B3E" w:rsidRDefault="00B16CCF">
            <w:pPr>
              <w:numPr>
                <w:ilvl w:val="0"/>
                <w:numId w:val="1"/>
              </w:numPr>
              <w:spacing w:before="5pt"/>
              <w:rPr>
                <w:color w:val="000000"/>
              </w:rPr>
            </w:pPr>
            <w:r>
              <w:rPr>
                <w:color w:val="000000"/>
              </w:rPr>
              <w:t>okrepi raziskovalna in inovacijska uspešnost ter spodbudi rast produktivnosti z opredelitvijo področij Slovenske strategije trajnostne pametne specializacije (S5)[1] ter</w:t>
            </w:r>
          </w:p>
          <w:p w14:paraId="6A3B0EED" w14:textId="77777777" w:rsidR="00A77B3E" w:rsidRDefault="00B16CCF">
            <w:pPr>
              <w:numPr>
                <w:ilvl w:val="0"/>
                <w:numId w:val="1"/>
              </w:numPr>
              <w:spacing w:before="5pt"/>
              <w:rPr>
                <w:color w:val="000000"/>
              </w:rPr>
            </w:pPr>
            <w:r>
              <w:rPr>
                <w:color w:val="000000"/>
              </w:rPr>
              <w:t>poveča dodana vrednost gospodarstva in se Slovenija vrne med države močne inovatorke s povečanjem števila inovativnih podjetij na področjih S5.</w:t>
            </w:r>
          </w:p>
          <w:p w14:paraId="76B87DAD" w14:textId="77777777" w:rsidR="00A77B3E" w:rsidRDefault="00A77B3E">
            <w:pPr>
              <w:spacing w:before="5pt"/>
              <w:rPr>
                <w:color w:val="000000"/>
              </w:rPr>
            </w:pPr>
          </w:p>
          <w:p w14:paraId="1EBA3F0D" w14:textId="77777777" w:rsidR="00A77B3E" w:rsidRDefault="00B16CCF">
            <w:pPr>
              <w:spacing w:before="5pt"/>
              <w:rPr>
                <w:color w:val="000000"/>
              </w:rPr>
            </w:pPr>
            <w:r>
              <w:rPr>
                <w:color w:val="000000"/>
              </w:rPr>
              <w:t>Z izvajanjem ukrepov v 2014-2020 smo prispevali k dvigu podjetniških vlaganj v RRI (2018 do 2021 dvignil iz 1,40 na 1,55 % BDP), zato so ti ukrepi nujni.</w:t>
            </w:r>
          </w:p>
          <w:p w14:paraId="6A118A18" w14:textId="77777777" w:rsidR="00A77B3E" w:rsidRDefault="00A77B3E">
            <w:pPr>
              <w:spacing w:before="5pt"/>
              <w:rPr>
                <w:color w:val="000000"/>
              </w:rPr>
            </w:pPr>
          </w:p>
          <w:p w14:paraId="3DEBB9A6" w14:textId="77777777" w:rsidR="00A77B3E" w:rsidRPr="00EB2379" w:rsidRDefault="00B16CCF">
            <w:pPr>
              <w:spacing w:before="5pt"/>
              <w:rPr>
                <w:color w:val="000000"/>
                <w:lang w:val="it-IT"/>
              </w:rPr>
            </w:pPr>
            <w:r w:rsidRPr="00EB2379">
              <w:rPr>
                <w:color w:val="000000"/>
                <w:lang w:val="it-IT"/>
              </w:rPr>
              <w:t>Ukrepi bodo v celoti izhajali iz S5 in bodo osredotočeni na:</w:t>
            </w:r>
          </w:p>
          <w:p w14:paraId="173DE39C" w14:textId="77777777" w:rsidR="00A77B3E" w:rsidRPr="00EB2379" w:rsidRDefault="00B16CCF">
            <w:pPr>
              <w:numPr>
                <w:ilvl w:val="0"/>
                <w:numId w:val="2"/>
              </w:numPr>
              <w:spacing w:before="5pt"/>
              <w:rPr>
                <w:color w:val="000000"/>
                <w:lang w:val="it-IT"/>
              </w:rPr>
            </w:pPr>
            <w:r w:rsidRPr="00EB2379">
              <w:rPr>
                <w:i/>
                <w:iCs/>
                <w:color w:val="000000"/>
                <w:lang w:val="it-IT"/>
              </w:rPr>
              <w:t>izboljšanje inovacijskega sistema v Sloveniji in spodbude za prenos znanja</w:t>
            </w:r>
            <w:r w:rsidRPr="00EB2379">
              <w:rPr>
                <w:color w:val="000000"/>
                <w:lang w:val="it-IT"/>
              </w:rPr>
              <w:t>, kjer bodo ukrepi usmerjeni v:</w:t>
            </w:r>
          </w:p>
          <w:p w14:paraId="3C518408" w14:textId="77777777" w:rsidR="00A77B3E" w:rsidRPr="00EB2379" w:rsidRDefault="00B16CCF">
            <w:pPr>
              <w:numPr>
                <w:ilvl w:val="1"/>
                <w:numId w:val="2"/>
              </w:numPr>
              <w:spacing w:before="5pt"/>
              <w:rPr>
                <w:color w:val="000000"/>
                <w:lang w:val="it-IT"/>
              </w:rPr>
            </w:pPr>
            <w:r w:rsidRPr="00EB2379">
              <w:rPr>
                <w:color w:val="000000"/>
                <w:lang w:val="it-IT"/>
              </w:rPr>
              <w:t>združevanje gospodarstva, institucij znanja ter lokalnih skupnosti in države ter drugih deležnikov inoviranja (petorna vijačnica) s pomočjo nadgradnje strateških razvojno inovacijskih partnerstev (v nadaljevanju: SRIP). Nadaljevali bomo proces osredotočenja znotraj področij uporabe S5, v smeri novih prodornih inovativnih proizvodov in storitev v (globalnih) verigah vrednosti. S ciljno usmerjenimi ukrepi bomo povečali financiranje področja RRI v javnem in zasebnem sektorju ter posledično spodbudili sodelovanje v petorni vijačnici inoviranja.</w:t>
            </w:r>
          </w:p>
          <w:p w14:paraId="1E42EEC4" w14:textId="77777777" w:rsidR="00A77B3E" w:rsidRPr="00EB2379" w:rsidRDefault="00B16CCF">
            <w:pPr>
              <w:numPr>
                <w:ilvl w:val="1"/>
                <w:numId w:val="2"/>
              </w:numPr>
              <w:spacing w:before="5pt"/>
              <w:rPr>
                <w:color w:val="000000"/>
                <w:lang w:val="it-IT"/>
              </w:rPr>
            </w:pPr>
            <w:r w:rsidRPr="00EB2379">
              <w:rPr>
                <w:color w:val="000000"/>
                <w:lang w:val="it-IT"/>
              </w:rPr>
              <w:t>Nadgradnjo podpornega okolja, kot so npr. pisarne za prenos znanja (v nadaljevanju: KTO), z nadaljnjo profesionalizacijo kadra in s spodbujanjem dejavnosti prenosa znanja za zagotovitev dolgoročnega prelivanja raziskovalnih rezultatov v gospodarstvo.</w:t>
            </w:r>
          </w:p>
          <w:p w14:paraId="08CE901A" w14:textId="77777777" w:rsidR="00A77B3E" w:rsidRPr="00EB2379" w:rsidRDefault="00B16CCF">
            <w:pPr>
              <w:numPr>
                <w:ilvl w:val="1"/>
                <w:numId w:val="2"/>
              </w:numPr>
              <w:spacing w:before="5pt"/>
              <w:rPr>
                <w:color w:val="000000"/>
                <w:lang w:val="it-IT"/>
              </w:rPr>
            </w:pPr>
            <w:r w:rsidRPr="00EB2379">
              <w:rPr>
                <w:color w:val="000000"/>
                <w:lang w:val="it-IT"/>
              </w:rPr>
              <w:lastRenderedPageBreak/>
              <w:t>Ustvarjalno (tudi mednarodno) povezovanje področij znanosti, umetnosti, tehnologije in gospodarstva s spodbujanjem produkcije raziskovalnih umetnosti in kulture ter globalno najbolj prodornih idej. Namen ukrepa je sinergija slovenske mreže regionalnih centrov s krepitvijo infrastrukturnih, vsebinskih in človeških potencialov.</w:t>
            </w:r>
          </w:p>
          <w:p w14:paraId="777AE014" w14:textId="77777777" w:rsidR="00A77B3E" w:rsidRPr="00EB2379" w:rsidRDefault="00B16CCF">
            <w:pPr>
              <w:numPr>
                <w:ilvl w:val="1"/>
                <w:numId w:val="2"/>
              </w:numPr>
              <w:spacing w:before="5pt"/>
              <w:rPr>
                <w:color w:val="000000"/>
                <w:lang w:val="it-IT"/>
              </w:rPr>
            </w:pPr>
            <w:r w:rsidRPr="00EB2379">
              <w:rPr>
                <w:color w:val="000000"/>
                <w:lang w:val="it-IT"/>
              </w:rPr>
              <w:t>Izvajanje ukrepov za učinkovito upravljanje, povezovanje in krepitev kapacitet izvajalcev nalog na področju RRI kot dopolnjevanje izvajanja reforme upravljanja znanstvenoraziskovalnega in inovacijskega ekosistema iz NOO. Cilj je povezovanje delujočih inovacijskih mrež v podporo RRI (SRIP, SIO, SPOT, Fablab, Center kreativnosti, konzorcij KTO), ki delujejo razdrobljeno. Obstoječa raziskovalna infrastruktura in partnerstva med institucijami bodo podlaga za vzpostavitev infrastrukturnih in institucionalnih povezav v državnem in EU okviru, partnerstva pa bodo odprta za nadaljnje širitve in združevanja;</w:t>
            </w:r>
          </w:p>
          <w:p w14:paraId="3FF346AB" w14:textId="77777777" w:rsidR="00A77B3E" w:rsidRPr="00EB2379" w:rsidRDefault="00A77B3E">
            <w:pPr>
              <w:spacing w:before="5pt"/>
              <w:rPr>
                <w:color w:val="000000"/>
                <w:lang w:val="it-IT"/>
              </w:rPr>
            </w:pPr>
          </w:p>
          <w:p w14:paraId="72EADB12" w14:textId="77777777" w:rsidR="00A77B3E" w:rsidRPr="00EB2379" w:rsidRDefault="00B16CCF">
            <w:pPr>
              <w:numPr>
                <w:ilvl w:val="0"/>
                <w:numId w:val="3"/>
              </w:numPr>
              <w:spacing w:before="5pt"/>
              <w:rPr>
                <w:color w:val="000000"/>
                <w:lang w:val="it-IT"/>
              </w:rPr>
            </w:pPr>
            <w:r w:rsidRPr="00EB2379">
              <w:rPr>
                <w:color w:val="000000"/>
                <w:lang w:val="it-IT"/>
              </w:rPr>
              <w:t>področje</w:t>
            </w:r>
            <w:r w:rsidRPr="00EB2379">
              <w:rPr>
                <w:i/>
                <w:iCs/>
                <w:color w:val="000000"/>
                <w:lang w:val="it-IT"/>
              </w:rPr>
              <w:t xml:space="preserve"> krepitve kapacitet za raziskave</w:t>
            </w:r>
            <w:r w:rsidRPr="00EB2379">
              <w:rPr>
                <w:color w:val="000000"/>
                <w:lang w:val="it-IT"/>
              </w:rPr>
              <w:t>, kjer bodo podprti ukrepi usmerjeni v:</w:t>
            </w:r>
          </w:p>
          <w:p w14:paraId="36E33049" w14:textId="77777777" w:rsidR="00A77B3E" w:rsidRPr="00EB2379" w:rsidRDefault="00B16CCF">
            <w:pPr>
              <w:numPr>
                <w:ilvl w:val="1"/>
                <w:numId w:val="3"/>
              </w:numPr>
              <w:spacing w:before="5pt"/>
              <w:rPr>
                <w:color w:val="000000"/>
                <w:lang w:val="it-IT"/>
              </w:rPr>
            </w:pPr>
            <w:r w:rsidRPr="00EB2379">
              <w:rPr>
                <w:color w:val="000000"/>
                <w:lang w:val="it-IT"/>
              </w:rPr>
              <w:t>izgradnjo in vzpostavitev raziskovalne infrastrukture (tudi e-infrastrukture) skladno s S5. Z vlaganjem v vrhunsko raziskovalno opremo, vključno s prostorskimi pogoji, bomo bistveno izboljšali ustrezna znanstvena in tehnološka področja, spodbujali partnerstva za RRI z industrijo, prispevali k mobilnosti znanja in raziskovalcev v raziskovalnem prostoru ter k razširjanju in optimizaciji rezultatov. Obstoječa raziskovalna oprema je večinoma 100 % izkoriščena in amortizirana. Načrtujemo nadaljnje financiranje izgradnje in nadgradnje nacionalne infrastrukture na prednostnih področjih Načrta razvojno-raziskovalnih infrastruktur, tako v okviru implementiranih mednarodnih RI projektov kot na področju nacionalnih prioritet. Uravnoteženo bomo vlagali v obeh kohezijskih regijah. Nova raziskovalna infrastruktura je nujna zaradi integracije različnih znanstvenih ved in razvoja tehnologij za gospodarstvo ob koncentraciji vrhunskih znanstvenih kapacitet. Poleg krepitve kapacitet za RRI je pomembna tudi krepitev vloge in pomena znanosti v družbi, širjenje inovacijske in tehniške kulture, ter spodbujanje naložb podjetij v RRI ter nadgradnja povezav v petorni vijačnici inoviranja. Glede na stanje regijske razporeditve potencialov ter cilj ponovne vrnitve Slovenije med močne inovatorke so nujna vlaganja v obeh kohezijskih regijah, zato načrtujemo krepitev kapacitet za RRI, kjer so potrebe najbolj izkazane (v KRZS npr. naravoslovne znanosti in inženirstvo na področju strojništva, s prioritetnim projektom Fakulteta za strojništvo; v KRVS pa npr. vzpostavitev sodobnega tehnološkega centra INNOVUM, ki temelji na obstoječi RRI infrastrukturi, človeških virih in RRI projektih). S tem bodo vzpostavljena ekosistemska okolja za doseganje prebojnih rezultatov;</w:t>
            </w:r>
          </w:p>
          <w:p w14:paraId="44C025FA" w14:textId="77777777" w:rsidR="00A77B3E" w:rsidRPr="00EB2379" w:rsidRDefault="00A77B3E">
            <w:pPr>
              <w:spacing w:before="5pt"/>
              <w:rPr>
                <w:color w:val="000000"/>
                <w:lang w:val="it-IT"/>
              </w:rPr>
            </w:pPr>
          </w:p>
          <w:p w14:paraId="1A7DD046" w14:textId="77777777" w:rsidR="00A77B3E" w:rsidRPr="00EB2379" w:rsidRDefault="00B16CCF">
            <w:pPr>
              <w:numPr>
                <w:ilvl w:val="0"/>
                <w:numId w:val="4"/>
              </w:numPr>
              <w:spacing w:before="5pt"/>
              <w:rPr>
                <w:color w:val="000000"/>
                <w:lang w:val="it-IT"/>
              </w:rPr>
            </w:pPr>
            <w:r w:rsidRPr="00EB2379">
              <w:rPr>
                <w:color w:val="000000"/>
                <w:lang w:val="it-IT"/>
              </w:rPr>
              <w:t xml:space="preserve">področje </w:t>
            </w:r>
            <w:r w:rsidRPr="00EB2379">
              <w:rPr>
                <w:i/>
                <w:iCs/>
                <w:color w:val="000000"/>
                <w:lang w:val="it-IT"/>
              </w:rPr>
              <w:t>krepitve vlaganj v raziskovalno razvojne in inovacijske projekte ter sodelovanje med deležniki petorne vijačnice inoviranja</w:t>
            </w:r>
            <w:r w:rsidRPr="00EB2379">
              <w:rPr>
                <w:color w:val="000000"/>
                <w:lang w:val="it-IT"/>
              </w:rPr>
              <w:t>, kjer bodo ukrepi oz. spodbude komplementarno ukrepom iz NOO namenjeni:</w:t>
            </w:r>
          </w:p>
          <w:p w14:paraId="67ABC8D9" w14:textId="77777777" w:rsidR="00A77B3E" w:rsidRDefault="00B16CCF">
            <w:pPr>
              <w:numPr>
                <w:ilvl w:val="1"/>
                <w:numId w:val="4"/>
              </w:numPr>
              <w:spacing w:before="5pt"/>
              <w:rPr>
                <w:color w:val="000000"/>
              </w:rPr>
            </w:pPr>
            <w:r w:rsidRPr="00EB2379">
              <w:rPr>
                <w:color w:val="000000"/>
                <w:lang w:val="it-IT"/>
              </w:rPr>
              <w:t xml:space="preserve">krepitvi vlaganj v raziskovalno razvojne in inovacijske projekte ter povezovanju med deležniki. </w:t>
            </w:r>
            <w:r>
              <w:rPr>
                <w:color w:val="000000"/>
              </w:rPr>
              <w:t>Stopnja specializacije in velikosti inštrumentov se bo razlikovala med:</w:t>
            </w:r>
          </w:p>
          <w:p w14:paraId="4445083F" w14:textId="77777777" w:rsidR="00A77B3E" w:rsidRDefault="00B16CCF">
            <w:pPr>
              <w:numPr>
                <w:ilvl w:val="2"/>
                <w:numId w:val="4"/>
              </w:numPr>
              <w:spacing w:before="5pt"/>
              <w:rPr>
                <w:color w:val="000000"/>
              </w:rPr>
            </w:pPr>
            <w:r>
              <w:rPr>
                <w:color w:val="000000"/>
              </w:rPr>
              <w:t>najbolj specializiranimi višjimi ravnmi (TRL 6-9), kjer je ključna inovativna usmerjenost in skorajšnja komercializacija, zato bodo projekti manjši, z manj partnerji, ključni bo partner iz gospodarstva;</w:t>
            </w:r>
          </w:p>
          <w:p w14:paraId="275A2371" w14:textId="77777777" w:rsidR="00A77B3E" w:rsidRDefault="00B16CCF">
            <w:pPr>
              <w:numPr>
                <w:ilvl w:val="2"/>
                <w:numId w:val="4"/>
              </w:numPr>
              <w:spacing w:before="5pt"/>
              <w:rPr>
                <w:color w:val="000000"/>
              </w:rPr>
            </w:pPr>
            <w:r>
              <w:rPr>
                <w:color w:val="000000"/>
              </w:rPr>
              <w:t>nižjimi ravnmi (TRL 3-6), kjer bo pomembna odprtost in razvoj obetavnih področij, in kjer je pričakovati skupno delo subjektov, ki so si v fazi komercializacije lahko konkurenčni. V teh fazah gre za razvoj novega ključnega znanja, zato bodo inštrumenti večji, z več sodelujočimi partnerji, ki bodo v sodelovanju iskali tudi medsebojne sinergije.</w:t>
            </w:r>
          </w:p>
          <w:p w14:paraId="480E75A0" w14:textId="77777777" w:rsidR="00A77B3E" w:rsidRDefault="00B16CCF">
            <w:pPr>
              <w:numPr>
                <w:ilvl w:val="1"/>
                <w:numId w:val="4"/>
              </w:numPr>
              <w:spacing w:before="5pt"/>
              <w:rPr>
                <w:color w:val="000000"/>
              </w:rPr>
            </w:pPr>
            <w:r>
              <w:rPr>
                <w:color w:val="000000"/>
              </w:rPr>
              <w:lastRenderedPageBreak/>
              <w:t>Pomoči podjetjem pri testiranju tehnologij umetne inteligence pred vstopom na trg.</w:t>
            </w:r>
          </w:p>
          <w:p w14:paraId="6DC35137" w14:textId="77777777" w:rsidR="00A77B3E" w:rsidRDefault="00B16CCF">
            <w:pPr>
              <w:numPr>
                <w:ilvl w:val="1"/>
                <w:numId w:val="4"/>
              </w:numPr>
              <w:spacing w:before="5pt"/>
              <w:rPr>
                <w:color w:val="000000"/>
              </w:rPr>
            </w:pPr>
            <w:r>
              <w:rPr>
                <w:color w:val="000000"/>
              </w:rPr>
              <w:t>Podpori aplikativnim raziskavam na ravni »TRL 3-6«, ki so ključnega pomena z vidika prenosa znanja in njegove komercializacije, pri čimer bomo nadgradili uspešno zaključene aplikativne projekte agencije ARRS.</w:t>
            </w:r>
          </w:p>
          <w:p w14:paraId="790F9FDE" w14:textId="77777777" w:rsidR="00A77B3E" w:rsidRDefault="00B16CCF">
            <w:pPr>
              <w:numPr>
                <w:ilvl w:val="1"/>
                <w:numId w:val="4"/>
              </w:numPr>
              <w:spacing w:before="5pt"/>
              <w:rPr>
                <w:color w:val="000000"/>
              </w:rPr>
            </w:pPr>
            <w:r>
              <w:rPr>
                <w:color w:val="000000"/>
              </w:rPr>
              <w:t>Ukrepu za financiranje preizkusa koncepta kot lijaka za nadaljevanje financiranja temeljnih raziskav.</w:t>
            </w:r>
          </w:p>
          <w:p w14:paraId="6774EF46" w14:textId="77777777" w:rsidR="00A77B3E" w:rsidRDefault="00B16CCF">
            <w:pPr>
              <w:numPr>
                <w:ilvl w:val="1"/>
                <w:numId w:val="4"/>
              </w:numPr>
              <w:spacing w:before="5pt"/>
              <w:rPr>
                <w:color w:val="000000"/>
              </w:rPr>
            </w:pPr>
            <w:r>
              <w:rPr>
                <w:color w:val="000000"/>
              </w:rPr>
              <w:t>Projektom spodbujanja raziskovalcev na začetku kariere v (domačih in tujih) raziskovalnih organizacijah, namenjenih različnim oblikam prenosa znanja med akademsko sfero in gospodarstvom ter krepitvi raziskovalnega potenciala institucij znanja in razvojno naravnanih gospodarskih subjektov.</w:t>
            </w:r>
          </w:p>
          <w:p w14:paraId="0C0C325D" w14:textId="77777777" w:rsidR="00A77B3E" w:rsidRDefault="00B16CCF">
            <w:pPr>
              <w:numPr>
                <w:ilvl w:val="1"/>
                <w:numId w:val="4"/>
              </w:numPr>
              <w:spacing w:before="5pt"/>
              <w:rPr>
                <w:color w:val="000000"/>
              </w:rPr>
            </w:pPr>
            <w:r>
              <w:rPr>
                <w:color w:val="000000"/>
              </w:rPr>
              <w:t>Zaposlovanju raziskovalcev v gospodarstvu, ki si želijo pridobiti izkušnje za soočanje z izzivi v gospodarstvu, ter podjetjem, ki si želijo pridobiti kakovostne človeške vire za krepitev RRI timov in razvoj visokotehnoloških izdelkov, tehnologij in storitev. Gospodarstvo bomo podprli z najvišje izobraženimi raziskovalci, kar bo pripomoglo k bolj učinkovitemu sodelovanju med gospodarstvom in institucijami znanja;</w:t>
            </w:r>
          </w:p>
          <w:p w14:paraId="4AF4DCC5" w14:textId="77777777" w:rsidR="00A77B3E" w:rsidRDefault="00A77B3E">
            <w:pPr>
              <w:spacing w:before="5pt"/>
              <w:rPr>
                <w:color w:val="000000"/>
              </w:rPr>
            </w:pPr>
          </w:p>
          <w:p w14:paraId="2EC65A3E" w14:textId="77777777" w:rsidR="00A77B3E" w:rsidRDefault="00B16CCF">
            <w:pPr>
              <w:numPr>
                <w:ilvl w:val="0"/>
                <w:numId w:val="5"/>
              </w:numPr>
              <w:spacing w:before="5pt"/>
              <w:rPr>
                <w:color w:val="000000"/>
              </w:rPr>
            </w:pPr>
            <w:r>
              <w:rPr>
                <w:color w:val="000000"/>
              </w:rPr>
              <w:t>področje</w:t>
            </w:r>
            <w:r>
              <w:rPr>
                <w:b/>
                <w:bCs/>
                <w:i/>
                <w:iCs/>
                <w:color w:val="000000"/>
              </w:rPr>
              <w:t xml:space="preserve"> </w:t>
            </w:r>
            <w:r>
              <w:rPr>
                <w:i/>
                <w:iCs/>
                <w:color w:val="000000"/>
              </w:rPr>
              <w:t>sodelovanja v evropskem raziskovalnem prostoru in krepitve sinergij med različnimi viri financiranja in razvojne internacionalizacije s spodbujanjem sodelovanja podjetij in raziskovalno-razvojnih institucij na skupnih raziskovalno-razvojno-inovacijskih projektih na mednarodni ravni</w:t>
            </w:r>
            <w:r>
              <w:rPr>
                <w:color w:val="000000"/>
              </w:rPr>
              <w:t>, kjer pa so predvideni naslednji ukrepi:</w:t>
            </w:r>
          </w:p>
          <w:p w14:paraId="0A80CCDA" w14:textId="77777777" w:rsidR="00A77B3E" w:rsidRDefault="00B16CCF">
            <w:pPr>
              <w:numPr>
                <w:ilvl w:val="1"/>
                <w:numId w:val="5"/>
              </w:numPr>
              <w:spacing w:before="5pt"/>
              <w:rPr>
                <w:color w:val="000000"/>
              </w:rPr>
            </w:pPr>
            <w:r>
              <w:rPr>
                <w:color w:val="000000"/>
              </w:rPr>
              <w:t xml:space="preserve">instrumenti komplem. financ. in združevanja različnih virov: sofinancirali bomo predvsem projekte v okviru ukrepa za spodbujanje udeležbe in širjenje odličnosti, ki se bodo nanašali na komplem. financ. operacije iz različnih virov (npr. Teaming); projekte, ki spodbujajo vzpostavljanje razisk. infrastruktur in skupnih evr. podatkovnih prostorov (npr. EuroHPC, EOSC); projekte v okviru ukrepa za spodbujanje udeležbe in širjenje odličnosti, ki so bili pozitivno ocenjeni, a jih ni bilo mogoče financirati (npr. ERA Chair, ERA talenti, ERA štipendije); projekte v okviru stebra odlična znanost (npr. projekte MSCA COFUND) ali drugih področij Obzorja Evropa in programov raz. in inov. partnerstev. </w:t>
            </w:r>
            <w:r w:rsidRPr="00EB2379">
              <w:rPr>
                <w:color w:val="000000"/>
                <w:lang w:val="it-IT"/>
              </w:rPr>
              <w:t xml:space="preserve">Omogočilo se bo tudi fin. vzpostavitve nac. raz. infrast. za sekvenciranje genomov v skladu z evropsko pobudo "1+milion genomov". </w:t>
            </w:r>
            <w:r>
              <w:rPr>
                <w:color w:val="000000"/>
              </w:rPr>
              <w:t>Financirani bodo tudi proj. Eurostars, Eureka in EIC instrument.</w:t>
            </w:r>
          </w:p>
          <w:p w14:paraId="0A3F6FE3" w14:textId="77777777" w:rsidR="00A77B3E" w:rsidRDefault="00B16CCF">
            <w:pPr>
              <w:numPr>
                <w:ilvl w:val="1"/>
                <w:numId w:val="5"/>
              </w:numPr>
              <w:spacing w:before="5pt"/>
              <w:rPr>
                <w:color w:val="000000"/>
              </w:rPr>
            </w:pPr>
            <w:r>
              <w:rPr>
                <w:color w:val="000000"/>
              </w:rPr>
              <w:t>Za doseganje sinergij bo ključna podpora vključevanju slo. partnerjev v transnacionalne raz. razvojne in inovacijske proj., komplem. tudi raziskovalno razvojni in inovacijski projekti medregijskega sodelovanja, izbrani na čezregijskih skupnih razpisih in oblikovanje ustreznega komplementarnega instrumenta na nacionalni ravni, ki ga bo mogoče povezati s t.i. plug-in shemo v okviru Obzorja Evropa.</w:t>
            </w:r>
          </w:p>
          <w:p w14:paraId="3EB3FCC8" w14:textId="77777777" w:rsidR="00A77B3E" w:rsidRDefault="00A77B3E">
            <w:pPr>
              <w:spacing w:before="5pt"/>
              <w:rPr>
                <w:color w:val="000000"/>
              </w:rPr>
            </w:pPr>
          </w:p>
          <w:p w14:paraId="19F549AB" w14:textId="77777777" w:rsidR="00A77B3E" w:rsidRDefault="00B16CCF">
            <w:pPr>
              <w:spacing w:before="5pt"/>
              <w:rPr>
                <w:color w:val="000000"/>
              </w:rPr>
            </w:pPr>
            <w:r>
              <w:rPr>
                <w:color w:val="000000"/>
              </w:rPr>
              <w:t>S5 z osredotočanjem na prioritetna področja preko svežnja ukrepov pomembno prispeva k ciljem EU pobude Podnebno nevtralna in pametna mesta 2030 (npr. PMIS, PSIDL, Krožno, ToP) ter pobude Novi evropski Bauhaus.</w:t>
            </w:r>
          </w:p>
          <w:p w14:paraId="7217E3C2" w14:textId="77777777" w:rsidR="00A77B3E" w:rsidRDefault="00A77B3E">
            <w:pPr>
              <w:spacing w:before="5pt"/>
              <w:rPr>
                <w:color w:val="000000"/>
              </w:rPr>
            </w:pPr>
          </w:p>
          <w:p w14:paraId="198983FD" w14:textId="77777777" w:rsidR="00A77B3E" w:rsidRDefault="00B16CCF">
            <w:pPr>
              <w:spacing w:before="5pt"/>
              <w:rPr>
                <w:color w:val="000000"/>
              </w:rPr>
            </w:pPr>
            <w:r>
              <w:rPr>
                <w:color w:val="000000"/>
              </w:rPr>
              <w:t>Pri oblikovanju končne vsebine ukrepov ter meril za njihov izbor in izvedbo bomo upoštevali relevantne omilitvene ukrepe in v največji možni meri tudi relevantna priporočila v skladu s Celovito presojo vplivov na okolje (Priloga: Omilitveni ukrepi in priporočila). Noben ukrep nima bistvenega škodljivega vpliva na katerega koli od šestih okoljskih ciljev pod pogojem upoštevanja tehničnih meril, navedenih v Prilogi: DNSH.</w:t>
            </w:r>
          </w:p>
          <w:p w14:paraId="4B9933C9" w14:textId="77777777" w:rsidR="00A77B3E" w:rsidRDefault="00A77B3E">
            <w:pPr>
              <w:spacing w:before="5pt"/>
              <w:rPr>
                <w:color w:val="000000"/>
              </w:rPr>
            </w:pPr>
          </w:p>
          <w:p w14:paraId="4F648CAC" w14:textId="77777777" w:rsidR="00A77B3E" w:rsidRDefault="00B16CCF">
            <w:pPr>
              <w:spacing w:before="5pt"/>
              <w:rPr>
                <w:color w:val="000000"/>
              </w:rPr>
            </w:pPr>
            <w:r>
              <w:rPr>
                <w:color w:val="000000"/>
              </w:rPr>
              <w:t>[1] Pametna mesta in skupnosti (PMIS), Horizontalna mreža informacijsko-komunikacijskih tehnologij (HOM IKT), Zdravje-medicina, Pametne stavbe in dom z lesno verigo (PSIDL), Trajnostna pridelava hrane, Mreže za prehod v krožno gospodarstvo, Trajnostni turizem, Mobilnost, Tovarne prihodnosti (ToP), Materiali kot končni produkti.</w:t>
            </w:r>
          </w:p>
          <w:p w14:paraId="5F75767A" w14:textId="77777777" w:rsidR="00A77B3E" w:rsidRDefault="00A77B3E">
            <w:pPr>
              <w:spacing w:before="5pt"/>
              <w:rPr>
                <w:color w:val="000000"/>
                <w:sz w:val="6"/>
              </w:rPr>
            </w:pPr>
          </w:p>
          <w:p w14:paraId="384F17EA" w14:textId="77777777" w:rsidR="00A77B3E" w:rsidRDefault="00A77B3E">
            <w:pPr>
              <w:spacing w:before="5pt"/>
              <w:rPr>
                <w:color w:val="000000"/>
                <w:sz w:val="6"/>
              </w:rPr>
            </w:pPr>
          </w:p>
        </w:tc>
      </w:tr>
    </w:tbl>
    <w:p w14:paraId="57C21168" w14:textId="77777777" w:rsidR="00A77B3E" w:rsidRDefault="00A77B3E">
      <w:pPr>
        <w:spacing w:before="5pt"/>
        <w:rPr>
          <w:color w:val="000000"/>
        </w:rPr>
      </w:pPr>
    </w:p>
    <w:p w14:paraId="4B2294AD" w14:textId="77777777" w:rsidR="00A77B3E" w:rsidRDefault="00B16CCF">
      <w:pPr>
        <w:pStyle w:val="Naslov5"/>
        <w:spacing w:before="5pt" w:after="0pt"/>
        <w:rPr>
          <w:b w:val="0"/>
          <w:i w:val="0"/>
          <w:color w:val="000000"/>
          <w:sz w:val="24"/>
        </w:rPr>
      </w:pPr>
      <w:bookmarkStart w:id="8" w:name="_Toc256000769"/>
      <w:r>
        <w:rPr>
          <w:b w:val="0"/>
          <w:i w:val="0"/>
          <w:color w:val="000000"/>
          <w:sz w:val="24"/>
        </w:rPr>
        <w:t>Glavne ciljne skupine – člen 22(3)(d)(iii) uredbe o skupnih določbah:</w:t>
      </w:r>
      <w:bookmarkEnd w:id="8"/>
    </w:p>
    <w:p w14:paraId="08AE9F2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00C545DB"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tcPr>
          <w:p w14:paraId="2E1C104E" w14:textId="77777777" w:rsidR="00A77B3E" w:rsidRDefault="00A77B3E">
            <w:pPr>
              <w:spacing w:before="5pt"/>
              <w:rPr>
                <w:color w:val="000000"/>
                <w:sz w:val="0"/>
              </w:rPr>
            </w:pPr>
          </w:p>
          <w:p w14:paraId="05AA4D37" w14:textId="77777777" w:rsidR="00A77B3E" w:rsidRDefault="00B16CCF">
            <w:pPr>
              <w:spacing w:before="5pt"/>
              <w:rPr>
                <w:color w:val="000000"/>
              </w:rPr>
            </w:pPr>
            <w:r>
              <w:rPr>
                <w:color w:val="000000"/>
              </w:rPr>
              <w:t>Ciljne skupine: podjetja, institucije znanja (raziskovalne organizacije, visokošolski zavodi, ipd.), razvojna partnerstva, subjekti podjetniškega in inovativnega okolja.</w:t>
            </w:r>
          </w:p>
          <w:p w14:paraId="7160F864" w14:textId="77777777" w:rsidR="00A77B3E" w:rsidRDefault="00A77B3E">
            <w:pPr>
              <w:spacing w:before="5pt"/>
              <w:rPr>
                <w:color w:val="000000"/>
              </w:rPr>
            </w:pPr>
          </w:p>
          <w:p w14:paraId="3026041F" w14:textId="77777777" w:rsidR="00A77B3E" w:rsidRDefault="00B16CCF">
            <w:pPr>
              <w:spacing w:before="5pt"/>
              <w:rPr>
                <w:color w:val="000000"/>
              </w:rPr>
            </w:pPr>
            <w:r>
              <w:rPr>
                <w:color w:val="000000"/>
              </w:rPr>
              <w:t>Upravičenci: raziskovalne organizacije, podjetja, razvojna partnerstva, subjekti s področja kulture, zbornice.</w:t>
            </w:r>
          </w:p>
          <w:p w14:paraId="3D78F367" w14:textId="77777777" w:rsidR="00A77B3E" w:rsidRDefault="00A77B3E">
            <w:pPr>
              <w:spacing w:before="5pt"/>
              <w:rPr>
                <w:color w:val="000000"/>
                <w:sz w:val="6"/>
              </w:rPr>
            </w:pPr>
          </w:p>
          <w:p w14:paraId="641E7D99" w14:textId="77777777" w:rsidR="00A77B3E" w:rsidRDefault="00A77B3E">
            <w:pPr>
              <w:spacing w:before="5pt"/>
              <w:rPr>
                <w:color w:val="000000"/>
                <w:sz w:val="6"/>
              </w:rPr>
            </w:pPr>
          </w:p>
        </w:tc>
      </w:tr>
    </w:tbl>
    <w:p w14:paraId="2B158BEC" w14:textId="77777777" w:rsidR="00A77B3E" w:rsidRDefault="00A77B3E">
      <w:pPr>
        <w:spacing w:before="5pt"/>
        <w:rPr>
          <w:color w:val="000000"/>
        </w:rPr>
      </w:pPr>
    </w:p>
    <w:p w14:paraId="74A59A66" w14:textId="77777777" w:rsidR="00A77B3E" w:rsidRDefault="00B16CCF">
      <w:pPr>
        <w:pStyle w:val="Naslov5"/>
        <w:spacing w:before="5pt" w:after="0pt"/>
        <w:rPr>
          <w:b w:val="0"/>
          <w:i w:val="0"/>
          <w:color w:val="000000"/>
          <w:sz w:val="24"/>
        </w:rPr>
      </w:pPr>
      <w:bookmarkStart w:id="9" w:name="_Toc256000770"/>
      <w:r>
        <w:rPr>
          <w:b w:val="0"/>
          <w:i w:val="0"/>
          <w:color w:val="000000"/>
          <w:sz w:val="24"/>
        </w:rPr>
        <w:t>Ukrepi za zaščito enakosti, vključenosti in nediskriminacije – člen 22(3)(d)(iv) uredbe o skupnih določbah in člen 6 uredbe o ESS+</w:t>
      </w:r>
      <w:bookmarkEnd w:id="9"/>
    </w:p>
    <w:p w14:paraId="1021333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rsidRPr="00EB2379" w14:paraId="1968AAAB"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tcPr>
          <w:p w14:paraId="64B62296" w14:textId="77777777" w:rsidR="00A77B3E" w:rsidRDefault="00A77B3E">
            <w:pPr>
              <w:spacing w:before="5pt"/>
              <w:rPr>
                <w:color w:val="000000"/>
                <w:sz w:val="0"/>
              </w:rPr>
            </w:pPr>
          </w:p>
          <w:p w14:paraId="3A59C662" w14:textId="77777777" w:rsidR="00A77B3E" w:rsidRPr="00EB2379" w:rsidRDefault="00B16CCF">
            <w:pPr>
              <w:spacing w:before="5pt"/>
              <w:rPr>
                <w:color w:val="000000"/>
                <w:lang w:val="it-IT"/>
              </w:rPr>
            </w:pPr>
            <w:r>
              <w:rPr>
                <w:color w:val="000000"/>
              </w:rPr>
              <w:t xml:space="preserve">Spoštovanje načel enakosti, vključenosti in nediskriminacije bo zagotovljeno pri izvajanju vseh aktivnosti na vseh ravneh skladno z nacionalno zakonodajo, pravnim redom EU in relevantnimi mednarodnimi dokumenti za varstvo človekovih pravic. Pri zagotavljanju enakih možnosti in boja proti diskriminaciji bosta upoštevana tudi Postopkovnik za zagotavljanje horizontalnega omogočitvenega pogoja »Učinkovita uporaba in izvajanje Listine o temeljnih pravicah« in Akcijski program za invalide 2022-2030 ter drugi relevantni dokumenti, ki bodo nastali v okviru izvajanja. </w:t>
            </w:r>
            <w:r w:rsidRPr="00EB2379">
              <w:rPr>
                <w:color w:val="000000"/>
                <w:lang w:val="it-IT"/>
              </w:rPr>
              <w:t xml:space="preserve">Načelo se bo upoštevalo tudi v okviru sistema upravljanja in nadzora. </w:t>
            </w:r>
          </w:p>
          <w:p w14:paraId="211C7B0A" w14:textId="77777777" w:rsidR="00A77B3E" w:rsidRPr="00EB2379" w:rsidRDefault="00A77B3E">
            <w:pPr>
              <w:spacing w:before="5pt"/>
              <w:rPr>
                <w:color w:val="000000"/>
                <w:lang w:val="it-IT"/>
              </w:rPr>
            </w:pPr>
          </w:p>
          <w:p w14:paraId="5CA8F583" w14:textId="77777777" w:rsidR="00A77B3E" w:rsidRPr="00EB2379" w:rsidRDefault="00B16CCF">
            <w:pPr>
              <w:spacing w:before="5pt"/>
              <w:rPr>
                <w:color w:val="000000"/>
                <w:lang w:val="it-IT"/>
              </w:rPr>
            </w:pPr>
            <w:r w:rsidRPr="00EB2379">
              <w:rPr>
                <w:color w:val="000000"/>
                <w:lang w:val="it-IT"/>
              </w:rPr>
              <w:t>Na področju znanstvenoraziskovalne in inovacijske dejavnosti v zvezi z zagotavljanjem enakosti spolov sledimo ciljem in ukrepom Resolucije o znanstveno raziskovalni in inovacijski strategiji Slovenije 2030 (ReZrlS30). Skladno z Ukrepom 6.4.4 ReZrlS30: Upoštevanje enakosti spolov pri financiranju raziskav, vključno z uveljavitvijo dimenzije spola v vsebine raziskovalnih dejavnosti bomo uveljavitev dimenzije spola v vsebinah raziskovalnih projektov implementirali kot horizontalno načelo znotraj projektov na področju raziskav in razvoja na ravni tehnološke pripravljenosti (TRL) 3-6, predvsem pri tistih, za katere je to smiselno. Hkrati kot enega izmed ukrepov naslavljamo področje mladih raziskovalcev, ki so ranljiva skupina z vidika prvih zaposlitev, pri čemer bomo posebno pozornost namenili nediskriminacije zaradi spola (npr. starševski dopust, ipd.).</w:t>
            </w:r>
          </w:p>
          <w:p w14:paraId="58DF9C59" w14:textId="77777777" w:rsidR="00A77B3E" w:rsidRPr="00EB2379" w:rsidRDefault="00A77B3E">
            <w:pPr>
              <w:spacing w:before="5pt"/>
              <w:rPr>
                <w:color w:val="000000"/>
                <w:sz w:val="6"/>
                <w:lang w:val="it-IT"/>
              </w:rPr>
            </w:pPr>
          </w:p>
          <w:p w14:paraId="157DE28B" w14:textId="77777777" w:rsidR="00A77B3E" w:rsidRPr="00EB2379" w:rsidRDefault="00A77B3E">
            <w:pPr>
              <w:spacing w:before="5pt"/>
              <w:rPr>
                <w:color w:val="000000"/>
                <w:sz w:val="6"/>
                <w:lang w:val="it-IT"/>
              </w:rPr>
            </w:pPr>
          </w:p>
        </w:tc>
      </w:tr>
    </w:tbl>
    <w:p w14:paraId="5F681020" w14:textId="77777777" w:rsidR="00A77B3E" w:rsidRPr="00EB2379" w:rsidRDefault="00A77B3E">
      <w:pPr>
        <w:spacing w:before="5pt"/>
        <w:rPr>
          <w:color w:val="000000"/>
          <w:lang w:val="it-IT"/>
        </w:rPr>
      </w:pPr>
    </w:p>
    <w:p w14:paraId="363F89B2" w14:textId="77777777" w:rsidR="00A77B3E" w:rsidRPr="00EB2379" w:rsidRDefault="00B16CCF">
      <w:pPr>
        <w:pStyle w:val="Naslov5"/>
        <w:spacing w:before="5pt" w:after="0pt"/>
        <w:rPr>
          <w:b w:val="0"/>
          <w:i w:val="0"/>
          <w:color w:val="000000"/>
          <w:sz w:val="24"/>
          <w:lang w:val="it-IT"/>
        </w:rPr>
      </w:pPr>
      <w:bookmarkStart w:id="10" w:name="_Toc256000771"/>
      <w:r w:rsidRPr="00EB2379">
        <w:rPr>
          <w:b w:val="0"/>
          <w:i w:val="0"/>
          <w:color w:val="000000"/>
          <w:sz w:val="24"/>
          <w:lang w:val="it-IT"/>
        </w:rPr>
        <w:lastRenderedPageBreak/>
        <w:t>Navedba specifičnih ciljnih ozemelj, vključno z načrtovano uporabo teritorialnih orodij – člen 22(3)(d)(v) uredbe o skupnih določbah</w:t>
      </w:r>
      <w:bookmarkEnd w:id="10"/>
    </w:p>
    <w:p w14:paraId="3E9244FC" w14:textId="77777777" w:rsidR="00A77B3E" w:rsidRPr="00EB2379" w:rsidRDefault="00A77B3E">
      <w:pPr>
        <w:spacing w:before="5pt"/>
        <w:rPr>
          <w:color w:val="000000"/>
          <w:sz w:val="0"/>
          <w:lang w:val="it-I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rsidRPr="00EB2379" w14:paraId="322BDA93"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tcPr>
          <w:p w14:paraId="0C6D50CA" w14:textId="77777777" w:rsidR="00A77B3E" w:rsidRPr="00EB2379" w:rsidRDefault="00A77B3E">
            <w:pPr>
              <w:spacing w:before="5pt"/>
              <w:rPr>
                <w:color w:val="000000"/>
                <w:sz w:val="0"/>
                <w:lang w:val="it-IT"/>
              </w:rPr>
            </w:pPr>
          </w:p>
          <w:p w14:paraId="58C115AC" w14:textId="77777777" w:rsidR="00A77B3E" w:rsidRPr="00EB2379" w:rsidRDefault="00B16CCF">
            <w:pPr>
              <w:spacing w:before="5pt"/>
              <w:rPr>
                <w:color w:val="000000"/>
                <w:lang w:val="it-IT"/>
              </w:rPr>
            </w:pPr>
            <w:r w:rsidRPr="00EB2379">
              <w:rPr>
                <w:color w:val="000000"/>
                <w:lang w:val="it-IT"/>
              </w:rPr>
              <w:t xml:space="preserve">V okviru navedenega specifičnega cilja ni predvidena uporaba teritorialnih orodij. </w:t>
            </w:r>
          </w:p>
          <w:p w14:paraId="02693B7C" w14:textId="77777777" w:rsidR="00A77B3E" w:rsidRPr="00EB2379" w:rsidRDefault="00A77B3E">
            <w:pPr>
              <w:spacing w:before="5pt"/>
              <w:rPr>
                <w:color w:val="000000"/>
                <w:sz w:val="6"/>
                <w:lang w:val="it-IT"/>
              </w:rPr>
            </w:pPr>
          </w:p>
          <w:p w14:paraId="1A1BA8EA" w14:textId="77777777" w:rsidR="00A77B3E" w:rsidRPr="00EB2379" w:rsidRDefault="00A77B3E">
            <w:pPr>
              <w:spacing w:before="5pt"/>
              <w:rPr>
                <w:color w:val="000000"/>
                <w:sz w:val="6"/>
                <w:lang w:val="it-IT"/>
              </w:rPr>
            </w:pPr>
          </w:p>
        </w:tc>
      </w:tr>
    </w:tbl>
    <w:p w14:paraId="576D0168" w14:textId="77777777" w:rsidR="00A77B3E" w:rsidRPr="00EB2379" w:rsidRDefault="00A77B3E">
      <w:pPr>
        <w:spacing w:before="5pt"/>
        <w:rPr>
          <w:color w:val="000000"/>
          <w:lang w:val="it-IT"/>
        </w:rPr>
      </w:pPr>
    </w:p>
    <w:p w14:paraId="0BDBE1FA" w14:textId="77777777" w:rsidR="00A77B3E" w:rsidRPr="00EB2379" w:rsidRDefault="00B16CCF">
      <w:pPr>
        <w:pStyle w:val="Naslov5"/>
        <w:spacing w:before="5pt" w:after="0pt"/>
        <w:rPr>
          <w:b w:val="0"/>
          <w:i w:val="0"/>
          <w:color w:val="000000"/>
          <w:sz w:val="24"/>
          <w:lang w:val="it-IT"/>
        </w:rPr>
      </w:pPr>
      <w:bookmarkStart w:id="11" w:name="_Toc256000772"/>
      <w:r w:rsidRPr="00EB2379">
        <w:rPr>
          <w:b w:val="0"/>
          <w:i w:val="0"/>
          <w:color w:val="000000"/>
          <w:sz w:val="24"/>
          <w:lang w:val="it-IT"/>
        </w:rPr>
        <w:t>Medregionalni, čezmejni in transnacionalni ukrepi – člen 22(3)(d)(vi) uredbe o skupnih določbah</w:t>
      </w:r>
      <w:bookmarkEnd w:id="11"/>
    </w:p>
    <w:p w14:paraId="0D78FC94" w14:textId="77777777" w:rsidR="00A77B3E" w:rsidRPr="00EB2379" w:rsidRDefault="00A77B3E">
      <w:pPr>
        <w:spacing w:before="5pt"/>
        <w:rPr>
          <w:color w:val="000000"/>
          <w:sz w:val="0"/>
          <w:lang w:val="it-I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595D4C3F"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tcPr>
          <w:p w14:paraId="757E7B8D" w14:textId="77777777" w:rsidR="00A77B3E" w:rsidRPr="00EB2379" w:rsidRDefault="00A77B3E">
            <w:pPr>
              <w:spacing w:before="5pt"/>
              <w:rPr>
                <w:color w:val="000000"/>
                <w:sz w:val="0"/>
                <w:lang w:val="it-IT"/>
              </w:rPr>
            </w:pPr>
          </w:p>
          <w:p w14:paraId="1056BC7F" w14:textId="77777777" w:rsidR="00A77B3E" w:rsidRPr="00EB2379" w:rsidRDefault="00B16CCF">
            <w:pPr>
              <w:spacing w:before="5pt"/>
              <w:rPr>
                <w:color w:val="000000"/>
                <w:lang w:val="it-IT"/>
              </w:rPr>
            </w:pPr>
            <w:r w:rsidRPr="00EB2379">
              <w:rPr>
                <w:color w:val="000000"/>
                <w:lang w:val="it-IT"/>
              </w:rPr>
              <w:t>V okviru ukrepov (sodelovalni ukrepi) je pričakovanje, da bo vzpostavljeno tudi transnacionalno in čezmejno sodelovanje (kot npr. preko ESFRI projektov, projektov EuroHPC, ki se nanašajo na projekte visokozmogljivega računalništva, kvantnega računalništva, razvoja evropskih procesorjev, ipd., projekta EOSC (evropski oblak odprte znanosti), v okviru katerih se vzpostavlja vrhunska raziskovalna infrastruktura in sodelovanja).</w:t>
            </w:r>
          </w:p>
          <w:p w14:paraId="6A8A19BE" w14:textId="77777777" w:rsidR="00A77B3E" w:rsidRPr="00EB2379" w:rsidRDefault="00A77B3E">
            <w:pPr>
              <w:spacing w:before="5pt"/>
              <w:rPr>
                <w:color w:val="000000"/>
                <w:lang w:val="it-IT"/>
              </w:rPr>
            </w:pPr>
          </w:p>
          <w:p w14:paraId="4F0A8469" w14:textId="77777777" w:rsidR="00A77B3E" w:rsidRPr="00EB2379" w:rsidRDefault="00B16CCF">
            <w:pPr>
              <w:spacing w:before="5pt"/>
              <w:rPr>
                <w:color w:val="000000"/>
                <w:lang w:val="it-IT"/>
              </w:rPr>
            </w:pPr>
            <w:r w:rsidRPr="00EB2379">
              <w:rPr>
                <w:color w:val="000000"/>
                <w:lang w:val="it-IT"/>
              </w:rPr>
              <w:t>Za doseganje siner. bo ključna podpora vključevanju slo. partnerjev v transnac. raz. razvojne in inovacijske projekte (npr. Eurostars, Eureka, IPCEI, EIC instrument). V okviru prog. Eurostars/Eureka se predvideva vključevanje podj. v skupne RR projekte s partnerji iz ostalih članic iniciative Eurostars/Eureka. V okviru IPCEI se predvideva vključevanje podj. v skupne RR projekte s podj. in organizacijami iz ostalih držav članic EU, ki bodo sodelovale v posameznem IPCEI. SLO je podpisala tudi memorandum o sodelovanju z EIT na področju prehoda v krožno in pametno gospodarstvo. Deloma bodo dejavnosti financirane iz NOO, sodelovanje z EIT pa bodo smiselno podpirali tudi drugi ukrepi. Podpora proj. direkt. partnerjev v IPCEI se bo lahko zagotovila preko NPO.</w:t>
            </w:r>
          </w:p>
          <w:p w14:paraId="618689AF" w14:textId="77777777" w:rsidR="00A77B3E" w:rsidRPr="00EB2379" w:rsidRDefault="00A77B3E">
            <w:pPr>
              <w:spacing w:before="5pt"/>
              <w:rPr>
                <w:color w:val="000000"/>
                <w:lang w:val="it-IT"/>
              </w:rPr>
            </w:pPr>
          </w:p>
          <w:p w14:paraId="015CDABD" w14:textId="77777777" w:rsidR="00A77B3E" w:rsidRPr="00EB2379" w:rsidRDefault="00B16CCF">
            <w:pPr>
              <w:spacing w:before="5pt"/>
              <w:rPr>
                <w:color w:val="000000"/>
                <w:lang w:val="it-IT"/>
              </w:rPr>
            </w:pPr>
            <w:r w:rsidRPr="00EB2379">
              <w:rPr>
                <w:color w:val="000000"/>
                <w:lang w:val="it-IT"/>
              </w:rPr>
              <w:t>Vzpostavljena raz. infrastruktura bo uporabljena tudi s strani tujih podjetij, kar bo dodatno prispevalo k pospeševanju mednarodnega sodelovanja.</w:t>
            </w:r>
          </w:p>
          <w:p w14:paraId="6240482B" w14:textId="77777777" w:rsidR="00A77B3E" w:rsidRPr="00EB2379" w:rsidRDefault="00A77B3E">
            <w:pPr>
              <w:spacing w:before="5pt"/>
              <w:rPr>
                <w:color w:val="000000"/>
                <w:lang w:val="it-IT"/>
              </w:rPr>
            </w:pPr>
          </w:p>
          <w:p w14:paraId="571D8CB6" w14:textId="77777777" w:rsidR="00A77B3E" w:rsidRDefault="00B16CCF">
            <w:pPr>
              <w:spacing w:before="5pt"/>
              <w:rPr>
                <w:color w:val="000000"/>
              </w:rPr>
            </w:pPr>
            <w:r w:rsidRPr="00EB2379">
              <w:rPr>
                <w:color w:val="000000"/>
                <w:lang w:val="it-IT"/>
              </w:rPr>
              <w:t xml:space="preserve">V okviru Strategije EU za Jadransko-Jonsko makroregijo (v nadaljevanju: EUSAIR) potekajo aktivnosti s podporo projekta FP EUSAIR za spodbujanje inovacij v Jadransko-Ionski makroregiji na področju Okolja, trajnostnega turizma, energetike in transporta ter modrega gospodarstva. </w:t>
            </w:r>
            <w:r>
              <w:rPr>
                <w:color w:val="000000"/>
              </w:rPr>
              <w:t>V okviru stebra 1 za Modro rast EUSAIR je bil dogovorjen med vsemi državami makroregionalni projekt oz. flagship projekt z naslovom: Fostering quadruple helix ties in the fields of marine technologies and blue biotechnologies for advancing innovation, business development and business adaptation in blue bio-Economy.</w:t>
            </w:r>
          </w:p>
          <w:p w14:paraId="23AC076C" w14:textId="77777777" w:rsidR="00A77B3E" w:rsidRDefault="00A77B3E">
            <w:pPr>
              <w:spacing w:before="5pt"/>
              <w:rPr>
                <w:color w:val="000000"/>
              </w:rPr>
            </w:pPr>
          </w:p>
          <w:p w14:paraId="19A583E4" w14:textId="77777777" w:rsidR="00A77B3E" w:rsidRDefault="00B16CCF">
            <w:pPr>
              <w:spacing w:before="5pt"/>
              <w:rPr>
                <w:color w:val="000000"/>
              </w:rPr>
            </w:pPr>
            <w:r>
              <w:rPr>
                <w:color w:val="000000"/>
              </w:rPr>
              <w:t>V okviru SC RSO1.1. bodo v skladu s S5 financirani raziskovalno-razvojni projekti, ki bodo lahko naslavljali tudi fokusna podpodročja kot sta vodik ali biomasa, kot tudi strateško razvojno inovacijska partnerstva (še posebno SRIP Pametna mesta), s čimer bomo prispevali k ciljem Evropske inovacijske agende – pobudi EU za krepitev podnebno nevtralnih mest ter vodikovih dolin.</w:t>
            </w:r>
          </w:p>
          <w:p w14:paraId="7DC18A81" w14:textId="77777777" w:rsidR="00A77B3E" w:rsidRDefault="00A77B3E">
            <w:pPr>
              <w:spacing w:before="5pt"/>
              <w:rPr>
                <w:color w:val="000000"/>
                <w:sz w:val="6"/>
              </w:rPr>
            </w:pPr>
          </w:p>
          <w:p w14:paraId="04EB7E6A" w14:textId="77777777" w:rsidR="00A77B3E" w:rsidRDefault="00A77B3E">
            <w:pPr>
              <w:spacing w:before="5pt"/>
              <w:rPr>
                <w:color w:val="000000"/>
                <w:sz w:val="6"/>
              </w:rPr>
            </w:pPr>
          </w:p>
        </w:tc>
      </w:tr>
    </w:tbl>
    <w:p w14:paraId="6B42FF60" w14:textId="77777777" w:rsidR="00A77B3E" w:rsidRDefault="00A77B3E">
      <w:pPr>
        <w:spacing w:before="5pt"/>
        <w:rPr>
          <w:color w:val="000000"/>
        </w:rPr>
      </w:pPr>
    </w:p>
    <w:p w14:paraId="044BF4B3" w14:textId="77777777" w:rsidR="00A77B3E" w:rsidRDefault="00B16CCF">
      <w:pPr>
        <w:pStyle w:val="Naslov5"/>
        <w:spacing w:before="5pt" w:after="0pt"/>
        <w:rPr>
          <w:b w:val="0"/>
          <w:i w:val="0"/>
          <w:color w:val="000000"/>
          <w:sz w:val="24"/>
        </w:rPr>
      </w:pPr>
      <w:bookmarkStart w:id="12" w:name="_Toc256000773"/>
      <w:r>
        <w:rPr>
          <w:b w:val="0"/>
          <w:i w:val="0"/>
          <w:color w:val="000000"/>
          <w:sz w:val="24"/>
        </w:rPr>
        <w:t>Načrtovana uporaba finančnih instrumentov – člen 22(3)(d)(vii) uredbe o skupnih določbah</w:t>
      </w:r>
      <w:bookmarkEnd w:id="12"/>
    </w:p>
    <w:p w14:paraId="70F71D0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38C49FAD"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tcPr>
          <w:p w14:paraId="5320FFD0" w14:textId="77777777" w:rsidR="00A77B3E" w:rsidRDefault="00A77B3E">
            <w:pPr>
              <w:spacing w:before="5pt"/>
              <w:rPr>
                <w:color w:val="000000"/>
                <w:sz w:val="0"/>
              </w:rPr>
            </w:pPr>
          </w:p>
          <w:p w14:paraId="3402B4FE" w14:textId="77777777" w:rsidR="00A77B3E" w:rsidRDefault="00B16CCF">
            <w:pPr>
              <w:spacing w:before="5pt"/>
              <w:rPr>
                <w:color w:val="000000"/>
              </w:rPr>
            </w:pPr>
            <w:r>
              <w:rPr>
                <w:color w:val="000000"/>
              </w:rPr>
              <w:t>V skladu s Predhodno oceno potreb trga in vrzeli financiranja na trgu za izvajanje finančnih instrumentov v programskem obdobju 2021-2027 (julij 2022, posodobljeno z market testi v juliju, avgustu in oktobru 2024), je bila na opredeljenem tematskem naložbenem področju za RRI ugotovljena visoka vrzel za ciljno skupino končnih prejemnikov MSP in velika podjetja. Kljub temu, da bo to področje močno podprto s povratnimi sredstvi iz nacionalnih virov (vzpostavljeni posojilni skladi v višini 100 mio EUR in ponovno uporaba vrnjenih finančnih instrumentov (v nadaljevanju: FI) v vrednosti 80 mio EUR), načrtujemo uporabo FI v obliki dolžniškega financiranja. V Programu je podan indikativen obseg sredstev, namenjenih za FI.</w:t>
            </w:r>
          </w:p>
          <w:p w14:paraId="66E6335C" w14:textId="77777777" w:rsidR="00A77B3E" w:rsidRDefault="00A77B3E">
            <w:pPr>
              <w:spacing w:before="5pt"/>
              <w:rPr>
                <w:color w:val="000000"/>
                <w:sz w:val="6"/>
              </w:rPr>
            </w:pPr>
          </w:p>
          <w:p w14:paraId="284D4E61" w14:textId="77777777" w:rsidR="00A77B3E" w:rsidRDefault="00A77B3E">
            <w:pPr>
              <w:spacing w:before="5pt"/>
              <w:rPr>
                <w:color w:val="000000"/>
                <w:sz w:val="6"/>
              </w:rPr>
            </w:pPr>
          </w:p>
        </w:tc>
      </w:tr>
    </w:tbl>
    <w:p w14:paraId="6A2E91C7" w14:textId="77777777" w:rsidR="00A77B3E" w:rsidRDefault="00A77B3E">
      <w:pPr>
        <w:spacing w:before="5pt"/>
        <w:rPr>
          <w:color w:val="000000"/>
        </w:rPr>
      </w:pPr>
    </w:p>
    <w:p w14:paraId="179B68A5" w14:textId="77777777" w:rsidR="00A77B3E" w:rsidRDefault="00B16CCF">
      <w:pPr>
        <w:pStyle w:val="Naslov4"/>
        <w:spacing w:before="5pt" w:after="0pt"/>
        <w:rPr>
          <w:b w:val="0"/>
          <w:color w:val="000000"/>
          <w:sz w:val="24"/>
        </w:rPr>
      </w:pPr>
      <w:bookmarkStart w:id="13" w:name="_Toc256000774"/>
      <w:r>
        <w:rPr>
          <w:b w:val="0"/>
          <w:color w:val="000000"/>
          <w:sz w:val="24"/>
        </w:rPr>
        <w:t>2.1.1.1.2. Kazalniki</w:t>
      </w:r>
      <w:bookmarkEnd w:id="13"/>
    </w:p>
    <w:p w14:paraId="400A4441" w14:textId="77777777" w:rsidR="00A77B3E" w:rsidRDefault="00A77B3E">
      <w:pPr>
        <w:spacing w:before="5pt"/>
        <w:rPr>
          <w:color w:val="000000"/>
          <w:sz w:val="0"/>
        </w:rPr>
      </w:pPr>
    </w:p>
    <w:p w14:paraId="64E941EF" w14:textId="77777777" w:rsidR="00A77B3E" w:rsidRDefault="00B16CCF">
      <w:pPr>
        <w:spacing w:before="5pt"/>
        <w:rPr>
          <w:color w:val="000000"/>
          <w:sz w:val="0"/>
        </w:rPr>
      </w:pPr>
      <w:r>
        <w:rPr>
          <w:color w:val="000000"/>
        </w:rPr>
        <w:t>Sklic: člen 22(3)(d)(ii) uredbe o skupnih določbah in člen 8 uredbe o ESRR in Kohezijskem skladu</w:t>
      </w:r>
    </w:p>
    <w:p w14:paraId="6393633C" w14:textId="77777777" w:rsidR="00A77B3E" w:rsidRDefault="00B16CCF">
      <w:pPr>
        <w:pStyle w:val="Naslov5"/>
        <w:spacing w:before="5pt" w:after="0pt"/>
        <w:rPr>
          <w:b w:val="0"/>
          <w:i w:val="0"/>
          <w:color w:val="000000"/>
          <w:sz w:val="24"/>
        </w:rPr>
      </w:pPr>
      <w:bookmarkStart w:id="14" w:name="_Toc256000775"/>
      <w:r>
        <w:rPr>
          <w:b w:val="0"/>
          <w:i w:val="0"/>
          <w:color w:val="000000"/>
          <w:sz w:val="24"/>
        </w:rPr>
        <w:t>Tabela 2: Kazalniki učinka</w:t>
      </w:r>
      <w:bookmarkEnd w:id="14"/>
    </w:p>
    <w:p w14:paraId="2852E6D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796"/>
        <w:gridCol w:w="1658"/>
        <w:gridCol w:w="1106"/>
        <w:gridCol w:w="1718"/>
        <w:gridCol w:w="1994"/>
        <w:gridCol w:w="2331"/>
        <w:gridCol w:w="2133"/>
        <w:gridCol w:w="1243"/>
        <w:gridCol w:w="1193"/>
      </w:tblGrid>
      <w:tr w:rsidR="00823317" w14:paraId="2B63016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6E8B1E"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DBBC8A"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DCCE46"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E252F6"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9560D7"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B0D7CB"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536FB9"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F1D21D" w14:textId="77777777" w:rsidR="00A77B3E" w:rsidRDefault="00B16CCF">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168E6E" w14:textId="77777777" w:rsidR="00A77B3E" w:rsidRDefault="00B16CCF">
            <w:pPr>
              <w:spacing w:before="5pt"/>
              <w:jc w:val="center"/>
              <w:rPr>
                <w:color w:val="000000"/>
                <w:sz w:val="20"/>
              </w:rPr>
            </w:pPr>
            <w:r>
              <w:rPr>
                <w:color w:val="000000"/>
                <w:sz w:val="20"/>
              </w:rPr>
              <w:t>Cilj (2029)</w:t>
            </w:r>
          </w:p>
        </w:tc>
      </w:tr>
      <w:tr w:rsidR="00823317" w14:paraId="56C2978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38C3FA"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C30A36" w14:textId="77777777" w:rsidR="00A77B3E" w:rsidRDefault="00B16CC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6BA2E5"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54E69B"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1FCA15" w14:textId="77777777" w:rsidR="00A77B3E" w:rsidRDefault="00B16CCF">
            <w:pPr>
              <w:spacing w:before="5pt"/>
              <w:rPr>
                <w:color w:val="000000"/>
                <w:sz w:val="20"/>
              </w:rPr>
            </w:pPr>
            <w:r>
              <w:rPr>
                <w:color w:val="000000"/>
                <w:sz w:val="20"/>
              </w:rPr>
              <w:t>RCO01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98788C" w14:textId="77777777" w:rsidR="00A77B3E" w:rsidRDefault="00B16CCF">
            <w:pPr>
              <w:spacing w:before="5pt"/>
              <w:rPr>
                <w:color w:val="000000"/>
                <w:sz w:val="20"/>
              </w:rPr>
            </w:pPr>
            <w:r>
              <w:rPr>
                <w:color w:val="000000"/>
                <w:sz w:val="20"/>
              </w:rPr>
              <w:t>Podjetja, ki so prejela podporo (od tega: mikro, mala, srednja, velika)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556283" w14:textId="77777777" w:rsidR="00A77B3E" w:rsidRDefault="00B16CCF">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B0F24A"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4BCB49" w14:textId="77777777" w:rsidR="00A77B3E" w:rsidRDefault="00B16CCF">
            <w:pPr>
              <w:spacing w:before="5pt"/>
              <w:jc w:val="end"/>
              <w:rPr>
                <w:color w:val="000000"/>
                <w:sz w:val="20"/>
              </w:rPr>
            </w:pPr>
            <w:r>
              <w:rPr>
                <w:color w:val="000000"/>
                <w:sz w:val="20"/>
              </w:rPr>
              <w:t>135,00</w:t>
            </w:r>
          </w:p>
        </w:tc>
      </w:tr>
      <w:tr w:rsidR="00823317" w14:paraId="2EE7C7F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3BA7A8"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9B7F72" w14:textId="77777777" w:rsidR="00A77B3E" w:rsidRDefault="00B16CC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7500B8"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A98E8E"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CE8CDE" w14:textId="77777777" w:rsidR="00A77B3E" w:rsidRDefault="00B16CCF">
            <w:pPr>
              <w:spacing w:before="5pt"/>
              <w:rPr>
                <w:color w:val="000000"/>
                <w:sz w:val="20"/>
              </w:rPr>
            </w:pPr>
            <w:r>
              <w:rPr>
                <w:color w:val="000000"/>
                <w:sz w:val="20"/>
              </w:rPr>
              <w:t>RCO02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FEEBB9" w14:textId="77777777" w:rsidR="00A77B3E" w:rsidRDefault="00B16CCF">
            <w:pPr>
              <w:spacing w:before="5pt"/>
              <w:rPr>
                <w:color w:val="000000"/>
                <w:sz w:val="20"/>
              </w:rPr>
            </w:pPr>
            <w:r>
              <w:rPr>
                <w:color w:val="000000"/>
                <w:sz w:val="20"/>
              </w:rPr>
              <w:t>Podjetja, ki so prejela podporo v obliki nepovratnih sredstev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A6188F" w14:textId="77777777" w:rsidR="00A77B3E" w:rsidRDefault="00B16CCF">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0905A1"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29EFF8" w14:textId="77777777" w:rsidR="00A77B3E" w:rsidRDefault="00B16CCF">
            <w:pPr>
              <w:spacing w:before="5pt"/>
              <w:jc w:val="end"/>
              <w:rPr>
                <w:color w:val="000000"/>
                <w:sz w:val="20"/>
              </w:rPr>
            </w:pPr>
            <w:r>
              <w:rPr>
                <w:color w:val="000000"/>
                <w:sz w:val="20"/>
              </w:rPr>
              <w:t>121,00</w:t>
            </w:r>
          </w:p>
        </w:tc>
      </w:tr>
      <w:tr w:rsidR="00823317" w14:paraId="0189C6A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EE7A5D"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D90765" w14:textId="77777777" w:rsidR="00A77B3E" w:rsidRDefault="00B16CC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FD7DB7"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CCAF05"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632EFA" w14:textId="77777777" w:rsidR="00A77B3E" w:rsidRDefault="00B16CCF">
            <w:pPr>
              <w:spacing w:before="5pt"/>
              <w:rPr>
                <w:color w:val="000000"/>
                <w:sz w:val="20"/>
              </w:rPr>
            </w:pPr>
            <w:r>
              <w:rPr>
                <w:color w:val="000000"/>
                <w:sz w:val="20"/>
              </w:rPr>
              <w:t>RCO03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0E16B2" w14:textId="77777777" w:rsidR="00A77B3E" w:rsidRDefault="00B16CCF">
            <w:pPr>
              <w:spacing w:before="5pt"/>
              <w:rPr>
                <w:color w:val="000000"/>
                <w:sz w:val="20"/>
              </w:rPr>
            </w:pPr>
            <w:r>
              <w:rPr>
                <w:color w:val="000000"/>
                <w:sz w:val="20"/>
              </w:rPr>
              <w:t>Podjetja, ki so prejela podporo v obliki finančnih instrumentov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897764" w14:textId="77777777" w:rsidR="00A77B3E" w:rsidRDefault="00B16CCF">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B6112B"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BD704B" w14:textId="77777777" w:rsidR="00A77B3E" w:rsidRDefault="00B16CCF">
            <w:pPr>
              <w:spacing w:before="5pt"/>
              <w:jc w:val="end"/>
              <w:rPr>
                <w:color w:val="000000"/>
                <w:sz w:val="20"/>
              </w:rPr>
            </w:pPr>
            <w:r>
              <w:rPr>
                <w:color w:val="000000"/>
                <w:sz w:val="20"/>
              </w:rPr>
              <w:t>14,00</w:t>
            </w:r>
          </w:p>
        </w:tc>
      </w:tr>
      <w:tr w:rsidR="00823317" w14:paraId="4D88169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962971"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C09FCE" w14:textId="77777777" w:rsidR="00A77B3E" w:rsidRDefault="00B16CC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BF7951"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9DE198"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E45926" w14:textId="77777777" w:rsidR="00A77B3E" w:rsidRDefault="00B16CCF">
            <w:pPr>
              <w:spacing w:before="5pt"/>
              <w:rPr>
                <w:color w:val="000000"/>
                <w:sz w:val="20"/>
              </w:rPr>
            </w:pPr>
            <w:r>
              <w:rPr>
                <w:color w:val="000000"/>
                <w:sz w:val="20"/>
              </w:rPr>
              <w:t>RCO06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3CEF98" w14:textId="77777777" w:rsidR="00A77B3E" w:rsidRDefault="00B16CCF">
            <w:pPr>
              <w:spacing w:before="5pt"/>
              <w:rPr>
                <w:color w:val="000000"/>
                <w:sz w:val="20"/>
              </w:rPr>
            </w:pPr>
            <w:r>
              <w:rPr>
                <w:color w:val="000000"/>
                <w:sz w:val="20"/>
              </w:rPr>
              <w:t>Raziskovalci, ki delujejo v raziskovalnih ustanovah, ki so prejela podporo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C061DA" w14:textId="77777777" w:rsidR="00A77B3E" w:rsidRDefault="00B16CCF">
            <w:pPr>
              <w:spacing w:before="5pt"/>
              <w:rPr>
                <w:color w:val="000000"/>
                <w:sz w:val="20"/>
              </w:rPr>
            </w:pPr>
            <w:r>
              <w:rPr>
                <w:color w:val="000000"/>
                <w:sz w:val="20"/>
              </w:rPr>
              <w:t>letni EPDČ</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76B48C"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F93C39" w14:textId="77777777" w:rsidR="00A77B3E" w:rsidRDefault="00B16CCF">
            <w:pPr>
              <w:spacing w:before="5pt"/>
              <w:jc w:val="end"/>
              <w:rPr>
                <w:color w:val="000000"/>
                <w:sz w:val="20"/>
              </w:rPr>
            </w:pPr>
            <w:r>
              <w:rPr>
                <w:color w:val="000000"/>
                <w:sz w:val="20"/>
              </w:rPr>
              <w:t>87,00</w:t>
            </w:r>
          </w:p>
        </w:tc>
      </w:tr>
      <w:tr w:rsidR="00823317" w14:paraId="265D901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D8A946"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E2E8A1" w14:textId="77777777" w:rsidR="00A77B3E" w:rsidRDefault="00B16CC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032840"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2C0F32"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4FB2E0" w14:textId="77777777" w:rsidR="00A77B3E" w:rsidRDefault="00B16CCF">
            <w:pPr>
              <w:spacing w:before="5pt"/>
              <w:rPr>
                <w:color w:val="000000"/>
                <w:sz w:val="20"/>
              </w:rPr>
            </w:pPr>
            <w:r>
              <w:rPr>
                <w:color w:val="000000"/>
                <w:sz w:val="20"/>
              </w:rPr>
              <w:t>RCO07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8E20AD" w14:textId="77777777" w:rsidR="00A77B3E" w:rsidRDefault="00B16CCF">
            <w:pPr>
              <w:spacing w:before="5pt"/>
              <w:rPr>
                <w:color w:val="000000"/>
                <w:sz w:val="20"/>
              </w:rPr>
            </w:pPr>
            <w:r>
              <w:rPr>
                <w:color w:val="000000"/>
                <w:sz w:val="20"/>
              </w:rPr>
              <w:t>Raziskovalne organizacije, ki sodelujejo v skupnih raziskovalnih projektih</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887CDF" w14:textId="77777777" w:rsidR="00A77B3E" w:rsidRDefault="00B16CCF">
            <w:pPr>
              <w:spacing w:before="5pt"/>
              <w:rPr>
                <w:color w:val="000000"/>
                <w:sz w:val="20"/>
              </w:rPr>
            </w:pPr>
            <w:r>
              <w:rPr>
                <w:color w:val="000000"/>
                <w:sz w:val="20"/>
              </w:rPr>
              <w:t>Raziskovalne organizacije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2B1954" w14:textId="77777777" w:rsidR="00A77B3E" w:rsidRDefault="00B16CCF">
            <w:pPr>
              <w:spacing w:before="5pt"/>
              <w:jc w:val="end"/>
              <w:rPr>
                <w:color w:val="000000"/>
                <w:sz w:val="20"/>
              </w:rPr>
            </w:pPr>
            <w:r>
              <w:rPr>
                <w:color w:val="000000"/>
                <w:sz w:val="20"/>
              </w:rPr>
              <w:t>36,00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778CB4" w14:textId="77777777" w:rsidR="00A77B3E" w:rsidRDefault="00B16CCF">
            <w:pPr>
              <w:spacing w:before="5pt"/>
              <w:jc w:val="end"/>
              <w:rPr>
                <w:color w:val="000000"/>
                <w:sz w:val="20"/>
              </w:rPr>
            </w:pPr>
            <w:r>
              <w:rPr>
                <w:color w:val="000000"/>
                <w:sz w:val="20"/>
              </w:rPr>
              <w:t>36,00</w:t>
            </w:r>
          </w:p>
        </w:tc>
      </w:tr>
      <w:tr w:rsidR="00823317" w14:paraId="5CAD0CC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6C71E7"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5A9EAE" w14:textId="77777777" w:rsidR="00A77B3E" w:rsidRDefault="00B16CC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866B7B"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D6013B"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FA3371" w14:textId="77777777" w:rsidR="00A77B3E" w:rsidRDefault="00B16CCF">
            <w:pPr>
              <w:spacing w:before="5pt"/>
              <w:rPr>
                <w:color w:val="000000"/>
                <w:sz w:val="20"/>
              </w:rPr>
            </w:pPr>
            <w:r>
              <w:rPr>
                <w:color w:val="000000"/>
                <w:sz w:val="20"/>
              </w:rPr>
              <w:t>RCO10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942509" w14:textId="77777777" w:rsidR="00A77B3E" w:rsidRDefault="00B16CCF">
            <w:pPr>
              <w:spacing w:before="5pt"/>
              <w:rPr>
                <w:color w:val="000000"/>
                <w:sz w:val="20"/>
              </w:rPr>
            </w:pPr>
            <w:r>
              <w:rPr>
                <w:color w:val="000000"/>
                <w:sz w:val="20"/>
              </w:rPr>
              <w:t>Podjetja, ki sodelujejo z raziskovalnimi organizacijami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5D797A" w14:textId="77777777" w:rsidR="00A77B3E" w:rsidRDefault="00B16CCF">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0A016E" w14:textId="77777777" w:rsidR="00A77B3E" w:rsidRDefault="00B16CCF">
            <w:pPr>
              <w:spacing w:before="5pt"/>
              <w:jc w:val="end"/>
              <w:rPr>
                <w:color w:val="000000"/>
                <w:sz w:val="20"/>
              </w:rPr>
            </w:pPr>
            <w:r>
              <w:rPr>
                <w:color w:val="000000"/>
                <w:sz w:val="20"/>
              </w:rPr>
              <w:t>66,00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E5B712" w14:textId="77777777" w:rsidR="00A77B3E" w:rsidRDefault="00B16CCF">
            <w:pPr>
              <w:spacing w:before="5pt"/>
              <w:jc w:val="end"/>
              <w:rPr>
                <w:color w:val="000000"/>
                <w:sz w:val="20"/>
              </w:rPr>
            </w:pPr>
            <w:r>
              <w:rPr>
                <w:color w:val="000000"/>
                <w:sz w:val="20"/>
              </w:rPr>
              <w:t>66,00</w:t>
            </w:r>
          </w:p>
        </w:tc>
      </w:tr>
      <w:tr w:rsidR="00823317" w14:paraId="2E55F15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CFDC98" w14:textId="77777777" w:rsidR="00A77B3E" w:rsidRDefault="00B16CCF">
            <w:pPr>
              <w:spacing w:before="5pt"/>
              <w:rPr>
                <w:color w:val="000000"/>
                <w:sz w:val="20"/>
              </w:rPr>
            </w:pPr>
            <w:r>
              <w:rPr>
                <w:color w:val="000000"/>
                <w:sz w:val="20"/>
              </w:rPr>
              <w:lastRenderedPageBreak/>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4EBD29" w14:textId="77777777" w:rsidR="00A77B3E" w:rsidRDefault="00B16CC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BBB72B"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6ECE53"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EE40F6" w14:textId="77777777" w:rsidR="00A77B3E" w:rsidRDefault="00B16CCF">
            <w:pPr>
              <w:spacing w:before="5pt"/>
              <w:rPr>
                <w:color w:val="000000"/>
                <w:sz w:val="20"/>
              </w:rPr>
            </w:pPr>
            <w:r>
              <w:rPr>
                <w:color w:val="000000"/>
                <w:sz w:val="20"/>
              </w:rPr>
              <w:t>RCO01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3EEC1F" w14:textId="77777777" w:rsidR="00A77B3E" w:rsidRDefault="00B16CCF">
            <w:pPr>
              <w:spacing w:before="5pt"/>
              <w:rPr>
                <w:color w:val="000000"/>
                <w:sz w:val="20"/>
              </w:rPr>
            </w:pPr>
            <w:r>
              <w:rPr>
                <w:color w:val="000000"/>
                <w:sz w:val="20"/>
              </w:rPr>
              <w:t>Podjetja, ki so prejela podporo (od tega: mikro, mala, srednja, velika)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F51111" w14:textId="77777777" w:rsidR="00A77B3E" w:rsidRDefault="00B16CCF">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9C8EAC"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1A19A1" w14:textId="77777777" w:rsidR="00A77B3E" w:rsidRDefault="00B16CCF">
            <w:pPr>
              <w:spacing w:before="5pt"/>
              <w:jc w:val="end"/>
              <w:rPr>
                <w:color w:val="000000"/>
                <w:sz w:val="20"/>
              </w:rPr>
            </w:pPr>
            <w:r>
              <w:rPr>
                <w:color w:val="000000"/>
                <w:sz w:val="20"/>
              </w:rPr>
              <w:t>246,00</w:t>
            </w:r>
          </w:p>
        </w:tc>
      </w:tr>
      <w:tr w:rsidR="00823317" w14:paraId="74213DD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190EEB"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5E2591" w14:textId="77777777" w:rsidR="00A77B3E" w:rsidRDefault="00B16CC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D3D722"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F11AAE"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994B32" w14:textId="77777777" w:rsidR="00A77B3E" w:rsidRDefault="00B16CCF">
            <w:pPr>
              <w:spacing w:before="5pt"/>
              <w:rPr>
                <w:color w:val="000000"/>
                <w:sz w:val="20"/>
              </w:rPr>
            </w:pPr>
            <w:r>
              <w:rPr>
                <w:color w:val="000000"/>
                <w:sz w:val="20"/>
              </w:rPr>
              <w:t>RCO02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E689AB" w14:textId="77777777" w:rsidR="00A77B3E" w:rsidRDefault="00B16CCF">
            <w:pPr>
              <w:spacing w:before="5pt"/>
              <w:rPr>
                <w:color w:val="000000"/>
                <w:sz w:val="20"/>
              </w:rPr>
            </w:pPr>
            <w:r>
              <w:rPr>
                <w:color w:val="000000"/>
                <w:sz w:val="20"/>
              </w:rPr>
              <w:t>Podjetja, ki so prejela podporo v obliki nepovratnih sredstev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3C2A0F" w14:textId="77777777" w:rsidR="00A77B3E" w:rsidRDefault="00B16CCF">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263920"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6A3287" w14:textId="77777777" w:rsidR="00A77B3E" w:rsidRDefault="00B16CCF">
            <w:pPr>
              <w:spacing w:before="5pt"/>
              <w:jc w:val="end"/>
              <w:rPr>
                <w:color w:val="000000"/>
                <w:sz w:val="20"/>
              </w:rPr>
            </w:pPr>
            <w:r>
              <w:rPr>
                <w:color w:val="000000"/>
                <w:sz w:val="20"/>
              </w:rPr>
              <w:t>212,00</w:t>
            </w:r>
          </w:p>
        </w:tc>
      </w:tr>
      <w:tr w:rsidR="00823317" w14:paraId="4FA40DA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4DF796"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1FFBD9" w14:textId="77777777" w:rsidR="00A77B3E" w:rsidRDefault="00B16CC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0DA32D"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39CC09"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557B8A" w14:textId="77777777" w:rsidR="00A77B3E" w:rsidRDefault="00B16CCF">
            <w:pPr>
              <w:spacing w:before="5pt"/>
              <w:rPr>
                <w:color w:val="000000"/>
                <w:sz w:val="20"/>
              </w:rPr>
            </w:pPr>
            <w:r>
              <w:rPr>
                <w:color w:val="000000"/>
                <w:sz w:val="20"/>
              </w:rPr>
              <w:t>RCO03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714A28" w14:textId="77777777" w:rsidR="00A77B3E" w:rsidRDefault="00B16CCF">
            <w:pPr>
              <w:spacing w:before="5pt"/>
              <w:rPr>
                <w:color w:val="000000"/>
                <w:sz w:val="20"/>
              </w:rPr>
            </w:pPr>
            <w:r>
              <w:rPr>
                <w:color w:val="000000"/>
                <w:sz w:val="20"/>
              </w:rPr>
              <w:t>Podjetja, ki so prejela podporo v obliki finančnih instrumentov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369F19" w14:textId="77777777" w:rsidR="00A77B3E" w:rsidRDefault="00B16CCF">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824F42"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277443" w14:textId="77777777" w:rsidR="00A77B3E" w:rsidRDefault="00B16CCF">
            <w:pPr>
              <w:spacing w:before="5pt"/>
              <w:jc w:val="end"/>
              <w:rPr>
                <w:color w:val="000000"/>
                <w:sz w:val="20"/>
              </w:rPr>
            </w:pPr>
            <w:r>
              <w:rPr>
                <w:color w:val="000000"/>
                <w:sz w:val="20"/>
              </w:rPr>
              <w:t>34,00</w:t>
            </w:r>
          </w:p>
        </w:tc>
      </w:tr>
      <w:tr w:rsidR="00823317" w14:paraId="2F8FD8B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AC74F1"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0F2102" w14:textId="77777777" w:rsidR="00A77B3E" w:rsidRDefault="00B16CC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72334C"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26E830"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A663C2" w14:textId="77777777" w:rsidR="00A77B3E" w:rsidRDefault="00B16CCF">
            <w:pPr>
              <w:spacing w:before="5pt"/>
              <w:rPr>
                <w:color w:val="000000"/>
                <w:sz w:val="20"/>
              </w:rPr>
            </w:pPr>
            <w:r>
              <w:rPr>
                <w:color w:val="000000"/>
                <w:sz w:val="20"/>
              </w:rPr>
              <w:t>RCO06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4E0017" w14:textId="77777777" w:rsidR="00A77B3E" w:rsidRDefault="00B16CCF">
            <w:pPr>
              <w:spacing w:before="5pt"/>
              <w:rPr>
                <w:color w:val="000000"/>
                <w:sz w:val="20"/>
              </w:rPr>
            </w:pPr>
            <w:r>
              <w:rPr>
                <w:color w:val="000000"/>
                <w:sz w:val="20"/>
              </w:rPr>
              <w:t>Raziskovalci, ki delujejo v raziskovalnih ustanovah, ki so prejela podporo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663A83" w14:textId="77777777" w:rsidR="00A77B3E" w:rsidRDefault="00B16CCF">
            <w:pPr>
              <w:spacing w:before="5pt"/>
              <w:rPr>
                <w:color w:val="000000"/>
                <w:sz w:val="20"/>
              </w:rPr>
            </w:pPr>
            <w:r>
              <w:rPr>
                <w:color w:val="000000"/>
                <w:sz w:val="20"/>
              </w:rPr>
              <w:t>letni EPDČ</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DF8A5C"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CBABEF" w14:textId="77777777" w:rsidR="00A77B3E" w:rsidRDefault="00B16CCF">
            <w:pPr>
              <w:spacing w:before="5pt"/>
              <w:jc w:val="end"/>
              <w:rPr>
                <w:color w:val="000000"/>
                <w:sz w:val="20"/>
              </w:rPr>
            </w:pPr>
            <w:r>
              <w:rPr>
                <w:color w:val="000000"/>
                <w:sz w:val="20"/>
              </w:rPr>
              <w:t>154,00</w:t>
            </w:r>
          </w:p>
        </w:tc>
      </w:tr>
      <w:tr w:rsidR="00823317" w14:paraId="6BEB192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7A1670"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BB8960" w14:textId="77777777" w:rsidR="00A77B3E" w:rsidRDefault="00B16CC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91F4AD"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6471A7"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690796" w14:textId="77777777" w:rsidR="00A77B3E" w:rsidRDefault="00B16CCF">
            <w:pPr>
              <w:spacing w:before="5pt"/>
              <w:rPr>
                <w:color w:val="000000"/>
                <w:sz w:val="20"/>
              </w:rPr>
            </w:pPr>
            <w:r>
              <w:rPr>
                <w:color w:val="000000"/>
                <w:sz w:val="20"/>
              </w:rPr>
              <w:t>RCO07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54B8F9" w14:textId="77777777" w:rsidR="00A77B3E" w:rsidRDefault="00B16CCF">
            <w:pPr>
              <w:spacing w:before="5pt"/>
              <w:rPr>
                <w:color w:val="000000"/>
                <w:sz w:val="20"/>
              </w:rPr>
            </w:pPr>
            <w:r>
              <w:rPr>
                <w:color w:val="000000"/>
                <w:sz w:val="20"/>
              </w:rPr>
              <w:t>Raziskovalne organizacije, ki sodelujejo v skupnih raziskovalnih projektih</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48D3C5" w14:textId="77777777" w:rsidR="00A77B3E" w:rsidRDefault="00B16CCF">
            <w:pPr>
              <w:spacing w:before="5pt"/>
              <w:rPr>
                <w:color w:val="000000"/>
                <w:sz w:val="20"/>
              </w:rPr>
            </w:pPr>
            <w:r>
              <w:rPr>
                <w:color w:val="000000"/>
                <w:sz w:val="20"/>
              </w:rPr>
              <w:t>Raziskovalne organizacije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F0DF97" w14:textId="77777777" w:rsidR="00A77B3E" w:rsidRDefault="00B16CCF">
            <w:pPr>
              <w:spacing w:before="5pt"/>
              <w:jc w:val="end"/>
              <w:rPr>
                <w:color w:val="000000"/>
                <w:sz w:val="20"/>
              </w:rPr>
            </w:pPr>
            <w:r>
              <w:rPr>
                <w:color w:val="000000"/>
                <w:sz w:val="20"/>
              </w:rPr>
              <w:t>14,00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BE9872" w14:textId="77777777" w:rsidR="00A77B3E" w:rsidRDefault="00B16CCF">
            <w:pPr>
              <w:spacing w:before="5pt"/>
              <w:jc w:val="end"/>
              <w:rPr>
                <w:color w:val="000000"/>
                <w:sz w:val="20"/>
              </w:rPr>
            </w:pPr>
            <w:r>
              <w:rPr>
                <w:color w:val="000000"/>
                <w:sz w:val="20"/>
              </w:rPr>
              <w:t>14,00</w:t>
            </w:r>
          </w:p>
        </w:tc>
      </w:tr>
      <w:tr w:rsidR="00823317" w14:paraId="222F741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315299"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3A989D" w14:textId="77777777" w:rsidR="00A77B3E" w:rsidRDefault="00B16CC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FDA17E"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292C2C"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90862E" w14:textId="77777777" w:rsidR="00A77B3E" w:rsidRDefault="00B16CCF">
            <w:pPr>
              <w:spacing w:before="5pt"/>
              <w:rPr>
                <w:color w:val="000000"/>
                <w:sz w:val="20"/>
              </w:rPr>
            </w:pPr>
            <w:r>
              <w:rPr>
                <w:color w:val="000000"/>
                <w:sz w:val="20"/>
              </w:rPr>
              <w:t>RCO10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783F4C" w14:textId="77777777" w:rsidR="00A77B3E" w:rsidRDefault="00B16CCF">
            <w:pPr>
              <w:spacing w:before="5pt"/>
              <w:rPr>
                <w:color w:val="000000"/>
                <w:sz w:val="20"/>
              </w:rPr>
            </w:pPr>
            <w:r>
              <w:rPr>
                <w:color w:val="000000"/>
                <w:sz w:val="20"/>
              </w:rPr>
              <w:t>Podjetja, ki sodelujejo z raziskovalnimi organizacijami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20FD02" w14:textId="77777777" w:rsidR="00A77B3E" w:rsidRDefault="00B16CCF">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97161F" w14:textId="77777777" w:rsidR="00A77B3E" w:rsidRDefault="00B16CCF">
            <w:pPr>
              <w:spacing w:before="5pt"/>
              <w:jc w:val="end"/>
              <w:rPr>
                <w:color w:val="000000"/>
                <w:sz w:val="20"/>
              </w:rPr>
            </w:pPr>
            <w:r>
              <w:rPr>
                <w:color w:val="000000"/>
                <w:sz w:val="20"/>
              </w:rPr>
              <w:t>27,00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388411" w14:textId="77777777" w:rsidR="00A77B3E" w:rsidRDefault="00B16CCF">
            <w:pPr>
              <w:spacing w:before="5pt"/>
              <w:jc w:val="end"/>
              <w:rPr>
                <w:color w:val="000000"/>
                <w:sz w:val="20"/>
              </w:rPr>
            </w:pPr>
            <w:r>
              <w:rPr>
                <w:color w:val="000000"/>
                <w:sz w:val="20"/>
              </w:rPr>
              <w:t>27,00</w:t>
            </w:r>
          </w:p>
        </w:tc>
      </w:tr>
    </w:tbl>
    <w:p w14:paraId="1185701F" w14:textId="77777777" w:rsidR="00A77B3E" w:rsidRDefault="00A77B3E">
      <w:pPr>
        <w:spacing w:before="5pt"/>
        <w:rPr>
          <w:color w:val="000000"/>
          <w:sz w:val="20"/>
        </w:rPr>
      </w:pPr>
    </w:p>
    <w:p w14:paraId="472B1FF7" w14:textId="77777777" w:rsidR="00A77B3E" w:rsidRDefault="00B16CCF">
      <w:pPr>
        <w:spacing w:before="5pt"/>
        <w:rPr>
          <w:color w:val="000000"/>
          <w:sz w:val="0"/>
        </w:rPr>
      </w:pPr>
      <w:r>
        <w:rPr>
          <w:color w:val="000000"/>
        </w:rPr>
        <w:t>Sklic: člen 22(3)(d)(ii) uredbe o skupnih določbah</w:t>
      </w:r>
    </w:p>
    <w:p w14:paraId="5C76243D" w14:textId="77777777" w:rsidR="00A77B3E" w:rsidRDefault="00B16CCF">
      <w:pPr>
        <w:pStyle w:val="Naslov5"/>
        <w:spacing w:before="5pt" w:after="0pt"/>
        <w:rPr>
          <w:b w:val="0"/>
          <w:i w:val="0"/>
          <w:color w:val="000000"/>
          <w:sz w:val="24"/>
        </w:rPr>
      </w:pPr>
      <w:bookmarkStart w:id="15" w:name="_Toc256000776"/>
      <w:r>
        <w:rPr>
          <w:b w:val="0"/>
          <w:i w:val="0"/>
          <w:color w:val="000000"/>
          <w:sz w:val="24"/>
        </w:rPr>
        <w:t>Tabela 3: Kazalniki rezultatov</w:t>
      </w:r>
      <w:bookmarkEnd w:id="15"/>
    </w:p>
    <w:p w14:paraId="3B592C6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27"/>
        <w:gridCol w:w="1225"/>
        <w:gridCol w:w="816"/>
        <w:gridCol w:w="1268"/>
        <w:gridCol w:w="1472"/>
        <w:gridCol w:w="1575"/>
        <w:gridCol w:w="1326"/>
        <w:gridCol w:w="1297"/>
        <w:gridCol w:w="1370"/>
        <w:gridCol w:w="881"/>
        <w:gridCol w:w="1552"/>
        <w:gridCol w:w="1063"/>
      </w:tblGrid>
      <w:tr w:rsidR="00823317" w14:paraId="4F6ABE0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082E26"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DF4863"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E8DCF9"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722296"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A59E27"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B0E07C"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A0D63B"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476B14" w14:textId="77777777" w:rsidR="00A77B3E" w:rsidRDefault="00B16CCF">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E3A958" w14:textId="77777777" w:rsidR="00A77B3E" w:rsidRDefault="00B16CCF">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E46EF5" w14:textId="77777777" w:rsidR="00A77B3E" w:rsidRDefault="00B16CCF">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818C9D" w14:textId="77777777" w:rsidR="00A77B3E" w:rsidRDefault="00B16CCF">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FC342E" w14:textId="77777777" w:rsidR="00A77B3E" w:rsidRDefault="00B16CCF">
            <w:pPr>
              <w:spacing w:before="5pt"/>
              <w:jc w:val="center"/>
              <w:rPr>
                <w:color w:val="000000"/>
                <w:sz w:val="20"/>
              </w:rPr>
            </w:pPr>
            <w:r>
              <w:rPr>
                <w:color w:val="000000"/>
                <w:sz w:val="20"/>
              </w:rPr>
              <w:t>Opombe</w:t>
            </w:r>
          </w:p>
        </w:tc>
      </w:tr>
      <w:tr w:rsidR="00823317" w14:paraId="77BCDC6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09BD95"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BAD433" w14:textId="77777777" w:rsidR="00A77B3E" w:rsidRDefault="00B16CC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6B5E8D"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171FA4"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2596F1" w14:textId="77777777" w:rsidR="00A77B3E" w:rsidRDefault="00B16CCF">
            <w:pPr>
              <w:spacing w:before="5pt"/>
              <w:rPr>
                <w:color w:val="000000"/>
                <w:sz w:val="20"/>
              </w:rPr>
            </w:pPr>
            <w:r>
              <w:rPr>
                <w:color w:val="000000"/>
                <w:sz w:val="20"/>
              </w:rPr>
              <w:t>RCR03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1C7683" w14:textId="77777777" w:rsidR="00A77B3E" w:rsidRPr="00EB2379" w:rsidRDefault="00B16CCF">
            <w:pPr>
              <w:spacing w:before="5pt"/>
              <w:rPr>
                <w:color w:val="000000"/>
                <w:sz w:val="20"/>
                <w:lang w:val="it-IT"/>
              </w:rPr>
            </w:pPr>
            <w:r w:rsidRPr="00EB2379">
              <w:rPr>
                <w:color w:val="000000"/>
                <w:sz w:val="20"/>
                <w:lang w:val="it-IT"/>
              </w:rPr>
              <w:t>Mala in srednja podjetja (MSP), ki uvajajo inovacije pri proizvodih ali procesih</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FB6D10" w14:textId="77777777" w:rsidR="00A77B3E" w:rsidRDefault="00B16CCF">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93C0BF"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565999" w14:textId="77777777" w:rsidR="00A77B3E" w:rsidRDefault="00B16CCF">
            <w:pPr>
              <w:spacing w:before="5pt"/>
              <w:jc w:val="center"/>
              <w:rPr>
                <w:color w:val="000000"/>
                <w:sz w:val="20"/>
              </w:rPr>
            </w:pPr>
            <w:r>
              <w:rPr>
                <w:color w:val="000000"/>
                <w:sz w:val="2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B7FFF2" w14:textId="77777777" w:rsidR="00A77B3E" w:rsidRDefault="00B16CCF">
            <w:pPr>
              <w:spacing w:before="5pt"/>
              <w:jc w:val="end"/>
              <w:rPr>
                <w:color w:val="000000"/>
                <w:sz w:val="20"/>
              </w:rPr>
            </w:pPr>
            <w:r>
              <w:rPr>
                <w:color w:val="000000"/>
                <w:sz w:val="20"/>
              </w:rPr>
              <w:t>92,00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E2DE0C" w14:textId="77777777" w:rsidR="00A77B3E" w:rsidRDefault="00B16CCF">
            <w:pPr>
              <w:spacing w:before="5pt"/>
              <w:rPr>
                <w:color w:val="000000"/>
                <w:sz w:val="20"/>
              </w:rPr>
            </w:pPr>
            <w:r>
              <w:rPr>
                <w:color w:val="000000"/>
                <w:sz w:val="20"/>
              </w:rPr>
              <w:t>MGTŠ, MVZI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6D6B5E" w14:textId="77777777" w:rsidR="00A77B3E" w:rsidRDefault="00A77B3E">
            <w:pPr>
              <w:spacing w:before="5pt"/>
              <w:rPr>
                <w:color w:val="000000"/>
                <w:sz w:val="20"/>
              </w:rPr>
            </w:pPr>
          </w:p>
        </w:tc>
      </w:tr>
      <w:tr w:rsidR="00823317" w14:paraId="4CA262A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601A6F"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E2E506" w14:textId="77777777" w:rsidR="00A77B3E" w:rsidRDefault="00B16CC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78E2B4"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9E1730"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EC79C1" w14:textId="77777777" w:rsidR="00A77B3E" w:rsidRDefault="00B16CCF">
            <w:pPr>
              <w:spacing w:before="5pt"/>
              <w:rPr>
                <w:color w:val="000000"/>
                <w:sz w:val="20"/>
              </w:rPr>
            </w:pPr>
            <w:r>
              <w:rPr>
                <w:color w:val="000000"/>
                <w:sz w:val="20"/>
              </w:rPr>
              <w:t>RCR06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07E1EB" w14:textId="77777777" w:rsidR="00A77B3E" w:rsidRDefault="00B16CCF">
            <w:pPr>
              <w:spacing w:before="5pt"/>
              <w:rPr>
                <w:color w:val="000000"/>
                <w:sz w:val="20"/>
              </w:rPr>
            </w:pPr>
            <w:r>
              <w:rPr>
                <w:color w:val="000000"/>
                <w:sz w:val="20"/>
              </w:rPr>
              <w:t>Vložene patentne prijave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72B124" w14:textId="77777777" w:rsidR="00A77B3E" w:rsidRDefault="00B16CCF">
            <w:pPr>
              <w:spacing w:before="5pt"/>
              <w:rPr>
                <w:color w:val="000000"/>
                <w:sz w:val="20"/>
              </w:rPr>
            </w:pPr>
            <w:r>
              <w:rPr>
                <w:color w:val="000000"/>
                <w:sz w:val="20"/>
              </w:rPr>
              <w:t>vloge za patente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027179"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C7E133" w14:textId="77777777" w:rsidR="00A77B3E" w:rsidRDefault="00B16CCF">
            <w:pPr>
              <w:spacing w:before="5pt"/>
              <w:jc w:val="center"/>
              <w:rPr>
                <w:color w:val="000000"/>
                <w:sz w:val="20"/>
              </w:rPr>
            </w:pPr>
            <w:r>
              <w:rPr>
                <w:color w:val="000000"/>
                <w:sz w:val="2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172021" w14:textId="77777777" w:rsidR="00A77B3E" w:rsidRDefault="00B16CCF">
            <w:pPr>
              <w:spacing w:before="5pt"/>
              <w:jc w:val="end"/>
              <w:rPr>
                <w:color w:val="000000"/>
                <w:sz w:val="20"/>
              </w:rPr>
            </w:pPr>
            <w:r>
              <w:rPr>
                <w:color w:val="000000"/>
                <w:sz w:val="20"/>
              </w:rPr>
              <w:t>18,00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3875D5" w14:textId="77777777" w:rsidR="00A77B3E" w:rsidRDefault="00B16CCF">
            <w:pPr>
              <w:spacing w:before="5pt"/>
              <w:rPr>
                <w:color w:val="000000"/>
                <w:sz w:val="20"/>
              </w:rPr>
            </w:pPr>
            <w:r>
              <w:rPr>
                <w:color w:val="000000"/>
                <w:sz w:val="20"/>
              </w:rPr>
              <w:t>Upravičenec, MVZI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0D3476" w14:textId="77777777" w:rsidR="00A77B3E" w:rsidRDefault="00A77B3E">
            <w:pPr>
              <w:spacing w:before="5pt"/>
              <w:rPr>
                <w:color w:val="000000"/>
                <w:sz w:val="20"/>
              </w:rPr>
            </w:pPr>
          </w:p>
        </w:tc>
      </w:tr>
      <w:tr w:rsidR="00823317" w14:paraId="138CABC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AFFEC2" w14:textId="77777777" w:rsidR="00A77B3E" w:rsidRDefault="00B16CCF">
            <w:pPr>
              <w:spacing w:before="5pt"/>
              <w:rPr>
                <w:color w:val="000000"/>
                <w:sz w:val="20"/>
              </w:rPr>
            </w:pPr>
            <w:r>
              <w:rPr>
                <w:color w:val="000000"/>
                <w:sz w:val="20"/>
              </w:rPr>
              <w:lastRenderedPageBreak/>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CD1AA3" w14:textId="77777777" w:rsidR="00A77B3E" w:rsidRDefault="00B16CC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83C7F8"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9B2605"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0E7F1D" w14:textId="77777777" w:rsidR="00A77B3E" w:rsidRDefault="00B16CCF">
            <w:pPr>
              <w:spacing w:before="5pt"/>
              <w:rPr>
                <w:color w:val="000000"/>
                <w:sz w:val="20"/>
              </w:rPr>
            </w:pPr>
            <w:r>
              <w:rPr>
                <w:color w:val="000000"/>
                <w:sz w:val="20"/>
              </w:rPr>
              <w:t>RCR08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2F2139" w14:textId="77777777" w:rsidR="00A77B3E" w:rsidRDefault="00B16CCF">
            <w:pPr>
              <w:spacing w:before="5pt"/>
              <w:rPr>
                <w:color w:val="000000"/>
                <w:sz w:val="20"/>
              </w:rPr>
            </w:pPr>
            <w:r>
              <w:rPr>
                <w:color w:val="000000"/>
                <w:sz w:val="20"/>
              </w:rPr>
              <w:t>Publikacije v okviru podprtih projektov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1A6F8F" w14:textId="77777777" w:rsidR="00A77B3E" w:rsidRDefault="00B16CCF">
            <w:pPr>
              <w:spacing w:before="5pt"/>
              <w:rPr>
                <w:color w:val="000000"/>
                <w:sz w:val="20"/>
              </w:rPr>
            </w:pPr>
            <w:r>
              <w:rPr>
                <w:color w:val="000000"/>
                <w:sz w:val="20"/>
              </w:rPr>
              <w:t>publikacije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369159"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72D95A" w14:textId="77777777" w:rsidR="00A77B3E" w:rsidRDefault="00B16CCF">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091940" w14:textId="77777777" w:rsidR="00A77B3E" w:rsidRDefault="00B16CCF">
            <w:pPr>
              <w:spacing w:before="5pt"/>
              <w:jc w:val="end"/>
              <w:rPr>
                <w:color w:val="000000"/>
                <w:sz w:val="20"/>
              </w:rPr>
            </w:pPr>
            <w:r>
              <w:rPr>
                <w:color w:val="000000"/>
                <w:sz w:val="20"/>
              </w:rPr>
              <w:t>68,00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1A9800" w14:textId="77777777" w:rsidR="00A77B3E" w:rsidRDefault="00B16CCF">
            <w:pPr>
              <w:spacing w:before="5pt"/>
              <w:rPr>
                <w:color w:val="000000"/>
                <w:sz w:val="20"/>
              </w:rPr>
            </w:pPr>
            <w:r>
              <w:rPr>
                <w:color w:val="000000"/>
                <w:sz w:val="20"/>
              </w:rPr>
              <w:t>spremljanje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45F31F" w14:textId="77777777" w:rsidR="00A77B3E" w:rsidRDefault="00A77B3E">
            <w:pPr>
              <w:spacing w:before="5pt"/>
              <w:rPr>
                <w:color w:val="000000"/>
                <w:sz w:val="20"/>
              </w:rPr>
            </w:pPr>
          </w:p>
        </w:tc>
      </w:tr>
      <w:tr w:rsidR="00823317" w14:paraId="41E5474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A7B283"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7819AA" w14:textId="77777777" w:rsidR="00A77B3E" w:rsidRDefault="00B16CC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7D72F0"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AF3568"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A0B6EA" w14:textId="77777777" w:rsidR="00A77B3E" w:rsidRDefault="00B16CCF">
            <w:pPr>
              <w:spacing w:before="5pt"/>
              <w:rPr>
                <w:color w:val="000000"/>
                <w:sz w:val="20"/>
              </w:rPr>
            </w:pPr>
            <w:r>
              <w:rPr>
                <w:color w:val="000000"/>
                <w:sz w:val="20"/>
              </w:rPr>
              <w:t>RCR102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960A92" w14:textId="77777777" w:rsidR="00A77B3E" w:rsidRPr="00EB2379" w:rsidRDefault="00B16CCF">
            <w:pPr>
              <w:spacing w:before="5pt"/>
              <w:rPr>
                <w:color w:val="000000"/>
                <w:sz w:val="20"/>
                <w:lang w:val="it-IT"/>
              </w:rPr>
            </w:pPr>
            <w:r w:rsidRPr="00EB2379">
              <w:rPr>
                <w:color w:val="000000"/>
                <w:sz w:val="20"/>
                <w:lang w:val="it-IT"/>
              </w:rPr>
              <w:t>Raziskovalna delovna mesta, ustvarjena v subjektih, ki so prejeli podporo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205B88" w14:textId="77777777" w:rsidR="00A77B3E" w:rsidRDefault="00B16CCF">
            <w:pPr>
              <w:spacing w:before="5pt"/>
              <w:rPr>
                <w:color w:val="000000"/>
                <w:sz w:val="20"/>
              </w:rPr>
            </w:pPr>
            <w:r>
              <w:rPr>
                <w:color w:val="000000"/>
                <w:sz w:val="20"/>
              </w:rPr>
              <w:t>letni EPDČ</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6437BE"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BB2482" w14:textId="77777777" w:rsidR="00A77B3E" w:rsidRDefault="00B16CCF">
            <w:pPr>
              <w:spacing w:before="5pt"/>
              <w:jc w:val="center"/>
              <w:rPr>
                <w:color w:val="000000"/>
                <w:sz w:val="20"/>
              </w:rPr>
            </w:pPr>
            <w:r>
              <w:rPr>
                <w:color w:val="000000"/>
                <w:sz w:val="2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743058" w14:textId="77777777" w:rsidR="00A77B3E" w:rsidRDefault="00B16CCF">
            <w:pPr>
              <w:spacing w:before="5pt"/>
              <w:jc w:val="end"/>
              <w:rPr>
                <w:color w:val="000000"/>
                <w:sz w:val="20"/>
              </w:rPr>
            </w:pPr>
            <w:r>
              <w:rPr>
                <w:color w:val="000000"/>
                <w:sz w:val="20"/>
              </w:rPr>
              <w:t>45,00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6F84BF" w14:textId="77777777" w:rsidR="00A77B3E" w:rsidRDefault="00B16CCF">
            <w:pPr>
              <w:spacing w:before="5pt"/>
              <w:rPr>
                <w:color w:val="000000"/>
                <w:sz w:val="20"/>
              </w:rPr>
            </w:pPr>
            <w:r>
              <w:rPr>
                <w:color w:val="000000"/>
                <w:sz w:val="20"/>
              </w:rPr>
              <w:t>upravičenec, MVZI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447911" w14:textId="77777777" w:rsidR="00A77B3E" w:rsidRDefault="00A77B3E">
            <w:pPr>
              <w:spacing w:before="5pt"/>
              <w:rPr>
                <w:color w:val="000000"/>
                <w:sz w:val="20"/>
              </w:rPr>
            </w:pPr>
          </w:p>
        </w:tc>
      </w:tr>
      <w:tr w:rsidR="00823317" w14:paraId="3944DAC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ED7C24"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C02DC6" w14:textId="77777777" w:rsidR="00A77B3E" w:rsidRDefault="00B16CC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A8BD5A"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74F6EB"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316B50" w14:textId="77777777" w:rsidR="00A77B3E" w:rsidRDefault="00B16CCF">
            <w:pPr>
              <w:spacing w:before="5pt"/>
              <w:rPr>
                <w:color w:val="000000"/>
                <w:sz w:val="20"/>
              </w:rPr>
            </w:pPr>
            <w:r>
              <w:rPr>
                <w:color w:val="000000"/>
                <w:sz w:val="20"/>
              </w:rPr>
              <w:t>15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EEC303" w14:textId="77777777" w:rsidR="00A77B3E" w:rsidRDefault="00B16CCF">
            <w:pPr>
              <w:spacing w:before="5pt"/>
              <w:rPr>
                <w:color w:val="000000"/>
                <w:sz w:val="20"/>
              </w:rPr>
            </w:pPr>
            <w:r>
              <w:rPr>
                <w:color w:val="000000"/>
                <w:sz w:val="20"/>
              </w:rPr>
              <w:t>Delež  inovacijsko aktivnih podjetij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BC39F6" w14:textId="77777777" w:rsidR="00A77B3E" w:rsidRDefault="00B16CCF">
            <w:pPr>
              <w:spacing w:before="5pt"/>
              <w:rPr>
                <w:color w:val="000000"/>
                <w:sz w:val="20"/>
              </w:rPr>
            </w:pPr>
            <w:r>
              <w:rPr>
                <w:color w:val="000000"/>
                <w:sz w:val="20"/>
              </w:rPr>
              <w:t>odstotek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084D2F" w14:textId="77777777" w:rsidR="00A77B3E" w:rsidRDefault="00B16CCF">
            <w:pPr>
              <w:spacing w:before="5pt"/>
              <w:jc w:val="end"/>
              <w:rPr>
                <w:color w:val="000000"/>
                <w:sz w:val="20"/>
              </w:rPr>
            </w:pPr>
            <w:r>
              <w:rPr>
                <w:color w:val="000000"/>
                <w:sz w:val="20"/>
              </w:rPr>
              <w:t>55,00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85F478" w14:textId="77777777" w:rsidR="00A77B3E" w:rsidRDefault="00B16CCF">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0064C1" w14:textId="77777777" w:rsidR="00A77B3E" w:rsidRDefault="00B16CCF">
            <w:pPr>
              <w:spacing w:before="5pt"/>
              <w:jc w:val="end"/>
              <w:rPr>
                <w:color w:val="000000"/>
                <w:sz w:val="20"/>
              </w:rPr>
            </w:pPr>
            <w:r>
              <w:rPr>
                <w:color w:val="000000"/>
                <w:sz w:val="20"/>
              </w:rPr>
              <w:t>60,00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260CB1" w14:textId="77777777" w:rsidR="00A77B3E" w:rsidRDefault="00B16CCF">
            <w:pPr>
              <w:spacing w:before="5pt"/>
              <w:rPr>
                <w:color w:val="000000"/>
                <w:sz w:val="20"/>
              </w:rPr>
            </w:pPr>
            <w:r>
              <w:rPr>
                <w:color w:val="000000"/>
                <w:sz w:val="20"/>
              </w:rPr>
              <w:t>SURS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C1AE33" w14:textId="77777777" w:rsidR="00A77B3E" w:rsidRDefault="00A77B3E">
            <w:pPr>
              <w:spacing w:before="5pt"/>
              <w:rPr>
                <w:color w:val="000000"/>
                <w:sz w:val="20"/>
              </w:rPr>
            </w:pPr>
          </w:p>
        </w:tc>
      </w:tr>
      <w:tr w:rsidR="00823317" w14:paraId="65DA76E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8AE97A"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2BC296" w14:textId="77777777" w:rsidR="00A77B3E" w:rsidRDefault="00B16CC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D4E974"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0CF5BC"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3C0B08" w14:textId="77777777" w:rsidR="00A77B3E" w:rsidRDefault="00B16CCF">
            <w:pPr>
              <w:spacing w:before="5pt"/>
              <w:rPr>
                <w:color w:val="000000"/>
                <w:sz w:val="20"/>
              </w:rPr>
            </w:pPr>
            <w:r>
              <w:rPr>
                <w:color w:val="000000"/>
                <w:sz w:val="20"/>
              </w:rPr>
              <w:t>RCR03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8014A9" w14:textId="77777777" w:rsidR="00A77B3E" w:rsidRPr="00EB2379" w:rsidRDefault="00B16CCF">
            <w:pPr>
              <w:spacing w:before="5pt"/>
              <w:rPr>
                <w:color w:val="000000"/>
                <w:sz w:val="20"/>
                <w:lang w:val="it-IT"/>
              </w:rPr>
            </w:pPr>
            <w:r w:rsidRPr="00EB2379">
              <w:rPr>
                <w:color w:val="000000"/>
                <w:sz w:val="20"/>
                <w:lang w:val="it-IT"/>
              </w:rPr>
              <w:t>Mala in srednja podjetja (MSP), ki uvajajo inovacije pri proizvodih ali procesih</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A580AB" w14:textId="77777777" w:rsidR="00A77B3E" w:rsidRDefault="00B16CCF">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4601D4"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C0F676" w14:textId="77777777" w:rsidR="00A77B3E" w:rsidRDefault="00B16CCF">
            <w:pPr>
              <w:spacing w:before="5pt"/>
              <w:jc w:val="center"/>
              <w:rPr>
                <w:color w:val="000000"/>
                <w:sz w:val="20"/>
              </w:rPr>
            </w:pPr>
            <w:r>
              <w:rPr>
                <w:color w:val="000000"/>
                <w:sz w:val="2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BBDB8A" w14:textId="77777777" w:rsidR="00A77B3E" w:rsidRDefault="00B16CCF">
            <w:pPr>
              <w:spacing w:before="5pt"/>
              <w:jc w:val="end"/>
              <w:rPr>
                <w:color w:val="000000"/>
                <w:sz w:val="20"/>
              </w:rPr>
            </w:pPr>
            <w:r>
              <w:rPr>
                <w:color w:val="000000"/>
                <w:sz w:val="20"/>
              </w:rPr>
              <w:t>159,00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E232B3" w14:textId="77777777" w:rsidR="00A77B3E" w:rsidRDefault="00B16CCF">
            <w:pPr>
              <w:spacing w:before="5pt"/>
              <w:rPr>
                <w:color w:val="000000"/>
                <w:sz w:val="20"/>
              </w:rPr>
            </w:pPr>
            <w:r>
              <w:rPr>
                <w:color w:val="000000"/>
                <w:sz w:val="20"/>
              </w:rPr>
              <w:t>MGTŠ, MVZI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BFB047" w14:textId="77777777" w:rsidR="00A77B3E" w:rsidRDefault="00A77B3E">
            <w:pPr>
              <w:spacing w:before="5pt"/>
              <w:rPr>
                <w:color w:val="000000"/>
                <w:sz w:val="20"/>
              </w:rPr>
            </w:pPr>
          </w:p>
        </w:tc>
      </w:tr>
      <w:tr w:rsidR="00823317" w14:paraId="0CE0A08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11217E"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3E8582" w14:textId="77777777" w:rsidR="00A77B3E" w:rsidRDefault="00B16CC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94C8E9"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EC4FB7"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BAD461" w14:textId="77777777" w:rsidR="00A77B3E" w:rsidRDefault="00B16CCF">
            <w:pPr>
              <w:spacing w:before="5pt"/>
              <w:rPr>
                <w:color w:val="000000"/>
                <w:sz w:val="20"/>
              </w:rPr>
            </w:pPr>
            <w:r>
              <w:rPr>
                <w:color w:val="000000"/>
                <w:sz w:val="20"/>
              </w:rPr>
              <w:t>RCR06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727038" w14:textId="77777777" w:rsidR="00A77B3E" w:rsidRDefault="00B16CCF">
            <w:pPr>
              <w:spacing w:before="5pt"/>
              <w:rPr>
                <w:color w:val="000000"/>
                <w:sz w:val="20"/>
              </w:rPr>
            </w:pPr>
            <w:r>
              <w:rPr>
                <w:color w:val="000000"/>
                <w:sz w:val="20"/>
              </w:rPr>
              <w:t>Vložene patentne prijave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47EC29" w14:textId="77777777" w:rsidR="00A77B3E" w:rsidRDefault="00B16CCF">
            <w:pPr>
              <w:spacing w:before="5pt"/>
              <w:rPr>
                <w:color w:val="000000"/>
                <w:sz w:val="20"/>
              </w:rPr>
            </w:pPr>
            <w:r>
              <w:rPr>
                <w:color w:val="000000"/>
                <w:sz w:val="20"/>
              </w:rPr>
              <w:t>vloge za patente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3BB63D"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CB17BA" w14:textId="77777777" w:rsidR="00A77B3E" w:rsidRDefault="00B16CCF">
            <w:pPr>
              <w:spacing w:before="5pt"/>
              <w:jc w:val="center"/>
              <w:rPr>
                <w:color w:val="000000"/>
                <w:sz w:val="20"/>
              </w:rPr>
            </w:pPr>
            <w:r>
              <w:rPr>
                <w:color w:val="000000"/>
                <w:sz w:val="2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5A250B" w14:textId="77777777" w:rsidR="00A77B3E" w:rsidRDefault="00B16CCF">
            <w:pPr>
              <w:spacing w:before="5pt"/>
              <w:jc w:val="end"/>
              <w:rPr>
                <w:color w:val="000000"/>
                <w:sz w:val="20"/>
              </w:rPr>
            </w:pPr>
            <w:r>
              <w:rPr>
                <w:color w:val="000000"/>
                <w:sz w:val="20"/>
              </w:rPr>
              <w:t>7,00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4BF52F" w14:textId="77777777" w:rsidR="00A77B3E" w:rsidRDefault="00B16CCF">
            <w:pPr>
              <w:spacing w:before="5pt"/>
              <w:rPr>
                <w:color w:val="000000"/>
                <w:sz w:val="20"/>
              </w:rPr>
            </w:pPr>
            <w:r>
              <w:rPr>
                <w:color w:val="000000"/>
                <w:sz w:val="20"/>
              </w:rPr>
              <w:t>Upravičenec, MVZI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09CBEA" w14:textId="77777777" w:rsidR="00A77B3E" w:rsidRDefault="00A77B3E">
            <w:pPr>
              <w:spacing w:before="5pt"/>
              <w:rPr>
                <w:color w:val="000000"/>
                <w:sz w:val="20"/>
              </w:rPr>
            </w:pPr>
          </w:p>
        </w:tc>
      </w:tr>
      <w:tr w:rsidR="00823317" w14:paraId="44669A5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7C4B8B"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6AD2CF" w14:textId="77777777" w:rsidR="00A77B3E" w:rsidRDefault="00B16CC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263BB2"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CCF61A"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0A2680" w14:textId="77777777" w:rsidR="00A77B3E" w:rsidRDefault="00B16CCF">
            <w:pPr>
              <w:spacing w:before="5pt"/>
              <w:rPr>
                <w:color w:val="000000"/>
                <w:sz w:val="20"/>
              </w:rPr>
            </w:pPr>
            <w:r>
              <w:rPr>
                <w:color w:val="000000"/>
                <w:sz w:val="20"/>
              </w:rPr>
              <w:t>RCR102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73DB4A" w14:textId="77777777" w:rsidR="00A77B3E" w:rsidRPr="00EB2379" w:rsidRDefault="00B16CCF">
            <w:pPr>
              <w:spacing w:before="5pt"/>
              <w:rPr>
                <w:color w:val="000000"/>
                <w:sz w:val="20"/>
                <w:lang w:val="it-IT"/>
              </w:rPr>
            </w:pPr>
            <w:r w:rsidRPr="00EB2379">
              <w:rPr>
                <w:color w:val="000000"/>
                <w:sz w:val="20"/>
                <w:lang w:val="it-IT"/>
              </w:rPr>
              <w:t>Raziskovalna delovna mesta, ustvarjena v subjektih, ki so prejeli podporo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B050BF" w14:textId="77777777" w:rsidR="00A77B3E" w:rsidRDefault="00B16CCF">
            <w:pPr>
              <w:spacing w:before="5pt"/>
              <w:rPr>
                <w:color w:val="000000"/>
                <w:sz w:val="20"/>
              </w:rPr>
            </w:pPr>
            <w:r>
              <w:rPr>
                <w:color w:val="000000"/>
                <w:sz w:val="20"/>
              </w:rPr>
              <w:t>letni EPDČ</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165EF8"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4610AE" w14:textId="77777777" w:rsidR="00A77B3E" w:rsidRDefault="00B16CCF">
            <w:pPr>
              <w:spacing w:before="5pt"/>
              <w:jc w:val="center"/>
              <w:rPr>
                <w:color w:val="000000"/>
                <w:sz w:val="20"/>
              </w:rPr>
            </w:pPr>
            <w:r>
              <w:rPr>
                <w:color w:val="000000"/>
                <w:sz w:val="2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FAD314" w14:textId="77777777" w:rsidR="00A77B3E" w:rsidRDefault="00B16CCF">
            <w:pPr>
              <w:spacing w:before="5pt"/>
              <w:jc w:val="end"/>
              <w:rPr>
                <w:color w:val="000000"/>
                <w:sz w:val="20"/>
              </w:rPr>
            </w:pPr>
            <w:r>
              <w:rPr>
                <w:color w:val="000000"/>
                <w:sz w:val="20"/>
              </w:rPr>
              <w:t>38,50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808773" w14:textId="77777777" w:rsidR="00A77B3E" w:rsidRDefault="00B16CCF">
            <w:pPr>
              <w:spacing w:before="5pt"/>
              <w:rPr>
                <w:color w:val="000000"/>
                <w:sz w:val="20"/>
              </w:rPr>
            </w:pPr>
            <w:r>
              <w:rPr>
                <w:color w:val="000000"/>
                <w:sz w:val="20"/>
              </w:rPr>
              <w:t>upravičenec, MVZI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D910CF" w14:textId="77777777" w:rsidR="00A77B3E" w:rsidRDefault="00A77B3E">
            <w:pPr>
              <w:spacing w:before="5pt"/>
              <w:rPr>
                <w:color w:val="000000"/>
                <w:sz w:val="20"/>
              </w:rPr>
            </w:pPr>
          </w:p>
        </w:tc>
      </w:tr>
      <w:tr w:rsidR="00823317" w14:paraId="046090F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3C8800"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3A33E7" w14:textId="77777777" w:rsidR="00A77B3E" w:rsidRDefault="00B16CC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E5FED6"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6E0A04"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833717" w14:textId="77777777" w:rsidR="00A77B3E" w:rsidRDefault="00B16CCF">
            <w:pPr>
              <w:spacing w:before="5pt"/>
              <w:rPr>
                <w:color w:val="000000"/>
                <w:sz w:val="20"/>
              </w:rPr>
            </w:pPr>
            <w:r>
              <w:rPr>
                <w:color w:val="000000"/>
                <w:sz w:val="20"/>
              </w:rPr>
              <w:t>15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E515BD" w14:textId="77777777" w:rsidR="00A77B3E" w:rsidRDefault="00B16CCF">
            <w:pPr>
              <w:spacing w:before="5pt"/>
              <w:rPr>
                <w:color w:val="000000"/>
                <w:sz w:val="20"/>
              </w:rPr>
            </w:pPr>
            <w:r>
              <w:rPr>
                <w:color w:val="000000"/>
                <w:sz w:val="20"/>
              </w:rPr>
              <w:t>Delež  inovacijsko aktivnih podjetij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7FF031" w14:textId="77777777" w:rsidR="00A77B3E" w:rsidRDefault="00B16CCF">
            <w:pPr>
              <w:spacing w:before="5pt"/>
              <w:rPr>
                <w:color w:val="000000"/>
                <w:sz w:val="20"/>
              </w:rPr>
            </w:pPr>
            <w:r>
              <w:rPr>
                <w:color w:val="000000"/>
                <w:sz w:val="20"/>
              </w:rPr>
              <w:t>odstotek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2E5D72" w14:textId="77777777" w:rsidR="00A77B3E" w:rsidRDefault="00B16CCF">
            <w:pPr>
              <w:spacing w:before="5pt"/>
              <w:jc w:val="end"/>
              <w:rPr>
                <w:color w:val="000000"/>
                <w:sz w:val="20"/>
              </w:rPr>
            </w:pPr>
            <w:r>
              <w:rPr>
                <w:color w:val="000000"/>
                <w:sz w:val="20"/>
              </w:rPr>
              <w:t>55,00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C3A97D" w14:textId="77777777" w:rsidR="00A77B3E" w:rsidRDefault="00B16CCF">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4A20C4" w14:textId="77777777" w:rsidR="00A77B3E" w:rsidRDefault="00B16CCF">
            <w:pPr>
              <w:spacing w:before="5pt"/>
              <w:jc w:val="end"/>
              <w:rPr>
                <w:color w:val="000000"/>
                <w:sz w:val="20"/>
              </w:rPr>
            </w:pPr>
            <w:r>
              <w:rPr>
                <w:color w:val="000000"/>
                <w:sz w:val="20"/>
              </w:rPr>
              <w:t>60,00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D7B886" w14:textId="77777777" w:rsidR="00A77B3E" w:rsidRDefault="00B16CCF">
            <w:pPr>
              <w:spacing w:before="5pt"/>
              <w:rPr>
                <w:color w:val="000000"/>
                <w:sz w:val="20"/>
              </w:rPr>
            </w:pPr>
            <w:r>
              <w:rPr>
                <w:color w:val="000000"/>
                <w:sz w:val="20"/>
              </w:rPr>
              <w:t>SURS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CEC4CB" w14:textId="77777777" w:rsidR="00A77B3E" w:rsidRDefault="00A77B3E">
            <w:pPr>
              <w:spacing w:before="5pt"/>
              <w:rPr>
                <w:color w:val="000000"/>
                <w:sz w:val="20"/>
              </w:rPr>
            </w:pPr>
          </w:p>
        </w:tc>
      </w:tr>
    </w:tbl>
    <w:p w14:paraId="07A618D1" w14:textId="77777777" w:rsidR="00A77B3E" w:rsidRDefault="00A77B3E">
      <w:pPr>
        <w:spacing w:before="5pt"/>
        <w:rPr>
          <w:color w:val="000000"/>
          <w:sz w:val="20"/>
        </w:rPr>
      </w:pPr>
    </w:p>
    <w:p w14:paraId="0A12CF8A" w14:textId="77777777" w:rsidR="00A77B3E" w:rsidRDefault="00B16CCF">
      <w:pPr>
        <w:pStyle w:val="Naslov4"/>
        <w:spacing w:before="5pt" w:after="0pt"/>
        <w:rPr>
          <w:b w:val="0"/>
          <w:color w:val="000000"/>
          <w:sz w:val="24"/>
        </w:rPr>
      </w:pPr>
      <w:bookmarkStart w:id="16" w:name="_Toc256000777"/>
      <w:r>
        <w:rPr>
          <w:b w:val="0"/>
          <w:color w:val="000000"/>
          <w:sz w:val="24"/>
        </w:rPr>
        <w:t>2.1.1.1.3. Okvirna razčlenitev načrtovanih sredstev (EU) glede na vrsto ukrepa</w:t>
      </w:r>
      <w:bookmarkEnd w:id="16"/>
    </w:p>
    <w:p w14:paraId="0EB08ACC" w14:textId="77777777" w:rsidR="00A77B3E" w:rsidRDefault="00A77B3E">
      <w:pPr>
        <w:spacing w:before="5pt"/>
        <w:rPr>
          <w:color w:val="000000"/>
          <w:sz w:val="0"/>
        </w:rPr>
      </w:pPr>
    </w:p>
    <w:p w14:paraId="25C9674A" w14:textId="77777777" w:rsidR="00A77B3E" w:rsidRDefault="00B16CCF">
      <w:pPr>
        <w:spacing w:before="5pt"/>
        <w:rPr>
          <w:color w:val="000000"/>
          <w:sz w:val="0"/>
        </w:rPr>
      </w:pPr>
      <w:r>
        <w:rPr>
          <w:color w:val="000000"/>
        </w:rPr>
        <w:t>Sklic: člen 22(3)(d)(viii) uredbe o skupnih določbah</w:t>
      </w:r>
    </w:p>
    <w:p w14:paraId="3A8C37AF" w14:textId="77777777" w:rsidR="00A77B3E" w:rsidRDefault="00B16CCF">
      <w:pPr>
        <w:pStyle w:val="Naslov5"/>
        <w:spacing w:before="5pt" w:after="0pt"/>
        <w:rPr>
          <w:b w:val="0"/>
          <w:i w:val="0"/>
          <w:color w:val="000000"/>
          <w:sz w:val="24"/>
        </w:rPr>
      </w:pPr>
      <w:bookmarkStart w:id="17" w:name="_Toc256000778"/>
      <w:r>
        <w:rPr>
          <w:b w:val="0"/>
          <w:i w:val="0"/>
          <w:color w:val="000000"/>
          <w:sz w:val="24"/>
        </w:rPr>
        <w:t>Tabela 4: Razsežnost 1 – področje ukrepanja</w:t>
      </w:r>
      <w:bookmarkEnd w:id="17"/>
    </w:p>
    <w:p w14:paraId="3040F81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11"/>
        <w:gridCol w:w="2225"/>
        <w:gridCol w:w="1615"/>
        <w:gridCol w:w="2306"/>
        <w:gridCol w:w="3341"/>
        <w:gridCol w:w="3274"/>
      </w:tblGrid>
      <w:tr w:rsidR="00823317" w14:paraId="3179C70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7A30B8"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ABDCAF"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3DF740"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430546"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2E4305"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CDE291" w14:textId="77777777" w:rsidR="00A77B3E" w:rsidRDefault="00B16CCF">
            <w:pPr>
              <w:spacing w:before="5pt"/>
              <w:jc w:val="center"/>
              <w:rPr>
                <w:color w:val="000000"/>
                <w:sz w:val="20"/>
              </w:rPr>
            </w:pPr>
            <w:r>
              <w:rPr>
                <w:color w:val="000000"/>
                <w:sz w:val="20"/>
              </w:rPr>
              <w:t>Znesek (v EUR)</w:t>
            </w:r>
          </w:p>
        </w:tc>
      </w:tr>
      <w:tr w:rsidR="00823317" w14:paraId="32F59C6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D4C57D"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A90881" w14:textId="77777777" w:rsidR="00A77B3E" w:rsidRDefault="00B16CC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B80A43"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6E9E87"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C49A5A" w14:textId="77777777" w:rsidR="00A77B3E" w:rsidRDefault="00B16CCF">
            <w:pPr>
              <w:spacing w:before="5pt"/>
              <w:rPr>
                <w:color w:val="000000"/>
                <w:sz w:val="20"/>
              </w:rPr>
            </w:pPr>
            <w:r>
              <w:rPr>
                <w:color w:val="000000"/>
                <w:sz w:val="20"/>
              </w:rPr>
              <w:t xml:space="preserve">002. Naložbe v osnovna sredstva, vključno v raziskovalno infrastrukturo, </w:t>
            </w:r>
            <w:r>
              <w:rPr>
                <w:color w:val="000000"/>
                <w:sz w:val="20"/>
              </w:rPr>
              <w:lastRenderedPageBreak/>
              <w:t>v MSP (vključno z zasebnimi raziskovalnimi središči), ki so neposredno povezane z raziskovalnimi in inovacijskimi dejavnostmi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624B76" w14:textId="77777777" w:rsidR="00A77B3E" w:rsidRDefault="00B16CCF">
            <w:pPr>
              <w:spacing w:before="5pt"/>
              <w:jc w:val="end"/>
              <w:rPr>
                <w:color w:val="000000"/>
                <w:sz w:val="20"/>
              </w:rPr>
            </w:pPr>
            <w:r>
              <w:rPr>
                <w:color w:val="000000"/>
                <w:sz w:val="20"/>
              </w:rPr>
              <w:lastRenderedPageBreak/>
              <w:t>4.206.312,00</w:t>
            </w:r>
          </w:p>
        </w:tc>
      </w:tr>
      <w:tr w:rsidR="00823317" w14:paraId="430DC6A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7DC72E"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4EF1AF" w14:textId="77777777" w:rsidR="00A77B3E" w:rsidRDefault="00B16CC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9AB115"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88675F"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F25AFC" w14:textId="77777777" w:rsidR="00A77B3E" w:rsidRDefault="00B16CCF">
            <w:pPr>
              <w:spacing w:before="5pt"/>
              <w:rPr>
                <w:color w:val="000000"/>
                <w:sz w:val="20"/>
              </w:rPr>
            </w:pPr>
            <w:r>
              <w:rPr>
                <w:color w:val="000000"/>
                <w:sz w:val="20"/>
              </w:rPr>
              <w:t>003. Naložbe v osnovna sredstva, vključno v raziskovalno infrastrukturo, v velikih podjetjih, ki so neposredno povezane z raziskovalnimi in inovacijskimi dejavnostmi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996D95" w14:textId="77777777" w:rsidR="00A77B3E" w:rsidRDefault="00B16CCF">
            <w:pPr>
              <w:spacing w:before="5pt"/>
              <w:jc w:val="end"/>
              <w:rPr>
                <w:color w:val="000000"/>
                <w:sz w:val="20"/>
              </w:rPr>
            </w:pPr>
            <w:r>
              <w:rPr>
                <w:color w:val="000000"/>
                <w:sz w:val="20"/>
              </w:rPr>
              <w:t>1.521.432,00</w:t>
            </w:r>
          </w:p>
        </w:tc>
      </w:tr>
      <w:tr w:rsidR="00823317" w14:paraId="734A561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8B6A49"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793608" w14:textId="77777777" w:rsidR="00A77B3E" w:rsidRDefault="00B16CC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1A9DA2"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1E40B1"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A4B56C" w14:textId="77777777" w:rsidR="00A77B3E" w:rsidRDefault="00B16CCF">
            <w:pPr>
              <w:spacing w:before="5pt"/>
              <w:rPr>
                <w:color w:val="000000"/>
                <w:sz w:val="20"/>
              </w:rPr>
            </w:pPr>
            <w:r>
              <w:rPr>
                <w:color w:val="000000"/>
                <w:sz w:val="20"/>
              </w:rPr>
              <w:t>004. Naložbe v osnovna sredstva, vključno v raziskovalno infrastrukturo, v javnih raziskovalnih središčih in visokem šolstvu, ki so neposredno povezane z raziskovalnimi in inovacijskimi dejavnostmi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D0B206" w14:textId="77777777" w:rsidR="00A77B3E" w:rsidRDefault="00B16CCF">
            <w:pPr>
              <w:spacing w:before="5pt"/>
              <w:jc w:val="end"/>
              <w:rPr>
                <w:color w:val="000000"/>
                <w:sz w:val="20"/>
              </w:rPr>
            </w:pPr>
            <w:r>
              <w:rPr>
                <w:color w:val="000000"/>
                <w:sz w:val="20"/>
              </w:rPr>
              <w:t>13.800.000,00</w:t>
            </w:r>
          </w:p>
        </w:tc>
      </w:tr>
      <w:tr w:rsidR="00823317" w14:paraId="16F8BD4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D575E5"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1874E2" w14:textId="77777777" w:rsidR="00A77B3E" w:rsidRDefault="00B16CC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48DFC2"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BD17A1"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404285" w14:textId="77777777" w:rsidR="00A77B3E" w:rsidRDefault="00B16CCF">
            <w:pPr>
              <w:spacing w:before="5pt"/>
              <w:rPr>
                <w:color w:val="000000"/>
                <w:sz w:val="20"/>
              </w:rPr>
            </w:pPr>
            <w:r>
              <w:rPr>
                <w:color w:val="000000"/>
                <w:sz w:val="20"/>
              </w:rPr>
              <w:t>010. Raziskovalne in inovacijske dejavnosti v MSP, vključno z mreženjem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44C9A7" w14:textId="77777777" w:rsidR="00A77B3E" w:rsidRDefault="00B16CCF">
            <w:pPr>
              <w:spacing w:before="5pt"/>
              <w:jc w:val="end"/>
              <w:rPr>
                <w:color w:val="000000"/>
                <w:sz w:val="20"/>
              </w:rPr>
            </w:pPr>
            <w:r>
              <w:rPr>
                <w:color w:val="000000"/>
                <w:sz w:val="20"/>
              </w:rPr>
              <w:t>23.159.983,61</w:t>
            </w:r>
          </w:p>
        </w:tc>
      </w:tr>
      <w:tr w:rsidR="00823317" w14:paraId="2A4C635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81E358"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FB9AA9" w14:textId="77777777" w:rsidR="00A77B3E" w:rsidRDefault="00B16CC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690A42"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BB36AE"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2D8D9A" w14:textId="77777777" w:rsidR="00A77B3E" w:rsidRDefault="00B16CCF">
            <w:pPr>
              <w:spacing w:before="5pt"/>
              <w:rPr>
                <w:color w:val="000000"/>
                <w:sz w:val="20"/>
              </w:rPr>
            </w:pPr>
            <w:r>
              <w:rPr>
                <w:color w:val="000000"/>
                <w:sz w:val="20"/>
              </w:rPr>
              <w:t xml:space="preserve">011. Raziskovalne in inovacijske dejavnosti v velikih podjetjih, vključno z mreženjem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9DFEFF" w14:textId="77777777" w:rsidR="00A77B3E" w:rsidRDefault="00B16CCF">
            <w:pPr>
              <w:spacing w:before="5pt"/>
              <w:jc w:val="end"/>
              <w:rPr>
                <w:color w:val="000000"/>
                <w:sz w:val="20"/>
              </w:rPr>
            </w:pPr>
            <w:r>
              <w:rPr>
                <w:color w:val="000000"/>
                <w:sz w:val="20"/>
              </w:rPr>
              <w:t>3.831.868,44</w:t>
            </w:r>
          </w:p>
        </w:tc>
      </w:tr>
      <w:tr w:rsidR="00823317" w14:paraId="19DD927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8CC1BF"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F1A9DB" w14:textId="77777777" w:rsidR="00A77B3E" w:rsidRDefault="00B16CC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0E1EDD"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C2B1C4"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2A8FDB" w14:textId="77777777" w:rsidR="00A77B3E" w:rsidRDefault="00B16CCF">
            <w:pPr>
              <w:spacing w:before="5pt"/>
              <w:rPr>
                <w:color w:val="000000"/>
                <w:sz w:val="20"/>
              </w:rPr>
            </w:pPr>
            <w:r>
              <w:rPr>
                <w:color w:val="000000"/>
                <w:sz w:val="20"/>
              </w:rPr>
              <w:t>012. Raziskovalne in inovacijske dejavnosti v javnih raziskovalnih središčih, visokem šolstvu in kompetenčnih središčih, vključno z mreženjem (industrijske raziskave, eksperimentalni razvoj, študije izvedljivosti)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DDCBBB" w14:textId="77777777" w:rsidR="00A77B3E" w:rsidRDefault="00B16CCF">
            <w:pPr>
              <w:spacing w:before="5pt"/>
              <w:jc w:val="end"/>
              <w:rPr>
                <w:color w:val="000000"/>
                <w:sz w:val="20"/>
              </w:rPr>
            </w:pPr>
            <w:r>
              <w:rPr>
                <w:color w:val="000000"/>
                <w:sz w:val="20"/>
              </w:rPr>
              <w:t>16.401.600,00</w:t>
            </w:r>
          </w:p>
        </w:tc>
      </w:tr>
      <w:tr w:rsidR="00823317" w14:paraId="6018460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4978CF"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AC8E43" w14:textId="77777777" w:rsidR="00A77B3E" w:rsidRDefault="00B16CC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DAA438"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DA9FD4"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327DA7" w14:textId="77777777" w:rsidR="00A77B3E" w:rsidRDefault="00B16CCF">
            <w:pPr>
              <w:spacing w:before="5pt"/>
              <w:rPr>
                <w:color w:val="000000"/>
                <w:sz w:val="20"/>
              </w:rPr>
            </w:pPr>
            <w:r>
              <w:rPr>
                <w:color w:val="000000"/>
                <w:sz w:val="20"/>
              </w:rPr>
              <w:t>026. Podpora inovacijskim grozdom, tudi med podjetji, raziskovalnimi organizacijami ter javnimi organi in poslovnimi mrežami, v korist predvsem MSP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0B5067" w14:textId="77777777" w:rsidR="00A77B3E" w:rsidRDefault="00B16CCF">
            <w:pPr>
              <w:spacing w:before="5pt"/>
              <w:jc w:val="end"/>
              <w:rPr>
                <w:color w:val="000000"/>
                <w:sz w:val="20"/>
              </w:rPr>
            </w:pPr>
            <w:r>
              <w:rPr>
                <w:color w:val="000000"/>
                <w:sz w:val="20"/>
              </w:rPr>
              <w:t>6.500.000,00</w:t>
            </w:r>
          </w:p>
        </w:tc>
      </w:tr>
      <w:tr w:rsidR="00823317" w14:paraId="1B0A94D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424BE3"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660DCB" w14:textId="77777777" w:rsidR="00A77B3E" w:rsidRDefault="00B16CC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2C05C8"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E685D3"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A8C405" w14:textId="77777777" w:rsidR="00A77B3E" w:rsidRDefault="00B16CCF">
            <w:pPr>
              <w:spacing w:before="5pt"/>
              <w:rPr>
                <w:color w:val="000000"/>
                <w:sz w:val="20"/>
              </w:rPr>
            </w:pPr>
            <w:r>
              <w:rPr>
                <w:color w:val="000000"/>
                <w:sz w:val="20"/>
              </w:rPr>
              <w:t>028. Prenos tehnologije ter sodelovanje med podjetji, raziskovalnimi središči in visokošolskim sektorjem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74E1E3" w14:textId="77777777" w:rsidR="00A77B3E" w:rsidRDefault="00B16CCF">
            <w:pPr>
              <w:spacing w:before="5pt"/>
              <w:jc w:val="end"/>
              <w:rPr>
                <w:color w:val="000000"/>
                <w:sz w:val="20"/>
              </w:rPr>
            </w:pPr>
            <w:r>
              <w:rPr>
                <w:color w:val="000000"/>
                <w:sz w:val="20"/>
              </w:rPr>
              <w:t>980.400,00</w:t>
            </w:r>
          </w:p>
        </w:tc>
      </w:tr>
      <w:tr w:rsidR="00823317" w14:paraId="4C18BCC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FD9C20" w14:textId="77777777" w:rsidR="00A77B3E" w:rsidRDefault="00B16CCF">
            <w:pPr>
              <w:spacing w:before="5pt"/>
              <w:rPr>
                <w:color w:val="000000"/>
                <w:sz w:val="20"/>
              </w:rPr>
            </w:pPr>
            <w:r>
              <w:rPr>
                <w:color w:val="000000"/>
                <w:sz w:val="20"/>
              </w:rPr>
              <w:lastRenderedPageBreak/>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5B8085" w14:textId="77777777" w:rsidR="00A77B3E" w:rsidRDefault="00B16CC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5E42C3"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340184"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2AF427" w14:textId="77777777" w:rsidR="00A77B3E" w:rsidRDefault="00B16CCF">
            <w:pPr>
              <w:spacing w:before="5pt"/>
              <w:rPr>
                <w:color w:val="000000"/>
                <w:sz w:val="20"/>
              </w:rPr>
            </w:pPr>
            <w:r>
              <w:rPr>
                <w:color w:val="000000"/>
                <w:sz w:val="20"/>
              </w:rPr>
              <w:t>029. Raziskovalni in inovacijski procesi, prenos tehnologije ter sodelovanje med podjetji, raziskovalnimi središči in univerzami s poudarkom na nizkoogljičnem gospodarstvu, odpornosti in prilagajanju podnebnim spremembam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E555C8" w14:textId="77777777" w:rsidR="00A77B3E" w:rsidRDefault="00B16CCF">
            <w:pPr>
              <w:spacing w:before="5pt"/>
              <w:jc w:val="end"/>
              <w:rPr>
                <w:color w:val="000000"/>
                <w:sz w:val="20"/>
              </w:rPr>
            </w:pPr>
            <w:r>
              <w:rPr>
                <w:color w:val="000000"/>
                <w:sz w:val="20"/>
              </w:rPr>
              <w:t>4.246.985,34</w:t>
            </w:r>
          </w:p>
        </w:tc>
      </w:tr>
      <w:tr w:rsidR="00823317" w14:paraId="31C954A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0F50D8"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9D68E7" w14:textId="77777777" w:rsidR="00A77B3E" w:rsidRDefault="00B16CC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CE3845"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515416"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137921" w14:textId="77777777" w:rsidR="00A77B3E" w:rsidRDefault="00B16CCF">
            <w:pPr>
              <w:spacing w:before="5pt"/>
              <w:rPr>
                <w:color w:val="000000"/>
                <w:sz w:val="20"/>
              </w:rPr>
            </w:pPr>
            <w:r>
              <w:rPr>
                <w:color w:val="000000"/>
                <w:sz w:val="20"/>
              </w:rPr>
              <w:t>030. Raziskovalni in inovacijski procesi, prenos tehnologije ter sodelovanje med podjetji, ki se osredotočajo na krožno gospodarstvo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1AB61E" w14:textId="77777777" w:rsidR="00A77B3E" w:rsidRDefault="00B16CCF">
            <w:pPr>
              <w:spacing w:before="5pt"/>
              <w:jc w:val="end"/>
              <w:rPr>
                <w:color w:val="000000"/>
                <w:sz w:val="20"/>
              </w:rPr>
            </w:pPr>
            <w:r>
              <w:rPr>
                <w:color w:val="000000"/>
                <w:sz w:val="20"/>
              </w:rPr>
              <w:t>1.660.080,00</w:t>
            </w:r>
          </w:p>
        </w:tc>
      </w:tr>
      <w:tr w:rsidR="00823317" w14:paraId="726FB10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C28D1D"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AC50F7" w14:textId="77777777" w:rsidR="00A77B3E" w:rsidRDefault="00B16CC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AAD122"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25ECC9"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F9E50A" w14:textId="77777777" w:rsidR="00A77B3E" w:rsidRDefault="00B16CCF">
            <w:pPr>
              <w:spacing w:before="5pt"/>
              <w:rPr>
                <w:color w:val="000000"/>
                <w:sz w:val="20"/>
              </w:rPr>
            </w:pPr>
            <w:r>
              <w:rPr>
                <w:color w:val="000000"/>
                <w:sz w:val="20"/>
              </w:rPr>
              <w:t>043. Gradnja novih energijsko učinkovitih stavb</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D47A97" w14:textId="77777777" w:rsidR="00A77B3E" w:rsidRDefault="00B16CCF">
            <w:pPr>
              <w:spacing w:before="5pt"/>
              <w:jc w:val="end"/>
              <w:rPr>
                <w:color w:val="000000"/>
                <w:sz w:val="20"/>
              </w:rPr>
            </w:pPr>
            <w:r>
              <w:rPr>
                <w:color w:val="000000"/>
                <w:sz w:val="20"/>
              </w:rPr>
              <w:t>20.000.000,00</w:t>
            </w:r>
          </w:p>
        </w:tc>
      </w:tr>
      <w:tr w:rsidR="00823317" w14:paraId="4331C84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E7EA0F"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0B1896" w14:textId="77777777" w:rsidR="00A77B3E" w:rsidRDefault="00B16CC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BB3C36"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01B80F"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FF0C7C" w14:textId="77777777" w:rsidR="00A77B3E" w:rsidRDefault="00B16CCF">
            <w:pPr>
              <w:spacing w:before="5pt"/>
              <w:rPr>
                <w:color w:val="000000"/>
                <w:sz w:val="20"/>
              </w:rPr>
            </w:pPr>
            <w:r>
              <w:rPr>
                <w:color w:val="000000"/>
                <w:sz w:val="20"/>
              </w:rPr>
              <w:t>171. Krepitev sodelovanja s partnerji znotraj in zunaj države članice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8EE69C" w14:textId="77777777" w:rsidR="00A77B3E" w:rsidRDefault="00B16CCF">
            <w:pPr>
              <w:spacing w:before="5pt"/>
              <w:jc w:val="end"/>
              <w:rPr>
                <w:color w:val="000000"/>
                <w:sz w:val="20"/>
              </w:rPr>
            </w:pPr>
            <w:r>
              <w:rPr>
                <w:color w:val="000000"/>
                <w:sz w:val="20"/>
              </w:rPr>
              <w:t>9.508.800,00</w:t>
            </w:r>
          </w:p>
        </w:tc>
      </w:tr>
      <w:tr w:rsidR="00823317" w14:paraId="1537066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DD7BA6"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DD750F" w14:textId="77777777" w:rsidR="00A77B3E" w:rsidRDefault="00B16CC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E08D8C"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A3308B"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8A0190" w14:textId="77777777" w:rsidR="00A77B3E" w:rsidRDefault="00B16CCF">
            <w:pPr>
              <w:spacing w:before="5pt"/>
              <w:rPr>
                <w:color w:val="000000"/>
                <w:sz w:val="20"/>
              </w:rPr>
            </w:pPr>
            <w:r>
              <w:rPr>
                <w:color w:val="000000"/>
                <w:sz w:val="20"/>
              </w:rPr>
              <w:t>002. Naložbe v osnovna sredstva, vključno v raziskovalno infrastrukturo, v MSP (vključno z zasebnimi raziskovalnimi središči), ki so neposredno povezane z raziskovalnimi in inovacijskimi dejavnostmi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6ACC93" w14:textId="77777777" w:rsidR="00A77B3E" w:rsidRDefault="00B16CCF">
            <w:pPr>
              <w:spacing w:before="5pt"/>
              <w:jc w:val="end"/>
              <w:rPr>
                <w:color w:val="000000"/>
                <w:sz w:val="20"/>
              </w:rPr>
            </w:pPr>
            <w:r>
              <w:rPr>
                <w:color w:val="000000"/>
                <w:sz w:val="20"/>
              </w:rPr>
              <w:t>10.796.043,00</w:t>
            </w:r>
          </w:p>
        </w:tc>
      </w:tr>
      <w:tr w:rsidR="00823317" w14:paraId="68B2557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FCB56A"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C89F37" w14:textId="77777777" w:rsidR="00A77B3E" w:rsidRDefault="00B16CC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90D69F"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868334"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643BE1" w14:textId="77777777" w:rsidR="00A77B3E" w:rsidRDefault="00B16CCF">
            <w:pPr>
              <w:spacing w:before="5pt"/>
              <w:rPr>
                <w:color w:val="000000"/>
                <w:sz w:val="20"/>
              </w:rPr>
            </w:pPr>
            <w:r>
              <w:rPr>
                <w:color w:val="000000"/>
                <w:sz w:val="20"/>
              </w:rPr>
              <w:t>003. Naložbe v osnovna sredstva, vključno v raziskovalno infrastrukturo, v velikih podjetjih, ki so neposredno povezane z raziskovalnimi in inovacijskimi dejavnostmi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5A065A" w14:textId="77777777" w:rsidR="00A77B3E" w:rsidRDefault="00B16CCF">
            <w:pPr>
              <w:spacing w:before="5pt"/>
              <w:jc w:val="end"/>
              <w:rPr>
                <w:color w:val="000000"/>
                <w:sz w:val="20"/>
              </w:rPr>
            </w:pPr>
            <w:r>
              <w:rPr>
                <w:color w:val="000000"/>
                <w:sz w:val="20"/>
              </w:rPr>
              <w:t>3.476.213,00</w:t>
            </w:r>
          </w:p>
        </w:tc>
      </w:tr>
      <w:tr w:rsidR="00823317" w14:paraId="08CD89D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861EA9"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52FE1A" w14:textId="77777777" w:rsidR="00A77B3E" w:rsidRDefault="00B16CC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EB1AF0"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754DD1"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3722AB" w14:textId="77777777" w:rsidR="00A77B3E" w:rsidRDefault="00B16CCF">
            <w:pPr>
              <w:spacing w:before="5pt"/>
              <w:rPr>
                <w:color w:val="000000"/>
                <w:sz w:val="20"/>
              </w:rPr>
            </w:pPr>
            <w:r>
              <w:rPr>
                <w:color w:val="000000"/>
                <w:sz w:val="20"/>
              </w:rPr>
              <w:t>004. Naložbe v osnovna sredstva, vključno v raziskovalno infrastrukturo, v javnih raziskovalnih središčih in visokem šolstvu, ki so neposredno povezane z raziskovalnimi in inovacijskimi dejavnostmi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39C880" w14:textId="77777777" w:rsidR="00A77B3E" w:rsidRDefault="00B16CCF">
            <w:pPr>
              <w:spacing w:before="5pt"/>
              <w:jc w:val="end"/>
              <w:rPr>
                <w:color w:val="000000"/>
                <w:sz w:val="20"/>
              </w:rPr>
            </w:pPr>
            <w:r>
              <w:rPr>
                <w:color w:val="000000"/>
                <w:sz w:val="20"/>
              </w:rPr>
              <w:t>25.075.000,00</w:t>
            </w:r>
          </w:p>
        </w:tc>
      </w:tr>
      <w:tr w:rsidR="00823317" w14:paraId="7993279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2D4DC0"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0CA061" w14:textId="77777777" w:rsidR="00A77B3E" w:rsidRDefault="00B16CC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719D15"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A3DB37"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1D8362" w14:textId="77777777" w:rsidR="00A77B3E" w:rsidRDefault="00B16CCF">
            <w:pPr>
              <w:spacing w:before="5pt"/>
              <w:rPr>
                <w:color w:val="000000"/>
                <w:sz w:val="20"/>
              </w:rPr>
            </w:pPr>
            <w:r>
              <w:rPr>
                <w:color w:val="000000"/>
                <w:sz w:val="20"/>
              </w:rPr>
              <w:t>010. Raziskovalne in inovacijske dejavnosti v MSP, vključno z mreženjem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4600A2" w14:textId="77777777" w:rsidR="00A77B3E" w:rsidRDefault="00B16CCF">
            <w:pPr>
              <w:spacing w:before="5pt"/>
              <w:jc w:val="end"/>
              <w:rPr>
                <w:color w:val="000000"/>
                <w:sz w:val="20"/>
              </w:rPr>
            </w:pPr>
            <w:r>
              <w:rPr>
                <w:color w:val="000000"/>
                <w:sz w:val="20"/>
              </w:rPr>
              <w:t>59.263.444,86</w:t>
            </w:r>
          </w:p>
        </w:tc>
      </w:tr>
      <w:tr w:rsidR="00823317" w14:paraId="0D38163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63DBFA" w14:textId="77777777" w:rsidR="00A77B3E" w:rsidRDefault="00B16CCF">
            <w:pPr>
              <w:spacing w:before="5pt"/>
              <w:rPr>
                <w:color w:val="000000"/>
                <w:sz w:val="20"/>
              </w:rPr>
            </w:pPr>
            <w:r>
              <w:rPr>
                <w:color w:val="000000"/>
                <w:sz w:val="20"/>
              </w:rPr>
              <w:lastRenderedPageBreak/>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FAB7CD" w14:textId="77777777" w:rsidR="00A77B3E" w:rsidRDefault="00B16CC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69ECDF"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B0DFBC"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83F607" w14:textId="77777777" w:rsidR="00A77B3E" w:rsidRDefault="00B16CCF">
            <w:pPr>
              <w:spacing w:before="5pt"/>
              <w:rPr>
                <w:color w:val="000000"/>
                <w:sz w:val="20"/>
              </w:rPr>
            </w:pPr>
            <w:r>
              <w:rPr>
                <w:color w:val="000000"/>
                <w:sz w:val="20"/>
              </w:rPr>
              <w:t xml:space="preserve">011. Raziskovalne in inovacijske dejavnosti v velikih podjetjih, vključno z mreženjem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82565D" w14:textId="77777777" w:rsidR="00A77B3E" w:rsidRDefault="00B16CCF">
            <w:pPr>
              <w:spacing w:before="5pt"/>
              <w:jc w:val="end"/>
              <w:rPr>
                <w:color w:val="000000"/>
                <w:sz w:val="20"/>
              </w:rPr>
            </w:pPr>
            <w:r>
              <w:rPr>
                <w:color w:val="000000"/>
                <w:sz w:val="20"/>
              </w:rPr>
              <w:t>9.831.619,22</w:t>
            </w:r>
          </w:p>
        </w:tc>
      </w:tr>
      <w:tr w:rsidR="00823317" w14:paraId="4CFD65D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B9DDBB"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7C11EB" w14:textId="77777777" w:rsidR="00A77B3E" w:rsidRDefault="00B16CC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C84D0D"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4095AF"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BB29A0" w14:textId="77777777" w:rsidR="00A77B3E" w:rsidRDefault="00B16CCF">
            <w:pPr>
              <w:spacing w:before="5pt"/>
              <w:rPr>
                <w:color w:val="000000"/>
                <w:sz w:val="20"/>
              </w:rPr>
            </w:pPr>
            <w:r>
              <w:rPr>
                <w:color w:val="000000"/>
                <w:sz w:val="20"/>
              </w:rPr>
              <w:t>012. Raziskovalne in inovacijske dejavnosti v javnih raziskovalnih središčih, visokem šolstvu in kompetenčnih središčih, vključno z mreženjem (industrijske raziskave, eksperimentalni razvoj, študije izvedljivosti)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38AACD" w14:textId="77777777" w:rsidR="00A77B3E" w:rsidRDefault="00B16CCF">
            <w:pPr>
              <w:spacing w:before="5pt"/>
              <w:jc w:val="end"/>
              <w:rPr>
                <w:color w:val="000000"/>
                <w:sz w:val="20"/>
              </w:rPr>
            </w:pPr>
            <w:r>
              <w:rPr>
                <w:color w:val="000000"/>
                <w:sz w:val="20"/>
              </w:rPr>
              <w:t>17.238.512,00</w:t>
            </w:r>
          </w:p>
        </w:tc>
      </w:tr>
      <w:tr w:rsidR="00823317" w14:paraId="6F83506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38F479"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079A1B" w14:textId="77777777" w:rsidR="00A77B3E" w:rsidRDefault="00B16CC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AFB09D"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17305B"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A6EB2C" w14:textId="77777777" w:rsidR="00A77B3E" w:rsidRDefault="00B16CCF">
            <w:pPr>
              <w:spacing w:before="5pt"/>
              <w:rPr>
                <w:color w:val="000000"/>
                <w:sz w:val="20"/>
              </w:rPr>
            </w:pPr>
            <w:r>
              <w:rPr>
                <w:color w:val="000000"/>
                <w:sz w:val="20"/>
              </w:rPr>
              <w:t>026. Podpora inovacijskim grozdom, tudi med podjetji, raziskovalnimi organizacijami ter javnimi organi in poslovnimi mrežami, v korist predvsem MSP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98FF35" w14:textId="77777777" w:rsidR="00A77B3E" w:rsidRDefault="00B16CCF">
            <w:pPr>
              <w:spacing w:before="5pt"/>
              <w:jc w:val="end"/>
              <w:rPr>
                <w:color w:val="000000"/>
                <w:sz w:val="20"/>
              </w:rPr>
            </w:pPr>
            <w:r>
              <w:rPr>
                <w:color w:val="000000"/>
                <w:sz w:val="20"/>
              </w:rPr>
              <w:t>6.500.000,00</w:t>
            </w:r>
          </w:p>
        </w:tc>
      </w:tr>
      <w:tr w:rsidR="00823317" w14:paraId="5C1DAFE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B1139B"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49E929" w14:textId="77777777" w:rsidR="00A77B3E" w:rsidRDefault="00B16CC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82D183"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AC861A"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A1627F" w14:textId="77777777" w:rsidR="00A77B3E" w:rsidRDefault="00B16CCF">
            <w:pPr>
              <w:spacing w:before="5pt"/>
              <w:rPr>
                <w:color w:val="000000"/>
                <w:sz w:val="20"/>
              </w:rPr>
            </w:pPr>
            <w:r>
              <w:rPr>
                <w:color w:val="000000"/>
                <w:sz w:val="20"/>
              </w:rPr>
              <w:t>028. Prenos tehnologije ter sodelovanje med podjetji, raziskovalnimi središči in visokošolskim sektorjem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4C6DD1" w14:textId="77777777" w:rsidR="00A77B3E" w:rsidRDefault="00B16CCF">
            <w:pPr>
              <w:spacing w:before="5pt"/>
              <w:jc w:val="end"/>
              <w:rPr>
                <w:color w:val="000000"/>
                <w:sz w:val="20"/>
              </w:rPr>
            </w:pPr>
            <w:r>
              <w:rPr>
                <w:color w:val="000000"/>
                <w:sz w:val="20"/>
              </w:rPr>
              <w:t>1.571.650,00</w:t>
            </w:r>
          </w:p>
        </w:tc>
      </w:tr>
      <w:tr w:rsidR="00823317" w14:paraId="61B7BC1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F348D3"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3DC12A" w14:textId="77777777" w:rsidR="00A77B3E" w:rsidRDefault="00B16CC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281B23"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A5CE00"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DCD05B" w14:textId="77777777" w:rsidR="00A77B3E" w:rsidRDefault="00B16CCF">
            <w:pPr>
              <w:spacing w:before="5pt"/>
              <w:rPr>
                <w:color w:val="000000"/>
                <w:sz w:val="20"/>
              </w:rPr>
            </w:pPr>
            <w:r>
              <w:rPr>
                <w:color w:val="000000"/>
                <w:sz w:val="20"/>
              </w:rPr>
              <w:t>029. Raziskovalni in inovacijski procesi, prenos tehnologije ter sodelovanje med podjetji, raziskovalnimi središči in univerzami s poudarkom na nizkoogljičnem gospodarstvu, odpornosti in prilagajanju podnebnim spremembam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3224BA" w14:textId="77777777" w:rsidR="00A77B3E" w:rsidRDefault="00B16CCF">
            <w:pPr>
              <w:spacing w:before="5pt"/>
              <w:jc w:val="end"/>
              <w:rPr>
                <w:color w:val="000000"/>
                <w:sz w:val="20"/>
              </w:rPr>
            </w:pPr>
            <w:r>
              <w:rPr>
                <w:color w:val="000000"/>
                <w:sz w:val="20"/>
              </w:rPr>
              <w:t>9.138.943,04</w:t>
            </w:r>
          </w:p>
        </w:tc>
      </w:tr>
      <w:tr w:rsidR="00823317" w14:paraId="60C264C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B804B0"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98CC93" w14:textId="77777777" w:rsidR="00A77B3E" w:rsidRDefault="00B16CC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ECE7D1"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85EA2F"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75DBD3" w14:textId="77777777" w:rsidR="00A77B3E" w:rsidRDefault="00B16CCF">
            <w:pPr>
              <w:spacing w:before="5pt"/>
              <w:rPr>
                <w:color w:val="000000"/>
                <w:sz w:val="20"/>
              </w:rPr>
            </w:pPr>
            <w:r>
              <w:rPr>
                <w:color w:val="000000"/>
                <w:sz w:val="20"/>
              </w:rPr>
              <w:t>030. Raziskovalni in inovacijski procesi, prenos tehnologije ter sodelovanje med podjetji, ki se osredotočajo na krožno gospodarstvo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7F03D1" w14:textId="77777777" w:rsidR="00A77B3E" w:rsidRDefault="00B16CCF">
            <w:pPr>
              <w:spacing w:before="5pt"/>
              <w:jc w:val="end"/>
              <w:rPr>
                <w:color w:val="000000"/>
                <w:sz w:val="20"/>
              </w:rPr>
            </w:pPr>
            <w:r>
              <w:rPr>
                <w:color w:val="000000"/>
                <w:sz w:val="20"/>
              </w:rPr>
              <w:t>1.466.335,00</w:t>
            </w:r>
          </w:p>
        </w:tc>
      </w:tr>
      <w:tr w:rsidR="00823317" w14:paraId="26DF6EF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A1302A"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C1771F" w14:textId="77777777" w:rsidR="00A77B3E" w:rsidRDefault="00B16CC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03E57D"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879E64"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D41BBA" w14:textId="77777777" w:rsidR="00A77B3E" w:rsidRDefault="00B16CCF">
            <w:pPr>
              <w:spacing w:before="5pt"/>
              <w:rPr>
                <w:color w:val="000000"/>
                <w:sz w:val="20"/>
              </w:rPr>
            </w:pPr>
            <w:r>
              <w:rPr>
                <w:color w:val="000000"/>
                <w:sz w:val="20"/>
              </w:rPr>
              <w:t>043. Gradnja novih energijsko učinkovitih stavb</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38674A" w14:textId="77777777" w:rsidR="00A77B3E" w:rsidRDefault="00B16CCF">
            <w:pPr>
              <w:spacing w:before="5pt"/>
              <w:jc w:val="end"/>
              <w:rPr>
                <w:color w:val="000000"/>
                <w:sz w:val="20"/>
              </w:rPr>
            </w:pPr>
            <w:r>
              <w:rPr>
                <w:color w:val="000000"/>
                <w:sz w:val="20"/>
              </w:rPr>
              <w:t>53.000.000,00</w:t>
            </w:r>
          </w:p>
        </w:tc>
      </w:tr>
      <w:tr w:rsidR="00823317" w14:paraId="0E3E604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B158A4"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A27408" w14:textId="77777777" w:rsidR="00A77B3E" w:rsidRDefault="00B16CC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4A1253"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ADD592"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E6FD3B"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8DAD4F" w14:textId="77777777" w:rsidR="00A77B3E" w:rsidRDefault="00B16CCF">
            <w:pPr>
              <w:spacing w:before="5pt"/>
              <w:jc w:val="end"/>
              <w:rPr>
                <w:color w:val="000000"/>
                <w:sz w:val="20"/>
              </w:rPr>
            </w:pPr>
            <w:r>
              <w:rPr>
                <w:color w:val="000000"/>
                <w:sz w:val="20"/>
              </w:rPr>
              <w:t>303.175.221,51</w:t>
            </w:r>
          </w:p>
        </w:tc>
      </w:tr>
    </w:tbl>
    <w:p w14:paraId="09FF6C11" w14:textId="77777777" w:rsidR="00A77B3E" w:rsidRDefault="00A77B3E">
      <w:pPr>
        <w:spacing w:before="5pt"/>
        <w:rPr>
          <w:color w:val="000000"/>
          <w:sz w:val="20"/>
        </w:rPr>
      </w:pPr>
    </w:p>
    <w:p w14:paraId="26E18279" w14:textId="77777777" w:rsidR="00A77B3E" w:rsidRDefault="00B16CCF">
      <w:pPr>
        <w:pStyle w:val="Naslov5"/>
        <w:spacing w:before="5pt" w:after="0pt"/>
        <w:rPr>
          <w:b w:val="0"/>
          <w:i w:val="0"/>
          <w:color w:val="000000"/>
          <w:sz w:val="24"/>
        </w:rPr>
      </w:pPr>
      <w:bookmarkStart w:id="18" w:name="_Toc256000779"/>
      <w:r>
        <w:rPr>
          <w:b w:val="0"/>
          <w:i w:val="0"/>
          <w:color w:val="000000"/>
          <w:sz w:val="24"/>
        </w:rPr>
        <w:t>Tabela 5: Razsežnost 2 – oblika financiranja</w:t>
      </w:r>
      <w:bookmarkEnd w:id="18"/>
    </w:p>
    <w:p w14:paraId="34571B9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75"/>
        <w:gridCol w:w="2285"/>
        <w:gridCol w:w="1659"/>
        <w:gridCol w:w="2368"/>
        <w:gridCol w:w="3023"/>
        <w:gridCol w:w="3362"/>
      </w:tblGrid>
      <w:tr w:rsidR="00823317" w14:paraId="0143200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C9920C"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F4A051"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B7019D"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C5DB19"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73199C"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AA531B" w14:textId="77777777" w:rsidR="00A77B3E" w:rsidRDefault="00B16CCF">
            <w:pPr>
              <w:spacing w:before="5pt"/>
              <w:jc w:val="center"/>
              <w:rPr>
                <w:color w:val="000000"/>
                <w:sz w:val="20"/>
              </w:rPr>
            </w:pPr>
            <w:r>
              <w:rPr>
                <w:color w:val="000000"/>
                <w:sz w:val="20"/>
              </w:rPr>
              <w:t>Znesek (v EUR)</w:t>
            </w:r>
          </w:p>
        </w:tc>
      </w:tr>
      <w:tr w:rsidR="00823317" w14:paraId="4181524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318C7C" w14:textId="77777777" w:rsidR="00A77B3E" w:rsidRDefault="00B16CCF">
            <w:pPr>
              <w:spacing w:before="5pt"/>
              <w:rPr>
                <w:color w:val="000000"/>
                <w:sz w:val="20"/>
              </w:rPr>
            </w:pPr>
            <w:r>
              <w:rPr>
                <w:color w:val="000000"/>
                <w:sz w:val="20"/>
              </w:rPr>
              <w:lastRenderedPageBreak/>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E72AE5" w14:textId="77777777" w:rsidR="00A77B3E" w:rsidRDefault="00B16CC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655ADC"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5B8CF0"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3AC1A1" w14:textId="77777777" w:rsidR="00A77B3E" w:rsidRDefault="00B16CCF">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2333A6" w14:textId="77777777" w:rsidR="00A77B3E" w:rsidRDefault="00B16CCF">
            <w:pPr>
              <w:spacing w:before="5pt"/>
              <w:jc w:val="end"/>
              <w:rPr>
                <w:color w:val="000000"/>
                <w:sz w:val="20"/>
              </w:rPr>
            </w:pPr>
            <w:r>
              <w:rPr>
                <w:color w:val="000000"/>
                <w:sz w:val="20"/>
              </w:rPr>
              <w:t>100.089.716,39</w:t>
            </w:r>
          </w:p>
        </w:tc>
      </w:tr>
      <w:tr w:rsidR="00823317" w14:paraId="412A9FD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3F3C80"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00BCE3" w14:textId="77777777" w:rsidR="00A77B3E" w:rsidRDefault="00B16CC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5B27C1"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110868"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7C49D5" w14:textId="77777777" w:rsidR="00A77B3E" w:rsidRDefault="00B16CCF">
            <w:pPr>
              <w:spacing w:before="5pt"/>
              <w:rPr>
                <w:color w:val="000000"/>
                <w:sz w:val="20"/>
              </w:rPr>
            </w:pPr>
            <w:r>
              <w:rPr>
                <w:color w:val="000000"/>
                <w:sz w:val="20"/>
              </w:rPr>
              <w:t xml:space="preserve">03. Podpora prek finančnih instrumentov: posojila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29583C" w14:textId="77777777" w:rsidR="00A77B3E" w:rsidRDefault="00B16CCF">
            <w:pPr>
              <w:spacing w:before="5pt"/>
              <w:jc w:val="end"/>
              <w:rPr>
                <w:color w:val="000000"/>
                <w:sz w:val="20"/>
              </w:rPr>
            </w:pPr>
            <w:r>
              <w:rPr>
                <w:color w:val="000000"/>
                <w:sz w:val="20"/>
              </w:rPr>
              <w:t>5.727.745,00</w:t>
            </w:r>
          </w:p>
        </w:tc>
      </w:tr>
      <w:tr w:rsidR="00823317" w14:paraId="43F58DD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428466"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DE049C" w14:textId="77777777" w:rsidR="00A77B3E" w:rsidRDefault="00B16CC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63C06C"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D9AA5B"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692499" w14:textId="77777777" w:rsidR="00A77B3E" w:rsidRDefault="00B16CCF">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ADDC9E" w14:textId="77777777" w:rsidR="00A77B3E" w:rsidRDefault="00B16CCF">
            <w:pPr>
              <w:spacing w:before="5pt"/>
              <w:jc w:val="end"/>
              <w:rPr>
                <w:color w:val="000000"/>
                <w:sz w:val="20"/>
              </w:rPr>
            </w:pPr>
            <w:r>
              <w:rPr>
                <w:color w:val="000000"/>
                <w:sz w:val="20"/>
              </w:rPr>
              <w:t>183.085.503,12</w:t>
            </w:r>
          </w:p>
        </w:tc>
      </w:tr>
      <w:tr w:rsidR="00823317" w14:paraId="292B905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4F2EEC"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C7E7F3" w14:textId="77777777" w:rsidR="00A77B3E" w:rsidRDefault="00B16CC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1A5BC6"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3F9691"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801823" w14:textId="77777777" w:rsidR="00A77B3E" w:rsidRDefault="00B16CCF">
            <w:pPr>
              <w:spacing w:before="5pt"/>
              <w:rPr>
                <w:color w:val="000000"/>
                <w:sz w:val="20"/>
              </w:rPr>
            </w:pPr>
            <w:r>
              <w:rPr>
                <w:color w:val="000000"/>
                <w:sz w:val="20"/>
              </w:rPr>
              <w:t xml:space="preserve">03. Podpora prek finančnih instrumentov: posojila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2AB9ED" w14:textId="77777777" w:rsidR="00A77B3E" w:rsidRDefault="00B16CCF">
            <w:pPr>
              <w:spacing w:before="5pt"/>
              <w:jc w:val="end"/>
              <w:rPr>
                <w:color w:val="000000"/>
                <w:sz w:val="20"/>
              </w:rPr>
            </w:pPr>
            <w:r>
              <w:rPr>
                <w:color w:val="000000"/>
                <w:sz w:val="20"/>
              </w:rPr>
              <w:t>14.272.257,00</w:t>
            </w:r>
          </w:p>
        </w:tc>
      </w:tr>
      <w:tr w:rsidR="00823317" w14:paraId="51B6A6C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4C3764"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F5A124" w14:textId="77777777" w:rsidR="00A77B3E" w:rsidRDefault="00B16CC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33A332"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0862B9"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C01777"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511C47" w14:textId="77777777" w:rsidR="00A77B3E" w:rsidRDefault="00B16CCF">
            <w:pPr>
              <w:spacing w:before="5pt"/>
              <w:jc w:val="end"/>
              <w:rPr>
                <w:color w:val="000000"/>
                <w:sz w:val="20"/>
              </w:rPr>
            </w:pPr>
            <w:r>
              <w:rPr>
                <w:color w:val="000000"/>
                <w:sz w:val="20"/>
              </w:rPr>
              <w:t>303.175.221,51</w:t>
            </w:r>
          </w:p>
        </w:tc>
      </w:tr>
    </w:tbl>
    <w:p w14:paraId="67294270" w14:textId="77777777" w:rsidR="00A77B3E" w:rsidRDefault="00A77B3E">
      <w:pPr>
        <w:spacing w:before="5pt"/>
        <w:rPr>
          <w:color w:val="000000"/>
          <w:sz w:val="20"/>
        </w:rPr>
      </w:pPr>
    </w:p>
    <w:p w14:paraId="34E69F3A" w14:textId="77777777" w:rsidR="00A77B3E" w:rsidRDefault="00B16CCF">
      <w:pPr>
        <w:pStyle w:val="Naslov5"/>
        <w:spacing w:before="5pt" w:after="0pt"/>
        <w:rPr>
          <w:b w:val="0"/>
          <w:i w:val="0"/>
          <w:color w:val="000000"/>
          <w:sz w:val="24"/>
        </w:rPr>
      </w:pPr>
      <w:bookmarkStart w:id="19" w:name="_Toc256000780"/>
      <w:r>
        <w:rPr>
          <w:b w:val="0"/>
          <w:i w:val="0"/>
          <w:color w:val="000000"/>
          <w:sz w:val="24"/>
        </w:rPr>
        <w:t>Tabela 6: Razsežnost 3 – mehanizem za ozemeljsko izvrševanje in ozemeljski pristop</w:t>
      </w:r>
      <w:bookmarkEnd w:id="19"/>
    </w:p>
    <w:p w14:paraId="0E77341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85"/>
        <w:gridCol w:w="2293"/>
        <w:gridCol w:w="1665"/>
        <w:gridCol w:w="2377"/>
        <w:gridCol w:w="2978"/>
        <w:gridCol w:w="3374"/>
      </w:tblGrid>
      <w:tr w:rsidR="00823317" w14:paraId="78246E0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1501F0"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F80989"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92B333"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F16A9F"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9406FD"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DCFEB6" w14:textId="77777777" w:rsidR="00A77B3E" w:rsidRDefault="00B16CCF">
            <w:pPr>
              <w:spacing w:before="5pt"/>
              <w:jc w:val="center"/>
              <w:rPr>
                <w:color w:val="000000"/>
                <w:sz w:val="20"/>
              </w:rPr>
            </w:pPr>
            <w:r>
              <w:rPr>
                <w:color w:val="000000"/>
                <w:sz w:val="20"/>
              </w:rPr>
              <w:t>Znesek (v EUR)</w:t>
            </w:r>
          </w:p>
        </w:tc>
      </w:tr>
      <w:tr w:rsidR="00823317" w14:paraId="634C9F0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9EABB6"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2E2794" w14:textId="77777777" w:rsidR="00A77B3E" w:rsidRDefault="00B16CC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B13707"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98CE5A"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311F1F" w14:textId="77777777" w:rsidR="00A77B3E" w:rsidRDefault="00B16CCF">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83CC98" w14:textId="77777777" w:rsidR="00A77B3E" w:rsidRDefault="00B16CCF">
            <w:pPr>
              <w:spacing w:before="5pt"/>
              <w:jc w:val="end"/>
              <w:rPr>
                <w:color w:val="000000"/>
                <w:sz w:val="20"/>
              </w:rPr>
            </w:pPr>
            <w:r>
              <w:rPr>
                <w:color w:val="000000"/>
                <w:sz w:val="20"/>
              </w:rPr>
              <w:t>105.817.461,39</w:t>
            </w:r>
          </w:p>
        </w:tc>
      </w:tr>
      <w:tr w:rsidR="00823317" w14:paraId="0885727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7D0DFC"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8E3280" w14:textId="77777777" w:rsidR="00A77B3E" w:rsidRDefault="00B16CC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340396"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7A55FA"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413269" w14:textId="77777777" w:rsidR="00A77B3E" w:rsidRDefault="00B16CCF">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37B0C7" w14:textId="77777777" w:rsidR="00A77B3E" w:rsidRDefault="00B16CCF">
            <w:pPr>
              <w:spacing w:before="5pt"/>
              <w:jc w:val="end"/>
              <w:rPr>
                <w:color w:val="000000"/>
                <w:sz w:val="20"/>
              </w:rPr>
            </w:pPr>
            <w:r>
              <w:rPr>
                <w:color w:val="000000"/>
                <w:sz w:val="20"/>
              </w:rPr>
              <w:t>197.357.760,12</w:t>
            </w:r>
          </w:p>
        </w:tc>
      </w:tr>
      <w:tr w:rsidR="00823317" w14:paraId="3B44E36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855DEF"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71425C" w14:textId="77777777" w:rsidR="00A77B3E" w:rsidRDefault="00B16CC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0BA788"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26CA4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2BA0C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C49996" w14:textId="77777777" w:rsidR="00A77B3E" w:rsidRDefault="00B16CCF">
            <w:pPr>
              <w:spacing w:before="5pt"/>
              <w:jc w:val="end"/>
              <w:rPr>
                <w:color w:val="000000"/>
                <w:sz w:val="20"/>
              </w:rPr>
            </w:pPr>
            <w:r>
              <w:rPr>
                <w:color w:val="000000"/>
                <w:sz w:val="20"/>
              </w:rPr>
              <w:t>303.175.221,51</w:t>
            </w:r>
          </w:p>
        </w:tc>
      </w:tr>
    </w:tbl>
    <w:p w14:paraId="5CD51DC4" w14:textId="77777777" w:rsidR="00A77B3E" w:rsidRDefault="00A77B3E">
      <w:pPr>
        <w:spacing w:before="5pt"/>
        <w:rPr>
          <w:color w:val="000000"/>
          <w:sz w:val="20"/>
        </w:rPr>
      </w:pPr>
    </w:p>
    <w:p w14:paraId="76E3D43F" w14:textId="77777777" w:rsidR="00A77B3E" w:rsidRDefault="00B16CCF">
      <w:pPr>
        <w:pStyle w:val="Naslov5"/>
        <w:spacing w:before="5pt" w:after="0pt"/>
        <w:rPr>
          <w:b w:val="0"/>
          <w:i w:val="0"/>
          <w:color w:val="000000"/>
          <w:sz w:val="24"/>
        </w:rPr>
      </w:pPr>
      <w:bookmarkStart w:id="20" w:name="_Toc256000781"/>
      <w:r>
        <w:rPr>
          <w:b w:val="0"/>
          <w:i w:val="0"/>
          <w:color w:val="000000"/>
          <w:sz w:val="24"/>
        </w:rPr>
        <w:t>Tabela 7: Razsežnost 6 – sekundarna področja ESS+</w:t>
      </w:r>
      <w:bookmarkEnd w:id="20"/>
    </w:p>
    <w:p w14:paraId="1D52723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117"/>
        <w:gridCol w:w="2877"/>
        <w:gridCol w:w="1780"/>
        <w:gridCol w:w="2982"/>
        <w:gridCol w:w="2259"/>
        <w:gridCol w:w="2157"/>
      </w:tblGrid>
      <w:tr w:rsidR="00823317" w14:paraId="4516F65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EF58A03"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BC9EF6"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2AFF3C"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8E7FA9"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C42839"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47E488" w14:textId="77777777" w:rsidR="00A77B3E" w:rsidRDefault="00B16CCF">
            <w:pPr>
              <w:spacing w:before="5pt"/>
              <w:jc w:val="center"/>
              <w:rPr>
                <w:color w:val="000000"/>
                <w:sz w:val="20"/>
              </w:rPr>
            </w:pPr>
            <w:r>
              <w:rPr>
                <w:color w:val="000000"/>
                <w:sz w:val="20"/>
              </w:rPr>
              <w:t>Znesek (v EUR)</w:t>
            </w:r>
          </w:p>
        </w:tc>
      </w:tr>
    </w:tbl>
    <w:p w14:paraId="1CF6607F" w14:textId="77777777" w:rsidR="00A77B3E" w:rsidRDefault="00A77B3E">
      <w:pPr>
        <w:spacing w:before="5pt"/>
        <w:rPr>
          <w:color w:val="000000"/>
          <w:sz w:val="20"/>
        </w:rPr>
      </w:pPr>
    </w:p>
    <w:p w14:paraId="32E0B4A4" w14:textId="77777777" w:rsidR="00A77B3E" w:rsidRDefault="00B16CCF">
      <w:pPr>
        <w:pStyle w:val="Naslov5"/>
        <w:spacing w:before="5pt" w:after="0pt"/>
        <w:rPr>
          <w:b w:val="0"/>
          <w:i w:val="0"/>
          <w:color w:val="000000"/>
          <w:sz w:val="24"/>
        </w:rPr>
      </w:pPr>
      <w:bookmarkStart w:id="21" w:name="_Toc256000782"/>
      <w:r>
        <w:rPr>
          <w:b w:val="0"/>
          <w:i w:val="0"/>
          <w:color w:val="000000"/>
          <w:sz w:val="24"/>
        </w:rPr>
        <w:t>Tabela 8: Razsežnost 7 – razsežnost enakosti spolov v okviru ESS+*, ESRR, Kohezijskega sklada in SPP</w:t>
      </w:r>
      <w:bookmarkEnd w:id="21"/>
    </w:p>
    <w:p w14:paraId="717EBC8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95"/>
        <w:gridCol w:w="2301"/>
        <w:gridCol w:w="1671"/>
        <w:gridCol w:w="2385"/>
        <w:gridCol w:w="2934"/>
        <w:gridCol w:w="3386"/>
      </w:tblGrid>
      <w:tr w:rsidR="00823317" w14:paraId="1EC82D8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12CBA0"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1A9177"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4B61FE"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FB05FE"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21CE5F"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F6D7F8" w14:textId="77777777" w:rsidR="00A77B3E" w:rsidRDefault="00B16CCF">
            <w:pPr>
              <w:spacing w:before="5pt"/>
              <w:jc w:val="center"/>
              <w:rPr>
                <w:color w:val="000000"/>
                <w:sz w:val="20"/>
              </w:rPr>
            </w:pPr>
            <w:r>
              <w:rPr>
                <w:color w:val="000000"/>
                <w:sz w:val="20"/>
              </w:rPr>
              <w:t>Znesek (v EUR)</w:t>
            </w:r>
          </w:p>
        </w:tc>
      </w:tr>
      <w:tr w:rsidR="00823317" w14:paraId="7AD2295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880F48"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BEF234" w14:textId="77777777" w:rsidR="00A77B3E" w:rsidRDefault="00B16CC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5EA5CE"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0BD164"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6C9F0E" w14:textId="77777777" w:rsidR="00A77B3E" w:rsidRDefault="00B16CCF">
            <w:pPr>
              <w:spacing w:before="5pt"/>
              <w:rPr>
                <w:color w:val="000000"/>
                <w:sz w:val="20"/>
              </w:rPr>
            </w:pPr>
            <w:r>
              <w:rPr>
                <w:color w:val="000000"/>
                <w:sz w:val="20"/>
              </w:rPr>
              <w:t>02. Vključevanje vidika spola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1E98A1" w14:textId="77777777" w:rsidR="00A77B3E" w:rsidRDefault="00B16CCF">
            <w:pPr>
              <w:spacing w:before="5pt"/>
              <w:jc w:val="end"/>
              <w:rPr>
                <w:color w:val="000000"/>
                <w:sz w:val="20"/>
              </w:rPr>
            </w:pPr>
            <w:r>
              <w:rPr>
                <w:color w:val="000000"/>
                <w:sz w:val="20"/>
              </w:rPr>
              <w:t>2.800.000,00</w:t>
            </w:r>
          </w:p>
        </w:tc>
      </w:tr>
      <w:tr w:rsidR="00823317" w14:paraId="5416D8F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88A1B4"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B07218" w14:textId="77777777" w:rsidR="00A77B3E" w:rsidRDefault="00B16CC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15FEB9"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D9F0BA"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F4CA29" w14:textId="77777777" w:rsidR="00A77B3E" w:rsidRDefault="00B16CCF">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FC88BF" w14:textId="77777777" w:rsidR="00A77B3E" w:rsidRDefault="00B16CCF">
            <w:pPr>
              <w:spacing w:before="5pt"/>
              <w:jc w:val="end"/>
              <w:rPr>
                <w:color w:val="000000"/>
                <w:sz w:val="20"/>
              </w:rPr>
            </w:pPr>
            <w:r>
              <w:rPr>
                <w:color w:val="000000"/>
                <w:sz w:val="20"/>
              </w:rPr>
              <w:t>103.017.461,39</w:t>
            </w:r>
          </w:p>
        </w:tc>
      </w:tr>
      <w:tr w:rsidR="00823317" w14:paraId="75953F9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8F0DF9"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17B572" w14:textId="77777777" w:rsidR="00A77B3E" w:rsidRDefault="00B16CC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987B6E"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C3FA75"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6C4FFE" w14:textId="77777777" w:rsidR="00A77B3E" w:rsidRDefault="00B16CCF">
            <w:pPr>
              <w:spacing w:before="5pt"/>
              <w:rPr>
                <w:color w:val="000000"/>
                <w:sz w:val="20"/>
              </w:rPr>
            </w:pPr>
            <w:r>
              <w:rPr>
                <w:color w:val="000000"/>
                <w:sz w:val="20"/>
              </w:rPr>
              <w:t>02. Vključevanje vidika spola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4595EB" w14:textId="77777777" w:rsidR="00A77B3E" w:rsidRDefault="00B16CCF">
            <w:pPr>
              <w:spacing w:before="5pt"/>
              <w:jc w:val="end"/>
              <w:rPr>
                <w:color w:val="000000"/>
                <w:sz w:val="20"/>
              </w:rPr>
            </w:pPr>
            <w:r>
              <w:rPr>
                <w:color w:val="000000"/>
                <w:sz w:val="20"/>
              </w:rPr>
              <w:t>2.550.000,00</w:t>
            </w:r>
          </w:p>
        </w:tc>
      </w:tr>
      <w:tr w:rsidR="00823317" w14:paraId="18F5498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B69C23"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90E1C6" w14:textId="77777777" w:rsidR="00A77B3E" w:rsidRDefault="00B16CC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325AE5"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D5E7AC"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257B37" w14:textId="77777777" w:rsidR="00A77B3E" w:rsidRDefault="00B16CCF">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F4BCA2" w14:textId="77777777" w:rsidR="00A77B3E" w:rsidRDefault="00B16CCF">
            <w:pPr>
              <w:spacing w:before="5pt"/>
              <w:jc w:val="end"/>
              <w:rPr>
                <w:color w:val="000000"/>
                <w:sz w:val="20"/>
              </w:rPr>
            </w:pPr>
            <w:r>
              <w:rPr>
                <w:color w:val="000000"/>
                <w:sz w:val="20"/>
              </w:rPr>
              <w:t>194.807.760,12</w:t>
            </w:r>
          </w:p>
        </w:tc>
      </w:tr>
      <w:tr w:rsidR="00823317" w14:paraId="5064E9F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1370A1"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D49221" w14:textId="77777777" w:rsidR="00A77B3E" w:rsidRDefault="00B16CC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F6B3F5"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62B225"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58FDBF"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0B6D18" w14:textId="77777777" w:rsidR="00A77B3E" w:rsidRDefault="00B16CCF">
            <w:pPr>
              <w:spacing w:before="5pt"/>
              <w:jc w:val="end"/>
              <w:rPr>
                <w:color w:val="000000"/>
                <w:sz w:val="20"/>
              </w:rPr>
            </w:pPr>
            <w:r>
              <w:rPr>
                <w:color w:val="000000"/>
                <w:sz w:val="20"/>
              </w:rPr>
              <w:t>303.175.221,51</w:t>
            </w:r>
          </w:p>
        </w:tc>
      </w:tr>
    </w:tbl>
    <w:p w14:paraId="4A71788F" w14:textId="77777777" w:rsidR="00A77B3E" w:rsidRDefault="00B16CCF">
      <w:pPr>
        <w:spacing w:before="5pt"/>
        <w:rPr>
          <w:color w:val="000000"/>
          <w:sz w:val="20"/>
        </w:rPr>
      </w:pPr>
      <w:r>
        <w:rPr>
          <w:color w:val="000000"/>
          <w:sz w:val="20"/>
        </w:rPr>
        <w:lastRenderedPageBreak/>
        <w:t>* Načeloma 40 % za ESS+ prispeva k spremljanju enakosti spolov. 100 % se uporabi, kadar se država članica odloči za uporabo člena 6 uredbe o ESS+.</w:t>
      </w:r>
    </w:p>
    <w:p w14:paraId="7E2AE421" w14:textId="77777777" w:rsidR="00A77B3E" w:rsidRDefault="00B16CCF">
      <w:pPr>
        <w:pStyle w:val="Naslov4"/>
        <w:spacing w:before="5pt" w:after="0pt"/>
        <w:rPr>
          <w:b w:val="0"/>
          <w:color w:val="000000"/>
          <w:sz w:val="24"/>
        </w:rPr>
      </w:pPr>
      <w:r>
        <w:rPr>
          <w:b w:val="0"/>
          <w:color w:val="000000"/>
          <w:sz w:val="24"/>
        </w:rPr>
        <w:br w:type="page"/>
      </w:r>
      <w:bookmarkStart w:id="22" w:name="_Toc256000783"/>
      <w:r>
        <w:rPr>
          <w:b w:val="0"/>
          <w:color w:val="000000"/>
          <w:sz w:val="24"/>
        </w:rPr>
        <w:lastRenderedPageBreak/>
        <w:t>2.1.1.1. Specifični cilj: RSO1.2. Izkoriščanje prednosti digitalizacije za državljane, podjetja, raziskovalne organizacije in javne organe (ESRR)</w:t>
      </w:r>
      <w:bookmarkEnd w:id="22"/>
    </w:p>
    <w:p w14:paraId="4E7ED28E" w14:textId="77777777" w:rsidR="00A77B3E" w:rsidRDefault="00A77B3E">
      <w:pPr>
        <w:spacing w:before="5pt"/>
        <w:rPr>
          <w:color w:val="000000"/>
          <w:sz w:val="0"/>
        </w:rPr>
      </w:pPr>
    </w:p>
    <w:p w14:paraId="72606222" w14:textId="77777777" w:rsidR="00A77B3E" w:rsidRDefault="00B16CCF">
      <w:pPr>
        <w:pStyle w:val="Naslov4"/>
        <w:spacing w:before="5pt" w:after="0pt"/>
        <w:rPr>
          <w:b w:val="0"/>
          <w:color w:val="000000"/>
          <w:sz w:val="24"/>
        </w:rPr>
      </w:pPr>
      <w:bookmarkStart w:id="23" w:name="_Toc256000784"/>
      <w:r>
        <w:rPr>
          <w:b w:val="0"/>
          <w:color w:val="000000"/>
          <w:sz w:val="24"/>
        </w:rPr>
        <w:t>2.1.1.1.1. Ukrepi skladov</w:t>
      </w:r>
      <w:bookmarkEnd w:id="23"/>
    </w:p>
    <w:p w14:paraId="76A1964E" w14:textId="77777777" w:rsidR="00A77B3E" w:rsidRDefault="00A77B3E">
      <w:pPr>
        <w:spacing w:before="5pt"/>
        <w:rPr>
          <w:color w:val="000000"/>
          <w:sz w:val="0"/>
        </w:rPr>
      </w:pPr>
    </w:p>
    <w:p w14:paraId="3010142A" w14:textId="77777777" w:rsidR="00A77B3E" w:rsidRDefault="00B16CCF">
      <w:pPr>
        <w:spacing w:before="5pt"/>
        <w:rPr>
          <w:color w:val="000000"/>
          <w:sz w:val="0"/>
        </w:rPr>
      </w:pPr>
      <w:r>
        <w:rPr>
          <w:color w:val="000000"/>
        </w:rPr>
        <w:t>Sklic: člen 22(3)(d)(i), (iii), (iv), (v), (vi) in (vii) uredbe o skupnih določbah</w:t>
      </w:r>
    </w:p>
    <w:p w14:paraId="73E26366" w14:textId="77777777" w:rsidR="00A77B3E" w:rsidRDefault="00B16CCF">
      <w:pPr>
        <w:pStyle w:val="Naslov5"/>
        <w:spacing w:before="5pt" w:after="0pt"/>
        <w:rPr>
          <w:b w:val="0"/>
          <w:i w:val="0"/>
          <w:color w:val="000000"/>
          <w:sz w:val="24"/>
        </w:rPr>
      </w:pPr>
      <w:bookmarkStart w:id="24" w:name="_Toc256000785"/>
      <w:r>
        <w:rPr>
          <w:b w:val="0"/>
          <w:i w:val="0"/>
          <w:color w:val="000000"/>
          <w:sz w:val="24"/>
        </w:rPr>
        <w:t>Povezane vrste ukrepov – člen 22(3)(d)(i) uredbe o skupnih določbah in člen 6 uredbe o ESS+:</w:t>
      </w:r>
      <w:bookmarkEnd w:id="24"/>
    </w:p>
    <w:p w14:paraId="4F0C3F9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700532F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F016F7" w14:textId="77777777" w:rsidR="00A77B3E" w:rsidRDefault="00A77B3E">
            <w:pPr>
              <w:spacing w:before="5pt"/>
              <w:rPr>
                <w:color w:val="000000"/>
                <w:sz w:val="0"/>
              </w:rPr>
            </w:pPr>
          </w:p>
          <w:p w14:paraId="4CADC16B" w14:textId="77777777" w:rsidR="00A77B3E" w:rsidRDefault="00B16CCF">
            <w:pPr>
              <w:spacing w:before="5pt"/>
              <w:rPr>
                <w:color w:val="000000"/>
              </w:rPr>
            </w:pPr>
            <w:r>
              <w:rPr>
                <w:color w:val="000000"/>
              </w:rPr>
              <w:t>Digitalna preobrazba gospodarstva, družbe in javne uprave je bistvenega pomena za dolgoročni razvoj in konkurenčnost Slovenije. Za izboljšanje rezultatov v okviru indeksa DESI je v skladu s Poročilom o državi za leto 2019, Priloga D, treba:</w:t>
            </w:r>
          </w:p>
          <w:p w14:paraId="40E20ED9" w14:textId="77777777" w:rsidR="00A77B3E" w:rsidRDefault="00B16CCF">
            <w:pPr>
              <w:numPr>
                <w:ilvl w:val="0"/>
                <w:numId w:val="6"/>
              </w:numPr>
              <w:spacing w:before="5pt"/>
              <w:rPr>
                <w:color w:val="000000"/>
              </w:rPr>
            </w:pPr>
            <w:r>
              <w:rPr>
                <w:color w:val="000000"/>
              </w:rPr>
              <w:t>povečati uporabo IKT v MSP, vključno s podporo infrastruktur in storitev, z namenom povečanja števila podjetij z visoko digitalno intenzivnostjo ter</w:t>
            </w:r>
          </w:p>
          <w:p w14:paraId="3B6060AA" w14:textId="77777777" w:rsidR="00A77B3E" w:rsidRDefault="00B16CCF">
            <w:pPr>
              <w:numPr>
                <w:ilvl w:val="0"/>
                <w:numId w:val="6"/>
              </w:numPr>
              <w:spacing w:before="5pt"/>
              <w:rPr>
                <w:color w:val="000000"/>
              </w:rPr>
            </w:pPr>
            <w:r>
              <w:rPr>
                <w:color w:val="000000"/>
              </w:rPr>
              <w:t>povečati uporabo »digitalnih javnih storitev« za državljane, podjetja, raziskovalne organizacije in javne organe.</w:t>
            </w:r>
          </w:p>
          <w:p w14:paraId="7B693EAF" w14:textId="77777777" w:rsidR="00A77B3E" w:rsidRDefault="00A77B3E">
            <w:pPr>
              <w:spacing w:before="5pt"/>
              <w:rPr>
                <w:color w:val="000000"/>
              </w:rPr>
            </w:pPr>
          </w:p>
          <w:p w14:paraId="0F96B31E" w14:textId="77777777" w:rsidR="00A77B3E" w:rsidRDefault="00B16CCF">
            <w:pPr>
              <w:spacing w:before="5pt"/>
              <w:rPr>
                <w:color w:val="000000"/>
              </w:rPr>
            </w:pPr>
            <w:r>
              <w:rPr>
                <w:color w:val="000000"/>
              </w:rPr>
              <w:t>Pospešili bomo digitalno preobrazbo z uvajanjem novih poslovnih modelov in najnaprednejših tehnologij (UI, tehnologija porazdeljenih evidenc, velepodatki, kvantne tehnologije, internet stvari itd.).</w:t>
            </w:r>
          </w:p>
          <w:p w14:paraId="23623CF9" w14:textId="77777777" w:rsidR="00A77B3E" w:rsidRDefault="00A77B3E">
            <w:pPr>
              <w:spacing w:before="5pt"/>
              <w:rPr>
                <w:color w:val="000000"/>
              </w:rPr>
            </w:pPr>
          </w:p>
          <w:p w14:paraId="0AC9E358" w14:textId="77777777" w:rsidR="00A77B3E" w:rsidRDefault="00B16CCF">
            <w:pPr>
              <w:spacing w:before="5pt"/>
              <w:rPr>
                <w:color w:val="000000"/>
              </w:rPr>
            </w:pPr>
            <w:r>
              <w:rPr>
                <w:color w:val="000000"/>
              </w:rPr>
              <w:t>V NOO gre za ukrepe digitalne preobrazbe gospodarstva ter javnega sektorja in javne uprave, s katerimi bomo okrepili digitalno infrastrukturo ter podprli razvoj naprednih tehnoloških rešitev in storitev naslednje generacije. Ukrepi EKP pa so komplementarni tem vsebinam.</w:t>
            </w:r>
          </w:p>
          <w:p w14:paraId="7E2353FF" w14:textId="77777777" w:rsidR="00A77B3E" w:rsidRDefault="00A77B3E">
            <w:pPr>
              <w:spacing w:before="5pt"/>
              <w:rPr>
                <w:color w:val="000000"/>
              </w:rPr>
            </w:pPr>
          </w:p>
          <w:p w14:paraId="2C5A6436" w14:textId="77777777" w:rsidR="00A77B3E" w:rsidRDefault="00B16CCF">
            <w:pPr>
              <w:spacing w:before="5pt"/>
              <w:rPr>
                <w:color w:val="000000"/>
              </w:rPr>
            </w:pPr>
            <w:r>
              <w:rPr>
                <w:color w:val="000000"/>
              </w:rPr>
              <w:t>Vlaganja bodo osredotočena na:</w:t>
            </w:r>
          </w:p>
          <w:p w14:paraId="22C327C9" w14:textId="77777777" w:rsidR="00A77B3E" w:rsidRDefault="00B16CCF">
            <w:pPr>
              <w:numPr>
                <w:ilvl w:val="0"/>
                <w:numId w:val="7"/>
              </w:numPr>
              <w:spacing w:before="5pt"/>
              <w:rPr>
                <w:color w:val="000000"/>
              </w:rPr>
            </w:pPr>
            <w:r>
              <w:rPr>
                <w:color w:val="000000"/>
              </w:rPr>
              <w:t xml:space="preserve">vsebine </w:t>
            </w:r>
            <w:r>
              <w:rPr>
                <w:i/>
                <w:iCs/>
                <w:color w:val="000000"/>
              </w:rPr>
              <w:t>digitalizacije storitev javne uprave in družbe</w:t>
            </w:r>
            <w:r>
              <w:rPr>
                <w:color w:val="000000"/>
              </w:rPr>
              <w:t xml:space="preserve"> skladno s Strategijo Digitalna Slovenija 2030 in s Strategijo digitalnih javnih storitev 2030[1]</w:t>
            </w:r>
            <w:r>
              <w:rPr>
                <w:i/>
                <w:iCs/>
                <w:color w:val="000000"/>
              </w:rPr>
              <w:t>:</w:t>
            </w:r>
            <w:r>
              <w:rPr>
                <w:color w:val="000000"/>
              </w:rPr>
              <w:t xml:space="preserve"> ukrepi za zagotovitev celovitih javnih storitev za podjetja, državljane ter javne institucije, razvitih z uporabniki skladno z načelom soustvarjanja in z namenom varne in najboljše uporabniške izkušnje. Izkoriščamo podatke[2] in napredne digitalne tehnologije ter zagotavljamo gradnike za razvoj pametnih javnih storitev s ciljem krepitve zaupanja v digitalno preobrazbo, e-poslovanje, boljše poslovno okolje in delovanje enotnega EU digitalnega trga[3].</w:t>
            </w:r>
          </w:p>
          <w:p w14:paraId="33DA1E64" w14:textId="77777777" w:rsidR="00A77B3E" w:rsidRDefault="00B16CCF">
            <w:pPr>
              <w:numPr>
                <w:ilvl w:val="1"/>
                <w:numId w:val="7"/>
              </w:numPr>
              <w:spacing w:before="5pt"/>
              <w:rPr>
                <w:color w:val="000000"/>
              </w:rPr>
            </w:pPr>
            <w:r>
              <w:rPr>
                <w:color w:val="000000"/>
              </w:rPr>
              <w:t>Dvig digitalne vključenosti in digitalnih kompetenc:</w:t>
            </w:r>
          </w:p>
          <w:p w14:paraId="51CCAA09" w14:textId="77777777" w:rsidR="00A77B3E" w:rsidRDefault="00B16CCF">
            <w:pPr>
              <w:numPr>
                <w:ilvl w:val="2"/>
                <w:numId w:val="7"/>
              </w:numPr>
              <w:spacing w:before="5pt"/>
              <w:rPr>
                <w:color w:val="000000"/>
              </w:rPr>
            </w:pPr>
            <w:r>
              <w:rPr>
                <w:color w:val="000000"/>
              </w:rPr>
              <w:t>aktivneje bomo spodbujali varno uporabo digitalnih tehnologij, interneta in digitalnih javnih storitev (e-storitve za državljane in podjetja, e-vključenost, e-učenje, idr.) ter promovirali digitalizacijo javnih storitev;</w:t>
            </w:r>
          </w:p>
          <w:p w14:paraId="33A3EE97" w14:textId="77777777" w:rsidR="00A77B3E" w:rsidRDefault="00B16CCF">
            <w:pPr>
              <w:numPr>
                <w:ilvl w:val="2"/>
                <w:numId w:val="7"/>
              </w:numPr>
              <w:spacing w:before="5pt"/>
              <w:rPr>
                <w:color w:val="000000"/>
              </w:rPr>
            </w:pPr>
            <w:r>
              <w:rPr>
                <w:color w:val="000000"/>
              </w:rPr>
              <w:t>izboljšali bomo digitalno pismenost prebivalstva, še posebej tistih skupin, za katere analiza stanja digitalne vključenosti pokaže največji primanjkljaj;</w:t>
            </w:r>
          </w:p>
          <w:p w14:paraId="3304F019" w14:textId="77777777" w:rsidR="00A77B3E" w:rsidRDefault="00B16CCF">
            <w:pPr>
              <w:numPr>
                <w:ilvl w:val="2"/>
                <w:numId w:val="7"/>
              </w:numPr>
              <w:spacing w:before="5pt"/>
              <w:rPr>
                <w:color w:val="000000"/>
              </w:rPr>
            </w:pPr>
            <w:r>
              <w:rPr>
                <w:color w:val="000000"/>
              </w:rPr>
              <w:lastRenderedPageBreak/>
              <w:t>e-izobraževanje: z nadgradnjo projekta Pametna šola, ki se izvaja v okviru EKP 2014-2020 bomo zagotovili nadaljnji razvoj celovitih in povezljivih informacijskih rešitev administrativnega vodenja in upravljanja šol ter resornega ministrstva s standardizacijo njihovih postopkov, poenotenimi podatki, debirokratizacijo in digitalizacijo poslovanja.</w:t>
            </w:r>
          </w:p>
          <w:p w14:paraId="5F7BAF5E" w14:textId="77777777" w:rsidR="00A77B3E" w:rsidRDefault="00B16CCF">
            <w:pPr>
              <w:numPr>
                <w:ilvl w:val="1"/>
                <w:numId w:val="7"/>
              </w:numPr>
              <w:spacing w:before="5pt"/>
              <w:rPr>
                <w:color w:val="000000"/>
              </w:rPr>
            </w:pPr>
            <w:r>
              <w:rPr>
                <w:color w:val="000000"/>
              </w:rPr>
              <w:t>Pametna mesta, skupnosti in vasi:</w:t>
            </w:r>
          </w:p>
          <w:p w14:paraId="2703A382" w14:textId="77777777" w:rsidR="00A77B3E" w:rsidRDefault="00B16CCF">
            <w:pPr>
              <w:numPr>
                <w:ilvl w:val="2"/>
                <w:numId w:val="7"/>
              </w:numPr>
              <w:spacing w:before="5pt"/>
              <w:rPr>
                <w:color w:val="000000"/>
              </w:rPr>
            </w:pPr>
            <w:r>
              <w:rPr>
                <w:color w:val="000000"/>
              </w:rPr>
              <w:t>spodbujanje podpornega okolja za digitalno preobrazbo procesov, sistemov in storitev lokalnih skupnosti;</w:t>
            </w:r>
          </w:p>
          <w:p w14:paraId="51A47D74" w14:textId="77777777" w:rsidR="00A77B3E" w:rsidRDefault="00B16CCF">
            <w:pPr>
              <w:numPr>
                <w:ilvl w:val="2"/>
                <w:numId w:val="7"/>
              </w:numPr>
              <w:spacing w:before="5pt"/>
              <w:rPr>
                <w:color w:val="000000"/>
              </w:rPr>
            </w:pPr>
            <w:r>
              <w:rPr>
                <w:color w:val="000000"/>
              </w:rPr>
              <w:t>dvig digitalnih kompetenc v lokalnih skupnostih;</w:t>
            </w:r>
          </w:p>
          <w:p w14:paraId="2E6DB311" w14:textId="77777777" w:rsidR="00A77B3E" w:rsidRDefault="00B16CCF">
            <w:pPr>
              <w:numPr>
                <w:ilvl w:val="2"/>
                <w:numId w:val="7"/>
              </w:numPr>
              <w:spacing w:before="5pt"/>
              <w:rPr>
                <w:color w:val="000000"/>
              </w:rPr>
            </w:pPr>
            <w:r>
              <w:rPr>
                <w:color w:val="000000"/>
              </w:rPr>
              <w:t>spodbujanje lokalnih skupnosti pri razvoju podatkovnih virov za lokalne digitalne dvojčke in podpora za učinkovito rabo razpoložljivih digitalnih rešitev.</w:t>
            </w:r>
          </w:p>
          <w:p w14:paraId="417B6A8B" w14:textId="77777777" w:rsidR="00A77B3E" w:rsidRDefault="00B16CCF">
            <w:pPr>
              <w:numPr>
                <w:ilvl w:val="1"/>
                <w:numId w:val="7"/>
              </w:numPr>
              <w:spacing w:before="5pt"/>
              <w:rPr>
                <w:color w:val="000000"/>
              </w:rPr>
            </w:pPr>
            <w:r>
              <w:rPr>
                <w:color w:val="000000"/>
              </w:rPr>
              <w:t>Digitalne inovacije na področju prostora in okolja: digitalno preobrazbo prostora iz EKP 2014-2020 in NOO bomo nadgradili z gradniki UI v skladu z usmeritvami NpUI, navidezne in obogatene resničnosti, večdimenzionalnosti, uvedbe novih tehnologij Building Information Modeling (BIM), velepodatki ipd., ter zagotovili t.i. njihovo umestitev v prostor skladno s konceptom »Geospatial Knowledge Infrastructure« ki bo gospodarstvu in drugim uporabnikom nudila pomoč pri uporabi podatkov in storitev za boljše poslovanje, RRI, produkcijo in trženje globalno konkurenčnih inovativnih visokotehnoloških rešitev na vseh področjih, kjer sta ključna lokacija in čas. Vzpostavitev »Digitalnega podatkovnega ekosistema«, ki bo omogočal hitrejše in avtomatizirano spremljanje stanja in s pomočjo modeliranja ter predvidevanja načrtovati potrebne ukrepe.</w:t>
            </w:r>
          </w:p>
          <w:p w14:paraId="36B32865" w14:textId="77777777" w:rsidR="00A77B3E" w:rsidRDefault="00B16CCF">
            <w:pPr>
              <w:numPr>
                <w:ilvl w:val="1"/>
                <w:numId w:val="7"/>
              </w:numPr>
              <w:spacing w:before="5pt"/>
              <w:rPr>
                <w:color w:val="000000"/>
              </w:rPr>
            </w:pPr>
            <w:r>
              <w:rPr>
                <w:color w:val="000000"/>
              </w:rPr>
              <w:t>Digitalizacija javnih storitev za poslovne subjekte in državljane: vzpostavljene bodo celovite pametne mobilne javne storitve, omogočeni razširjeni vpogledi in izboljšano upravljanje lastnih osebnih podatkov iz javnih evidenc. Zagotovili bomo dosegljivost, usklajenost in povezljivost digitalnih storitev s podatkovnimi viri, ki jih pristojne institucije z zmogljivimi in pametnimi orodji lahko samostojno modelirajo. Vzpostavljena bo enotna, sodobna platforma za prijavo v e-storitve, e-pooblaščanje, kreiranje in verifikacijo e-podpisa, e-vročanje[4]. Dostopna bo preko mobilnih naprav in uporabna tudi čezmejno. Nadgrajeni bodo gradniki interoperabilnega ekosistema (platforma), podatkovna algoritmična in analitska orodja z uporabo sodobnih tehnologij ter podatkovni prostor za javno upravo[5] za obdelavo in izmenjavo podatkov v podporo digitalnim javnim storitvam.</w:t>
            </w:r>
          </w:p>
          <w:p w14:paraId="122172A0" w14:textId="77777777" w:rsidR="00A77B3E" w:rsidRDefault="00B16CCF">
            <w:pPr>
              <w:numPr>
                <w:ilvl w:val="1"/>
                <w:numId w:val="7"/>
              </w:numPr>
              <w:spacing w:before="5pt"/>
              <w:rPr>
                <w:color w:val="000000"/>
              </w:rPr>
            </w:pPr>
            <w:r>
              <w:rPr>
                <w:color w:val="000000"/>
              </w:rPr>
              <w:t>Digitalizacija slovenskega jezika, kulturne dediščine in pomoč ranljivim skupinam: izdelava in nadgradnja korpusov primerno obdelanih govorjenih besedil, ki so podlaga za razvoj govornih tehnologij; razvoj modelov, orodij in aplikacij za izboljšanje dostopnosti, distribucije in konkurenčnosti kulturnega sektorja, ohranjanje (zlasti ogrožene) kulturne dediščine, lažji dostop do vsebin kulturne dediščine in za njihovo ponovno uporabo, krepitev informacijskih in komunikacijskih kompetenc delavcev in uporabnikov v relevantnih sektorjih ter zagotavljanje dostopnosti programskih vsebin za gluhe in naglušne.</w:t>
            </w:r>
          </w:p>
          <w:p w14:paraId="283725FD" w14:textId="77777777" w:rsidR="00A77B3E" w:rsidRDefault="00B16CCF">
            <w:pPr>
              <w:numPr>
                <w:ilvl w:val="1"/>
                <w:numId w:val="7"/>
              </w:numPr>
              <w:spacing w:before="5pt"/>
              <w:rPr>
                <w:color w:val="000000"/>
              </w:rPr>
            </w:pPr>
            <w:r>
              <w:rPr>
                <w:color w:val="000000"/>
              </w:rPr>
              <w:t>Podpora uvajanju rešitev UI v gospodarstvo, javno upravo in družbo v skladu z NpUI:</w:t>
            </w:r>
          </w:p>
          <w:p w14:paraId="66B927C9" w14:textId="77777777" w:rsidR="00A77B3E" w:rsidRDefault="00B16CCF">
            <w:pPr>
              <w:numPr>
                <w:ilvl w:val="2"/>
                <w:numId w:val="7"/>
              </w:numPr>
              <w:spacing w:before="5pt"/>
              <w:rPr>
                <w:color w:val="000000"/>
              </w:rPr>
            </w:pPr>
            <w:r>
              <w:rPr>
                <w:color w:val="000000"/>
              </w:rPr>
              <w:t>podpora projektom razvoja in uvajanja UI v gospodarstvu in javnem sektorju;</w:t>
            </w:r>
          </w:p>
          <w:p w14:paraId="683831CB" w14:textId="77777777" w:rsidR="00A77B3E" w:rsidRDefault="00B16CCF">
            <w:pPr>
              <w:numPr>
                <w:ilvl w:val="2"/>
                <w:numId w:val="7"/>
              </w:numPr>
              <w:spacing w:before="5pt"/>
              <w:rPr>
                <w:color w:val="000000"/>
              </w:rPr>
            </w:pPr>
            <w:r>
              <w:rPr>
                <w:color w:val="000000"/>
              </w:rPr>
              <w:t>podpora referenčnim izvedbenim projektom uvajanja UI v konkretne rešitve v podporo digitalizaciji poslovanja gospodarskega in javnega sektorja, vključno z zagotavljanjem ustreznega pravnega okolja in podpornih aktivnosti za zagotavljanje zaupanja javnosti;</w:t>
            </w:r>
          </w:p>
          <w:p w14:paraId="4EDB288A" w14:textId="77777777" w:rsidR="00A77B3E" w:rsidRDefault="00B16CCF">
            <w:pPr>
              <w:numPr>
                <w:ilvl w:val="2"/>
                <w:numId w:val="7"/>
              </w:numPr>
              <w:spacing w:before="5pt"/>
              <w:rPr>
                <w:color w:val="000000"/>
              </w:rPr>
            </w:pPr>
            <w:r>
              <w:rPr>
                <w:color w:val="000000"/>
              </w:rPr>
              <w:t>vzpostavitev ustrezne tehnološke infrastrukture, vključno s testno in podatkovno infrastrukturo.</w:t>
            </w:r>
          </w:p>
          <w:p w14:paraId="48AF1045" w14:textId="77777777" w:rsidR="00A77B3E" w:rsidRDefault="00B16CCF">
            <w:pPr>
              <w:numPr>
                <w:ilvl w:val="1"/>
                <w:numId w:val="7"/>
              </w:numPr>
              <w:spacing w:before="5pt"/>
              <w:rPr>
                <w:color w:val="000000"/>
              </w:rPr>
            </w:pPr>
            <w:r>
              <w:rPr>
                <w:color w:val="000000"/>
              </w:rPr>
              <w:lastRenderedPageBreak/>
              <w:t>Digitalizacija storitev in procesov v pravosodju z uvedbo celovitih rešitev, ki bodo omogočile popolne digitalne izkušnje poslovanja s sodišči (tako v konkretnem postopku kot tudi z zagotovitvijo spletne informacije o sodstvu, postopkih in pravni državi), z notarji in z drugimi pravosodnimi organi;</w:t>
            </w:r>
          </w:p>
          <w:p w14:paraId="7F10149C" w14:textId="77777777" w:rsidR="00A77B3E" w:rsidRDefault="00A77B3E">
            <w:pPr>
              <w:spacing w:before="5pt"/>
              <w:rPr>
                <w:color w:val="000000"/>
              </w:rPr>
            </w:pPr>
          </w:p>
          <w:p w14:paraId="26F393F1" w14:textId="77777777" w:rsidR="00A77B3E" w:rsidRDefault="00B16CCF">
            <w:pPr>
              <w:numPr>
                <w:ilvl w:val="0"/>
                <w:numId w:val="8"/>
              </w:numPr>
              <w:spacing w:before="5pt"/>
              <w:rPr>
                <w:color w:val="000000"/>
              </w:rPr>
            </w:pPr>
            <w:r>
              <w:rPr>
                <w:color w:val="000000"/>
              </w:rPr>
              <w:t xml:space="preserve">vsebine </w:t>
            </w:r>
            <w:r>
              <w:rPr>
                <w:i/>
                <w:iCs/>
                <w:color w:val="000000"/>
              </w:rPr>
              <w:t>spodbujanja digitalne preobrazbe MSP</w:t>
            </w:r>
            <w:r>
              <w:rPr>
                <w:color w:val="000000"/>
              </w:rPr>
              <w:t xml:space="preserve"> skladno s Strategijo digitalne transformacije gospodarstva, kjer</w:t>
            </w:r>
            <w:r>
              <w:rPr>
                <w:i/>
                <w:iCs/>
                <w:color w:val="000000"/>
              </w:rPr>
              <w:t xml:space="preserve"> </w:t>
            </w:r>
            <w:r>
              <w:rPr>
                <w:color w:val="000000"/>
              </w:rPr>
              <w:t>mora</w:t>
            </w:r>
            <w:r>
              <w:rPr>
                <w:i/>
                <w:iCs/>
                <w:color w:val="000000"/>
              </w:rPr>
              <w:t xml:space="preserve"> </w:t>
            </w:r>
            <w:r>
              <w:rPr>
                <w:color w:val="000000"/>
              </w:rPr>
              <w:t>Slovenija zagotoviti tako nadgradnjo podpornega okolja kot ciljne instrumente podpore podjetjem, zato bodo ukrepi usmerjeni v:</w:t>
            </w:r>
          </w:p>
          <w:p w14:paraId="697F5459" w14:textId="77777777" w:rsidR="00A77B3E" w:rsidRDefault="00B16CCF">
            <w:pPr>
              <w:numPr>
                <w:ilvl w:val="1"/>
                <w:numId w:val="8"/>
              </w:numPr>
              <w:spacing w:before="5pt"/>
              <w:rPr>
                <w:color w:val="000000"/>
              </w:rPr>
            </w:pPr>
            <w:r>
              <w:rPr>
                <w:color w:val="000000"/>
              </w:rPr>
              <w:t>spodbujanje celovite digitalne transformacije MSP zaradi slabe integracije digitalnih tehnologij v poslovne procese MSP. Spodbujali bomo pripravo in izvedbo digitalnih strategij podjetij, s prenovo poslovnih modelov ter spremembo procesov, tudi v tradicionalnih gospodarskih panogah, ki se soočajo z največjo konkurenco na trgu ter digitalizacijo MSP za nastope na tujih trgih (e-poslovanje).</w:t>
            </w:r>
          </w:p>
          <w:p w14:paraId="54D3C554" w14:textId="77777777" w:rsidR="00A77B3E" w:rsidRDefault="00B16CCF">
            <w:pPr>
              <w:numPr>
                <w:ilvl w:val="1"/>
                <w:numId w:val="8"/>
              </w:numPr>
              <w:spacing w:before="5pt"/>
              <w:rPr>
                <w:color w:val="000000"/>
              </w:rPr>
            </w:pPr>
            <w:r>
              <w:rPr>
                <w:color w:val="000000"/>
              </w:rPr>
              <w:t>Spodbujanje digitalne preobrazbe za izboljšanje podjetniškega, inovacijskega, finančnega in raziskovalnega okolja (vezano na S5) – razvoj in implementacija digitalne preobrazbe (uvajanje naprednih tehnologij) storitev za področja S5 in širše. Ukrepi bodo naslovili spodbujanje razvoja in uporabe UI in druge napredne digitalne tehnologije (npr. tehnologije porazdeljenih evidenc) ter zagotovili, da podjetja dobijo ustrezno podporo, kader, kompetence, se seznanijo z dobrimi praksami iz tujine in uvedejo potrebne spremembe.</w:t>
            </w:r>
          </w:p>
          <w:p w14:paraId="5B46100A" w14:textId="77777777" w:rsidR="00A77B3E" w:rsidRDefault="00B16CCF">
            <w:pPr>
              <w:numPr>
                <w:ilvl w:val="1"/>
                <w:numId w:val="8"/>
              </w:numPr>
              <w:spacing w:before="5pt"/>
              <w:rPr>
                <w:color w:val="000000"/>
              </w:rPr>
            </w:pPr>
            <w:r>
              <w:rPr>
                <w:color w:val="000000"/>
              </w:rPr>
              <w:t>Spodbujanje varne digitalne preobrazbe, ki vključuje certificiranje, standardizacijo ter akreditacijo izdelkov, podatkov, procesov in tehnologij ter integracijo s podatki in storitvami javne uprave;</w:t>
            </w:r>
          </w:p>
          <w:p w14:paraId="29E23862" w14:textId="77777777" w:rsidR="00A77B3E" w:rsidRDefault="00A77B3E">
            <w:pPr>
              <w:spacing w:before="5pt"/>
              <w:rPr>
                <w:color w:val="000000"/>
              </w:rPr>
            </w:pPr>
          </w:p>
          <w:p w14:paraId="6699DEE4" w14:textId="77777777" w:rsidR="00A77B3E" w:rsidRDefault="00B16CCF">
            <w:pPr>
              <w:numPr>
                <w:ilvl w:val="0"/>
                <w:numId w:val="9"/>
              </w:numPr>
              <w:spacing w:before="5pt"/>
              <w:rPr>
                <w:color w:val="000000"/>
              </w:rPr>
            </w:pPr>
            <w:r>
              <w:rPr>
                <w:color w:val="000000"/>
              </w:rPr>
              <w:t>spodbujanje podpornega in poslovnega okolja za digitalno preobrazbo družbe, podjetij in javnega sektorja, kar vključuje krepitev delovanja in storitev MSP obstoječih in novih mehanizmov in institucij za digitalno preobrazbo (digitalna inovacijska stičišča, zbornice, vozlišča in drugi deležniki, mreže Fablabov, platforme za podporo verigam vrednosti, digitalni kreativni centri – design in oblikovanje, itd.) in izboljšanje povezave med gospodarstvom in javnim sektorjem skladno s Strategijo digitalne transformacije gospodarstva, Strategijo Digitalna Slovenija 2030 in Strategijo digitalnih javnih storitev 2030.</w:t>
            </w:r>
          </w:p>
          <w:p w14:paraId="3808C21F" w14:textId="77777777" w:rsidR="00A77B3E" w:rsidRDefault="00B16CCF">
            <w:pPr>
              <w:spacing w:before="5pt"/>
              <w:rPr>
                <w:color w:val="000000"/>
              </w:rPr>
            </w:pPr>
            <w:r>
              <w:rPr>
                <w:color w:val="000000"/>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Ugotovljeno je bilo, da noben ukrep nima bistvenega škodljivega vpliva na okoljske cilje ob upoštevanju tehničnih meril iz Priloge: DNSH.</w:t>
            </w:r>
          </w:p>
          <w:p w14:paraId="430BEB50" w14:textId="77777777" w:rsidR="00A77B3E" w:rsidRDefault="00A77B3E">
            <w:pPr>
              <w:spacing w:before="5pt"/>
              <w:rPr>
                <w:color w:val="000000"/>
              </w:rPr>
            </w:pPr>
          </w:p>
          <w:p w14:paraId="3B4F43EA" w14:textId="77777777" w:rsidR="00A77B3E" w:rsidRDefault="00B16CCF">
            <w:pPr>
              <w:spacing w:before="5pt"/>
              <w:rPr>
                <w:color w:val="000000"/>
              </w:rPr>
            </w:pPr>
            <w:r>
              <w:rPr>
                <w:color w:val="000000"/>
              </w:rPr>
              <w:t>[1] Obe strategiji sta v postopku priprave.</w:t>
            </w:r>
          </w:p>
          <w:p w14:paraId="6AED3867" w14:textId="77777777" w:rsidR="00A77B3E" w:rsidRDefault="00B16CCF">
            <w:pPr>
              <w:spacing w:before="5pt"/>
              <w:rPr>
                <w:color w:val="000000"/>
              </w:rPr>
            </w:pPr>
            <w:r>
              <w:rPr>
                <w:color w:val="000000"/>
              </w:rPr>
              <w:t>[2] Vključuje politiko ponovne uporabe podatkov, ki je opredeljena v ZDIJZ-G in skladna z EU Direktivo o odprtih podatkih ter EU strategijo za podatke in bo spodbujala podatkovno ekonomijo in razvoj podatkovnega gospodarstva (kjer je primerno in dopustno).</w:t>
            </w:r>
          </w:p>
          <w:p w14:paraId="2999C3CD" w14:textId="77777777" w:rsidR="00A77B3E" w:rsidRDefault="00B16CCF">
            <w:pPr>
              <w:spacing w:before="5pt"/>
              <w:rPr>
                <w:color w:val="000000"/>
              </w:rPr>
            </w:pPr>
            <w:r>
              <w:rPr>
                <w:color w:val="000000"/>
              </w:rPr>
              <w:t>[3] Npr: Uredba (EU) 2018/1724 (Single Digital Gateway Regulation (SDG)).</w:t>
            </w:r>
          </w:p>
          <w:p w14:paraId="0AF95708" w14:textId="77777777" w:rsidR="00A77B3E" w:rsidRDefault="00B16CCF">
            <w:pPr>
              <w:spacing w:before="5pt"/>
              <w:rPr>
                <w:color w:val="000000"/>
              </w:rPr>
            </w:pPr>
            <w:r>
              <w:rPr>
                <w:color w:val="000000"/>
              </w:rPr>
              <w:t>[4] Povezano z Uredbo (EU) 910/2014 (eIDAS).</w:t>
            </w:r>
          </w:p>
          <w:p w14:paraId="1A8C934B" w14:textId="77777777" w:rsidR="00A77B3E" w:rsidRDefault="00B16CCF">
            <w:pPr>
              <w:spacing w:before="5pt"/>
              <w:rPr>
                <w:color w:val="000000"/>
              </w:rPr>
            </w:pPr>
            <w:r>
              <w:rPr>
                <w:color w:val="000000"/>
              </w:rPr>
              <w:t>[5] Povezano z Uredbo (EU) o evropskem upravljanju podatkov (Data Governance Act).</w:t>
            </w:r>
          </w:p>
          <w:p w14:paraId="1DFB5F5E" w14:textId="77777777" w:rsidR="00A77B3E" w:rsidRDefault="00A77B3E">
            <w:pPr>
              <w:spacing w:before="5pt"/>
              <w:rPr>
                <w:color w:val="000000"/>
                <w:sz w:val="6"/>
              </w:rPr>
            </w:pPr>
          </w:p>
          <w:p w14:paraId="4F8658B0" w14:textId="77777777" w:rsidR="00A77B3E" w:rsidRDefault="00A77B3E">
            <w:pPr>
              <w:spacing w:before="5pt"/>
              <w:rPr>
                <w:color w:val="000000"/>
                <w:sz w:val="6"/>
              </w:rPr>
            </w:pPr>
          </w:p>
        </w:tc>
      </w:tr>
    </w:tbl>
    <w:p w14:paraId="12816EE6" w14:textId="77777777" w:rsidR="00A77B3E" w:rsidRDefault="00A77B3E">
      <w:pPr>
        <w:spacing w:before="5pt"/>
        <w:rPr>
          <w:color w:val="000000"/>
        </w:rPr>
      </w:pPr>
    </w:p>
    <w:p w14:paraId="0A882B86" w14:textId="77777777" w:rsidR="00A77B3E" w:rsidRDefault="00B16CCF">
      <w:pPr>
        <w:pStyle w:val="Naslov5"/>
        <w:spacing w:before="5pt" w:after="0pt"/>
        <w:rPr>
          <w:b w:val="0"/>
          <w:i w:val="0"/>
          <w:color w:val="000000"/>
          <w:sz w:val="24"/>
        </w:rPr>
      </w:pPr>
      <w:bookmarkStart w:id="25" w:name="_Toc256000786"/>
      <w:r>
        <w:rPr>
          <w:b w:val="0"/>
          <w:i w:val="0"/>
          <w:color w:val="000000"/>
          <w:sz w:val="24"/>
        </w:rPr>
        <w:t>Glavne ciljne skupine – člen 22(3)(d)(iii) uredbe o skupnih določbah:</w:t>
      </w:r>
      <w:bookmarkEnd w:id="25"/>
    </w:p>
    <w:p w14:paraId="24FA6F7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301BF627"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934CD9" w14:textId="77777777" w:rsidR="00A77B3E" w:rsidRDefault="00A77B3E">
            <w:pPr>
              <w:spacing w:before="5pt"/>
              <w:rPr>
                <w:color w:val="000000"/>
                <w:sz w:val="0"/>
              </w:rPr>
            </w:pPr>
          </w:p>
          <w:p w14:paraId="4BF7FD25" w14:textId="77777777" w:rsidR="00A77B3E" w:rsidRDefault="00B16CCF">
            <w:pPr>
              <w:spacing w:before="5pt"/>
              <w:rPr>
                <w:color w:val="000000"/>
              </w:rPr>
            </w:pPr>
            <w:r>
              <w:rPr>
                <w:color w:val="000000"/>
              </w:rPr>
              <w:t>Ciljne skupine: MSP, javna uprava in pravosodje, lokalna samouprava, lokalne skupnosti, nevladne organizacije, raziskovalne organizacije, subjekti s področja kulture, državljani, idr.</w:t>
            </w:r>
          </w:p>
          <w:p w14:paraId="03B745E4" w14:textId="77777777" w:rsidR="00A77B3E" w:rsidRDefault="00A77B3E">
            <w:pPr>
              <w:spacing w:before="5pt"/>
              <w:rPr>
                <w:color w:val="000000"/>
              </w:rPr>
            </w:pPr>
          </w:p>
          <w:p w14:paraId="29010050" w14:textId="77777777" w:rsidR="00A77B3E" w:rsidRDefault="00B16CCF">
            <w:pPr>
              <w:spacing w:before="5pt"/>
              <w:rPr>
                <w:color w:val="000000"/>
              </w:rPr>
            </w:pPr>
            <w:r>
              <w:rPr>
                <w:color w:val="000000"/>
              </w:rPr>
              <w:t>Upravičenci: MSP, institucije podpornega okolja, izvajalske institucije, organizacije, ki izvajajo neformalna usposabljanja, NVO, ustanove, ki se ukvarjajo s prikrajšanimi in invalidi, VIZ, osebe javnega prava, lokalne skupnosti, javni zavodi ali agencije, visokošolski zavodi, raziskovalne organizacije, organi državne uprave, zbornice ter ostali deležniki, ki bodo prepoznani kot upravičenci.</w:t>
            </w:r>
          </w:p>
          <w:p w14:paraId="2675D7A7" w14:textId="77777777" w:rsidR="00A77B3E" w:rsidRDefault="00A77B3E">
            <w:pPr>
              <w:spacing w:before="5pt"/>
              <w:rPr>
                <w:color w:val="000000"/>
                <w:sz w:val="6"/>
              </w:rPr>
            </w:pPr>
          </w:p>
          <w:p w14:paraId="11DEEC4D" w14:textId="77777777" w:rsidR="00A77B3E" w:rsidRDefault="00A77B3E">
            <w:pPr>
              <w:spacing w:before="5pt"/>
              <w:rPr>
                <w:color w:val="000000"/>
                <w:sz w:val="6"/>
              </w:rPr>
            </w:pPr>
          </w:p>
        </w:tc>
      </w:tr>
    </w:tbl>
    <w:p w14:paraId="3BBF0824" w14:textId="77777777" w:rsidR="00A77B3E" w:rsidRDefault="00A77B3E">
      <w:pPr>
        <w:spacing w:before="5pt"/>
        <w:rPr>
          <w:color w:val="000000"/>
        </w:rPr>
      </w:pPr>
    </w:p>
    <w:p w14:paraId="2AA81BFB" w14:textId="77777777" w:rsidR="00A77B3E" w:rsidRDefault="00B16CCF">
      <w:pPr>
        <w:pStyle w:val="Naslov5"/>
        <w:spacing w:before="5pt" w:after="0pt"/>
        <w:rPr>
          <w:b w:val="0"/>
          <w:i w:val="0"/>
          <w:color w:val="000000"/>
          <w:sz w:val="24"/>
        </w:rPr>
      </w:pPr>
      <w:bookmarkStart w:id="26" w:name="_Toc256000787"/>
      <w:r>
        <w:rPr>
          <w:b w:val="0"/>
          <w:i w:val="0"/>
          <w:color w:val="000000"/>
          <w:sz w:val="24"/>
        </w:rPr>
        <w:t>Ukrepi za zaščito enakosti, vključenosti in nediskriminacije – člen 22(3)(d)(iv) uredbe o skupnih določbah in člen 6 uredbe o ESS+</w:t>
      </w:r>
      <w:bookmarkEnd w:id="26"/>
    </w:p>
    <w:p w14:paraId="0E4629E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3A5977BC"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C3365A" w14:textId="77777777" w:rsidR="00A77B3E" w:rsidRDefault="00A77B3E">
            <w:pPr>
              <w:spacing w:before="5pt"/>
              <w:rPr>
                <w:color w:val="000000"/>
                <w:sz w:val="0"/>
              </w:rPr>
            </w:pPr>
          </w:p>
          <w:p w14:paraId="4008D896" w14:textId="77777777" w:rsidR="00A77B3E" w:rsidRDefault="00B16CCF">
            <w:pPr>
              <w:spacing w:before="5pt"/>
              <w:rPr>
                <w:color w:val="000000"/>
              </w:rPr>
            </w:pPr>
            <w:r>
              <w:rPr>
                <w:color w:val="000000"/>
              </w:rPr>
              <w:t>Spoštovanje načel enakosti spolov in enakih možnostih za vse bo zagotovljeno pri izvajanju vseh aktivnosti na vseh ravneh v skladu z nacionalno zakonodajo (Zakon o enakih možnostih žensk in moških, Zakon o varstvu pred diskriminacijo, Zakon o izenačevanju možnosti invalidov), pravnim redom EU, zlasti s Pogodbo o delovanju EU, Listino EU o temeljnih pravicah,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w:t>
            </w:r>
          </w:p>
          <w:p w14:paraId="2E69CDAE" w14:textId="77777777" w:rsidR="00A77B3E" w:rsidRDefault="00A77B3E">
            <w:pPr>
              <w:spacing w:before="5pt"/>
              <w:rPr>
                <w:color w:val="000000"/>
              </w:rPr>
            </w:pPr>
          </w:p>
          <w:p w14:paraId="2C046839" w14:textId="77777777" w:rsidR="00A77B3E" w:rsidRDefault="00B16CCF">
            <w:pPr>
              <w:spacing w:before="5pt"/>
              <w:rPr>
                <w:color w:val="000000"/>
              </w:rPr>
            </w:pPr>
            <w:r>
              <w:rPr>
                <w:color w:val="000000"/>
              </w:rPr>
              <w:t xml:space="preserve">Ukrepi za ranljive skupine so predvideni predvsem v sklopu digitalizacije slovenskega jezika, in sicer z namenom večje dostopnosti vsebin (npr. podnaslavljanje TV programov) ranljivim skupinam, ter na področju digitalne vključenosti itd. Z ukrepi za dvig digitalne vključenosti bomo naslavljali različne skupine (npr. NVO, državljane, ipd.), usmerjeni pa bodo v zmanjševanje razlik, tako pri dostopu do interneta in opreme, kot tudi varnosti in digitalnemu opismenjevanju, kar bo posledično prispevalo tudi k splošnemu izboljšanju položaja v družbi ter zmanjševanju neenakosti. </w:t>
            </w:r>
          </w:p>
          <w:p w14:paraId="401F2EA5" w14:textId="77777777" w:rsidR="00A77B3E" w:rsidRDefault="00A77B3E">
            <w:pPr>
              <w:spacing w:before="5pt"/>
              <w:rPr>
                <w:color w:val="000000"/>
                <w:sz w:val="6"/>
              </w:rPr>
            </w:pPr>
          </w:p>
          <w:p w14:paraId="074D44EA" w14:textId="77777777" w:rsidR="00A77B3E" w:rsidRDefault="00A77B3E">
            <w:pPr>
              <w:spacing w:before="5pt"/>
              <w:rPr>
                <w:color w:val="000000"/>
                <w:sz w:val="6"/>
              </w:rPr>
            </w:pPr>
          </w:p>
        </w:tc>
      </w:tr>
    </w:tbl>
    <w:p w14:paraId="15534004" w14:textId="77777777" w:rsidR="00A77B3E" w:rsidRDefault="00A77B3E">
      <w:pPr>
        <w:spacing w:before="5pt"/>
        <w:rPr>
          <w:color w:val="000000"/>
        </w:rPr>
      </w:pPr>
    </w:p>
    <w:p w14:paraId="35CB8F54" w14:textId="77777777" w:rsidR="00A77B3E" w:rsidRDefault="00B16CCF">
      <w:pPr>
        <w:pStyle w:val="Naslov5"/>
        <w:spacing w:before="5pt" w:after="0pt"/>
        <w:rPr>
          <w:b w:val="0"/>
          <w:i w:val="0"/>
          <w:color w:val="000000"/>
          <w:sz w:val="24"/>
        </w:rPr>
      </w:pPr>
      <w:bookmarkStart w:id="27" w:name="_Toc256000788"/>
      <w:r>
        <w:rPr>
          <w:b w:val="0"/>
          <w:i w:val="0"/>
          <w:color w:val="000000"/>
          <w:sz w:val="24"/>
        </w:rPr>
        <w:lastRenderedPageBreak/>
        <w:t>Navedba specifičnih ciljnih ozemelj, vključno z načrtovano uporabo teritorialnih orodij – člen 22(3)(d)(v) uredbe o skupnih določbah</w:t>
      </w:r>
      <w:bookmarkEnd w:id="27"/>
    </w:p>
    <w:p w14:paraId="5D4653F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1173306F"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11263D" w14:textId="77777777" w:rsidR="00A77B3E" w:rsidRDefault="00A77B3E">
            <w:pPr>
              <w:spacing w:before="5pt"/>
              <w:rPr>
                <w:color w:val="000000"/>
                <w:sz w:val="0"/>
              </w:rPr>
            </w:pPr>
          </w:p>
          <w:p w14:paraId="22F4F2BD" w14:textId="77777777" w:rsidR="00A77B3E" w:rsidRDefault="00B16CCF">
            <w:pPr>
              <w:spacing w:before="5pt"/>
              <w:rPr>
                <w:color w:val="000000"/>
              </w:rPr>
            </w:pPr>
            <w:r>
              <w:rPr>
                <w:color w:val="000000"/>
              </w:rPr>
              <w:t xml:space="preserve">V okviru specifičnega cilja ni predvideva uporaba teritorialnih orodij. </w:t>
            </w:r>
          </w:p>
          <w:p w14:paraId="2A110AD0" w14:textId="77777777" w:rsidR="00A77B3E" w:rsidRDefault="00A77B3E">
            <w:pPr>
              <w:spacing w:before="5pt"/>
              <w:rPr>
                <w:color w:val="000000"/>
                <w:sz w:val="6"/>
              </w:rPr>
            </w:pPr>
          </w:p>
          <w:p w14:paraId="6AD89258" w14:textId="77777777" w:rsidR="00A77B3E" w:rsidRDefault="00A77B3E">
            <w:pPr>
              <w:spacing w:before="5pt"/>
              <w:rPr>
                <w:color w:val="000000"/>
                <w:sz w:val="6"/>
              </w:rPr>
            </w:pPr>
          </w:p>
        </w:tc>
      </w:tr>
    </w:tbl>
    <w:p w14:paraId="0B15CC8C" w14:textId="77777777" w:rsidR="00A77B3E" w:rsidRDefault="00A77B3E">
      <w:pPr>
        <w:spacing w:before="5pt"/>
        <w:rPr>
          <w:color w:val="000000"/>
        </w:rPr>
      </w:pPr>
    </w:p>
    <w:p w14:paraId="5E54CF81" w14:textId="77777777" w:rsidR="00A77B3E" w:rsidRDefault="00B16CCF">
      <w:pPr>
        <w:pStyle w:val="Naslov5"/>
        <w:spacing w:before="5pt" w:after="0pt"/>
        <w:rPr>
          <w:b w:val="0"/>
          <w:i w:val="0"/>
          <w:color w:val="000000"/>
          <w:sz w:val="24"/>
        </w:rPr>
      </w:pPr>
      <w:bookmarkStart w:id="28" w:name="_Toc256000789"/>
      <w:r>
        <w:rPr>
          <w:b w:val="0"/>
          <w:i w:val="0"/>
          <w:color w:val="000000"/>
          <w:sz w:val="24"/>
        </w:rPr>
        <w:t>Medregionalni, čezmejni in transnacionalni ukrepi – člen 22(3)(d)(vi) uredbe o skupnih določbah</w:t>
      </w:r>
      <w:bookmarkEnd w:id="28"/>
    </w:p>
    <w:p w14:paraId="76A96DF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2FD30A60"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ED72DA" w14:textId="77777777" w:rsidR="00A77B3E" w:rsidRDefault="00A77B3E">
            <w:pPr>
              <w:spacing w:before="5pt"/>
              <w:rPr>
                <w:color w:val="000000"/>
                <w:sz w:val="0"/>
              </w:rPr>
            </w:pPr>
          </w:p>
          <w:p w14:paraId="1C5BFD6C" w14:textId="77777777" w:rsidR="00A77B3E" w:rsidRDefault="00B16CCF">
            <w:pPr>
              <w:spacing w:before="5pt"/>
              <w:rPr>
                <w:color w:val="000000"/>
              </w:rPr>
            </w:pPr>
            <w:r>
              <w:rPr>
                <w:color w:val="000000"/>
              </w:rPr>
              <w:t>V okviru specifičnega cilja niso predvideni medregionalni, čezmejni in transnacionalni ukrepi, saj so ukrepi predmetnega specifičnega cilja namenjeni izboljšanju slovenskega ekosistema, ki lahko predstavlja podlago za vključevanje podjetij na tuje trge. Poleg tega pa se bodo že v NOO v okviru Programa digitalne transformacije industrije/podjetij financirali 3 čezmejni projekti (Večdržavni projekt skupne evropske infrastrukture podatkov in storitev; Evropska blockchain infrastruktura storitev; Večdržavni projekt Nizkoporabni procesorji in polprevodni čipi), zato v okviru Programa v tem trenutku ne predvidevamo sodelovanj.</w:t>
            </w:r>
          </w:p>
          <w:p w14:paraId="1015E51D" w14:textId="77777777" w:rsidR="00A77B3E" w:rsidRDefault="00A77B3E">
            <w:pPr>
              <w:spacing w:before="5pt"/>
              <w:rPr>
                <w:color w:val="000000"/>
              </w:rPr>
            </w:pPr>
          </w:p>
          <w:p w14:paraId="33034AF3" w14:textId="77777777" w:rsidR="00A77B3E" w:rsidRDefault="00B16CCF">
            <w:pPr>
              <w:spacing w:before="5pt"/>
              <w:rPr>
                <w:color w:val="000000"/>
              </w:rPr>
            </w:pPr>
            <w:r>
              <w:rPr>
                <w:color w:val="000000"/>
              </w:rPr>
              <w:t>Slovenija pa bo še naprej podpirala deležnike RRI preko komplementarnega financiranja članstva v okviru Vanguard iniciative, ki predstavlja učinkovit mehanizem za medregionalno sodelovanje in generiranje projektov. Članstvo neposredno upravljajo tri resorna ministrstva, ki so ključni posredniki, odgovorni za izvajanje aktivnosti s področja RRI.</w:t>
            </w:r>
          </w:p>
          <w:p w14:paraId="205F15B6" w14:textId="77777777" w:rsidR="00A77B3E" w:rsidRDefault="00A77B3E">
            <w:pPr>
              <w:spacing w:before="5pt"/>
              <w:rPr>
                <w:color w:val="000000"/>
                <w:sz w:val="6"/>
              </w:rPr>
            </w:pPr>
          </w:p>
          <w:p w14:paraId="7AD09AE4" w14:textId="77777777" w:rsidR="00A77B3E" w:rsidRDefault="00A77B3E">
            <w:pPr>
              <w:spacing w:before="5pt"/>
              <w:rPr>
                <w:color w:val="000000"/>
                <w:sz w:val="6"/>
              </w:rPr>
            </w:pPr>
          </w:p>
        </w:tc>
      </w:tr>
    </w:tbl>
    <w:p w14:paraId="4E41CDEE" w14:textId="77777777" w:rsidR="00A77B3E" w:rsidRDefault="00A77B3E">
      <w:pPr>
        <w:spacing w:before="5pt"/>
        <w:rPr>
          <w:color w:val="000000"/>
        </w:rPr>
      </w:pPr>
    </w:p>
    <w:p w14:paraId="4D86011F" w14:textId="77777777" w:rsidR="00A77B3E" w:rsidRDefault="00B16CCF">
      <w:pPr>
        <w:pStyle w:val="Naslov5"/>
        <w:spacing w:before="5pt" w:after="0pt"/>
        <w:rPr>
          <w:b w:val="0"/>
          <w:i w:val="0"/>
          <w:color w:val="000000"/>
          <w:sz w:val="24"/>
        </w:rPr>
      </w:pPr>
      <w:bookmarkStart w:id="29" w:name="_Toc256000790"/>
      <w:r>
        <w:rPr>
          <w:b w:val="0"/>
          <w:i w:val="0"/>
          <w:color w:val="000000"/>
          <w:sz w:val="24"/>
        </w:rPr>
        <w:t>Načrtovana uporaba finančnih instrumentov – člen 22(3)(d)(vii) uredbe o skupnih določbah</w:t>
      </w:r>
      <w:bookmarkEnd w:id="29"/>
    </w:p>
    <w:p w14:paraId="28E5DE0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15DA9CA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845FC2" w14:textId="77777777" w:rsidR="00A77B3E" w:rsidRDefault="00A77B3E">
            <w:pPr>
              <w:spacing w:before="5pt"/>
              <w:rPr>
                <w:color w:val="000000"/>
                <w:sz w:val="0"/>
              </w:rPr>
            </w:pPr>
          </w:p>
          <w:p w14:paraId="125A5073" w14:textId="77777777" w:rsidR="00A77B3E" w:rsidRDefault="00B16CCF">
            <w:pPr>
              <w:spacing w:before="5pt"/>
              <w:rPr>
                <w:color w:val="000000"/>
              </w:rPr>
            </w:pPr>
            <w:r>
              <w:rPr>
                <w:color w:val="000000"/>
              </w:rPr>
              <w:t>Predhodna ocena potreb trga in vrzeli financiranja na trgu za izvajanje finančnih instrumentov v programskem obdobju 2021-2027 (julij 2022) je ugotovila vrzel predvsem na področju digitalizacije gospodarstva. Kljub temu se uporaba FI na tem specifičnem cilju ne načrtuje iz sredstev Programa, saj je predvidena za podporo investicijam za razvojne projekte s področja digitalizacije kombinacija nepovratnih sredstev iz tega cilja in povratnih sredstev iz nacionalnih sredstev - namenskega premoženja Slovenskega podjetniškega sklada oz. revolvinga sredstev v razmerju 30 % nepovratnih sredstev (subvencij) in 70 % posojil iz nacionalnih virov (posojila se bodo končnim prejemnikom dodeljevala pod enakimi pogoji na območju celotne Slovenije). Sredstva se bodo tako multiplicirala, s čimer bo pokrito več potreb za financiranje digitalizacije MSP.</w:t>
            </w:r>
          </w:p>
          <w:p w14:paraId="2DCCFD62" w14:textId="77777777" w:rsidR="00A77B3E" w:rsidRDefault="00A77B3E">
            <w:pPr>
              <w:spacing w:before="5pt"/>
              <w:rPr>
                <w:color w:val="000000"/>
                <w:sz w:val="6"/>
              </w:rPr>
            </w:pPr>
          </w:p>
          <w:p w14:paraId="2C215585" w14:textId="77777777" w:rsidR="00A77B3E" w:rsidRDefault="00A77B3E">
            <w:pPr>
              <w:spacing w:before="5pt"/>
              <w:rPr>
                <w:color w:val="000000"/>
                <w:sz w:val="6"/>
              </w:rPr>
            </w:pPr>
          </w:p>
        </w:tc>
      </w:tr>
    </w:tbl>
    <w:p w14:paraId="7EB82ACC" w14:textId="77777777" w:rsidR="00A77B3E" w:rsidRDefault="00A77B3E">
      <w:pPr>
        <w:spacing w:before="5pt"/>
        <w:rPr>
          <w:color w:val="000000"/>
        </w:rPr>
      </w:pPr>
    </w:p>
    <w:p w14:paraId="7A4ED189" w14:textId="77777777" w:rsidR="00A77B3E" w:rsidRDefault="00B16CCF">
      <w:pPr>
        <w:pStyle w:val="Naslov4"/>
        <w:spacing w:before="5pt" w:after="0pt"/>
        <w:rPr>
          <w:b w:val="0"/>
          <w:color w:val="000000"/>
          <w:sz w:val="24"/>
        </w:rPr>
      </w:pPr>
      <w:bookmarkStart w:id="30" w:name="_Toc256000791"/>
      <w:r>
        <w:rPr>
          <w:b w:val="0"/>
          <w:color w:val="000000"/>
          <w:sz w:val="24"/>
        </w:rPr>
        <w:t>2.1.1.1.2. Kazalniki</w:t>
      </w:r>
      <w:bookmarkEnd w:id="30"/>
    </w:p>
    <w:p w14:paraId="3CC977AB" w14:textId="77777777" w:rsidR="00A77B3E" w:rsidRDefault="00A77B3E">
      <w:pPr>
        <w:spacing w:before="5pt"/>
        <w:rPr>
          <w:color w:val="000000"/>
          <w:sz w:val="0"/>
        </w:rPr>
      </w:pPr>
    </w:p>
    <w:p w14:paraId="1800C18D" w14:textId="77777777" w:rsidR="00A77B3E" w:rsidRDefault="00B16CCF">
      <w:pPr>
        <w:spacing w:before="5pt"/>
        <w:rPr>
          <w:color w:val="000000"/>
          <w:sz w:val="0"/>
        </w:rPr>
      </w:pPr>
      <w:r>
        <w:rPr>
          <w:color w:val="000000"/>
        </w:rPr>
        <w:t>Sklic: člen 22(3)(d)(ii) uredbe o skupnih določbah in člen 8 uredbe o ESRR in Kohezijskem skladu</w:t>
      </w:r>
    </w:p>
    <w:p w14:paraId="700DFD4F" w14:textId="77777777" w:rsidR="00A77B3E" w:rsidRDefault="00B16CCF">
      <w:pPr>
        <w:pStyle w:val="Naslov5"/>
        <w:spacing w:before="5pt" w:after="0pt"/>
        <w:rPr>
          <w:b w:val="0"/>
          <w:i w:val="0"/>
          <w:color w:val="000000"/>
          <w:sz w:val="24"/>
        </w:rPr>
      </w:pPr>
      <w:bookmarkStart w:id="31" w:name="_Toc256000792"/>
      <w:r>
        <w:rPr>
          <w:b w:val="0"/>
          <w:i w:val="0"/>
          <w:color w:val="000000"/>
          <w:sz w:val="24"/>
        </w:rPr>
        <w:t>Tabela 2: Kazalniki učinka</w:t>
      </w:r>
      <w:bookmarkEnd w:id="31"/>
    </w:p>
    <w:p w14:paraId="63BBBDA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17"/>
        <w:gridCol w:w="1677"/>
        <w:gridCol w:w="1119"/>
        <w:gridCol w:w="1739"/>
        <w:gridCol w:w="2018"/>
        <w:gridCol w:w="1939"/>
        <w:gridCol w:w="1497"/>
        <w:gridCol w:w="1258"/>
        <w:gridCol w:w="2108"/>
      </w:tblGrid>
      <w:tr w:rsidR="00823317" w14:paraId="1D2F0A1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67968C"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073B66"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7E76EC"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A4FE6B"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C1420A"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0F3FB2"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0B3CC6"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2738BD" w14:textId="77777777" w:rsidR="00A77B3E" w:rsidRDefault="00B16CCF">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B8AF6F" w14:textId="77777777" w:rsidR="00A77B3E" w:rsidRDefault="00B16CCF">
            <w:pPr>
              <w:spacing w:before="5pt"/>
              <w:jc w:val="center"/>
              <w:rPr>
                <w:color w:val="000000"/>
                <w:sz w:val="20"/>
              </w:rPr>
            </w:pPr>
            <w:r>
              <w:rPr>
                <w:color w:val="000000"/>
                <w:sz w:val="20"/>
              </w:rPr>
              <w:t>Cilj (2029)</w:t>
            </w:r>
          </w:p>
        </w:tc>
      </w:tr>
      <w:tr w:rsidR="00823317" w14:paraId="1DA1BCA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A218BA"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9B5649" w14:textId="77777777" w:rsidR="00A77B3E" w:rsidRDefault="00B16CCF">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4A09A2"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6060E6"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721140" w14:textId="77777777" w:rsidR="00A77B3E" w:rsidRDefault="00B16CCF">
            <w:pPr>
              <w:spacing w:before="5pt"/>
              <w:rPr>
                <w:color w:val="000000"/>
                <w:sz w:val="20"/>
              </w:rPr>
            </w:pPr>
            <w:r>
              <w:rPr>
                <w:color w:val="000000"/>
                <w:sz w:val="20"/>
              </w:rPr>
              <w:t>RCO01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0C98D8" w14:textId="77777777" w:rsidR="00A77B3E" w:rsidRDefault="00B16CCF">
            <w:pPr>
              <w:spacing w:before="5pt"/>
              <w:rPr>
                <w:color w:val="000000"/>
                <w:sz w:val="20"/>
              </w:rPr>
            </w:pPr>
            <w:r>
              <w:rPr>
                <w:color w:val="000000"/>
                <w:sz w:val="20"/>
              </w:rPr>
              <w:t>Podjetja, ki so prejela podporo (od tega: mikro, mala, srednja, velika)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507315" w14:textId="77777777" w:rsidR="00A77B3E" w:rsidRDefault="00B16CCF">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5BB396"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055BDB" w14:textId="77777777" w:rsidR="00A77B3E" w:rsidRDefault="00B16CCF">
            <w:pPr>
              <w:spacing w:before="5pt"/>
              <w:jc w:val="end"/>
              <w:rPr>
                <w:color w:val="000000"/>
                <w:sz w:val="20"/>
              </w:rPr>
            </w:pPr>
            <w:r>
              <w:rPr>
                <w:color w:val="000000"/>
                <w:sz w:val="20"/>
              </w:rPr>
              <w:t>107,00</w:t>
            </w:r>
          </w:p>
        </w:tc>
      </w:tr>
      <w:tr w:rsidR="00823317" w14:paraId="2CA57F2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CEE8D8"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C79DAD" w14:textId="77777777" w:rsidR="00A77B3E" w:rsidRDefault="00B16CCF">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F8F5AE"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F5C331"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4E045F" w14:textId="77777777" w:rsidR="00A77B3E" w:rsidRDefault="00B16CCF">
            <w:pPr>
              <w:spacing w:before="5pt"/>
              <w:rPr>
                <w:color w:val="000000"/>
                <w:sz w:val="20"/>
              </w:rPr>
            </w:pPr>
            <w:r>
              <w:rPr>
                <w:color w:val="000000"/>
                <w:sz w:val="20"/>
              </w:rPr>
              <w:t>RCO02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0A749F" w14:textId="77777777" w:rsidR="00A77B3E" w:rsidRDefault="00B16CCF">
            <w:pPr>
              <w:spacing w:before="5pt"/>
              <w:rPr>
                <w:color w:val="000000"/>
                <w:sz w:val="20"/>
              </w:rPr>
            </w:pPr>
            <w:r>
              <w:rPr>
                <w:color w:val="000000"/>
                <w:sz w:val="20"/>
              </w:rPr>
              <w:t>Podjetja, ki so prejela podporo v obliki nepovratnih sredstev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28D5E0" w14:textId="77777777" w:rsidR="00A77B3E" w:rsidRDefault="00B16CCF">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A1AB40"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33648D" w14:textId="77777777" w:rsidR="00A77B3E" w:rsidRDefault="00B16CCF">
            <w:pPr>
              <w:spacing w:before="5pt"/>
              <w:jc w:val="end"/>
              <w:rPr>
                <w:color w:val="000000"/>
                <w:sz w:val="20"/>
              </w:rPr>
            </w:pPr>
            <w:r>
              <w:rPr>
                <w:color w:val="000000"/>
                <w:sz w:val="20"/>
              </w:rPr>
              <w:t>107,00</w:t>
            </w:r>
          </w:p>
        </w:tc>
      </w:tr>
      <w:tr w:rsidR="00823317" w14:paraId="0203110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0C5788"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86DE1D" w14:textId="77777777" w:rsidR="00A77B3E" w:rsidRDefault="00B16CCF">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03D2FA"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C1B5DC"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6A8844" w14:textId="77777777" w:rsidR="00A77B3E" w:rsidRDefault="00B16CCF">
            <w:pPr>
              <w:spacing w:before="5pt"/>
              <w:rPr>
                <w:color w:val="000000"/>
                <w:sz w:val="20"/>
              </w:rPr>
            </w:pPr>
            <w:r>
              <w:rPr>
                <w:color w:val="000000"/>
                <w:sz w:val="20"/>
              </w:rPr>
              <w:t>RCO13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FAA69F" w14:textId="77777777" w:rsidR="00A77B3E" w:rsidRDefault="00B16CCF">
            <w:pPr>
              <w:spacing w:before="5pt"/>
              <w:rPr>
                <w:color w:val="000000"/>
                <w:sz w:val="20"/>
              </w:rPr>
            </w:pPr>
            <w:r>
              <w:rPr>
                <w:color w:val="000000"/>
                <w:sz w:val="20"/>
              </w:rPr>
              <w:t>Vrednost digitalnih storitev, produktov in procesov, razvitih za 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D6D670" w14:textId="77777777" w:rsidR="00A77B3E" w:rsidRDefault="00B16CCF">
            <w:pPr>
              <w:spacing w:before="5pt"/>
              <w:rPr>
                <w:color w:val="000000"/>
                <w:sz w:val="20"/>
              </w:rPr>
            </w:pPr>
            <w:r>
              <w:rPr>
                <w:color w:val="000000"/>
                <w:sz w:val="20"/>
              </w:rPr>
              <w:t>euro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ED54C3"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D9A105" w14:textId="77777777" w:rsidR="00A77B3E" w:rsidRDefault="00B16CCF">
            <w:pPr>
              <w:spacing w:before="5pt"/>
              <w:jc w:val="end"/>
              <w:rPr>
                <w:color w:val="000000"/>
                <w:sz w:val="20"/>
              </w:rPr>
            </w:pPr>
            <w:r>
              <w:rPr>
                <w:color w:val="000000"/>
                <w:sz w:val="20"/>
              </w:rPr>
              <w:t>9.172.478,00</w:t>
            </w:r>
          </w:p>
        </w:tc>
      </w:tr>
      <w:tr w:rsidR="00823317" w14:paraId="1BB8DC3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B16667"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B258FC" w14:textId="77777777" w:rsidR="00A77B3E" w:rsidRDefault="00B16CCF">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0C84AD"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4AC579"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86B0FD" w14:textId="77777777" w:rsidR="00A77B3E" w:rsidRDefault="00B16CCF">
            <w:pPr>
              <w:spacing w:before="5pt"/>
              <w:rPr>
                <w:color w:val="000000"/>
                <w:sz w:val="20"/>
              </w:rPr>
            </w:pPr>
            <w:r>
              <w:rPr>
                <w:color w:val="000000"/>
                <w:sz w:val="20"/>
              </w:rPr>
              <w:t>RCO14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40A177" w14:textId="77777777" w:rsidR="00A77B3E" w:rsidRDefault="00B16CCF">
            <w:pPr>
              <w:spacing w:before="5pt"/>
              <w:rPr>
                <w:color w:val="000000"/>
                <w:sz w:val="20"/>
              </w:rPr>
            </w:pPr>
            <w:r>
              <w:rPr>
                <w:color w:val="000000"/>
                <w:sz w:val="20"/>
              </w:rPr>
              <w:t>Javne ustanove, ki so prejele podporo za razvoj digitalnih storitev, produktov in procesov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7F3DFB" w14:textId="77777777" w:rsidR="00A77B3E" w:rsidRDefault="00B16CCF">
            <w:pPr>
              <w:spacing w:before="5pt"/>
              <w:rPr>
                <w:color w:val="000000"/>
                <w:sz w:val="20"/>
              </w:rPr>
            </w:pPr>
            <w:r>
              <w:rPr>
                <w:color w:val="000000"/>
                <w:sz w:val="20"/>
              </w:rPr>
              <w:t>javne ustanove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798174" w14:textId="77777777" w:rsidR="00A77B3E" w:rsidRDefault="00B16CCF">
            <w:pPr>
              <w:spacing w:before="5pt"/>
              <w:jc w:val="end"/>
              <w:rPr>
                <w:color w:val="000000"/>
                <w:sz w:val="20"/>
              </w:rPr>
            </w:pPr>
            <w:r>
              <w:rPr>
                <w:color w:val="000000"/>
                <w:sz w:val="20"/>
              </w:rPr>
              <w:t>4,00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680C9D" w14:textId="77777777" w:rsidR="00A77B3E" w:rsidRDefault="00B16CCF">
            <w:pPr>
              <w:spacing w:before="5pt"/>
              <w:jc w:val="end"/>
              <w:rPr>
                <w:color w:val="000000"/>
                <w:sz w:val="20"/>
              </w:rPr>
            </w:pPr>
            <w:r>
              <w:rPr>
                <w:color w:val="000000"/>
                <w:sz w:val="20"/>
              </w:rPr>
              <w:t>64,00</w:t>
            </w:r>
          </w:p>
        </w:tc>
      </w:tr>
      <w:tr w:rsidR="00823317" w14:paraId="08083AF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E43911"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6DFEEA" w14:textId="77777777" w:rsidR="00A77B3E" w:rsidRDefault="00B16CCF">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D94AA0"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109A03"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F166A4" w14:textId="77777777" w:rsidR="00A77B3E" w:rsidRDefault="00B16CCF">
            <w:pPr>
              <w:spacing w:before="5pt"/>
              <w:rPr>
                <w:color w:val="000000"/>
                <w:sz w:val="20"/>
              </w:rPr>
            </w:pPr>
            <w:r>
              <w:rPr>
                <w:color w:val="000000"/>
                <w:sz w:val="20"/>
              </w:rPr>
              <w:t>RCO01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FB7DAA" w14:textId="77777777" w:rsidR="00A77B3E" w:rsidRDefault="00B16CCF">
            <w:pPr>
              <w:spacing w:before="5pt"/>
              <w:rPr>
                <w:color w:val="000000"/>
                <w:sz w:val="20"/>
              </w:rPr>
            </w:pPr>
            <w:r>
              <w:rPr>
                <w:color w:val="000000"/>
                <w:sz w:val="20"/>
              </w:rPr>
              <w:t>Podjetja, ki so prejela podporo (od tega: mikro, mala, srednja, velika)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10C5A9" w14:textId="77777777" w:rsidR="00A77B3E" w:rsidRDefault="00B16CCF">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7BDB9C"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A4A2D9" w14:textId="77777777" w:rsidR="00A77B3E" w:rsidRDefault="00B16CCF">
            <w:pPr>
              <w:spacing w:before="5pt"/>
              <w:jc w:val="end"/>
              <w:rPr>
                <w:color w:val="000000"/>
                <w:sz w:val="20"/>
              </w:rPr>
            </w:pPr>
            <w:r>
              <w:rPr>
                <w:color w:val="000000"/>
                <w:sz w:val="20"/>
              </w:rPr>
              <w:t>120,00</w:t>
            </w:r>
          </w:p>
        </w:tc>
      </w:tr>
      <w:tr w:rsidR="00823317" w14:paraId="4F25949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CC0C26"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FADA88" w14:textId="77777777" w:rsidR="00A77B3E" w:rsidRDefault="00B16CCF">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9E6D40"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D1DB8F"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E0D657" w14:textId="77777777" w:rsidR="00A77B3E" w:rsidRDefault="00B16CCF">
            <w:pPr>
              <w:spacing w:before="5pt"/>
              <w:rPr>
                <w:color w:val="000000"/>
                <w:sz w:val="20"/>
              </w:rPr>
            </w:pPr>
            <w:r>
              <w:rPr>
                <w:color w:val="000000"/>
                <w:sz w:val="20"/>
              </w:rPr>
              <w:t>RCO02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8B95D6" w14:textId="77777777" w:rsidR="00A77B3E" w:rsidRDefault="00B16CCF">
            <w:pPr>
              <w:spacing w:before="5pt"/>
              <w:rPr>
                <w:color w:val="000000"/>
                <w:sz w:val="20"/>
              </w:rPr>
            </w:pPr>
            <w:r>
              <w:rPr>
                <w:color w:val="000000"/>
                <w:sz w:val="20"/>
              </w:rPr>
              <w:t>Podjetja, ki so prejela podporo v obliki nepovratnih sredstev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FFD823" w14:textId="77777777" w:rsidR="00A77B3E" w:rsidRDefault="00B16CCF">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135C54"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C9E367" w14:textId="77777777" w:rsidR="00A77B3E" w:rsidRDefault="00B16CCF">
            <w:pPr>
              <w:spacing w:before="5pt"/>
              <w:jc w:val="end"/>
              <w:rPr>
                <w:color w:val="000000"/>
                <w:sz w:val="20"/>
              </w:rPr>
            </w:pPr>
            <w:r>
              <w:rPr>
                <w:color w:val="000000"/>
                <w:sz w:val="20"/>
              </w:rPr>
              <w:t>120,00</w:t>
            </w:r>
          </w:p>
        </w:tc>
      </w:tr>
      <w:tr w:rsidR="00823317" w14:paraId="1178763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C1A10B"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4C146F" w14:textId="77777777" w:rsidR="00A77B3E" w:rsidRDefault="00B16CCF">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B8E6D3"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7C1A46"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08BF61" w14:textId="77777777" w:rsidR="00A77B3E" w:rsidRDefault="00B16CCF">
            <w:pPr>
              <w:spacing w:before="5pt"/>
              <w:rPr>
                <w:color w:val="000000"/>
                <w:sz w:val="20"/>
              </w:rPr>
            </w:pPr>
            <w:r>
              <w:rPr>
                <w:color w:val="000000"/>
                <w:sz w:val="20"/>
              </w:rPr>
              <w:t>RCO13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A2BECF" w14:textId="77777777" w:rsidR="00A77B3E" w:rsidRDefault="00B16CCF">
            <w:pPr>
              <w:spacing w:before="5pt"/>
              <w:rPr>
                <w:color w:val="000000"/>
                <w:sz w:val="20"/>
              </w:rPr>
            </w:pPr>
            <w:r>
              <w:rPr>
                <w:color w:val="000000"/>
                <w:sz w:val="20"/>
              </w:rPr>
              <w:t>Vrednost digitalnih storitev, produktov in procesov, razvitih za 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7EEB7C" w14:textId="77777777" w:rsidR="00A77B3E" w:rsidRDefault="00B16CCF">
            <w:pPr>
              <w:spacing w:before="5pt"/>
              <w:rPr>
                <w:color w:val="000000"/>
                <w:sz w:val="20"/>
              </w:rPr>
            </w:pPr>
            <w:r>
              <w:rPr>
                <w:color w:val="000000"/>
                <w:sz w:val="20"/>
              </w:rPr>
              <w:t>euro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1CB730"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AC5652" w14:textId="77777777" w:rsidR="00A77B3E" w:rsidRDefault="00B16CCF">
            <w:pPr>
              <w:spacing w:before="5pt"/>
              <w:jc w:val="end"/>
              <w:rPr>
                <w:color w:val="000000"/>
                <w:sz w:val="20"/>
              </w:rPr>
            </w:pPr>
            <w:r>
              <w:rPr>
                <w:color w:val="000000"/>
                <w:sz w:val="20"/>
              </w:rPr>
              <w:t>6.033.884,00</w:t>
            </w:r>
          </w:p>
        </w:tc>
      </w:tr>
      <w:tr w:rsidR="00823317" w14:paraId="3246EE4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5CC2AC"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A52962" w14:textId="77777777" w:rsidR="00A77B3E" w:rsidRDefault="00B16CCF">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3179D4"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1BA312"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4B9020" w14:textId="77777777" w:rsidR="00A77B3E" w:rsidRDefault="00B16CCF">
            <w:pPr>
              <w:spacing w:before="5pt"/>
              <w:rPr>
                <w:color w:val="000000"/>
                <w:sz w:val="20"/>
              </w:rPr>
            </w:pPr>
            <w:r>
              <w:rPr>
                <w:color w:val="000000"/>
                <w:sz w:val="20"/>
              </w:rPr>
              <w:t>RCO14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E50A5F" w14:textId="77777777" w:rsidR="00A77B3E" w:rsidRDefault="00B16CCF">
            <w:pPr>
              <w:spacing w:before="5pt"/>
              <w:rPr>
                <w:color w:val="000000"/>
                <w:sz w:val="20"/>
              </w:rPr>
            </w:pPr>
            <w:r>
              <w:rPr>
                <w:color w:val="000000"/>
                <w:sz w:val="20"/>
              </w:rPr>
              <w:t>Javne ustanove, ki so prejele podporo za razvoj digitalnih storitev, produktov in procesov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CBA3F9" w14:textId="77777777" w:rsidR="00A77B3E" w:rsidRDefault="00B16CCF">
            <w:pPr>
              <w:spacing w:before="5pt"/>
              <w:rPr>
                <w:color w:val="000000"/>
                <w:sz w:val="20"/>
              </w:rPr>
            </w:pPr>
            <w:r>
              <w:rPr>
                <w:color w:val="000000"/>
                <w:sz w:val="20"/>
              </w:rPr>
              <w:t>javne ustanove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5E498B" w14:textId="77777777" w:rsidR="00A77B3E" w:rsidRDefault="00B16CCF">
            <w:pPr>
              <w:spacing w:before="5pt"/>
              <w:jc w:val="end"/>
              <w:rPr>
                <w:color w:val="000000"/>
                <w:sz w:val="20"/>
              </w:rPr>
            </w:pPr>
            <w:r>
              <w:rPr>
                <w:color w:val="000000"/>
                <w:sz w:val="20"/>
              </w:rPr>
              <w:t>1,00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383B47" w14:textId="77777777" w:rsidR="00A77B3E" w:rsidRDefault="00B16CCF">
            <w:pPr>
              <w:spacing w:before="5pt"/>
              <w:jc w:val="end"/>
              <w:rPr>
                <w:color w:val="000000"/>
                <w:sz w:val="20"/>
              </w:rPr>
            </w:pPr>
            <w:r>
              <w:rPr>
                <w:color w:val="000000"/>
                <w:sz w:val="20"/>
              </w:rPr>
              <w:t>65,00</w:t>
            </w:r>
          </w:p>
        </w:tc>
      </w:tr>
    </w:tbl>
    <w:p w14:paraId="663011AD" w14:textId="77777777" w:rsidR="00A77B3E" w:rsidRDefault="00A77B3E">
      <w:pPr>
        <w:spacing w:before="5pt"/>
        <w:rPr>
          <w:color w:val="000000"/>
          <w:sz w:val="20"/>
        </w:rPr>
      </w:pPr>
    </w:p>
    <w:p w14:paraId="5D230BAA" w14:textId="77777777" w:rsidR="00A77B3E" w:rsidRDefault="00B16CCF">
      <w:pPr>
        <w:spacing w:before="5pt"/>
        <w:rPr>
          <w:color w:val="000000"/>
          <w:sz w:val="0"/>
        </w:rPr>
      </w:pPr>
      <w:r>
        <w:rPr>
          <w:color w:val="000000"/>
        </w:rPr>
        <w:t>Sklic: člen 22(3)(d)(ii) uredbe o skupnih določbah</w:t>
      </w:r>
    </w:p>
    <w:p w14:paraId="24834F3A" w14:textId="77777777" w:rsidR="00A77B3E" w:rsidRDefault="00B16CCF">
      <w:pPr>
        <w:pStyle w:val="Naslov5"/>
        <w:spacing w:before="5pt" w:after="0pt"/>
        <w:rPr>
          <w:b w:val="0"/>
          <w:i w:val="0"/>
          <w:color w:val="000000"/>
          <w:sz w:val="24"/>
        </w:rPr>
      </w:pPr>
      <w:bookmarkStart w:id="32" w:name="_Toc256000793"/>
      <w:r>
        <w:rPr>
          <w:b w:val="0"/>
          <w:i w:val="0"/>
          <w:color w:val="000000"/>
          <w:sz w:val="24"/>
        </w:rPr>
        <w:lastRenderedPageBreak/>
        <w:t>Tabela 3: Kazalniki rezultatov</w:t>
      </w:r>
      <w:bookmarkEnd w:id="32"/>
    </w:p>
    <w:p w14:paraId="5C832F1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33"/>
        <w:gridCol w:w="1137"/>
        <w:gridCol w:w="759"/>
        <w:gridCol w:w="1179"/>
        <w:gridCol w:w="1368"/>
        <w:gridCol w:w="1341"/>
        <w:gridCol w:w="1639"/>
        <w:gridCol w:w="1206"/>
        <w:gridCol w:w="1273"/>
        <w:gridCol w:w="1551"/>
        <w:gridCol w:w="1402"/>
        <w:gridCol w:w="1084"/>
      </w:tblGrid>
      <w:tr w:rsidR="00823317" w14:paraId="6B0BE65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B1BEED"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F64777"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3207102"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9C05DC"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99A23D"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F1C56A"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2F69BF"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DF89024" w14:textId="77777777" w:rsidR="00A77B3E" w:rsidRDefault="00B16CCF">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BE810F" w14:textId="77777777" w:rsidR="00A77B3E" w:rsidRDefault="00B16CCF">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69D6F8" w14:textId="77777777" w:rsidR="00A77B3E" w:rsidRDefault="00B16CCF">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68BC9C" w14:textId="77777777" w:rsidR="00A77B3E" w:rsidRDefault="00B16CCF">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18A8AE" w14:textId="77777777" w:rsidR="00A77B3E" w:rsidRDefault="00B16CCF">
            <w:pPr>
              <w:spacing w:before="5pt"/>
              <w:jc w:val="center"/>
              <w:rPr>
                <w:color w:val="000000"/>
                <w:sz w:val="20"/>
              </w:rPr>
            </w:pPr>
            <w:r>
              <w:rPr>
                <w:color w:val="000000"/>
                <w:sz w:val="20"/>
              </w:rPr>
              <w:t>Opombe</w:t>
            </w:r>
          </w:p>
        </w:tc>
      </w:tr>
      <w:tr w:rsidR="00823317" w14:paraId="248281E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915EBE"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EC7AA9" w14:textId="77777777" w:rsidR="00A77B3E" w:rsidRDefault="00B16CCF">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2A84DA"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3788C4"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86C4C9" w14:textId="77777777" w:rsidR="00A77B3E" w:rsidRDefault="00B16CCF">
            <w:pPr>
              <w:spacing w:before="5pt"/>
              <w:rPr>
                <w:color w:val="000000"/>
                <w:sz w:val="20"/>
              </w:rPr>
            </w:pPr>
            <w:r>
              <w:rPr>
                <w:color w:val="000000"/>
                <w:sz w:val="20"/>
              </w:rPr>
              <w:t>RCR02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3816FB" w14:textId="77777777" w:rsidR="00A77B3E" w:rsidRDefault="00B16CCF">
            <w:pPr>
              <w:spacing w:before="5pt"/>
              <w:rPr>
                <w:color w:val="000000"/>
                <w:sz w:val="20"/>
              </w:rPr>
            </w:pPr>
            <w:r>
              <w:rPr>
                <w:color w:val="000000"/>
                <w:sz w:val="20"/>
              </w:rPr>
              <w:t>Zasebne naložbe, ki po vrednosti dosegajo javno podporo (od tega: nepovratna sredstva, finančni instrumenti)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D66B5C" w14:textId="77777777" w:rsidR="00A77B3E" w:rsidRDefault="00B16CCF">
            <w:pPr>
              <w:spacing w:before="5pt"/>
              <w:rPr>
                <w:color w:val="000000"/>
                <w:sz w:val="20"/>
              </w:rPr>
            </w:pPr>
            <w:r>
              <w:rPr>
                <w:color w:val="000000"/>
                <w:sz w:val="20"/>
              </w:rPr>
              <w:t>euro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E16988"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9A80B0" w14:textId="77777777" w:rsidR="00A77B3E" w:rsidRDefault="00B16CCF">
            <w:pPr>
              <w:spacing w:before="5pt"/>
              <w:jc w:val="center"/>
              <w:rPr>
                <w:color w:val="000000"/>
                <w:sz w:val="20"/>
              </w:rPr>
            </w:pPr>
            <w:r>
              <w:rPr>
                <w:color w:val="000000"/>
                <w:sz w:val="2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47CA90" w14:textId="77777777" w:rsidR="00A77B3E" w:rsidRDefault="00B16CCF">
            <w:pPr>
              <w:spacing w:before="5pt"/>
              <w:jc w:val="end"/>
              <w:rPr>
                <w:color w:val="000000"/>
                <w:sz w:val="20"/>
              </w:rPr>
            </w:pPr>
            <w:r>
              <w:rPr>
                <w:color w:val="000000"/>
                <w:sz w:val="20"/>
              </w:rPr>
              <w:t>10.759.551,00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32BBFF" w14:textId="77777777" w:rsidR="00A77B3E" w:rsidRDefault="00B16CCF">
            <w:pPr>
              <w:spacing w:before="5pt"/>
              <w:rPr>
                <w:color w:val="000000"/>
                <w:sz w:val="20"/>
              </w:rPr>
            </w:pPr>
            <w:r>
              <w:rPr>
                <w:color w:val="000000"/>
                <w:sz w:val="20"/>
              </w:rPr>
              <w:t>Upravičenci, MGTŠ</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62FCA1" w14:textId="77777777" w:rsidR="00A77B3E" w:rsidRDefault="00A77B3E">
            <w:pPr>
              <w:spacing w:before="5pt"/>
              <w:rPr>
                <w:color w:val="000000"/>
                <w:sz w:val="20"/>
              </w:rPr>
            </w:pPr>
          </w:p>
        </w:tc>
      </w:tr>
      <w:tr w:rsidR="00823317" w14:paraId="75CC9AB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BE7DD1"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EDA147" w14:textId="77777777" w:rsidR="00A77B3E" w:rsidRDefault="00B16CCF">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50FF46"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5E2281"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5E954A" w14:textId="77777777" w:rsidR="00A77B3E" w:rsidRDefault="00B16CCF">
            <w:pPr>
              <w:spacing w:before="5pt"/>
              <w:rPr>
                <w:color w:val="000000"/>
                <w:sz w:val="20"/>
              </w:rPr>
            </w:pPr>
            <w:r>
              <w:rPr>
                <w:color w:val="000000"/>
                <w:sz w:val="20"/>
              </w:rPr>
              <w:t>RCR11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921D56" w14:textId="77777777" w:rsidR="00A77B3E" w:rsidRDefault="00B16CCF">
            <w:pPr>
              <w:spacing w:before="5pt"/>
              <w:rPr>
                <w:color w:val="000000"/>
                <w:sz w:val="20"/>
              </w:rPr>
            </w:pPr>
            <w:r>
              <w:rPr>
                <w:color w:val="000000"/>
                <w:sz w:val="20"/>
              </w:rPr>
              <w:t>Uporabniki novih in nadgrajenih javnih digitalnih storitev, produktov in procesov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7C43FB" w14:textId="77777777" w:rsidR="00A77B3E" w:rsidRDefault="00B16CCF">
            <w:pPr>
              <w:spacing w:before="5pt"/>
              <w:rPr>
                <w:color w:val="000000"/>
                <w:sz w:val="20"/>
              </w:rPr>
            </w:pPr>
            <w:r>
              <w:rPr>
                <w:color w:val="000000"/>
                <w:sz w:val="20"/>
              </w:rPr>
              <w:t>uporabniki/leto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48E8EC"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1C7F93" w14:textId="77777777" w:rsidR="00A77B3E" w:rsidRDefault="00B16CCF">
            <w:pPr>
              <w:spacing w:before="5pt"/>
              <w:jc w:val="center"/>
              <w:rPr>
                <w:color w:val="000000"/>
                <w:sz w:val="20"/>
              </w:rPr>
            </w:pPr>
            <w:r>
              <w:rPr>
                <w:color w:val="000000"/>
                <w:sz w:val="2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56FC14" w14:textId="77777777" w:rsidR="00A77B3E" w:rsidRDefault="00B16CCF">
            <w:pPr>
              <w:spacing w:before="5pt"/>
              <w:jc w:val="end"/>
              <w:rPr>
                <w:color w:val="000000"/>
                <w:sz w:val="20"/>
              </w:rPr>
            </w:pPr>
            <w:r>
              <w:rPr>
                <w:color w:val="000000"/>
                <w:sz w:val="20"/>
              </w:rPr>
              <w:t>743.746,00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113E4B" w14:textId="77777777" w:rsidR="00A77B3E" w:rsidRDefault="00B16CCF">
            <w:pPr>
              <w:spacing w:before="5pt"/>
              <w:rPr>
                <w:color w:val="000000"/>
                <w:sz w:val="20"/>
              </w:rPr>
            </w:pPr>
            <w:r>
              <w:rPr>
                <w:color w:val="000000"/>
                <w:sz w:val="20"/>
              </w:rPr>
              <w:t>Upravičenci, ministrstvo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8F9179" w14:textId="77777777" w:rsidR="00A77B3E" w:rsidRDefault="00B16CCF">
            <w:pPr>
              <w:spacing w:before="5pt"/>
              <w:rPr>
                <w:color w:val="000000"/>
                <w:sz w:val="20"/>
              </w:rPr>
            </w:pPr>
            <w:r>
              <w:rPr>
                <w:color w:val="000000"/>
                <w:sz w:val="20"/>
              </w:rPr>
              <w:t>Število prenosov digitalnih podatkov in uporaba storitev</w:t>
            </w:r>
          </w:p>
        </w:tc>
      </w:tr>
      <w:tr w:rsidR="00823317" w14:paraId="6519517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580418"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A1EDC0" w14:textId="77777777" w:rsidR="00A77B3E" w:rsidRDefault="00B16CCF">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2AC135"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42DBA8"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F187DD" w14:textId="77777777" w:rsidR="00A77B3E" w:rsidRDefault="00B16CCF">
            <w:pPr>
              <w:spacing w:before="5pt"/>
              <w:rPr>
                <w:color w:val="000000"/>
                <w:sz w:val="20"/>
              </w:rPr>
            </w:pPr>
            <w:r>
              <w:rPr>
                <w:color w:val="000000"/>
                <w:sz w:val="20"/>
              </w:rPr>
              <w:t>RCR12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F5D5DE" w14:textId="77777777" w:rsidR="00A77B3E" w:rsidRDefault="00B16CCF">
            <w:pPr>
              <w:spacing w:before="5pt"/>
              <w:rPr>
                <w:color w:val="000000"/>
                <w:sz w:val="20"/>
              </w:rPr>
            </w:pPr>
            <w:r>
              <w:rPr>
                <w:color w:val="000000"/>
                <w:sz w:val="20"/>
              </w:rPr>
              <w:t>Uporabniki novih in nadgrajenih digitalnih storitev, produktov in procesov, ki jih razvijejo 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1A8269" w14:textId="77777777" w:rsidR="00A77B3E" w:rsidRDefault="00B16CCF">
            <w:pPr>
              <w:spacing w:before="5pt"/>
              <w:rPr>
                <w:color w:val="000000"/>
                <w:sz w:val="20"/>
              </w:rPr>
            </w:pPr>
            <w:r>
              <w:rPr>
                <w:color w:val="000000"/>
                <w:sz w:val="20"/>
              </w:rPr>
              <w:t>uporabniki/leto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09CB0A"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BF10C1" w14:textId="77777777" w:rsidR="00A77B3E" w:rsidRDefault="00B16CCF">
            <w:pPr>
              <w:spacing w:before="5pt"/>
              <w:jc w:val="center"/>
              <w:rPr>
                <w:color w:val="000000"/>
                <w:sz w:val="20"/>
              </w:rPr>
            </w:pPr>
            <w:r>
              <w:rPr>
                <w:color w:val="000000"/>
                <w:sz w:val="2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F298F3" w14:textId="77777777" w:rsidR="00A77B3E" w:rsidRDefault="00B16CCF">
            <w:pPr>
              <w:spacing w:before="5pt"/>
              <w:jc w:val="end"/>
              <w:rPr>
                <w:color w:val="000000"/>
                <w:sz w:val="20"/>
              </w:rPr>
            </w:pPr>
            <w:r>
              <w:rPr>
                <w:color w:val="000000"/>
                <w:sz w:val="20"/>
              </w:rPr>
              <w:t>238.000,00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E27E24" w14:textId="77777777" w:rsidR="00A77B3E" w:rsidRDefault="00B16CCF">
            <w:pPr>
              <w:spacing w:before="5pt"/>
              <w:rPr>
                <w:color w:val="000000"/>
                <w:sz w:val="20"/>
              </w:rPr>
            </w:pPr>
            <w:r>
              <w:rPr>
                <w:color w:val="000000"/>
                <w:sz w:val="20"/>
              </w:rPr>
              <w:t>Javne institucije, 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0DF914" w14:textId="77777777" w:rsidR="00A77B3E" w:rsidRDefault="00A77B3E">
            <w:pPr>
              <w:spacing w:before="5pt"/>
              <w:rPr>
                <w:color w:val="000000"/>
                <w:sz w:val="20"/>
              </w:rPr>
            </w:pPr>
          </w:p>
        </w:tc>
      </w:tr>
      <w:tr w:rsidR="00823317" w14:paraId="517E261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578DAA"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E26C28" w14:textId="77777777" w:rsidR="00A77B3E" w:rsidRDefault="00B16CCF">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5BF340"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8FCB58"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78DACB" w14:textId="77777777" w:rsidR="00A77B3E" w:rsidRDefault="00B16CCF">
            <w:pPr>
              <w:spacing w:before="5pt"/>
              <w:rPr>
                <w:color w:val="000000"/>
                <w:sz w:val="20"/>
              </w:rPr>
            </w:pPr>
            <w:r>
              <w:rPr>
                <w:color w:val="000000"/>
                <w:sz w:val="20"/>
              </w:rPr>
              <w:t>RCR02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6E5FD5" w14:textId="77777777" w:rsidR="00A77B3E" w:rsidRDefault="00B16CCF">
            <w:pPr>
              <w:spacing w:before="5pt"/>
              <w:rPr>
                <w:color w:val="000000"/>
                <w:sz w:val="20"/>
              </w:rPr>
            </w:pPr>
            <w:r>
              <w:rPr>
                <w:color w:val="000000"/>
                <w:sz w:val="20"/>
              </w:rPr>
              <w:t xml:space="preserve">Zasebne naložbe, ki po vrednosti dosegajo javno podporo (od tega: nepovratna sredstva, </w:t>
            </w:r>
            <w:r>
              <w:rPr>
                <w:color w:val="000000"/>
                <w:sz w:val="20"/>
              </w:rPr>
              <w:lastRenderedPageBreak/>
              <w:t>finančni instrumenti)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5F502A" w14:textId="77777777" w:rsidR="00A77B3E" w:rsidRDefault="00B16CCF">
            <w:pPr>
              <w:spacing w:before="5pt"/>
              <w:rPr>
                <w:color w:val="000000"/>
                <w:sz w:val="20"/>
              </w:rPr>
            </w:pPr>
            <w:r>
              <w:rPr>
                <w:color w:val="000000"/>
                <w:sz w:val="20"/>
              </w:rPr>
              <w:lastRenderedPageBreak/>
              <w:t>euro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93104F"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E57141" w14:textId="77777777" w:rsidR="00A77B3E" w:rsidRDefault="00B16CCF">
            <w:pPr>
              <w:spacing w:before="5pt"/>
              <w:jc w:val="center"/>
              <w:rPr>
                <w:color w:val="000000"/>
                <w:sz w:val="20"/>
              </w:rPr>
            </w:pPr>
            <w:r>
              <w:rPr>
                <w:color w:val="000000"/>
                <w:sz w:val="2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369A2F" w14:textId="77777777" w:rsidR="00A77B3E" w:rsidRDefault="00B16CCF">
            <w:pPr>
              <w:spacing w:before="5pt"/>
              <w:jc w:val="end"/>
              <w:rPr>
                <w:color w:val="000000"/>
                <w:sz w:val="20"/>
              </w:rPr>
            </w:pPr>
            <w:r>
              <w:rPr>
                <w:color w:val="000000"/>
                <w:sz w:val="20"/>
              </w:rPr>
              <w:t>12.040.449,00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C5F988" w14:textId="77777777" w:rsidR="00A77B3E" w:rsidRDefault="00B16CCF">
            <w:pPr>
              <w:spacing w:before="5pt"/>
              <w:rPr>
                <w:color w:val="000000"/>
                <w:sz w:val="20"/>
              </w:rPr>
            </w:pPr>
            <w:r>
              <w:rPr>
                <w:color w:val="000000"/>
                <w:sz w:val="20"/>
              </w:rPr>
              <w:t>Upravičenci, MGRT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02A4EF" w14:textId="77777777" w:rsidR="00A77B3E" w:rsidRDefault="00A77B3E">
            <w:pPr>
              <w:spacing w:before="5pt"/>
              <w:rPr>
                <w:color w:val="000000"/>
                <w:sz w:val="20"/>
              </w:rPr>
            </w:pPr>
          </w:p>
        </w:tc>
      </w:tr>
      <w:tr w:rsidR="00823317" w14:paraId="66A3C09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87FBD9"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D59636" w14:textId="77777777" w:rsidR="00A77B3E" w:rsidRDefault="00B16CCF">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F0827C"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CACC55"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0D80F6" w14:textId="77777777" w:rsidR="00A77B3E" w:rsidRDefault="00B16CCF">
            <w:pPr>
              <w:spacing w:before="5pt"/>
              <w:rPr>
                <w:color w:val="000000"/>
                <w:sz w:val="20"/>
              </w:rPr>
            </w:pPr>
            <w:r>
              <w:rPr>
                <w:color w:val="000000"/>
                <w:sz w:val="20"/>
              </w:rPr>
              <w:t>RCR11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196464" w14:textId="77777777" w:rsidR="00A77B3E" w:rsidRDefault="00B16CCF">
            <w:pPr>
              <w:spacing w:before="5pt"/>
              <w:rPr>
                <w:color w:val="000000"/>
                <w:sz w:val="20"/>
              </w:rPr>
            </w:pPr>
            <w:r>
              <w:rPr>
                <w:color w:val="000000"/>
                <w:sz w:val="20"/>
              </w:rPr>
              <w:t>Uporabniki novih in nadgrajenih javnih digitalnih storitev, produktov in procesov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2D1017" w14:textId="77777777" w:rsidR="00A77B3E" w:rsidRDefault="00B16CCF">
            <w:pPr>
              <w:spacing w:before="5pt"/>
              <w:rPr>
                <w:color w:val="000000"/>
                <w:sz w:val="20"/>
              </w:rPr>
            </w:pPr>
            <w:r>
              <w:rPr>
                <w:color w:val="000000"/>
                <w:sz w:val="20"/>
              </w:rPr>
              <w:t>uporabniki/leto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CF324D"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C975AF" w14:textId="77777777" w:rsidR="00A77B3E" w:rsidRDefault="00B16CCF">
            <w:pPr>
              <w:spacing w:before="5pt"/>
              <w:jc w:val="center"/>
              <w:rPr>
                <w:color w:val="000000"/>
                <w:sz w:val="20"/>
              </w:rPr>
            </w:pPr>
            <w:r>
              <w:rPr>
                <w:color w:val="000000"/>
                <w:sz w:val="2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B49FE0" w14:textId="77777777" w:rsidR="00A77B3E" w:rsidRDefault="00B16CCF">
            <w:pPr>
              <w:spacing w:before="5pt"/>
              <w:jc w:val="end"/>
              <w:rPr>
                <w:color w:val="000000"/>
                <w:sz w:val="20"/>
              </w:rPr>
            </w:pPr>
            <w:r>
              <w:rPr>
                <w:color w:val="000000"/>
                <w:sz w:val="20"/>
              </w:rPr>
              <w:t>568.268,00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664465" w14:textId="77777777" w:rsidR="00A77B3E" w:rsidRDefault="00B16CCF">
            <w:pPr>
              <w:spacing w:before="5pt"/>
              <w:rPr>
                <w:color w:val="000000"/>
                <w:sz w:val="20"/>
              </w:rPr>
            </w:pPr>
            <w:r>
              <w:rPr>
                <w:color w:val="000000"/>
                <w:sz w:val="20"/>
              </w:rPr>
              <w:t>Upravičenci, ministrstvo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5A9F73" w14:textId="77777777" w:rsidR="00A77B3E" w:rsidRDefault="00B16CCF">
            <w:pPr>
              <w:spacing w:before="5pt"/>
              <w:rPr>
                <w:color w:val="000000"/>
                <w:sz w:val="20"/>
              </w:rPr>
            </w:pPr>
            <w:r>
              <w:rPr>
                <w:color w:val="000000"/>
                <w:sz w:val="20"/>
              </w:rPr>
              <w:t>Število prenosov digitalnih podatkov in uporaba storitev</w:t>
            </w:r>
          </w:p>
        </w:tc>
      </w:tr>
      <w:tr w:rsidR="00823317" w14:paraId="27D1B09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1F4096"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FD8006" w14:textId="77777777" w:rsidR="00A77B3E" w:rsidRDefault="00B16CCF">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25559A"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51AC3E"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49A24F" w14:textId="77777777" w:rsidR="00A77B3E" w:rsidRDefault="00B16CCF">
            <w:pPr>
              <w:spacing w:before="5pt"/>
              <w:rPr>
                <w:color w:val="000000"/>
                <w:sz w:val="20"/>
              </w:rPr>
            </w:pPr>
            <w:r>
              <w:rPr>
                <w:color w:val="000000"/>
                <w:sz w:val="20"/>
              </w:rPr>
              <w:t>RCR12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E49E18" w14:textId="77777777" w:rsidR="00A77B3E" w:rsidRDefault="00B16CCF">
            <w:pPr>
              <w:spacing w:before="5pt"/>
              <w:rPr>
                <w:color w:val="000000"/>
                <w:sz w:val="20"/>
              </w:rPr>
            </w:pPr>
            <w:r>
              <w:rPr>
                <w:color w:val="000000"/>
                <w:sz w:val="20"/>
              </w:rPr>
              <w:t>Uporabniki novih in nadgrajenih digitalnih storitev, produktov in procesov, ki jih razvijejo 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91E00D" w14:textId="77777777" w:rsidR="00A77B3E" w:rsidRDefault="00B16CCF">
            <w:pPr>
              <w:spacing w:before="5pt"/>
              <w:rPr>
                <w:color w:val="000000"/>
                <w:sz w:val="20"/>
              </w:rPr>
            </w:pPr>
            <w:r>
              <w:rPr>
                <w:color w:val="000000"/>
                <w:sz w:val="20"/>
              </w:rPr>
              <w:t>uporabniki/leto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4D2AC4"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6E6517" w14:textId="77777777" w:rsidR="00A77B3E" w:rsidRDefault="00B16CCF">
            <w:pPr>
              <w:spacing w:before="5pt"/>
              <w:jc w:val="center"/>
              <w:rPr>
                <w:color w:val="000000"/>
                <w:sz w:val="20"/>
              </w:rPr>
            </w:pPr>
            <w:r>
              <w:rPr>
                <w:color w:val="000000"/>
                <w:sz w:val="2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28EC8F" w14:textId="77777777" w:rsidR="00A77B3E" w:rsidRDefault="00B16CCF">
            <w:pPr>
              <w:spacing w:before="5pt"/>
              <w:jc w:val="end"/>
              <w:rPr>
                <w:color w:val="000000"/>
                <w:sz w:val="20"/>
              </w:rPr>
            </w:pPr>
            <w:r>
              <w:rPr>
                <w:color w:val="000000"/>
                <w:sz w:val="20"/>
              </w:rPr>
              <w:t>262.000,00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08158B" w14:textId="77777777" w:rsidR="00A77B3E" w:rsidRDefault="00B16CCF">
            <w:pPr>
              <w:spacing w:before="5pt"/>
              <w:rPr>
                <w:color w:val="000000"/>
                <w:sz w:val="20"/>
              </w:rPr>
            </w:pPr>
            <w:r>
              <w:rPr>
                <w:color w:val="000000"/>
                <w:sz w:val="20"/>
              </w:rPr>
              <w:t>Javne institucije, 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2F6F68" w14:textId="77777777" w:rsidR="00A77B3E" w:rsidRDefault="00A77B3E">
            <w:pPr>
              <w:spacing w:before="5pt"/>
              <w:rPr>
                <w:color w:val="000000"/>
                <w:sz w:val="20"/>
              </w:rPr>
            </w:pPr>
          </w:p>
        </w:tc>
      </w:tr>
    </w:tbl>
    <w:p w14:paraId="326F5E9A" w14:textId="77777777" w:rsidR="00A77B3E" w:rsidRDefault="00A77B3E">
      <w:pPr>
        <w:spacing w:before="5pt"/>
        <w:rPr>
          <w:color w:val="000000"/>
          <w:sz w:val="20"/>
        </w:rPr>
      </w:pPr>
    </w:p>
    <w:p w14:paraId="758D0F10" w14:textId="77777777" w:rsidR="00A77B3E" w:rsidRDefault="00B16CCF">
      <w:pPr>
        <w:pStyle w:val="Naslov4"/>
        <w:spacing w:before="5pt" w:after="0pt"/>
        <w:rPr>
          <w:b w:val="0"/>
          <w:color w:val="000000"/>
          <w:sz w:val="24"/>
        </w:rPr>
      </w:pPr>
      <w:bookmarkStart w:id="33" w:name="_Toc256000794"/>
      <w:r>
        <w:rPr>
          <w:b w:val="0"/>
          <w:color w:val="000000"/>
          <w:sz w:val="24"/>
        </w:rPr>
        <w:t>2.1.1.1.3. Okvirna razčlenitev načrtovanih sredstev (EU) glede na vrsto ukrepa</w:t>
      </w:r>
      <w:bookmarkEnd w:id="33"/>
    </w:p>
    <w:p w14:paraId="3F87BFD7" w14:textId="77777777" w:rsidR="00A77B3E" w:rsidRDefault="00A77B3E">
      <w:pPr>
        <w:spacing w:before="5pt"/>
        <w:rPr>
          <w:color w:val="000000"/>
          <w:sz w:val="0"/>
        </w:rPr>
      </w:pPr>
    </w:p>
    <w:p w14:paraId="55D76BA7" w14:textId="77777777" w:rsidR="00A77B3E" w:rsidRDefault="00B16CCF">
      <w:pPr>
        <w:spacing w:before="5pt"/>
        <w:rPr>
          <w:color w:val="000000"/>
          <w:sz w:val="0"/>
        </w:rPr>
      </w:pPr>
      <w:r>
        <w:rPr>
          <w:color w:val="000000"/>
        </w:rPr>
        <w:t>Sklic: člen 22(3)(d)(viii) uredbe o skupnih določbah</w:t>
      </w:r>
    </w:p>
    <w:p w14:paraId="4449C99F" w14:textId="77777777" w:rsidR="00A77B3E" w:rsidRDefault="00B16CCF">
      <w:pPr>
        <w:pStyle w:val="Naslov5"/>
        <w:spacing w:before="5pt" w:after="0pt"/>
        <w:rPr>
          <w:b w:val="0"/>
          <w:i w:val="0"/>
          <w:color w:val="000000"/>
          <w:sz w:val="24"/>
        </w:rPr>
      </w:pPr>
      <w:bookmarkStart w:id="34" w:name="_Toc256000795"/>
      <w:r>
        <w:rPr>
          <w:b w:val="0"/>
          <w:i w:val="0"/>
          <w:color w:val="000000"/>
          <w:sz w:val="24"/>
        </w:rPr>
        <w:t>Tabela 4: Razsežnost 1 – področje ukrepanja</w:t>
      </w:r>
      <w:bookmarkEnd w:id="34"/>
    </w:p>
    <w:p w14:paraId="5DC8BE7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31"/>
        <w:gridCol w:w="2335"/>
        <w:gridCol w:w="1696"/>
        <w:gridCol w:w="2420"/>
        <w:gridCol w:w="3005"/>
        <w:gridCol w:w="3185"/>
      </w:tblGrid>
      <w:tr w:rsidR="00823317" w14:paraId="3D64A55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3EBB2E"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9FD482"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A888B8"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91E0AD"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64FAA1"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EFCBA7" w14:textId="77777777" w:rsidR="00A77B3E" w:rsidRDefault="00B16CCF">
            <w:pPr>
              <w:spacing w:before="5pt"/>
              <w:jc w:val="center"/>
              <w:rPr>
                <w:color w:val="000000"/>
                <w:sz w:val="20"/>
              </w:rPr>
            </w:pPr>
            <w:r>
              <w:rPr>
                <w:color w:val="000000"/>
                <w:sz w:val="20"/>
              </w:rPr>
              <w:t>Znesek (v EUR)</w:t>
            </w:r>
          </w:p>
        </w:tc>
      </w:tr>
      <w:tr w:rsidR="00823317" w14:paraId="68C9B17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2845CF"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0B076A" w14:textId="77777777" w:rsidR="00A77B3E" w:rsidRDefault="00B16CCF">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2858F5"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E974C4"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313ACE" w14:textId="77777777" w:rsidR="00A77B3E" w:rsidRDefault="00B16CCF">
            <w:pPr>
              <w:spacing w:before="5pt"/>
              <w:rPr>
                <w:color w:val="000000"/>
                <w:sz w:val="20"/>
              </w:rPr>
            </w:pPr>
            <w:r>
              <w:rPr>
                <w:color w:val="000000"/>
                <w:sz w:val="20"/>
              </w:rPr>
              <w:t>013. Digitalizacija MSP (vključno z e-trgovanjem, e-poslovanjem in v omrežje povezanimi poslovnimi procesi, vozlišči za digitalne inovacije, živimi laboratoriji, spletnimi podjetji ter zagonskimi podjetji na področju IKT, B2B)</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A99BC5" w14:textId="77777777" w:rsidR="00A77B3E" w:rsidRDefault="00B16CCF">
            <w:pPr>
              <w:spacing w:before="5pt"/>
              <w:jc w:val="end"/>
              <w:rPr>
                <w:color w:val="000000"/>
                <w:sz w:val="20"/>
              </w:rPr>
            </w:pPr>
            <w:r>
              <w:rPr>
                <w:color w:val="000000"/>
                <w:sz w:val="20"/>
              </w:rPr>
              <w:t>10.770.958,00</w:t>
            </w:r>
          </w:p>
        </w:tc>
      </w:tr>
      <w:tr w:rsidR="00823317" w14:paraId="10D045C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AA7827"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D03A0C" w14:textId="77777777" w:rsidR="00A77B3E" w:rsidRDefault="00B16CCF">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4FBBF3"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EA07BC"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378274" w14:textId="77777777" w:rsidR="00A77B3E" w:rsidRDefault="00B16CCF">
            <w:pPr>
              <w:spacing w:before="5pt"/>
              <w:rPr>
                <w:color w:val="000000"/>
                <w:sz w:val="20"/>
              </w:rPr>
            </w:pPr>
            <w:r>
              <w:rPr>
                <w:color w:val="000000"/>
                <w:sz w:val="20"/>
              </w:rPr>
              <w:t>016. Vladne rešitve IKT, e-storitve, aplikacije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9456BB" w14:textId="77777777" w:rsidR="00A77B3E" w:rsidRDefault="00B16CCF">
            <w:pPr>
              <w:spacing w:before="5pt"/>
              <w:jc w:val="end"/>
              <w:rPr>
                <w:color w:val="000000"/>
                <w:sz w:val="20"/>
              </w:rPr>
            </w:pPr>
            <w:r>
              <w:rPr>
                <w:color w:val="000000"/>
                <w:sz w:val="20"/>
              </w:rPr>
              <w:t>16.101.126,00</w:t>
            </w:r>
          </w:p>
        </w:tc>
      </w:tr>
      <w:tr w:rsidR="00823317" w14:paraId="1AFA2DB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12019E"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D4DCD2" w14:textId="77777777" w:rsidR="00A77B3E" w:rsidRDefault="00B16CCF">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2836A2"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C4D698"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6954B8" w14:textId="77777777" w:rsidR="00A77B3E" w:rsidRDefault="00B16CCF">
            <w:pPr>
              <w:spacing w:before="5pt"/>
              <w:rPr>
                <w:color w:val="000000"/>
                <w:sz w:val="20"/>
              </w:rPr>
            </w:pPr>
            <w:r>
              <w:rPr>
                <w:color w:val="000000"/>
                <w:sz w:val="20"/>
              </w:rPr>
              <w:t>018. Storitve IT in aplikacije za digitalne spretnosti in digitalno vključenost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E3E5F8" w14:textId="77777777" w:rsidR="00A77B3E" w:rsidRDefault="00B16CCF">
            <w:pPr>
              <w:spacing w:before="5pt"/>
              <w:jc w:val="end"/>
              <w:rPr>
                <w:color w:val="000000"/>
                <w:sz w:val="20"/>
              </w:rPr>
            </w:pPr>
            <w:r>
              <w:rPr>
                <w:color w:val="000000"/>
                <w:sz w:val="20"/>
              </w:rPr>
              <w:t>4.271.227,00</w:t>
            </w:r>
          </w:p>
        </w:tc>
      </w:tr>
      <w:tr w:rsidR="00823317" w14:paraId="4DB1D74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B992EA" w14:textId="77777777" w:rsidR="00A77B3E" w:rsidRDefault="00B16CCF">
            <w:pPr>
              <w:spacing w:before="5pt"/>
              <w:rPr>
                <w:color w:val="000000"/>
                <w:sz w:val="20"/>
              </w:rPr>
            </w:pPr>
            <w:r>
              <w:rPr>
                <w:color w:val="000000"/>
                <w:sz w:val="20"/>
              </w:rPr>
              <w:lastRenderedPageBreak/>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45DA07" w14:textId="77777777" w:rsidR="00A77B3E" w:rsidRDefault="00B16CCF">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C9E8CD"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F4EB65"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F76353" w14:textId="77777777" w:rsidR="00A77B3E" w:rsidRDefault="00B16CCF">
            <w:pPr>
              <w:spacing w:before="5pt"/>
              <w:rPr>
                <w:color w:val="000000"/>
                <w:sz w:val="20"/>
              </w:rPr>
            </w:pPr>
            <w:r>
              <w:rPr>
                <w:color w:val="000000"/>
                <w:sz w:val="20"/>
              </w:rPr>
              <w:t>013. Digitalizacija MSP (vključno z e-trgovanjem, e-poslovanjem in v omrežje povezanimi poslovnimi procesi, vozlišči za digitalne inovacije, živimi laboratoriji, spletnimi podjetji ter zagonskimi podjetji na področju IKT, B2B)</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AA34A0" w14:textId="77777777" w:rsidR="00A77B3E" w:rsidRDefault="00B16CCF">
            <w:pPr>
              <w:spacing w:before="5pt"/>
              <w:jc w:val="end"/>
              <w:rPr>
                <w:color w:val="000000"/>
                <w:sz w:val="20"/>
              </w:rPr>
            </w:pPr>
            <w:r>
              <w:rPr>
                <w:color w:val="000000"/>
                <w:sz w:val="20"/>
              </w:rPr>
              <w:t>16.646.208,00</w:t>
            </w:r>
          </w:p>
        </w:tc>
      </w:tr>
      <w:tr w:rsidR="00823317" w14:paraId="2B61D78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9CDA58"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713F1B" w14:textId="77777777" w:rsidR="00A77B3E" w:rsidRDefault="00B16CCF">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8EC02E"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6F8898"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D7E791" w14:textId="77777777" w:rsidR="00A77B3E" w:rsidRDefault="00B16CCF">
            <w:pPr>
              <w:spacing w:before="5pt"/>
              <w:rPr>
                <w:color w:val="000000"/>
                <w:sz w:val="20"/>
              </w:rPr>
            </w:pPr>
            <w:r>
              <w:rPr>
                <w:color w:val="000000"/>
                <w:sz w:val="20"/>
              </w:rPr>
              <w:t>016. Vladne rešitve IKT, e-storitve, aplikacije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DB6FEF" w14:textId="77777777" w:rsidR="00A77B3E" w:rsidRDefault="00B16CCF">
            <w:pPr>
              <w:spacing w:before="5pt"/>
              <w:jc w:val="end"/>
              <w:rPr>
                <w:color w:val="000000"/>
                <w:sz w:val="20"/>
              </w:rPr>
            </w:pPr>
            <w:r>
              <w:rPr>
                <w:color w:val="000000"/>
                <w:sz w:val="20"/>
              </w:rPr>
              <w:t>21.334.534,00</w:t>
            </w:r>
          </w:p>
        </w:tc>
      </w:tr>
      <w:tr w:rsidR="00823317" w14:paraId="7716A07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961641"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E0AF02" w14:textId="77777777" w:rsidR="00A77B3E" w:rsidRDefault="00B16CCF">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A688B7"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D795AB"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959C03" w14:textId="77777777" w:rsidR="00A77B3E" w:rsidRDefault="00B16CCF">
            <w:pPr>
              <w:spacing w:before="5pt"/>
              <w:rPr>
                <w:color w:val="000000"/>
                <w:sz w:val="20"/>
              </w:rPr>
            </w:pPr>
            <w:r>
              <w:rPr>
                <w:color w:val="000000"/>
                <w:sz w:val="20"/>
              </w:rPr>
              <w:t>018. Storitve IT in aplikacije za digitalne spretnosti in digitalno vključenost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8EDF3B" w14:textId="77777777" w:rsidR="00A77B3E" w:rsidRDefault="00B16CCF">
            <w:pPr>
              <w:spacing w:before="5pt"/>
              <w:jc w:val="end"/>
              <w:rPr>
                <w:color w:val="000000"/>
                <w:sz w:val="20"/>
              </w:rPr>
            </w:pPr>
            <w:r>
              <w:rPr>
                <w:color w:val="000000"/>
                <w:sz w:val="20"/>
              </w:rPr>
              <w:t>6.684.182,00</w:t>
            </w:r>
          </w:p>
        </w:tc>
      </w:tr>
      <w:tr w:rsidR="00823317" w14:paraId="2210C35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17D53F"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5C92DA" w14:textId="77777777" w:rsidR="00A77B3E" w:rsidRDefault="00B16CCF">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7A7B2D"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D46037"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7BE2E9"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BD090B" w14:textId="77777777" w:rsidR="00A77B3E" w:rsidRDefault="00B16CCF">
            <w:pPr>
              <w:spacing w:before="5pt"/>
              <w:jc w:val="end"/>
              <w:rPr>
                <w:color w:val="000000"/>
                <w:sz w:val="20"/>
              </w:rPr>
            </w:pPr>
            <w:r>
              <w:rPr>
                <w:color w:val="000000"/>
                <w:sz w:val="20"/>
              </w:rPr>
              <w:t>75.808.235,00</w:t>
            </w:r>
          </w:p>
        </w:tc>
      </w:tr>
    </w:tbl>
    <w:p w14:paraId="782299FF" w14:textId="77777777" w:rsidR="00A77B3E" w:rsidRDefault="00A77B3E">
      <w:pPr>
        <w:spacing w:before="5pt"/>
        <w:rPr>
          <w:color w:val="000000"/>
          <w:sz w:val="20"/>
        </w:rPr>
      </w:pPr>
    </w:p>
    <w:p w14:paraId="627AD115" w14:textId="77777777" w:rsidR="00A77B3E" w:rsidRDefault="00B16CCF">
      <w:pPr>
        <w:pStyle w:val="Naslov5"/>
        <w:spacing w:before="5pt" w:after="0pt"/>
        <w:rPr>
          <w:b w:val="0"/>
          <w:i w:val="0"/>
          <w:color w:val="000000"/>
          <w:sz w:val="24"/>
        </w:rPr>
      </w:pPr>
      <w:bookmarkStart w:id="35" w:name="_Toc256000796"/>
      <w:r>
        <w:rPr>
          <w:b w:val="0"/>
          <w:i w:val="0"/>
          <w:color w:val="000000"/>
          <w:sz w:val="24"/>
        </w:rPr>
        <w:t>Tabela 5: Razsežnost 2 – oblika financiranja</w:t>
      </w:r>
      <w:bookmarkEnd w:id="35"/>
    </w:p>
    <w:p w14:paraId="1CB3FFC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93"/>
        <w:gridCol w:w="2392"/>
        <w:gridCol w:w="1737"/>
        <w:gridCol w:w="2480"/>
        <w:gridCol w:w="2706"/>
        <w:gridCol w:w="3264"/>
      </w:tblGrid>
      <w:tr w:rsidR="00823317" w14:paraId="5477E16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6927E6"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2C86E3"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3F6E42"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75B1DE"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356DF6"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C847D1" w14:textId="77777777" w:rsidR="00A77B3E" w:rsidRDefault="00B16CCF">
            <w:pPr>
              <w:spacing w:before="5pt"/>
              <w:jc w:val="center"/>
              <w:rPr>
                <w:color w:val="000000"/>
                <w:sz w:val="20"/>
              </w:rPr>
            </w:pPr>
            <w:r>
              <w:rPr>
                <w:color w:val="000000"/>
                <w:sz w:val="20"/>
              </w:rPr>
              <w:t>Znesek (v EUR)</w:t>
            </w:r>
          </w:p>
        </w:tc>
      </w:tr>
      <w:tr w:rsidR="00823317" w14:paraId="027A646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0F53BC"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0C1DEC" w14:textId="77777777" w:rsidR="00A77B3E" w:rsidRDefault="00B16CCF">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E4E3A4"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FDDC8D"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02DC20" w14:textId="77777777" w:rsidR="00A77B3E" w:rsidRDefault="00B16CCF">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C3755E" w14:textId="77777777" w:rsidR="00A77B3E" w:rsidRDefault="00B16CCF">
            <w:pPr>
              <w:spacing w:before="5pt"/>
              <w:jc w:val="end"/>
              <w:rPr>
                <w:color w:val="000000"/>
                <w:sz w:val="20"/>
              </w:rPr>
            </w:pPr>
            <w:r>
              <w:rPr>
                <w:color w:val="000000"/>
                <w:sz w:val="20"/>
              </w:rPr>
              <w:t>31.143.311,00</w:t>
            </w:r>
          </w:p>
        </w:tc>
      </w:tr>
      <w:tr w:rsidR="00823317" w14:paraId="0AF2505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6A814F"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EF8EE5" w14:textId="77777777" w:rsidR="00A77B3E" w:rsidRDefault="00B16CCF">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498D7A"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C57A8D"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FB6F61" w14:textId="77777777" w:rsidR="00A77B3E" w:rsidRDefault="00B16CCF">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ECB540" w14:textId="77777777" w:rsidR="00A77B3E" w:rsidRDefault="00B16CCF">
            <w:pPr>
              <w:spacing w:before="5pt"/>
              <w:jc w:val="end"/>
              <w:rPr>
                <w:color w:val="000000"/>
                <w:sz w:val="20"/>
              </w:rPr>
            </w:pPr>
            <w:r>
              <w:rPr>
                <w:color w:val="000000"/>
                <w:sz w:val="20"/>
              </w:rPr>
              <w:t>44.664.924,00</w:t>
            </w:r>
          </w:p>
        </w:tc>
      </w:tr>
      <w:tr w:rsidR="00823317" w14:paraId="2C8606F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01B9C8"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40F7C3" w14:textId="77777777" w:rsidR="00A77B3E" w:rsidRDefault="00B16CCF">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6DBFF7"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6A558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60CE8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DEDB0B" w14:textId="77777777" w:rsidR="00A77B3E" w:rsidRDefault="00B16CCF">
            <w:pPr>
              <w:spacing w:before="5pt"/>
              <w:jc w:val="end"/>
              <w:rPr>
                <w:color w:val="000000"/>
                <w:sz w:val="20"/>
              </w:rPr>
            </w:pPr>
            <w:r>
              <w:rPr>
                <w:color w:val="000000"/>
                <w:sz w:val="20"/>
              </w:rPr>
              <w:t>75.808.235,00</w:t>
            </w:r>
          </w:p>
        </w:tc>
      </w:tr>
    </w:tbl>
    <w:p w14:paraId="2CC63562" w14:textId="77777777" w:rsidR="00A77B3E" w:rsidRDefault="00A77B3E">
      <w:pPr>
        <w:spacing w:before="5pt"/>
        <w:rPr>
          <w:color w:val="000000"/>
          <w:sz w:val="20"/>
        </w:rPr>
      </w:pPr>
    </w:p>
    <w:p w14:paraId="4AFAA98C" w14:textId="77777777" w:rsidR="00A77B3E" w:rsidRDefault="00B16CCF">
      <w:pPr>
        <w:pStyle w:val="Naslov5"/>
        <w:spacing w:before="5pt" w:after="0pt"/>
        <w:rPr>
          <w:b w:val="0"/>
          <w:i w:val="0"/>
          <w:color w:val="000000"/>
          <w:sz w:val="24"/>
        </w:rPr>
      </w:pPr>
      <w:bookmarkStart w:id="36" w:name="_Toc256000797"/>
      <w:r>
        <w:rPr>
          <w:b w:val="0"/>
          <w:i w:val="0"/>
          <w:color w:val="000000"/>
          <w:sz w:val="24"/>
        </w:rPr>
        <w:t>Tabela 6: Razsežnost 3 – mehanizem za ozemeljsko izvrševanje in ozemeljski pristop</w:t>
      </w:r>
      <w:bookmarkEnd w:id="36"/>
    </w:p>
    <w:p w14:paraId="0D473B8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26"/>
        <w:gridCol w:w="2331"/>
        <w:gridCol w:w="1692"/>
        <w:gridCol w:w="2416"/>
        <w:gridCol w:w="3027"/>
        <w:gridCol w:w="3180"/>
      </w:tblGrid>
      <w:tr w:rsidR="00823317" w14:paraId="722A4B6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C25699"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80EECB"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55B8F6"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A5AB28"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A3E5AF"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AF67B4" w14:textId="77777777" w:rsidR="00A77B3E" w:rsidRDefault="00B16CCF">
            <w:pPr>
              <w:spacing w:before="5pt"/>
              <w:jc w:val="center"/>
              <w:rPr>
                <w:color w:val="000000"/>
                <w:sz w:val="20"/>
              </w:rPr>
            </w:pPr>
            <w:r>
              <w:rPr>
                <w:color w:val="000000"/>
                <w:sz w:val="20"/>
              </w:rPr>
              <w:t>Znesek (v EUR)</w:t>
            </w:r>
          </w:p>
        </w:tc>
      </w:tr>
      <w:tr w:rsidR="00823317" w14:paraId="7CAEE58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9C1858"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5EC51C" w14:textId="77777777" w:rsidR="00A77B3E" w:rsidRDefault="00B16CCF">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BC6E2E"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DBBE98"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2B8591" w14:textId="77777777" w:rsidR="00A77B3E" w:rsidRDefault="00B16CCF">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AFD5EE" w14:textId="77777777" w:rsidR="00A77B3E" w:rsidRDefault="00B16CCF">
            <w:pPr>
              <w:spacing w:before="5pt"/>
              <w:jc w:val="end"/>
              <w:rPr>
                <w:color w:val="000000"/>
                <w:sz w:val="20"/>
              </w:rPr>
            </w:pPr>
            <w:r>
              <w:rPr>
                <w:color w:val="000000"/>
                <w:sz w:val="20"/>
              </w:rPr>
              <w:t>31.143.311,00</w:t>
            </w:r>
          </w:p>
        </w:tc>
      </w:tr>
      <w:tr w:rsidR="00823317" w14:paraId="3221097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A82C41"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B6AD14" w14:textId="77777777" w:rsidR="00A77B3E" w:rsidRDefault="00B16CCF">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1AAE96"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A86D8F"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7FE235" w14:textId="77777777" w:rsidR="00A77B3E" w:rsidRDefault="00B16CCF">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161498" w14:textId="77777777" w:rsidR="00A77B3E" w:rsidRDefault="00B16CCF">
            <w:pPr>
              <w:spacing w:before="5pt"/>
              <w:jc w:val="end"/>
              <w:rPr>
                <w:color w:val="000000"/>
                <w:sz w:val="20"/>
              </w:rPr>
            </w:pPr>
            <w:r>
              <w:rPr>
                <w:color w:val="000000"/>
                <w:sz w:val="20"/>
              </w:rPr>
              <w:t>44.664.924,00</w:t>
            </w:r>
          </w:p>
        </w:tc>
      </w:tr>
      <w:tr w:rsidR="00823317" w14:paraId="0B94E14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754345"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A27F84" w14:textId="77777777" w:rsidR="00A77B3E" w:rsidRDefault="00B16CCF">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02AF70"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113646"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5C0C6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5561C6" w14:textId="77777777" w:rsidR="00A77B3E" w:rsidRDefault="00B16CCF">
            <w:pPr>
              <w:spacing w:before="5pt"/>
              <w:jc w:val="end"/>
              <w:rPr>
                <w:color w:val="000000"/>
                <w:sz w:val="20"/>
              </w:rPr>
            </w:pPr>
            <w:r>
              <w:rPr>
                <w:color w:val="000000"/>
                <w:sz w:val="20"/>
              </w:rPr>
              <w:t>75.808.235,00</w:t>
            </w:r>
          </w:p>
        </w:tc>
      </w:tr>
    </w:tbl>
    <w:p w14:paraId="6992BC9A" w14:textId="77777777" w:rsidR="00A77B3E" w:rsidRDefault="00A77B3E">
      <w:pPr>
        <w:spacing w:before="5pt"/>
        <w:rPr>
          <w:color w:val="000000"/>
          <w:sz w:val="20"/>
        </w:rPr>
      </w:pPr>
    </w:p>
    <w:p w14:paraId="3D5A440D" w14:textId="77777777" w:rsidR="00A77B3E" w:rsidRDefault="00B16CCF">
      <w:pPr>
        <w:pStyle w:val="Naslov5"/>
        <w:spacing w:before="5pt" w:after="0pt"/>
        <w:rPr>
          <w:b w:val="0"/>
          <w:i w:val="0"/>
          <w:color w:val="000000"/>
          <w:sz w:val="24"/>
        </w:rPr>
      </w:pPr>
      <w:bookmarkStart w:id="37" w:name="_Toc256000798"/>
      <w:r>
        <w:rPr>
          <w:b w:val="0"/>
          <w:i w:val="0"/>
          <w:color w:val="000000"/>
          <w:sz w:val="24"/>
        </w:rPr>
        <w:t>Tabela 7: Razsežnost 6 – sekundarna področja ESS+</w:t>
      </w:r>
      <w:bookmarkEnd w:id="37"/>
    </w:p>
    <w:p w14:paraId="4AF173F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117"/>
        <w:gridCol w:w="2877"/>
        <w:gridCol w:w="1780"/>
        <w:gridCol w:w="2982"/>
        <w:gridCol w:w="2259"/>
        <w:gridCol w:w="2157"/>
      </w:tblGrid>
      <w:tr w:rsidR="00823317" w14:paraId="1C286DE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FAFBB6" w14:textId="77777777" w:rsidR="00A77B3E" w:rsidRDefault="00B16CCF">
            <w:pPr>
              <w:spacing w:before="5pt"/>
              <w:jc w:val="center"/>
              <w:rPr>
                <w:color w:val="000000"/>
                <w:sz w:val="20"/>
              </w:rPr>
            </w:pPr>
            <w:r>
              <w:rPr>
                <w:color w:val="000000"/>
                <w:sz w:val="20"/>
              </w:rPr>
              <w:lastRenderedPageBreak/>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97504E"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F09C5A"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AADE44"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81DD20A"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0F7C81" w14:textId="77777777" w:rsidR="00A77B3E" w:rsidRDefault="00B16CCF">
            <w:pPr>
              <w:spacing w:before="5pt"/>
              <w:jc w:val="center"/>
              <w:rPr>
                <w:color w:val="000000"/>
                <w:sz w:val="20"/>
              </w:rPr>
            </w:pPr>
            <w:r>
              <w:rPr>
                <w:color w:val="000000"/>
                <w:sz w:val="20"/>
              </w:rPr>
              <w:t>Znesek (v EUR)</w:t>
            </w:r>
          </w:p>
        </w:tc>
      </w:tr>
    </w:tbl>
    <w:p w14:paraId="560C24E2" w14:textId="77777777" w:rsidR="00A77B3E" w:rsidRDefault="00A77B3E">
      <w:pPr>
        <w:spacing w:before="5pt"/>
        <w:rPr>
          <w:color w:val="000000"/>
          <w:sz w:val="20"/>
        </w:rPr>
      </w:pPr>
    </w:p>
    <w:p w14:paraId="2AEFCB45" w14:textId="77777777" w:rsidR="00A77B3E" w:rsidRDefault="00B16CCF">
      <w:pPr>
        <w:pStyle w:val="Naslov5"/>
        <w:spacing w:before="5pt" w:after="0pt"/>
        <w:rPr>
          <w:b w:val="0"/>
          <w:i w:val="0"/>
          <w:color w:val="000000"/>
          <w:sz w:val="24"/>
        </w:rPr>
      </w:pPr>
      <w:bookmarkStart w:id="38" w:name="_Toc256000799"/>
      <w:r>
        <w:rPr>
          <w:b w:val="0"/>
          <w:i w:val="0"/>
          <w:color w:val="000000"/>
          <w:sz w:val="24"/>
        </w:rPr>
        <w:t>Tabela 8: Razsežnost 7 – razsežnost enakosti spolov v okviru ESS+*, ESRR, Kohezijskega sklada in SPP</w:t>
      </w:r>
      <w:bookmarkEnd w:id="38"/>
    </w:p>
    <w:p w14:paraId="4C55CF6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13"/>
        <w:gridCol w:w="2411"/>
        <w:gridCol w:w="1750"/>
        <w:gridCol w:w="2498"/>
        <w:gridCol w:w="2612"/>
        <w:gridCol w:w="3288"/>
      </w:tblGrid>
      <w:tr w:rsidR="00823317" w14:paraId="6BBB949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301E115"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A24AD7B"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203321"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5664F5"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6C0177"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8112D0" w14:textId="77777777" w:rsidR="00A77B3E" w:rsidRDefault="00B16CCF">
            <w:pPr>
              <w:spacing w:before="5pt"/>
              <w:jc w:val="center"/>
              <w:rPr>
                <w:color w:val="000000"/>
                <w:sz w:val="20"/>
              </w:rPr>
            </w:pPr>
            <w:r>
              <w:rPr>
                <w:color w:val="000000"/>
                <w:sz w:val="20"/>
              </w:rPr>
              <w:t>Znesek (v EUR)</w:t>
            </w:r>
          </w:p>
        </w:tc>
      </w:tr>
      <w:tr w:rsidR="00823317" w14:paraId="47B3988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3F8B2B"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CABA47" w14:textId="77777777" w:rsidR="00A77B3E" w:rsidRDefault="00B16CCF">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58FE79"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274924"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2DB41B" w14:textId="77777777" w:rsidR="00A77B3E" w:rsidRDefault="00B16CCF">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635B54" w14:textId="77777777" w:rsidR="00A77B3E" w:rsidRDefault="00B16CCF">
            <w:pPr>
              <w:spacing w:before="5pt"/>
              <w:jc w:val="end"/>
              <w:rPr>
                <w:color w:val="000000"/>
                <w:sz w:val="20"/>
              </w:rPr>
            </w:pPr>
            <w:r>
              <w:rPr>
                <w:color w:val="000000"/>
                <w:sz w:val="20"/>
              </w:rPr>
              <w:t>31.143.311,00</w:t>
            </w:r>
          </w:p>
        </w:tc>
      </w:tr>
      <w:tr w:rsidR="00823317" w14:paraId="6509AB0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EF6C47"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19B596" w14:textId="77777777" w:rsidR="00A77B3E" w:rsidRDefault="00B16CCF">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581483"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1790F9"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2180D1" w14:textId="77777777" w:rsidR="00A77B3E" w:rsidRDefault="00B16CCF">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579C08" w14:textId="77777777" w:rsidR="00A77B3E" w:rsidRDefault="00B16CCF">
            <w:pPr>
              <w:spacing w:before="5pt"/>
              <w:jc w:val="end"/>
              <w:rPr>
                <w:color w:val="000000"/>
                <w:sz w:val="20"/>
              </w:rPr>
            </w:pPr>
            <w:r>
              <w:rPr>
                <w:color w:val="000000"/>
                <w:sz w:val="20"/>
              </w:rPr>
              <w:t>44.664.924,00</w:t>
            </w:r>
          </w:p>
        </w:tc>
      </w:tr>
      <w:tr w:rsidR="00823317" w14:paraId="720AA92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F340BA"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06EBDA" w14:textId="77777777" w:rsidR="00A77B3E" w:rsidRDefault="00B16CCF">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92BA39"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FF071B"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C06DF3"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46E6A2" w14:textId="77777777" w:rsidR="00A77B3E" w:rsidRDefault="00B16CCF">
            <w:pPr>
              <w:spacing w:before="5pt"/>
              <w:jc w:val="end"/>
              <w:rPr>
                <w:color w:val="000000"/>
                <w:sz w:val="20"/>
              </w:rPr>
            </w:pPr>
            <w:r>
              <w:rPr>
                <w:color w:val="000000"/>
                <w:sz w:val="20"/>
              </w:rPr>
              <w:t>75.808.235,00</w:t>
            </w:r>
          </w:p>
        </w:tc>
      </w:tr>
    </w:tbl>
    <w:p w14:paraId="1E07D78C" w14:textId="77777777" w:rsidR="00A77B3E" w:rsidRDefault="00B16CCF">
      <w:pPr>
        <w:spacing w:before="5pt"/>
        <w:rPr>
          <w:color w:val="000000"/>
          <w:sz w:val="20"/>
        </w:rPr>
      </w:pPr>
      <w:r>
        <w:rPr>
          <w:color w:val="000000"/>
          <w:sz w:val="20"/>
        </w:rPr>
        <w:t>* Načeloma 40 % za ESS+ prispeva k spremljanju enakosti spolov. 100 % se uporabi, kadar se država članica odloči za uporabo člena 6 uredbe o ESS+.</w:t>
      </w:r>
    </w:p>
    <w:p w14:paraId="2DE4C6F0" w14:textId="77777777" w:rsidR="00A77B3E" w:rsidRDefault="00B16CCF">
      <w:pPr>
        <w:pStyle w:val="Naslov4"/>
        <w:spacing w:before="5pt" w:after="0pt"/>
        <w:rPr>
          <w:b w:val="0"/>
          <w:color w:val="000000"/>
          <w:sz w:val="24"/>
        </w:rPr>
      </w:pPr>
      <w:r>
        <w:rPr>
          <w:b w:val="0"/>
          <w:color w:val="000000"/>
          <w:sz w:val="24"/>
        </w:rPr>
        <w:br w:type="page"/>
      </w:r>
      <w:bookmarkStart w:id="39" w:name="_Toc256000800"/>
      <w:r>
        <w:rPr>
          <w:b w:val="0"/>
          <w:color w:val="000000"/>
          <w:sz w:val="24"/>
        </w:rPr>
        <w:lastRenderedPageBreak/>
        <w:t>2.1.1.1. Specifični cilj: RSO1.3. Krepitev trajnostne rasti in konkurenčnosti MSP ter ustvarjanje delovnih mest v MSP, med drugim s produktivnimi naložbami (ESRR)</w:t>
      </w:r>
      <w:bookmarkEnd w:id="39"/>
    </w:p>
    <w:p w14:paraId="3CB0BE0E" w14:textId="77777777" w:rsidR="00A77B3E" w:rsidRDefault="00A77B3E">
      <w:pPr>
        <w:spacing w:before="5pt"/>
        <w:rPr>
          <w:color w:val="000000"/>
          <w:sz w:val="0"/>
        </w:rPr>
      </w:pPr>
    </w:p>
    <w:p w14:paraId="6377E2E5" w14:textId="77777777" w:rsidR="00A77B3E" w:rsidRDefault="00B16CCF">
      <w:pPr>
        <w:pStyle w:val="Naslov4"/>
        <w:spacing w:before="5pt" w:after="0pt"/>
        <w:rPr>
          <w:b w:val="0"/>
          <w:color w:val="000000"/>
          <w:sz w:val="24"/>
        </w:rPr>
      </w:pPr>
      <w:bookmarkStart w:id="40" w:name="_Toc256000801"/>
      <w:r>
        <w:rPr>
          <w:b w:val="0"/>
          <w:color w:val="000000"/>
          <w:sz w:val="24"/>
        </w:rPr>
        <w:t>2.1.1.1.1. Ukrepi skladov</w:t>
      </w:r>
      <w:bookmarkEnd w:id="40"/>
    </w:p>
    <w:p w14:paraId="094853CC" w14:textId="77777777" w:rsidR="00A77B3E" w:rsidRDefault="00A77B3E">
      <w:pPr>
        <w:spacing w:before="5pt"/>
        <w:rPr>
          <w:color w:val="000000"/>
          <w:sz w:val="0"/>
        </w:rPr>
      </w:pPr>
    </w:p>
    <w:p w14:paraId="36C35C1A" w14:textId="77777777" w:rsidR="00A77B3E" w:rsidRDefault="00B16CCF">
      <w:pPr>
        <w:spacing w:before="5pt"/>
        <w:rPr>
          <w:color w:val="000000"/>
          <w:sz w:val="0"/>
        </w:rPr>
      </w:pPr>
      <w:r>
        <w:rPr>
          <w:color w:val="000000"/>
        </w:rPr>
        <w:t>Sklic: člen 22(3)(d)(i), (iii), (iv), (v), (vi) in (vii) uredbe o skupnih določbah</w:t>
      </w:r>
    </w:p>
    <w:p w14:paraId="7FB1249D" w14:textId="77777777" w:rsidR="00A77B3E" w:rsidRDefault="00B16CCF">
      <w:pPr>
        <w:pStyle w:val="Naslov5"/>
        <w:spacing w:before="5pt" w:after="0pt"/>
        <w:rPr>
          <w:b w:val="0"/>
          <w:i w:val="0"/>
          <w:color w:val="000000"/>
          <w:sz w:val="24"/>
        </w:rPr>
      </w:pPr>
      <w:bookmarkStart w:id="41" w:name="_Toc256000802"/>
      <w:r>
        <w:rPr>
          <w:b w:val="0"/>
          <w:i w:val="0"/>
          <w:color w:val="000000"/>
          <w:sz w:val="24"/>
        </w:rPr>
        <w:t>Povezane vrste ukrepov – člen 22(3)(d)(i) uredbe o skupnih določbah in člen 6 uredbe o ESS+:</w:t>
      </w:r>
      <w:bookmarkEnd w:id="41"/>
    </w:p>
    <w:p w14:paraId="49D68CB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4FD8FE90"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E09DFF" w14:textId="77777777" w:rsidR="00A77B3E" w:rsidRDefault="00A77B3E">
            <w:pPr>
              <w:spacing w:before="5pt"/>
              <w:rPr>
                <w:color w:val="000000"/>
                <w:sz w:val="0"/>
              </w:rPr>
            </w:pPr>
          </w:p>
          <w:p w14:paraId="321A19DA" w14:textId="77777777" w:rsidR="00A77B3E" w:rsidRDefault="00B16CCF">
            <w:pPr>
              <w:spacing w:before="5pt"/>
              <w:rPr>
                <w:color w:val="000000"/>
              </w:rPr>
            </w:pPr>
            <w:r>
              <w:rPr>
                <w:color w:val="000000"/>
              </w:rPr>
              <w:t xml:space="preserve">Cilj specifičnega cilja je povečati konkurenčnost gospodarstva z ustvarjanjem izdelkov in storitev z visoko dodano vrednostjo ter okrepiti družbeno odgovornost podjetij, ki bo omogočala hitrejši prehod v podnebno nevtralno družbo. Ustvarjanje visoke dodane vrednosti bo podprto z inovacijami, spodbujanjem ustvarjalnosti ter izkoriščanjem vseh priložnosti, ki jih prinaša četrta industrijska revolucija. Pomemben dejavnik je tudi zagotavljanje spodbudnega in predvidljivega okolja za poslovanje in investicije z upoštevanjem posebnosti malih podjetij, spodbujanje povezovanja s kulturno kreativnimi sektorji ter internacionalizacija podjetij. </w:t>
            </w:r>
          </w:p>
          <w:p w14:paraId="2E5E8E59" w14:textId="77777777" w:rsidR="00A77B3E" w:rsidRDefault="00A77B3E">
            <w:pPr>
              <w:spacing w:before="5pt"/>
              <w:rPr>
                <w:color w:val="000000"/>
              </w:rPr>
            </w:pPr>
          </w:p>
          <w:p w14:paraId="7C87B11D" w14:textId="77777777" w:rsidR="00A77B3E" w:rsidRDefault="00B16CCF">
            <w:pPr>
              <w:spacing w:before="5pt"/>
              <w:rPr>
                <w:color w:val="000000"/>
              </w:rPr>
            </w:pPr>
            <w:r>
              <w:rPr>
                <w:color w:val="000000"/>
              </w:rPr>
              <w:t>Da se okrepi rast in konkurenčnost MSP, bodo vlaganja in ukrepi izhajali iz S5 in bodo osredotočeni na:</w:t>
            </w:r>
          </w:p>
          <w:p w14:paraId="7CA29BFE" w14:textId="77777777" w:rsidR="00A77B3E" w:rsidRDefault="00B16CCF">
            <w:pPr>
              <w:numPr>
                <w:ilvl w:val="0"/>
                <w:numId w:val="10"/>
              </w:numPr>
              <w:spacing w:before="5pt"/>
              <w:rPr>
                <w:color w:val="000000"/>
              </w:rPr>
            </w:pPr>
            <w:r>
              <w:rPr>
                <w:color w:val="000000"/>
              </w:rPr>
              <w:t>področje</w:t>
            </w:r>
            <w:r>
              <w:rPr>
                <w:i/>
                <w:iCs/>
                <w:color w:val="000000"/>
              </w:rPr>
              <w:t xml:space="preserve"> razvoja in optimizacije ekosistema za podporo podjetništvu in inovativnosti, </w:t>
            </w:r>
            <w:r>
              <w:rPr>
                <w:color w:val="000000"/>
              </w:rPr>
              <w:t>z naslednjimi ukrepi:</w:t>
            </w:r>
          </w:p>
          <w:p w14:paraId="05476639" w14:textId="77777777" w:rsidR="00A77B3E" w:rsidRDefault="00B16CCF">
            <w:pPr>
              <w:numPr>
                <w:ilvl w:val="1"/>
                <w:numId w:val="10"/>
              </w:numPr>
              <w:spacing w:before="5pt"/>
              <w:rPr>
                <w:color w:val="000000"/>
              </w:rPr>
            </w:pPr>
            <w:r>
              <w:rPr>
                <w:color w:val="000000"/>
              </w:rPr>
              <w:t>nadgradnja in izvajanje celovitih storitev za podporo podjetjem pri nastajanju, rasti in razvoju kakor tudi pri prehodu v nizkoogljično krožno gospodarstvo (v okviru npr.: točk SPOT Svetovanje, subjektov inovativnega okolja: univerzitetni in podjetniški inkubatorji, tehnološki parki, pospeševalniki, co-working prostorov, učnih laboratorijev, projekta PONI – podjetno nad izzive). Poudarek bo tudi na posebnih ciljnih skupinah (npr. mladi, ženske), ki bodo lahko prejeli tudi spodbudo za začetek podjetniške poti.</w:t>
            </w:r>
          </w:p>
          <w:p w14:paraId="1F29516E" w14:textId="77777777" w:rsidR="00A77B3E" w:rsidRDefault="00B16CCF">
            <w:pPr>
              <w:numPr>
                <w:ilvl w:val="1"/>
                <w:numId w:val="10"/>
              </w:numPr>
              <w:spacing w:before="5pt"/>
              <w:rPr>
                <w:color w:val="000000"/>
              </w:rPr>
            </w:pPr>
            <w:r>
              <w:rPr>
                <w:color w:val="000000"/>
              </w:rPr>
              <w:t xml:space="preserve">Nadgradnja sistema SPOT Global za domače izvoznike in tuje vlagatelje v smeri učinkovitejše in prilagojene podpore pri mednarodnem poslovanju (npr. informacije, predstavitve, svetovanje, pisarne v tujini, regionalna skrbništva, prilagojeni programi mentorstva in usposabljanja s področja mednarodnega poslovanja za krepitev potencialov v podjetjih). </w:t>
            </w:r>
          </w:p>
          <w:p w14:paraId="0F25AFB2" w14:textId="77777777" w:rsidR="00A77B3E" w:rsidRDefault="00B16CCF">
            <w:pPr>
              <w:numPr>
                <w:ilvl w:val="1"/>
                <w:numId w:val="10"/>
              </w:numPr>
              <w:spacing w:before="5pt"/>
              <w:rPr>
                <w:color w:val="000000"/>
              </w:rPr>
            </w:pPr>
            <w:r>
              <w:rPr>
                <w:color w:val="000000"/>
              </w:rPr>
              <w:t>Nadgradnja ekonomsko poslovne infrastrukture v smeri RRI, izboljšanja upravljanja, krepitve sodelovanja in sinergijskih učinkov med podjetji v poslovnih conah in v smeri specializacije na prednostna področja S5. Ureditev ekonomsko poslovne infrastrukture, ki je potrebna za delovanje inkubatorjev, s čimer bomo komplementarno z ukrepi NOO in SPP spodbudili lokalna podjetja in tudi podjetniški ekosistem k večji produktivnosti in inovativnosti, v smeri ozelenitve in digitalizacije procesov s fokusiranjem na prednostna področja.</w:t>
            </w:r>
          </w:p>
          <w:p w14:paraId="33D20520" w14:textId="77777777" w:rsidR="00A77B3E" w:rsidRDefault="00B16CCF">
            <w:pPr>
              <w:numPr>
                <w:ilvl w:val="1"/>
                <w:numId w:val="10"/>
              </w:numPr>
              <w:spacing w:before="5pt"/>
              <w:rPr>
                <w:color w:val="000000"/>
              </w:rPr>
            </w:pPr>
            <w:r>
              <w:rPr>
                <w:color w:val="000000"/>
              </w:rPr>
              <w:t xml:space="preserve">Pametno upravljanje turističnih destinacij slovenskega turizma ter ukrepi za vključevanje in spodbujanje potencialov kulture, kulturne in naravne dediščine za podjetništvo in turizem. Poudarek bo na razvoju turističnih destinacij in njihovem aktivnem upravljanju na destinacijski in podjetniški ravni (strateško načrtovanje in koordinacija dela upravljanja destinacij, razvoj in promocija turističnih produktov na ravni ekosistema, vključno z valorizacijo kulturne in naravne dediščine, povezovanje turistične ponudbe, promocija, digitalizacija, mobilnost, dvig kvalitete turističnih storitev, dvig kompetenc destinacijskih organizacij). Upravljanje destinacij je eden izmed ključnih elementov uspešnosti in konkurenčnosti turizma in v tem smislu posredno naslavlja prav vse razvojne cilje. </w:t>
            </w:r>
          </w:p>
          <w:p w14:paraId="1B1B5EB7" w14:textId="77777777" w:rsidR="00A77B3E" w:rsidRDefault="00B16CCF">
            <w:pPr>
              <w:numPr>
                <w:ilvl w:val="1"/>
                <w:numId w:val="10"/>
              </w:numPr>
              <w:spacing w:before="5pt"/>
              <w:rPr>
                <w:color w:val="000000"/>
              </w:rPr>
            </w:pPr>
            <w:r>
              <w:rPr>
                <w:color w:val="000000"/>
              </w:rPr>
              <w:lastRenderedPageBreak/>
              <w:t>Podpora nacionalni platformi kulturnih in kreativnih industrij (kulturno-kreativni sektor). Za krepitev družbe znanja ter dvig inovativnosti in ustvarjalnosti je pomembno pospešiti uporabo in povezovanje novega znanja, umetniških dosežkov, kulturnih in kreativnih industrij s preostalimi sektorji gospodarstva in družbe ter z najnaprednejšimi tehnologijami.</w:t>
            </w:r>
          </w:p>
          <w:p w14:paraId="040D4DE7" w14:textId="77777777" w:rsidR="00A77B3E" w:rsidRDefault="00B16CCF">
            <w:pPr>
              <w:numPr>
                <w:ilvl w:val="1"/>
                <w:numId w:val="10"/>
              </w:numPr>
              <w:spacing w:before="5pt"/>
              <w:rPr>
                <w:color w:val="000000"/>
              </w:rPr>
            </w:pPr>
            <w:r>
              <w:rPr>
                <w:color w:val="000000"/>
              </w:rPr>
              <w:t>Krepitev administrativne usposobljenosti podjetij na področju e-javnega naročanja;</w:t>
            </w:r>
          </w:p>
          <w:p w14:paraId="0D724BF8" w14:textId="77777777" w:rsidR="00A77B3E" w:rsidRDefault="00A77B3E">
            <w:pPr>
              <w:spacing w:before="5pt"/>
              <w:rPr>
                <w:color w:val="000000"/>
              </w:rPr>
            </w:pPr>
          </w:p>
          <w:p w14:paraId="74D933A5" w14:textId="77777777" w:rsidR="00A77B3E" w:rsidRDefault="00B16CCF">
            <w:pPr>
              <w:numPr>
                <w:ilvl w:val="0"/>
                <w:numId w:val="11"/>
              </w:numPr>
              <w:spacing w:before="5pt"/>
              <w:rPr>
                <w:color w:val="000000"/>
              </w:rPr>
            </w:pPr>
            <w:r>
              <w:rPr>
                <w:color w:val="000000"/>
              </w:rPr>
              <w:t>področje</w:t>
            </w:r>
            <w:r>
              <w:rPr>
                <w:i/>
                <w:iCs/>
                <w:color w:val="000000"/>
              </w:rPr>
              <w:t xml:space="preserve"> prehoda novih podjetniških podjemov in novonastalih podjetij v fazo hitrejše rasti (start-up podjetja in podjetja v prehodu v naslednjo fazo rasti) in ukrepov za hitrorastoča podjetja (scale-up podjetja)</w:t>
            </w:r>
            <w:r>
              <w:rPr>
                <w:color w:val="000000"/>
              </w:rPr>
              <w:t>, kjer načrtujemo:</w:t>
            </w:r>
          </w:p>
          <w:p w14:paraId="4B9F36E1" w14:textId="77777777" w:rsidR="00A77B3E" w:rsidRDefault="00B16CCF">
            <w:pPr>
              <w:numPr>
                <w:ilvl w:val="1"/>
                <w:numId w:val="11"/>
              </w:numPr>
              <w:spacing w:before="5pt"/>
              <w:rPr>
                <w:color w:val="000000"/>
              </w:rPr>
            </w:pPr>
            <w:r>
              <w:rPr>
                <w:color w:val="000000"/>
              </w:rPr>
              <w:t>spodbujanje mladih podjetij in novih podjetniških podjemov (start-up podjetij) za začetno delovanje, ki se bo prednostno osredotočalo na področja skladna z načeli podnebne nevtralnosti in krožnega gospodarstva. Izboljšali bomo ustanavljanje, poslovanje podjetij in realizacijo njihovih razvojnih potencialov ter konkurenčnost na domačih oz. tujih trgih, kar bo prispevalo k znižanju stopnje umrljivosti podjetij v začetnem obdobju poslovanja in spodbudilo njihovo rast.</w:t>
            </w:r>
          </w:p>
          <w:p w14:paraId="36092BFB" w14:textId="77777777" w:rsidR="00A77B3E" w:rsidRDefault="00B16CCF">
            <w:pPr>
              <w:numPr>
                <w:ilvl w:val="1"/>
                <w:numId w:val="11"/>
              </w:numPr>
              <w:spacing w:before="5pt"/>
              <w:rPr>
                <w:color w:val="000000"/>
              </w:rPr>
            </w:pPr>
            <w:r>
              <w:rPr>
                <w:color w:val="000000"/>
              </w:rPr>
              <w:t>Različni ukrepi za hitrorastoča podjetja (scale-up in scale-out), ki bodo zajemali identifikacijo (potencialnih) hitrorastočih podjetij, oblikovanje izkušene mentorske ekipe (coaching, mentoring) v podporo rasti in razvoju podjetja (usposabljanje podjetij v tujini), izmenjavo izkušenj uspešnih podjetnikov (s promocijskimi in networking dogodki), sodelovanje z izobraževalnimi in raziskovalnimi institucijami ter ponudniki svetovalnih storitev, tesno sodelovanje s finančnimi institucijami in investitorji (financiranje scale-up podjetij, predvsem lastniško);</w:t>
            </w:r>
          </w:p>
          <w:p w14:paraId="18E918A6" w14:textId="77777777" w:rsidR="00A77B3E" w:rsidRDefault="00A77B3E">
            <w:pPr>
              <w:spacing w:before="5pt"/>
              <w:rPr>
                <w:color w:val="000000"/>
              </w:rPr>
            </w:pPr>
          </w:p>
          <w:p w14:paraId="41635153" w14:textId="77777777" w:rsidR="00A77B3E" w:rsidRDefault="00B16CCF">
            <w:pPr>
              <w:numPr>
                <w:ilvl w:val="0"/>
                <w:numId w:val="12"/>
              </w:numPr>
              <w:spacing w:before="5pt"/>
              <w:rPr>
                <w:color w:val="000000"/>
              </w:rPr>
            </w:pPr>
            <w:r>
              <w:rPr>
                <w:color w:val="000000"/>
              </w:rPr>
              <w:t>področje</w:t>
            </w:r>
            <w:r>
              <w:rPr>
                <w:i/>
                <w:iCs/>
                <w:color w:val="000000"/>
              </w:rPr>
              <w:t xml:space="preserve"> rasti in razvoja podjetij (različne spodbude, npr. spodbude za inovacije, vključno z družbenimi, idr.) </w:t>
            </w:r>
            <w:r>
              <w:rPr>
                <w:color w:val="000000"/>
              </w:rPr>
              <w:t>z ukrepi za uvedbo inovativnih pristopov v različnih segmentih poslovanja podjetij, kar narekujejo trendi globalnega okolja (prehod v nizkoogljično družbo, staranje prebivalstva idr.). S tem bomo zagotavljati njihovo nadaljnjo rast in razvoj ter povečali njihovo inovativnost in konkurenčnost. Izvajali bomo ukrepe:</w:t>
            </w:r>
          </w:p>
          <w:p w14:paraId="1A33BFC3" w14:textId="77777777" w:rsidR="00A77B3E" w:rsidRDefault="00B16CCF">
            <w:pPr>
              <w:numPr>
                <w:ilvl w:val="1"/>
                <w:numId w:val="12"/>
              </w:numPr>
              <w:spacing w:before="5pt"/>
              <w:rPr>
                <w:color w:val="000000"/>
              </w:rPr>
            </w:pPr>
            <w:r>
              <w:rPr>
                <w:color w:val="000000"/>
              </w:rPr>
              <w:t xml:space="preserve">spodbujanje procesnih izboljšav, prenove poslovnih procesov, strateške transformacije in novih poslovnih modelov na področjih relevantnih za prehod v nizkoogljično krožno gospodarstvo ter uvajanje poslovne odličnosti v podjetja, vključno z zagotavljanjem internih sistemov za zagotavljanje kakovosti storitev. </w:t>
            </w:r>
          </w:p>
          <w:p w14:paraId="4E5050D0" w14:textId="77777777" w:rsidR="00A77B3E" w:rsidRDefault="00B16CCF">
            <w:pPr>
              <w:numPr>
                <w:ilvl w:val="1"/>
                <w:numId w:val="12"/>
              </w:numPr>
              <w:spacing w:before="5pt"/>
              <w:rPr>
                <w:color w:val="000000"/>
              </w:rPr>
            </w:pPr>
            <w:r>
              <w:rPr>
                <w:color w:val="000000"/>
              </w:rPr>
              <w:t xml:space="preserve">Razvoj novih in izboljšanih proizvodov in storitev s ciljem dviga dodane vrednosti ali ustvarjanja delovnih mest, vključno z razvojem proizvodov in storitev na področju srebrne ekonomije in na področju uporabe naravnih obnovljivih materialov, ki omogočajo hitrejši zeleni prehod. </w:t>
            </w:r>
          </w:p>
          <w:p w14:paraId="7A392582" w14:textId="77777777" w:rsidR="00A77B3E" w:rsidRDefault="00B16CCF">
            <w:pPr>
              <w:numPr>
                <w:ilvl w:val="1"/>
                <w:numId w:val="12"/>
              </w:numPr>
              <w:spacing w:before="5pt"/>
              <w:rPr>
                <w:color w:val="000000"/>
              </w:rPr>
            </w:pPr>
            <w:r>
              <w:rPr>
                <w:color w:val="000000"/>
              </w:rPr>
              <w:t>Spodbude manjših vrednosti (vavčerji) na specifičnih področjih, kjer obstajajo vrzeli znanja in kompetenc, s čimer bodo MSP krepila svojo konkurenčnost, kompetence in inovativnost na področjih, ki izhajajo iz njihovih potreb (npr. zaščita intelektualne lastnine, certificiranje, znaki za okolje, standardi kakovosti, prenos lastništva, internacionalizacija, poslovna odličnost).</w:t>
            </w:r>
          </w:p>
          <w:p w14:paraId="7D60E648" w14:textId="77777777" w:rsidR="00A77B3E" w:rsidRDefault="00B16CCF">
            <w:pPr>
              <w:numPr>
                <w:ilvl w:val="1"/>
                <w:numId w:val="12"/>
              </w:numPr>
              <w:spacing w:before="5pt"/>
              <w:rPr>
                <w:color w:val="000000"/>
              </w:rPr>
            </w:pPr>
            <w:r>
              <w:rPr>
                <w:color w:val="000000"/>
              </w:rPr>
              <w:t xml:space="preserve">Spodbujanje socialnih (družbenih) inovacij in socialnih podjetij za reševanje družbenih potreb z razvojem novih izdelkov, storitev in modelov (neposredne spodbude, razvoj podpornega okolja za družbene inovacije, kompetenčnih centrov, razvoj orodij za merjenje družbenih učinkov, platform za družbene inovacije ipd.). </w:t>
            </w:r>
          </w:p>
          <w:p w14:paraId="096F5451" w14:textId="77777777" w:rsidR="00A77B3E" w:rsidRDefault="00B16CCF">
            <w:pPr>
              <w:numPr>
                <w:ilvl w:val="1"/>
                <w:numId w:val="12"/>
              </w:numPr>
              <w:spacing w:before="5pt"/>
              <w:rPr>
                <w:color w:val="000000"/>
              </w:rPr>
            </w:pPr>
            <w:r>
              <w:rPr>
                <w:color w:val="000000"/>
              </w:rPr>
              <w:lastRenderedPageBreak/>
              <w:t>Spodbujanje investicij in obratnih sredstev povezanih z investicijami v obliki garancij (možno s subvencijo obrestne mere);</w:t>
            </w:r>
          </w:p>
          <w:p w14:paraId="0F025A28" w14:textId="77777777" w:rsidR="00A77B3E" w:rsidRDefault="00A77B3E">
            <w:pPr>
              <w:spacing w:before="5pt"/>
              <w:rPr>
                <w:color w:val="000000"/>
              </w:rPr>
            </w:pPr>
          </w:p>
          <w:p w14:paraId="684962E2" w14:textId="77777777" w:rsidR="00A77B3E" w:rsidRDefault="00B16CCF">
            <w:pPr>
              <w:numPr>
                <w:ilvl w:val="0"/>
                <w:numId w:val="13"/>
              </w:numPr>
              <w:spacing w:before="5pt"/>
              <w:rPr>
                <w:color w:val="000000"/>
              </w:rPr>
            </w:pPr>
            <w:r>
              <w:rPr>
                <w:color w:val="000000"/>
              </w:rPr>
              <w:t>področje</w:t>
            </w:r>
            <w:r>
              <w:rPr>
                <w:i/>
                <w:iCs/>
                <w:color w:val="000000"/>
              </w:rPr>
              <w:t xml:space="preserve"> internacionalizacije in sodelovanja na področju makroregij preko oblikovanja partnerstev s podjetji na tujih trgih, promocije in krepitve znamk proizvodov in storitev slovenskih podjetij v tujini ter skupnih vlaganj na tujih trgih, </w:t>
            </w:r>
            <w:r>
              <w:rPr>
                <w:color w:val="000000"/>
              </w:rPr>
              <w:t>kjer bomo izvajali ukrepe,ki bodo zagotovili celovito podporo vključevanju podjetij v globalne verige vrednosti oz. internacionalizaciji slovenskega gospodarstva v skladu s S5:</w:t>
            </w:r>
          </w:p>
          <w:p w14:paraId="62635456" w14:textId="77777777" w:rsidR="00A77B3E" w:rsidRDefault="00B16CCF">
            <w:pPr>
              <w:numPr>
                <w:ilvl w:val="1"/>
                <w:numId w:val="13"/>
              </w:numPr>
              <w:spacing w:before="5pt"/>
              <w:rPr>
                <w:color w:val="000000"/>
              </w:rPr>
            </w:pPr>
            <w:r>
              <w:rPr>
                <w:color w:val="000000"/>
              </w:rPr>
              <w:t>spodbujanje diverzifikacije slovenskega izvoza na tretje trge zaradi prevelike odvisnosti od tradicionalnih trgovinskih partneric v EU. Podpirali bomo celostni izvoz znanja v obliki novih inovativnih ukrepov, kot so mednarodno razvojno sodelovanje, skupna vlaganja na tujih trgih in mentoriranje podjetij v tujini.</w:t>
            </w:r>
          </w:p>
          <w:p w14:paraId="17A75816" w14:textId="77777777" w:rsidR="00A77B3E" w:rsidRDefault="00B16CCF">
            <w:pPr>
              <w:numPr>
                <w:ilvl w:val="1"/>
                <w:numId w:val="13"/>
              </w:numPr>
              <w:spacing w:before="5pt"/>
              <w:rPr>
                <w:color w:val="000000"/>
              </w:rPr>
            </w:pPr>
            <w:r>
              <w:rPr>
                <w:color w:val="000000"/>
              </w:rPr>
              <w:t xml:space="preserve">Razvoj in krepitev znamk s ciljem dviga dodane vrednosti in boljšega pozicioniranja v globalnih verigah vrednosti Spodbujanje pilotnih in demonstracijskih projektov, namenjenih preizkušanju novih konceptov. </w:t>
            </w:r>
          </w:p>
          <w:p w14:paraId="09EB0C9A" w14:textId="77777777" w:rsidR="00A77B3E" w:rsidRDefault="00B16CCF">
            <w:pPr>
              <w:numPr>
                <w:ilvl w:val="1"/>
                <w:numId w:val="13"/>
              </w:numPr>
              <w:spacing w:before="5pt"/>
              <w:rPr>
                <w:color w:val="000000"/>
              </w:rPr>
            </w:pPr>
            <w:r>
              <w:rPr>
                <w:color w:val="000000"/>
              </w:rPr>
              <w:t>Za zmanjšanje poslovnih tveganj slovenskih podjetij na tujih trgih bomo spodbujali izvedbo študij izvedljivosti in izvoznih načrtov, ki bodo naslovile glavne izzive, priložnosti, nevarnosti in tveganja slovenskih podjetij z novimi in obstoječimi produkti/storitvami na tujih trgih.</w:t>
            </w:r>
          </w:p>
          <w:p w14:paraId="194F23CC" w14:textId="77777777" w:rsidR="00A77B3E" w:rsidRDefault="00B16CCF">
            <w:pPr>
              <w:numPr>
                <w:ilvl w:val="1"/>
                <w:numId w:val="13"/>
              </w:numPr>
              <w:spacing w:before="5pt"/>
              <w:rPr>
                <w:color w:val="000000"/>
              </w:rPr>
            </w:pPr>
            <w:r>
              <w:rPr>
                <w:color w:val="000000"/>
              </w:rPr>
              <w:t>Podpora poslovnih in razvojnih partnerstev za krepitev sodelovanja v globalnih verigah vrednosti z vključevanjem v mednarodne procese ter oblikovanjem kritične mase na regionalni ravni za globalni preboj na podlagi povezovanja kompetenc in potencialov deležnikov (uvajanje sodobnih poslovnih modelov, vstop na mednarodne trge, nišni preboj ipd.), s čimer bomo povečali sinergije med slovenskimi izvozniki in zmanjšali tveganja pri vstopu na tuje trge.</w:t>
            </w:r>
          </w:p>
          <w:p w14:paraId="0C1D1743" w14:textId="77777777" w:rsidR="00A77B3E" w:rsidRDefault="00B16CCF">
            <w:pPr>
              <w:numPr>
                <w:ilvl w:val="1"/>
                <w:numId w:val="13"/>
              </w:numPr>
              <w:spacing w:before="5pt"/>
              <w:rPr>
                <w:color w:val="000000"/>
              </w:rPr>
            </w:pPr>
            <w:r>
              <w:rPr>
                <w:color w:val="000000"/>
              </w:rPr>
              <w:t xml:space="preserve">Izvedba organiziranih dejavnosti na specializiranih mednarodnih sejmih ter drugih pomembnejših dogodkih doma in v tujini za iskanje novih mednarodnih tržnih priložnosti za uspešno uveljavljanje podjetij na trgu. Podprli bomo prenos dobrih mednarodnih podjetniških praks, inovativne načine iskanja tujih poslovnih partnerjev ter dejavnosti za krepitev prepoznavnosti Slovenije in gospodarstva. </w:t>
            </w:r>
          </w:p>
          <w:p w14:paraId="53122A20" w14:textId="77777777" w:rsidR="00A77B3E" w:rsidRDefault="00A77B3E">
            <w:pPr>
              <w:spacing w:before="5pt"/>
              <w:rPr>
                <w:color w:val="000000"/>
              </w:rPr>
            </w:pPr>
          </w:p>
          <w:p w14:paraId="7AE6DDB8" w14:textId="77777777" w:rsidR="00A77B3E" w:rsidRDefault="00B16CCF">
            <w:pPr>
              <w:spacing w:before="5pt"/>
              <w:rPr>
                <w:color w:val="000000"/>
              </w:rPr>
            </w:pPr>
            <w:r>
              <w:rPr>
                <w:color w:val="000000"/>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Noben izmed predvidenih ukrepov po svoji naravi nima bistvenega škodljivega vpliva na katerega koli od šestih okoljskih ciljev ob upoštevanju tehničnih meril, navedenih v Prilogi: DNSH.</w:t>
            </w:r>
          </w:p>
          <w:p w14:paraId="05D4E2B8" w14:textId="77777777" w:rsidR="00A77B3E" w:rsidRDefault="00A77B3E">
            <w:pPr>
              <w:spacing w:before="5pt"/>
              <w:rPr>
                <w:color w:val="000000"/>
                <w:sz w:val="6"/>
              </w:rPr>
            </w:pPr>
          </w:p>
          <w:p w14:paraId="530A5E85" w14:textId="77777777" w:rsidR="00A77B3E" w:rsidRDefault="00A77B3E">
            <w:pPr>
              <w:spacing w:before="5pt"/>
              <w:rPr>
                <w:color w:val="000000"/>
                <w:sz w:val="6"/>
              </w:rPr>
            </w:pPr>
          </w:p>
        </w:tc>
      </w:tr>
    </w:tbl>
    <w:p w14:paraId="52AAC9E1" w14:textId="77777777" w:rsidR="00A77B3E" w:rsidRDefault="00A77B3E">
      <w:pPr>
        <w:spacing w:before="5pt"/>
        <w:rPr>
          <w:color w:val="000000"/>
        </w:rPr>
      </w:pPr>
    </w:p>
    <w:p w14:paraId="7D0FA855" w14:textId="77777777" w:rsidR="00A77B3E" w:rsidRDefault="00B16CCF">
      <w:pPr>
        <w:pStyle w:val="Naslov5"/>
        <w:spacing w:before="5pt" w:after="0pt"/>
        <w:rPr>
          <w:b w:val="0"/>
          <w:i w:val="0"/>
          <w:color w:val="000000"/>
          <w:sz w:val="24"/>
        </w:rPr>
      </w:pPr>
      <w:bookmarkStart w:id="42" w:name="_Toc256000803"/>
      <w:r>
        <w:rPr>
          <w:b w:val="0"/>
          <w:i w:val="0"/>
          <w:color w:val="000000"/>
          <w:sz w:val="24"/>
        </w:rPr>
        <w:t>Glavne ciljne skupine – člen 22(3)(d)(iii) uredbe o skupnih določbah:</w:t>
      </w:r>
      <w:bookmarkEnd w:id="42"/>
    </w:p>
    <w:p w14:paraId="5CB9BEC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0A6ED5BF"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D9133D" w14:textId="77777777" w:rsidR="00A77B3E" w:rsidRDefault="00A77B3E">
            <w:pPr>
              <w:spacing w:before="5pt"/>
              <w:rPr>
                <w:color w:val="000000"/>
                <w:sz w:val="0"/>
              </w:rPr>
            </w:pPr>
          </w:p>
          <w:p w14:paraId="0EC3EC6C" w14:textId="77777777" w:rsidR="00A77B3E" w:rsidRDefault="00B16CCF">
            <w:pPr>
              <w:spacing w:before="5pt"/>
              <w:rPr>
                <w:color w:val="000000"/>
              </w:rPr>
            </w:pPr>
            <w:r>
              <w:rPr>
                <w:color w:val="000000"/>
              </w:rPr>
              <w:t>Ciljne skupine: potencialni podjetniki, mikro, mala in srednje velika podjetja, socialna podjetja, subjekti podjetniškega in inovativnega okolja, nevladne organizacije, samozaposleni v kulturi, zadruge, NVO, ministrstva, izvajalske institucije.</w:t>
            </w:r>
          </w:p>
          <w:p w14:paraId="0D5195DF" w14:textId="77777777" w:rsidR="00A77B3E" w:rsidRDefault="00A77B3E">
            <w:pPr>
              <w:spacing w:before="5pt"/>
              <w:rPr>
                <w:color w:val="000000"/>
              </w:rPr>
            </w:pPr>
          </w:p>
          <w:p w14:paraId="0DEF4D0E" w14:textId="77777777" w:rsidR="00A77B3E" w:rsidRDefault="00B16CCF">
            <w:pPr>
              <w:spacing w:before="5pt"/>
              <w:rPr>
                <w:color w:val="000000"/>
              </w:rPr>
            </w:pPr>
            <w:r>
              <w:rPr>
                <w:color w:val="000000"/>
              </w:rPr>
              <w:lastRenderedPageBreak/>
              <w:t>Upravičenci: MSP, subjekti podjetniškega in inovativnega okolja, regionalne razvojne agencije, izvajalske institucije, nevladne organizacije, javni zavodi, samozaposleni v kulturi, zadruge, društva, zbornice, destinacijske management organizacije in zasebni zavodi.</w:t>
            </w:r>
          </w:p>
          <w:p w14:paraId="306BB8AD" w14:textId="77777777" w:rsidR="00A77B3E" w:rsidRDefault="00A77B3E">
            <w:pPr>
              <w:spacing w:before="5pt"/>
              <w:rPr>
                <w:color w:val="000000"/>
                <w:sz w:val="6"/>
              </w:rPr>
            </w:pPr>
          </w:p>
          <w:p w14:paraId="2F988D3B" w14:textId="77777777" w:rsidR="00A77B3E" w:rsidRDefault="00A77B3E">
            <w:pPr>
              <w:spacing w:before="5pt"/>
              <w:rPr>
                <w:color w:val="000000"/>
                <w:sz w:val="6"/>
              </w:rPr>
            </w:pPr>
          </w:p>
        </w:tc>
      </w:tr>
    </w:tbl>
    <w:p w14:paraId="590AB489" w14:textId="77777777" w:rsidR="00A77B3E" w:rsidRDefault="00A77B3E">
      <w:pPr>
        <w:spacing w:before="5pt"/>
        <w:rPr>
          <w:color w:val="000000"/>
        </w:rPr>
      </w:pPr>
    </w:p>
    <w:p w14:paraId="0ABCD5CC" w14:textId="77777777" w:rsidR="00A77B3E" w:rsidRDefault="00B16CCF">
      <w:pPr>
        <w:pStyle w:val="Naslov5"/>
        <w:spacing w:before="5pt" w:after="0pt"/>
        <w:rPr>
          <w:b w:val="0"/>
          <w:i w:val="0"/>
          <w:color w:val="000000"/>
          <w:sz w:val="24"/>
        </w:rPr>
      </w:pPr>
      <w:bookmarkStart w:id="43" w:name="_Toc256000804"/>
      <w:r>
        <w:rPr>
          <w:b w:val="0"/>
          <w:i w:val="0"/>
          <w:color w:val="000000"/>
          <w:sz w:val="24"/>
        </w:rPr>
        <w:t>Ukrepi za zaščito enakosti, vključenosti in nediskriminacije – člen 22(3)(d)(iv) uredbe o skupnih določbah in člen 6 uredbe o ESS+</w:t>
      </w:r>
      <w:bookmarkEnd w:id="43"/>
    </w:p>
    <w:p w14:paraId="0962A76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1CDBD25A"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BD38BE" w14:textId="77777777" w:rsidR="00A77B3E" w:rsidRDefault="00A77B3E">
            <w:pPr>
              <w:spacing w:before="5pt"/>
              <w:rPr>
                <w:color w:val="000000"/>
                <w:sz w:val="0"/>
              </w:rPr>
            </w:pPr>
          </w:p>
          <w:p w14:paraId="7E36A371" w14:textId="77777777" w:rsidR="00A77B3E" w:rsidRDefault="00B16CCF">
            <w:pPr>
              <w:spacing w:before="5pt"/>
              <w:rPr>
                <w:color w:val="000000"/>
              </w:rPr>
            </w:pPr>
            <w:r>
              <w:rPr>
                <w:color w:val="000000"/>
              </w:rPr>
              <w:t xml:space="preserve">Spoštovanje načel enakosti, vključenosti in nediskriminacije bo zagotovljeno na vseh ravneh skladno z nacionalno zakonodajo,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Načelo se bo upoštevalo tudi v okviru sistema upravljanja in nadzora. </w:t>
            </w:r>
          </w:p>
          <w:p w14:paraId="11291EC3" w14:textId="77777777" w:rsidR="00A77B3E" w:rsidRDefault="00A77B3E">
            <w:pPr>
              <w:spacing w:before="5pt"/>
              <w:rPr>
                <w:color w:val="000000"/>
              </w:rPr>
            </w:pPr>
          </w:p>
          <w:p w14:paraId="718DEA4A" w14:textId="77777777" w:rsidR="00A77B3E" w:rsidRDefault="00B16CCF">
            <w:pPr>
              <w:spacing w:before="5pt"/>
              <w:rPr>
                <w:color w:val="000000"/>
              </w:rPr>
            </w:pPr>
            <w:r>
              <w:rPr>
                <w:color w:val="000000"/>
              </w:rPr>
              <w:t>V podjetništvu in družbi kot celoti lahko potencial uresničimo le, če bomo izkoristili vse naše talente in raznolikost. Enakost spolov prinaša nova delovna mesta in večjo produktivnost[1]. Za ženske podjetnice je nujna podpora pred vstopom na podjetniško pot kakor tudi po ustanovitvi podjetja, zato bodo ukrepi usmerjeni v usposabljanje in finančno podporo. Ženske se namreč pogosteje kot moški spopadajo s številnimi izzivi, ko se podajajo na samostojno pot, zlasti pri dostopu do finančnih sredstev, usposabljanju, povezovanju v mreže ter usklajevanju poslovnega in družinskega življenja. Poleg žensk, dodatno podporo pri vključevanju v podjetništvo potrebujejo tudi druge ranljive ciljne skupine (npr. mladi), ki lahko s svojim izkušnjami bistveno prispevajo k razvoju družbenih inovacij. Ravno slednje bistveno prispevajo k povečevanju (socialne) vključenosti ter s ponudbo blaga in storitev povečujejo dostopnost ter nediskriminacijo v vseh segmentih družbe. Hkrati bodo ukrepi usmerjeni tudi v prekinitev kroga medgeneracijske prikrajšanosti predvsem na področju spodbujanja srebrne ekonomije.</w:t>
            </w:r>
          </w:p>
          <w:p w14:paraId="6C6215B6" w14:textId="77777777" w:rsidR="00A77B3E" w:rsidRDefault="00A77B3E">
            <w:pPr>
              <w:spacing w:before="5pt"/>
              <w:rPr>
                <w:color w:val="000000"/>
              </w:rPr>
            </w:pPr>
          </w:p>
          <w:p w14:paraId="09E7D8A3" w14:textId="77777777" w:rsidR="00A77B3E" w:rsidRDefault="00B16CCF">
            <w:pPr>
              <w:spacing w:before="5pt"/>
              <w:rPr>
                <w:color w:val="000000"/>
              </w:rPr>
            </w:pPr>
            <w:r>
              <w:rPr>
                <w:color w:val="000000"/>
              </w:rPr>
              <w:t xml:space="preserve">[1] Sporočilo komisije Evropskemu parlamentu, Svetu, Evropskemu ekonomsko-socialnemu odboru in Odboru regij Unija enakosti: strategija za enakost spolov za obdobje 2020–2025. Dostopno na: https://eur-lex.europa.eu/legal-content/SL/TXT/?uri=CELEX%3A52020DC0152. </w:t>
            </w:r>
          </w:p>
          <w:p w14:paraId="1E6E9FE3" w14:textId="77777777" w:rsidR="00A77B3E" w:rsidRDefault="00A77B3E">
            <w:pPr>
              <w:spacing w:before="5pt"/>
              <w:rPr>
                <w:color w:val="000000"/>
                <w:sz w:val="6"/>
              </w:rPr>
            </w:pPr>
          </w:p>
          <w:p w14:paraId="14F8838F" w14:textId="77777777" w:rsidR="00A77B3E" w:rsidRDefault="00A77B3E">
            <w:pPr>
              <w:spacing w:before="5pt"/>
              <w:rPr>
                <w:color w:val="000000"/>
                <w:sz w:val="6"/>
              </w:rPr>
            </w:pPr>
          </w:p>
        </w:tc>
      </w:tr>
    </w:tbl>
    <w:p w14:paraId="38219286" w14:textId="77777777" w:rsidR="00A77B3E" w:rsidRDefault="00A77B3E">
      <w:pPr>
        <w:spacing w:before="5pt"/>
        <w:rPr>
          <w:color w:val="000000"/>
        </w:rPr>
      </w:pPr>
    </w:p>
    <w:p w14:paraId="7AFEF19F" w14:textId="77777777" w:rsidR="00A77B3E" w:rsidRDefault="00B16CCF">
      <w:pPr>
        <w:pStyle w:val="Naslov5"/>
        <w:spacing w:before="5pt" w:after="0pt"/>
        <w:rPr>
          <w:b w:val="0"/>
          <w:i w:val="0"/>
          <w:color w:val="000000"/>
          <w:sz w:val="24"/>
        </w:rPr>
      </w:pPr>
      <w:bookmarkStart w:id="44" w:name="_Toc256000805"/>
      <w:r>
        <w:rPr>
          <w:b w:val="0"/>
          <w:i w:val="0"/>
          <w:color w:val="000000"/>
          <w:sz w:val="24"/>
        </w:rPr>
        <w:t>Navedba specifičnih ciljnih ozemelj, vključno z načrtovano uporabo teritorialnih orodij – člen 22(3)(d)(v) uredbe o skupnih določbah</w:t>
      </w:r>
      <w:bookmarkEnd w:id="44"/>
    </w:p>
    <w:p w14:paraId="218863E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438AFDC3"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6CD083" w14:textId="77777777" w:rsidR="00A77B3E" w:rsidRDefault="00A77B3E">
            <w:pPr>
              <w:spacing w:before="5pt"/>
              <w:rPr>
                <w:color w:val="000000"/>
                <w:sz w:val="0"/>
              </w:rPr>
            </w:pPr>
          </w:p>
          <w:p w14:paraId="5187EB49" w14:textId="77777777" w:rsidR="00A77B3E" w:rsidRDefault="00B16CCF">
            <w:pPr>
              <w:spacing w:before="5pt"/>
              <w:rPr>
                <w:color w:val="000000"/>
              </w:rPr>
            </w:pPr>
            <w:r>
              <w:rPr>
                <w:color w:val="000000"/>
              </w:rPr>
              <w:t xml:space="preserve">V okviru specifičnega cilja se na področju nadgradnje in izvajanja podpornega podjetniškega okolja na regionalni ravni oz. podjetniško usposabljanje predvideva naslavljanje pristopa regionalnega razvoja v skladu s potrebami, izhajajoč iz pripravljenih teritorialnih strategij (RRP) vseh 12 regij. Le te so </w:t>
            </w:r>
            <w:r>
              <w:rPr>
                <w:color w:val="000000"/>
              </w:rPr>
              <w:lastRenderedPageBreak/>
              <w:t>pripravljene v skladu z določili 29. člena Uredbe (EU) 2021/1060. V izbor operacij so v prvi fazi vključeni nosilci odločanja in predstavniki regij (v okviru svetov regij).</w:t>
            </w:r>
          </w:p>
          <w:p w14:paraId="665A241D" w14:textId="77777777" w:rsidR="00A77B3E" w:rsidRDefault="00A77B3E">
            <w:pPr>
              <w:spacing w:before="5pt"/>
              <w:rPr>
                <w:color w:val="000000"/>
                <w:sz w:val="6"/>
              </w:rPr>
            </w:pPr>
          </w:p>
          <w:p w14:paraId="2B284926" w14:textId="77777777" w:rsidR="00A77B3E" w:rsidRDefault="00A77B3E">
            <w:pPr>
              <w:spacing w:before="5pt"/>
              <w:rPr>
                <w:color w:val="000000"/>
                <w:sz w:val="6"/>
              </w:rPr>
            </w:pPr>
          </w:p>
        </w:tc>
      </w:tr>
    </w:tbl>
    <w:p w14:paraId="4635FC34" w14:textId="77777777" w:rsidR="00A77B3E" w:rsidRDefault="00A77B3E">
      <w:pPr>
        <w:spacing w:before="5pt"/>
        <w:rPr>
          <w:color w:val="000000"/>
        </w:rPr>
      </w:pPr>
    </w:p>
    <w:p w14:paraId="201932FB" w14:textId="77777777" w:rsidR="00A77B3E" w:rsidRDefault="00B16CCF">
      <w:pPr>
        <w:pStyle w:val="Naslov5"/>
        <w:spacing w:before="5pt" w:after="0pt"/>
        <w:rPr>
          <w:b w:val="0"/>
          <w:i w:val="0"/>
          <w:color w:val="000000"/>
          <w:sz w:val="24"/>
        </w:rPr>
      </w:pPr>
      <w:bookmarkStart w:id="45" w:name="_Toc256000806"/>
      <w:r>
        <w:rPr>
          <w:b w:val="0"/>
          <w:i w:val="0"/>
          <w:color w:val="000000"/>
          <w:sz w:val="24"/>
        </w:rPr>
        <w:t>Medregionalni, čezmejni in transnacionalni ukrepi – člen 22(3)(d)(vi) uredbe o skupnih določbah</w:t>
      </w:r>
      <w:bookmarkEnd w:id="45"/>
    </w:p>
    <w:p w14:paraId="01C583B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3E28A624"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5B476C" w14:textId="77777777" w:rsidR="00A77B3E" w:rsidRDefault="00A77B3E">
            <w:pPr>
              <w:spacing w:before="5pt"/>
              <w:rPr>
                <w:color w:val="000000"/>
                <w:sz w:val="0"/>
              </w:rPr>
            </w:pPr>
          </w:p>
          <w:p w14:paraId="75CFAD56" w14:textId="77777777" w:rsidR="00A77B3E" w:rsidRDefault="00B16CCF">
            <w:pPr>
              <w:spacing w:before="5pt"/>
              <w:rPr>
                <w:color w:val="000000"/>
              </w:rPr>
            </w:pPr>
            <w:r>
              <w:rPr>
                <w:color w:val="000000"/>
              </w:rPr>
              <w:t>Medregionalno in čezmejno povezovanje bo potekalo preko subjektov podjetniškega in inovativnega okolja, ki se v okviru čezmejnih projektov povezujejo z drugimi sorodnimi institucijami, s čimer se zagotavlja prenos dobrih praks in krepi sodelovanje različnih deležnikov.</w:t>
            </w:r>
          </w:p>
          <w:p w14:paraId="3B39A870" w14:textId="77777777" w:rsidR="00A77B3E" w:rsidRDefault="00A77B3E">
            <w:pPr>
              <w:spacing w:before="5pt"/>
              <w:rPr>
                <w:color w:val="000000"/>
              </w:rPr>
            </w:pPr>
          </w:p>
          <w:p w14:paraId="2DFFB59E" w14:textId="77777777" w:rsidR="00A77B3E" w:rsidRDefault="00B16CCF">
            <w:pPr>
              <w:spacing w:before="5pt"/>
              <w:rPr>
                <w:color w:val="000000"/>
              </w:rPr>
            </w:pPr>
            <w:r>
              <w:rPr>
                <w:color w:val="000000"/>
              </w:rPr>
              <w:t>Z namenom spodbujanja raznolike turistične ponudbe (izdelkov in storitev) v okviru trajnostnega turizma je v okviru makroregionalnih strategij (EUSAIR in EUSDR – Strategija EU za Podonavje) podprt 5. FLAGSHIP 5: “Razvoj trajnostnih in tematskih kulturnih poti/povezovanje kulturnih poti v EUSAIR. (AIR KULTURNE POTI)". Vsebina ukrepa ima sorodno vsebinsko podlago v načrtovanih ukrepih vseh štirih čezmejnih IP in transnacionalnih programih (predvsem TP Srednja Evropa, Interreg IPA Adrion in Evro-MED).</w:t>
            </w:r>
          </w:p>
          <w:p w14:paraId="45E73B93" w14:textId="77777777" w:rsidR="00A77B3E" w:rsidRDefault="00A77B3E">
            <w:pPr>
              <w:spacing w:before="5pt"/>
              <w:rPr>
                <w:color w:val="000000"/>
              </w:rPr>
            </w:pPr>
          </w:p>
          <w:p w14:paraId="52E553B0" w14:textId="77777777" w:rsidR="00A77B3E" w:rsidRDefault="00B16CCF">
            <w:pPr>
              <w:spacing w:before="5pt"/>
              <w:rPr>
                <w:color w:val="000000"/>
              </w:rPr>
            </w:pPr>
            <w:r>
              <w:rPr>
                <w:color w:val="000000"/>
              </w:rPr>
              <w:t>Spodbujanje sodelovanj oz. sinergij med programi Interreg in RSO1.3 bo zagotovljeno tudi s sodelovanjem predstavnika Organa upravljanja Cilja 1 v makro regionalnih strategijah in sodelovanjem s člani odborov za spremljanje v Interreg programih.</w:t>
            </w:r>
          </w:p>
          <w:p w14:paraId="42C8663F" w14:textId="77777777" w:rsidR="00A77B3E" w:rsidRDefault="00A77B3E">
            <w:pPr>
              <w:spacing w:before="5pt"/>
              <w:rPr>
                <w:color w:val="000000"/>
                <w:sz w:val="6"/>
              </w:rPr>
            </w:pPr>
          </w:p>
          <w:p w14:paraId="1D075A87" w14:textId="77777777" w:rsidR="00A77B3E" w:rsidRDefault="00A77B3E">
            <w:pPr>
              <w:spacing w:before="5pt"/>
              <w:rPr>
                <w:color w:val="000000"/>
                <w:sz w:val="6"/>
              </w:rPr>
            </w:pPr>
          </w:p>
        </w:tc>
      </w:tr>
    </w:tbl>
    <w:p w14:paraId="387A764A" w14:textId="77777777" w:rsidR="00A77B3E" w:rsidRDefault="00A77B3E">
      <w:pPr>
        <w:spacing w:before="5pt"/>
        <w:rPr>
          <w:color w:val="000000"/>
        </w:rPr>
      </w:pPr>
    </w:p>
    <w:p w14:paraId="4D18CC19" w14:textId="77777777" w:rsidR="00A77B3E" w:rsidRDefault="00B16CCF">
      <w:pPr>
        <w:pStyle w:val="Naslov5"/>
        <w:spacing w:before="5pt" w:after="0pt"/>
        <w:rPr>
          <w:b w:val="0"/>
          <w:i w:val="0"/>
          <w:color w:val="000000"/>
          <w:sz w:val="24"/>
        </w:rPr>
      </w:pPr>
      <w:bookmarkStart w:id="46" w:name="_Toc256000807"/>
      <w:r>
        <w:rPr>
          <w:b w:val="0"/>
          <w:i w:val="0"/>
          <w:color w:val="000000"/>
          <w:sz w:val="24"/>
        </w:rPr>
        <w:t>Načrtovana uporaba finančnih instrumentov – člen 22(3)(d)(vii) uredbe o skupnih določbah</w:t>
      </w:r>
      <w:bookmarkEnd w:id="46"/>
    </w:p>
    <w:p w14:paraId="4B5AC56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47C2ACCC"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53F6F4" w14:textId="77777777" w:rsidR="00A77B3E" w:rsidRDefault="00A77B3E">
            <w:pPr>
              <w:spacing w:before="5pt"/>
              <w:rPr>
                <w:color w:val="000000"/>
                <w:sz w:val="0"/>
              </w:rPr>
            </w:pPr>
          </w:p>
          <w:p w14:paraId="5435D61E" w14:textId="77777777" w:rsidR="00A77B3E" w:rsidRDefault="00B16CCF">
            <w:pPr>
              <w:spacing w:before="5pt"/>
              <w:rPr>
                <w:color w:val="000000"/>
              </w:rPr>
            </w:pPr>
            <w:r>
              <w:rPr>
                <w:color w:val="000000"/>
              </w:rPr>
              <w:t>Predhodna ocena potreb trga in vrzeli financiranja na trgu za izvajanje finančnih instrumentov v programskem obdobju 2021-2027 (julij 2022, posodobljeno z market testi v juliju, avgustu in oktobru 2024) je na opredeljenem tematskem naložbenem področju ugotovila vrzel. Uporaba finančnih instrumentov je predvidena. V Programu je podan indikativen obseg sredstev, namenjenih za FI. Konkreten obseg, vrste FI in optimalno alokacijo sredstev bomo oblikovali na podlagi odločitve o izbrani strukturi upravljanja FI in možnega obsega zagotavljanja sredstev za FI kot podporo nacionalnim virom.</w:t>
            </w:r>
          </w:p>
          <w:p w14:paraId="306410E5" w14:textId="77777777" w:rsidR="00A77B3E" w:rsidRDefault="00A77B3E">
            <w:pPr>
              <w:spacing w:before="5pt"/>
              <w:rPr>
                <w:color w:val="000000"/>
                <w:sz w:val="6"/>
              </w:rPr>
            </w:pPr>
          </w:p>
          <w:p w14:paraId="09E8EC6C" w14:textId="77777777" w:rsidR="00A77B3E" w:rsidRDefault="00A77B3E">
            <w:pPr>
              <w:spacing w:before="5pt"/>
              <w:rPr>
                <w:color w:val="000000"/>
                <w:sz w:val="6"/>
              </w:rPr>
            </w:pPr>
          </w:p>
        </w:tc>
      </w:tr>
    </w:tbl>
    <w:p w14:paraId="126BE57B" w14:textId="77777777" w:rsidR="00A77B3E" w:rsidRDefault="00A77B3E">
      <w:pPr>
        <w:spacing w:before="5pt"/>
        <w:rPr>
          <w:color w:val="000000"/>
        </w:rPr>
      </w:pPr>
    </w:p>
    <w:p w14:paraId="504F4B37" w14:textId="77777777" w:rsidR="00A77B3E" w:rsidRDefault="00B16CCF">
      <w:pPr>
        <w:pStyle w:val="Naslov4"/>
        <w:spacing w:before="5pt" w:after="0pt"/>
        <w:rPr>
          <w:b w:val="0"/>
          <w:color w:val="000000"/>
          <w:sz w:val="24"/>
        </w:rPr>
      </w:pPr>
      <w:bookmarkStart w:id="47" w:name="_Toc256000808"/>
      <w:r>
        <w:rPr>
          <w:b w:val="0"/>
          <w:color w:val="000000"/>
          <w:sz w:val="24"/>
        </w:rPr>
        <w:t>2.1.1.1.2. Kazalniki</w:t>
      </w:r>
      <w:bookmarkEnd w:id="47"/>
    </w:p>
    <w:p w14:paraId="0D056B47" w14:textId="77777777" w:rsidR="00A77B3E" w:rsidRDefault="00A77B3E">
      <w:pPr>
        <w:spacing w:before="5pt"/>
        <w:rPr>
          <w:color w:val="000000"/>
          <w:sz w:val="0"/>
        </w:rPr>
      </w:pPr>
    </w:p>
    <w:p w14:paraId="23F144A8" w14:textId="77777777" w:rsidR="00A77B3E" w:rsidRDefault="00B16CCF">
      <w:pPr>
        <w:spacing w:before="5pt"/>
        <w:rPr>
          <w:color w:val="000000"/>
          <w:sz w:val="0"/>
        </w:rPr>
      </w:pPr>
      <w:r>
        <w:rPr>
          <w:color w:val="000000"/>
        </w:rPr>
        <w:t>Sklic: člen 22(3)(d)(ii) uredbe o skupnih določbah in člen 8 uredbe o ESRR in Kohezijskem skladu</w:t>
      </w:r>
    </w:p>
    <w:p w14:paraId="79E3ADE8" w14:textId="77777777" w:rsidR="00A77B3E" w:rsidRDefault="00B16CCF">
      <w:pPr>
        <w:pStyle w:val="Naslov5"/>
        <w:spacing w:before="5pt" w:after="0pt"/>
        <w:rPr>
          <w:b w:val="0"/>
          <w:i w:val="0"/>
          <w:color w:val="000000"/>
          <w:sz w:val="24"/>
        </w:rPr>
      </w:pPr>
      <w:bookmarkStart w:id="48" w:name="_Toc256000809"/>
      <w:r>
        <w:rPr>
          <w:b w:val="0"/>
          <w:i w:val="0"/>
          <w:color w:val="000000"/>
          <w:sz w:val="24"/>
        </w:rPr>
        <w:t>Tabela 2: Kazalniki učinka</w:t>
      </w:r>
      <w:bookmarkEnd w:id="48"/>
    </w:p>
    <w:p w14:paraId="2E93850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81"/>
        <w:gridCol w:w="1736"/>
        <w:gridCol w:w="1158"/>
        <w:gridCol w:w="1799"/>
        <w:gridCol w:w="2088"/>
        <w:gridCol w:w="2254"/>
        <w:gridCol w:w="1426"/>
        <w:gridCol w:w="1301"/>
        <w:gridCol w:w="1529"/>
      </w:tblGrid>
      <w:tr w:rsidR="00823317" w14:paraId="73C40B2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6459F4" w14:textId="77777777" w:rsidR="00A77B3E" w:rsidRDefault="00B16CCF">
            <w:pPr>
              <w:spacing w:before="5pt"/>
              <w:jc w:val="center"/>
              <w:rPr>
                <w:color w:val="000000"/>
                <w:sz w:val="20"/>
              </w:rPr>
            </w:pPr>
            <w:r>
              <w:rPr>
                <w:color w:val="000000"/>
                <w:sz w:val="20"/>
              </w:rPr>
              <w:lastRenderedPageBreak/>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DBC6BF"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6476CF"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2ED2D8"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5B74AC"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97B9E8"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C3E7CD"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A07A3D" w14:textId="77777777" w:rsidR="00A77B3E" w:rsidRDefault="00B16CCF">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7E5D09" w14:textId="77777777" w:rsidR="00A77B3E" w:rsidRDefault="00B16CCF">
            <w:pPr>
              <w:spacing w:before="5pt"/>
              <w:jc w:val="center"/>
              <w:rPr>
                <w:color w:val="000000"/>
                <w:sz w:val="20"/>
              </w:rPr>
            </w:pPr>
            <w:r>
              <w:rPr>
                <w:color w:val="000000"/>
                <w:sz w:val="20"/>
              </w:rPr>
              <w:t>Cilj (2029)</w:t>
            </w:r>
          </w:p>
        </w:tc>
      </w:tr>
      <w:tr w:rsidR="00823317" w14:paraId="74A20E5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ED55D9"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034EF5" w14:textId="77777777" w:rsidR="00A77B3E" w:rsidRDefault="00B16CCF">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F8E0C6"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D3E89D"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8FC353" w14:textId="77777777" w:rsidR="00A77B3E" w:rsidRDefault="00B16CCF">
            <w:pPr>
              <w:spacing w:before="5pt"/>
              <w:rPr>
                <w:color w:val="000000"/>
                <w:sz w:val="20"/>
              </w:rPr>
            </w:pPr>
            <w:r>
              <w:rPr>
                <w:color w:val="000000"/>
                <w:sz w:val="20"/>
              </w:rPr>
              <w:t>RCO01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451D65" w14:textId="77777777" w:rsidR="00A77B3E" w:rsidRDefault="00B16CCF">
            <w:pPr>
              <w:spacing w:before="5pt"/>
              <w:rPr>
                <w:color w:val="000000"/>
                <w:sz w:val="20"/>
              </w:rPr>
            </w:pPr>
            <w:r>
              <w:rPr>
                <w:color w:val="000000"/>
                <w:sz w:val="20"/>
              </w:rPr>
              <w:t>Podjetja, ki so prejela podporo (od tega: mikro, mala, srednja, velika)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858828" w14:textId="77777777" w:rsidR="00A77B3E" w:rsidRDefault="00B16CCF">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C51F8D" w14:textId="77777777" w:rsidR="00A77B3E" w:rsidRDefault="00B16CCF">
            <w:pPr>
              <w:spacing w:before="5pt"/>
              <w:jc w:val="end"/>
              <w:rPr>
                <w:color w:val="000000"/>
                <w:sz w:val="20"/>
              </w:rPr>
            </w:pPr>
            <w:r>
              <w:rPr>
                <w:color w:val="000000"/>
                <w:sz w:val="20"/>
              </w:rPr>
              <w:t>388,00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5846D4" w14:textId="77777777" w:rsidR="00A77B3E" w:rsidRDefault="00B16CCF">
            <w:pPr>
              <w:spacing w:before="5pt"/>
              <w:jc w:val="end"/>
              <w:rPr>
                <w:color w:val="000000"/>
                <w:sz w:val="20"/>
              </w:rPr>
            </w:pPr>
            <w:r>
              <w:rPr>
                <w:color w:val="000000"/>
                <w:sz w:val="20"/>
              </w:rPr>
              <w:t>3.670,00</w:t>
            </w:r>
          </w:p>
        </w:tc>
      </w:tr>
      <w:tr w:rsidR="00823317" w14:paraId="7513316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0D7CA6"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7399CA" w14:textId="77777777" w:rsidR="00A77B3E" w:rsidRDefault="00B16CCF">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DF97AC"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CA91A6"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428A49" w14:textId="77777777" w:rsidR="00A77B3E" w:rsidRDefault="00B16CCF">
            <w:pPr>
              <w:spacing w:before="5pt"/>
              <w:rPr>
                <w:color w:val="000000"/>
                <w:sz w:val="20"/>
              </w:rPr>
            </w:pPr>
            <w:r>
              <w:rPr>
                <w:color w:val="000000"/>
                <w:sz w:val="20"/>
              </w:rPr>
              <w:t>RCO02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BFEB76" w14:textId="77777777" w:rsidR="00A77B3E" w:rsidRDefault="00B16CCF">
            <w:pPr>
              <w:spacing w:before="5pt"/>
              <w:rPr>
                <w:color w:val="000000"/>
                <w:sz w:val="20"/>
              </w:rPr>
            </w:pPr>
            <w:r>
              <w:rPr>
                <w:color w:val="000000"/>
                <w:sz w:val="20"/>
              </w:rPr>
              <w:t>Podjetja, ki so prejela podporo v obliki nepovratnih sredstev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B8D8A5" w14:textId="77777777" w:rsidR="00A77B3E" w:rsidRDefault="00B16CCF">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5C166B" w14:textId="77777777" w:rsidR="00A77B3E" w:rsidRDefault="00B16CCF">
            <w:pPr>
              <w:spacing w:before="5pt"/>
              <w:jc w:val="end"/>
              <w:rPr>
                <w:color w:val="000000"/>
                <w:sz w:val="20"/>
              </w:rPr>
            </w:pPr>
            <w:r>
              <w:rPr>
                <w:color w:val="000000"/>
                <w:sz w:val="20"/>
              </w:rPr>
              <w:t>89,00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D4F6F7" w14:textId="77777777" w:rsidR="00A77B3E" w:rsidRDefault="00B16CCF">
            <w:pPr>
              <w:spacing w:before="5pt"/>
              <w:jc w:val="end"/>
              <w:rPr>
                <w:color w:val="000000"/>
                <w:sz w:val="20"/>
              </w:rPr>
            </w:pPr>
            <w:r>
              <w:rPr>
                <w:color w:val="000000"/>
                <w:sz w:val="20"/>
              </w:rPr>
              <w:t>2.154,00</w:t>
            </w:r>
          </w:p>
        </w:tc>
      </w:tr>
      <w:tr w:rsidR="00823317" w14:paraId="08447F7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5A334C"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6EDB87" w14:textId="77777777" w:rsidR="00A77B3E" w:rsidRDefault="00B16CCF">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E899B1"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5CF85D"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B0D230" w14:textId="77777777" w:rsidR="00A77B3E" w:rsidRDefault="00B16CCF">
            <w:pPr>
              <w:spacing w:before="5pt"/>
              <w:rPr>
                <w:color w:val="000000"/>
                <w:sz w:val="20"/>
              </w:rPr>
            </w:pPr>
            <w:r>
              <w:rPr>
                <w:color w:val="000000"/>
                <w:sz w:val="20"/>
              </w:rPr>
              <w:t>RCO03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7C6370" w14:textId="77777777" w:rsidR="00A77B3E" w:rsidRDefault="00B16CCF">
            <w:pPr>
              <w:spacing w:before="5pt"/>
              <w:rPr>
                <w:color w:val="000000"/>
                <w:sz w:val="20"/>
              </w:rPr>
            </w:pPr>
            <w:r>
              <w:rPr>
                <w:color w:val="000000"/>
                <w:sz w:val="20"/>
              </w:rPr>
              <w:t>Podjetja, ki so prejela podporo v obliki finančnih instrumentov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FF9E06" w14:textId="77777777" w:rsidR="00A77B3E" w:rsidRDefault="00B16CCF">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5E19F4"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169450" w14:textId="77777777" w:rsidR="00A77B3E" w:rsidRDefault="00B16CCF">
            <w:pPr>
              <w:spacing w:before="5pt"/>
              <w:jc w:val="end"/>
              <w:rPr>
                <w:color w:val="000000"/>
                <w:sz w:val="20"/>
              </w:rPr>
            </w:pPr>
            <w:r>
              <w:rPr>
                <w:color w:val="000000"/>
                <w:sz w:val="20"/>
              </w:rPr>
              <w:t>139,00</w:t>
            </w:r>
          </w:p>
        </w:tc>
      </w:tr>
      <w:tr w:rsidR="00823317" w14:paraId="6E8ED85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DB50EC"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BC5343" w14:textId="77777777" w:rsidR="00A77B3E" w:rsidRDefault="00B16CCF">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D30FE6"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15CD3B"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6F591A" w14:textId="77777777" w:rsidR="00A77B3E" w:rsidRDefault="00B16CCF">
            <w:pPr>
              <w:spacing w:before="5pt"/>
              <w:rPr>
                <w:color w:val="000000"/>
                <w:sz w:val="20"/>
              </w:rPr>
            </w:pPr>
            <w:r>
              <w:rPr>
                <w:color w:val="000000"/>
                <w:sz w:val="20"/>
              </w:rPr>
              <w:t>RCO04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BA2046" w14:textId="77777777" w:rsidR="00A77B3E" w:rsidRDefault="00B16CCF">
            <w:pPr>
              <w:spacing w:before="5pt"/>
              <w:rPr>
                <w:color w:val="000000"/>
                <w:sz w:val="20"/>
              </w:rPr>
            </w:pPr>
            <w:r>
              <w:rPr>
                <w:color w:val="000000"/>
                <w:sz w:val="20"/>
              </w:rPr>
              <w:t>Podjetja z nefinančno podporo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74F180" w14:textId="77777777" w:rsidR="00A77B3E" w:rsidRDefault="00B16CCF">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618DB3" w14:textId="77777777" w:rsidR="00A77B3E" w:rsidRDefault="00B16CCF">
            <w:pPr>
              <w:spacing w:before="5pt"/>
              <w:jc w:val="end"/>
              <w:rPr>
                <w:color w:val="000000"/>
                <w:sz w:val="20"/>
              </w:rPr>
            </w:pPr>
            <w:r>
              <w:rPr>
                <w:color w:val="000000"/>
                <w:sz w:val="20"/>
              </w:rPr>
              <w:t>445,00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85C977" w14:textId="77777777" w:rsidR="00A77B3E" w:rsidRDefault="00B16CCF">
            <w:pPr>
              <w:spacing w:before="5pt"/>
              <w:jc w:val="end"/>
              <w:rPr>
                <w:color w:val="000000"/>
                <w:sz w:val="20"/>
              </w:rPr>
            </w:pPr>
            <w:r>
              <w:rPr>
                <w:color w:val="000000"/>
                <w:sz w:val="20"/>
              </w:rPr>
              <w:t>2.220,00</w:t>
            </w:r>
          </w:p>
        </w:tc>
      </w:tr>
      <w:tr w:rsidR="00823317" w14:paraId="7A80233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0E409E"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D1E476" w14:textId="77777777" w:rsidR="00A77B3E" w:rsidRDefault="00B16CCF">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364E78"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6D35FF"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BD60C3" w14:textId="77777777" w:rsidR="00A77B3E" w:rsidRDefault="00B16CCF">
            <w:pPr>
              <w:spacing w:before="5pt"/>
              <w:rPr>
                <w:color w:val="000000"/>
                <w:sz w:val="20"/>
              </w:rPr>
            </w:pPr>
            <w:r>
              <w:rPr>
                <w:color w:val="000000"/>
                <w:sz w:val="20"/>
              </w:rPr>
              <w:t>RCO05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35ECAF" w14:textId="77777777" w:rsidR="00A77B3E" w:rsidRDefault="00B16CCF">
            <w:pPr>
              <w:spacing w:before="5pt"/>
              <w:rPr>
                <w:color w:val="000000"/>
                <w:sz w:val="20"/>
              </w:rPr>
            </w:pPr>
            <w:r>
              <w:rPr>
                <w:color w:val="000000"/>
                <w:sz w:val="20"/>
              </w:rPr>
              <w:t>Nova podjetja, ki so prejela podporo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C5D93B" w14:textId="77777777" w:rsidR="00A77B3E" w:rsidRDefault="00B16CCF">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2B763C" w14:textId="77777777" w:rsidR="00A77B3E" w:rsidRDefault="00B16CCF">
            <w:pPr>
              <w:spacing w:before="5pt"/>
              <w:jc w:val="end"/>
              <w:rPr>
                <w:color w:val="000000"/>
                <w:sz w:val="20"/>
              </w:rPr>
            </w:pPr>
            <w:r>
              <w:rPr>
                <w:color w:val="000000"/>
                <w:sz w:val="20"/>
              </w:rPr>
              <w:t>20,00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63D8C6" w14:textId="77777777" w:rsidR="00A77B3E" w:rsidRDefault="00B16CCF">
            <w:pPr>
              <w:spacing w:before="5pt"/>
              <w:jc w:val="end"/>
              <w:rPr>
                <w:color w:val="000000"/>
                <w:sz w:val="20"/>
              </w:rPr>
            </w:pPr>
            <w:r>
              <w:rPr>
                <w:color w:val="000000"/>
                <w:sz w:val="20"/>
              </w:rPr>
              <w:t>675,00</w:t>
            </w:r>
          </w:p>
        </w:tc>
      </w:tr>
      <w:tr w:rsidR="00823317" w14:paraId="2DE52BE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D47FA7"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31EED4" w14:textId="77777777" w:rsidR="00A77B3E" w:rsidRDefault="00B16CCF">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A40797"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C41E20"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C46540"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6D27DC" w14:textId="77777777" w:rsidR="00A77B3E" w:rsidRDefault="00B16CCF">
            <w:pPr>
              <w:spacing w:before="5pt"/>
              <w:rPr>
                <w:color w:val="000000"/>
                <w:sz w:val="20"/>
              </w:rPr>
            </w:pPr>
            <w:r>
              <w:rPr>
                <w:color w:val="000000"/>
                <w:sz w:val="20"/>
              </w:rPr>
              <w:t>Projekti turističnih destinacij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9EF412" w14:textId="77777777" w:rsidR="00A77B3E" w:rsidRDefault="00B16CCF">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062583" w14:textId="77777777" w:rsidR="00A77B3E" w:rsidRDefault="00B16CCF">
            <w:pPr>
              <w:spacing w:before="5pt"/>
              <w:jc w:val="end"/>
              <w:rPr>
                <w:color w:val="000000"/>
                <w:sz w:val="20"/>
              </w:rPr>
            </w:pPr>
            <w:r>
              <w:rPr>
                <w:color w:val="000000"/>
                <w:sz w:val="20"/>
              </w:rPr>
              <w:t>15,00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D9FDAB" w14:textId="77777777" w:rsidR="00A77B3E" w:rsidRDefault="00B16CCF">
            <w:pPr>
              <w:spacing w:before="5pt"/>
              <w:jc w:val="end"/>
              <w:rPr>
                <w:color w:val="000000"/>
                <w:sz w:val="20"/>
              </w:rPr>
            </w:pPr>
            <w:r>
              <w:rPr>
                <w:color w:val="000000"/>
                <w:sz w:val="20"/>
              </w:rPr>
              <w:t>15,00</w:t>
            </w:r>
          </w:p>
        </w:tc>
      </w:tr>
      <w:tr w:rsidR="00823317" w14:paraId="7C4BD83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D18818"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5ED863" w14:textId="77777777" w:rsidR="00A77B3E" w:rsidRDefault="00B16CCF">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A01560"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60BB52"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FF2284" w14:textId="77777777" w:rsidR="00A77B3E" w:rsidRDefault="00B16CCF">
            <w:pPr>
              <w:spacing w:before="5pt"/>
              <w:rPr>
                <w:color w:val="000000"/>
                <w:sz w:val="20"/>
              </w:rPr>
            </w:pPr>
            <w:r>
              <w:rPr>
                <w:color w:val="000000"/>
                <w:sz w:val="20"/>
              </w:rPr>
              <w:t>015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DBE0BF" w14:textId="77777777" w:rsidR="00A77B3E" w:rsidRDefault="00B16CCF">
            <w:pPr>
              <w:spacing w:before="5pt"/>
              <w:rPr>
                <w:color w:val="000000"/>
                <w:sz w:val="20"/>
              </w:rPr>
            </w:pPr>
            <w:r>
              <w:rPr>
                <w:color w:val="000000"/>
                <w:sz w:val="20"/>
              </w:rPr>
              <w:t>Število vključenih oseb v podjetniško usposabljanje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49BB1B" w14:textId="77777777" w:rsidR="00A77B3E" w:rsidRDefault="00B16CCF">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9BCBBC"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E3A55F" w14:textId="77777777" w:rsidR="00A77B3E" w:rsidRDefault="00B16CCF">
            <w:pPr>
              <w:spacing w:before="5pt"/>
              <w:jc w:val="end"/>
              <w:rPr>
                <w:color w:val="000000"/>
                <w:sz w:val="20"/>
              </w:rPr>
            </w:pPr>
            <w:r>
              <w:rPr>
                <w:color w:val="000000"/>
                <w:sz w:val="20"/>
              </w:rPr>
              <w:t>424,00</w:t>
            </w:r>
          </w:p>
        </w:tc>
      </w:tr>
      <w:tr w:rsidR="00823317" w14:paraId="7D72D18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B2CAB8"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179762" w14:textId="77777777" w:rsidR="00A77B3E" w:rsidRDefault="00B16CCF">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1780B0"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B0C3F7"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5AC760" w14:textId="77777777" w:rsidR="00A77B3E" w:rsidRDefault="00B16CCF">
            <w:pPr>
              <w:spacing w:before="5pt"/>
              <w:rPr>
                <w:color w:val="000000"/>
                <w:sz w:val="20"/>
              </w:rPr>
            </w:pPr>
            <w:r>
              <w:rPr>
                <w:color w:val="000000"/>
                <w:sz w:val="20"/>
              </w:rPr>
              <w:t>RCO01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9F9640" w14:textId="77777777" w:rsidR="00A77B3E" w:rsidRDefault="00B16CCF">
            <w:pPr>
              <w:spacing w:before="5pt"/>
              <w:rPr>
                <w:color w:val="000000"/>
                <w:sz w:val="20"/>
              </w:rPr>
            </w:pPr>
            <w:r>
              <w:rPr>
                <w:color w:val="000000"/>
                <w:sz w:val="20"/>
              </w:rPr>
              <w:t>Podjetja, ki so prejela podporo (od tega: mikro, mala, srednja, velika)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53F00F" w14:textId="77777777" w:rsidR="00A77B3E" w:rsidRDefault="00B16CCF">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2D7558" w14:textId="77777777" w:rsidR="00A77B3E" w:rsidRDefault="00B16CCF">
            <w:pPr>
              <w:spacing w:before="5pt"/>
              <w:jc w:val="end"/>
              <w:rPr>
                <w:color w:val="000000"/>
                <w:sz w:val="20"/>
              </w:rPr>
            </w:pPr>
            <w:r>
              <w:rPr>
                <w:color w:val="000000"/>
                <w:sz w:val="20"/>
              </w:rPr>
              <w:t>534,00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FBA197" w14:textId="77777777" w:rsidR="00A77B3E" w:rsidRDefault="00B16CCF">
            <w:pPr>
              <w:spacing w:before="5pt"/>
              <w:jc w:val="end"/>
              <w:rPr>
                <w:color w:val="000000"/>
                <w:sz w:val="20"/>
              </w:rPr>
            </w:pPr>
            <w:r>
              <w:rPr>
                <w:color w:val="000000"/>
                <w:sz w:val="20"/>
              </w:rPr>
              <w:t>4.950,00</w:t>
            </w:r>
          </w:p>
        </w:tc>
      </w:tr>
      <w:tr w:rsidR="00823317" w14:paraId="68DDC68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DE1B2A"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C4E75C" w14:textId="77777777" w:rsidR="00A77B3E" w:rsidRDefault="00B16CCF">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EC8ABE"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935818"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A7459F" w14:textId="77777777" w:rsidR="00A77B3E" w:rsidRDefault="00B16CCF">
            <w:pPr>
              <w:spacing w:before="5pt"/>
              <w:rPr>
                <w:color w:val="000000"/>
                <w:sz w:val="20"/>
              </w:rPr>
            </w:pPr>
            <w:r>
              <w:rPr>
                <w:color w:val="000000"/>
                <w:sz w:val="20"/>
              </w:rPr>
              <w:t>RCO02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26A161" w14:textId="77777777" w:rsidR="00A77B3E" w:rsidRDefault="00B16CCF">
            <w:pPr>
              <w:spacing w:before="5pt"/>
              <w:rPr>
                <w:color w:val="000000"/>
                <w:sz w:val="20"/>
              </w:rPr>
            </w:pPr>
            <w:r>
              <w:rPr>
                <w:color w:val="000000"/>
                <w:sz w:val="20"/>
              </w:rPr>
              <w:t>Podjetja, ki so prejela podporo v obliki nepovratnih sredstev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09DE0F" w14:textId="77777777" w:rsidR="00A77B3E" w:rsidRDefault="00B16CCF">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98946F" w14:textId="77777777" w:rsidR="00A77B3E" w:rsidRDefault="00B16CCF">
            <w:pPr>
              <w:spacing w:before="5pt"/>
              <w:jc w:val="end"/>
              <w:rPr>
                <w:color w:val="000000"/>
                <w:sz w:val="20"/>
              </w:rPr>
            </w:pPr>
            <w:r>
              <w:rPr>
                <w:color w:val="000000"/>
                <w:sz w:val="20"/>
              </w:rPr>
              <w:t>128,00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831588" w14:textId="77777777" w:rsidR="00A77B3E" w:rsidRDefault="00B16CCF">
            <w:pPr>
              <w:spacing w:before="5pt"/>
              <w:jc w:val="end"/>
              <w:rPr>
                <w:color w:val="000000"/>
                <w:sz w:val="20"/>
              </w:rPr>
            </w:pPr>
            <w:r>
              <w:rPr>
                <w:color w:val="000000"/>
                <w:sz w:val="20"/>
              </w:rPr>
              <w:t>2.880,00</w:t>
            </w:r>
          </w:p>
        </w:tc>
      </w:tr>
      <w:tr w:rsidR="00823317" w14:paraId="2655DCC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159411"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DE090D" w14:textId="77777777" w:rsidR="00A77B3E" w:rsidRDefault="00B16CCF">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0DE606"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3E7E20"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79548A" w14:textId="77777777" w:rsidR="00A77B3E" w:rsidRDefault="00B16CCF">
            <w:pPr>
              <w:spacing w:before="5pt"/>
              <w:rPr>
                <w:color w:val="000000"/>
                <w:sz w:val="20"/>
              </w:rPr>
            </w:pPr>
            <w:r>
              <w:rPr>
                <w:color w:val="000000"/>
                <w:sz w:val="20"/>
              </w:rPr>
              <w:t>RCO03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ACED79" w14:textId="77777777" w:rsidR="00A77B3E" w:rsidRDefault="00B16CCF">
            <w:pPr>
              <w:spacing w:before="5pt"/>
              <w:rPr>
                <w:color w:val="000000"/>
                <w:sz w:val="20"/>
              </w:rPr>
            </w:pPr>
            <w:r>
              <w:rPr>
                <w:color w:val="000000"/>
                <w:sz w:val="20"/>
              </w:rPr>
              <w:t>Podjetja, ki so prejela podporo v obliki finančnih instrumentov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1F35C5" w14:textId="77777777" w:rsidR="00A77B3E" w:rsidRDefault="00B16CCF">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5E6EE1"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D07CF0" w14:textId="77777777" w:rsidR="00A77B3E" w:rsidRDefault="00B16CCF">
            <w:pPr>
              <w:spacing w:before="5pt"/>
              <w:jc w:val="end"/>
              <w:rPr>
                <w:color w:val="000000"/>
                <w:sz w:val="20"/>
              </w:rPr>
            </w:pPr>
            <w:r>
              <w:rPr>
                <w:color w:val="000000"/>
                <w:sz w:val="20"/>
              </w:rPr>
              <w:t>105,00</w:t>
            </w:r>
          </w:p>
        </w:tc>
      </w:tr>
      <w:tr w:rsidR="00823317" w14:paraId="5E368CB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04879A"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D304B3" w14:textId="77777777" w:rsidR="00A77B3E" w:rsidRDefault="00B16CCF">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681421"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D90C4F"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B9EFC5" w14:textId="77777777" w:rsidR="00A77B3E" w:rsidRDefault="00B16CCF">
            <w:pPr>
              <w:spacing w:before="5pt"/>
              <w:rPr>
                <w:color w:val="000000"/>
                <w:sz w:val="20"/>
              </w:rPr>
            </w:pPr>
            <w:r>
              <w:rPr>
                <w:color w:val="000000"/>
                <w:sz w:val="20"/>
              </w:rPr>
              <w:t>RCO04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300D78" w14:textId="77777777" w:rsidR="00A77B3E" w:rsidRDefault="00B16CCF">
            <w:pPr>
              <w:spacing w:before="5pt"/>
              <w:rPr>
                <w:color w:val="000000"/>
                <w:sz w:val="20"/>
              </w:rPr>
            </w:pPr>
            <w:r>
              <w:rPr>
                <w:color w:val="000000"/>
                <w:sz w:val="20"/>
              </w:rPr>
              <w:t>Podjetja z nefinančno podporo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817136" w14:textId="77777777" w:rsidR="00A77B3E" w:rsidRDefault="00B16CCF">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E0FC6E" w14:textId="77777777" w:rsidR="00A77B3E" w:rsidRDefault="00B16CCF">
            <w:pPr>
              <w:spacing w:before="5pt"/>
              <w:jc w:val="end"/>
              <w:rPr>
                <w:color w:val="000000"/>
                <w:sz w:val="20"/>
              </w:rPr>
            </w:pPr>
            <w:r>
              <w:rPr>
                <w:color w:val="000000"/>
                <w:sz w:val="20"/>
              </w:rPr>
              <w:t>625,00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4103AB" w14:textId="77777777" w:rsidR="00A77B3E" w:rsidRDefault="00B16CCF">
            <w:pPr>
              <w:spacing w:before="5pt"/>
              <w:jc w:val="end"/>
              <w:rPr>
                <w:color w:val="000000"/>
                <w:sz w:val="20"/>
              </w:rPr>
            </w:pPr>
            <w:r>
              <w:rPr>
                <w:color w:val="000000"/>
                <w:sz w:val="20"/>
              </w:rPr>
              <w:t>3.173,00</w:t>
            </w:r>
          </w:p>
        </w:tc>
      </w:tr>
      <w:tr w:rsidR="00823317" w14:paraId="7954308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C02668"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8E6840" w14:textId="77777777" w:rsidR="00A77B3E" w:rsidRDefault="00B16CCF">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4264DA"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23AD94"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C6CAF4" w14:textId="77777777" w:rsidR="00A77B3E" w:rsidRDefault="00B16CCF">
            <w:pPr>
              <w:spacing w:before="5pt"/>
              <w:rPr>
                <w:color w:val="000000"/>
                <w:sz w:val="20"/>
              </w:rPr>
            </w:pPr>
            <w:r>
              <w:rPr>
                <w:color w:val="000000"/>
                <w:sz w:val="20"/>
              </w:rPr>
              <w:t>RCO05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64B15C" w14:textId="77777777" w:rsidR="00A77B3E" w:rsidRDefault="00B16CCF">
            <w:pPr>
              <w:spacing w:before="5pt"/>
              <w:rPr>
                <w:color w:val="000000"/>
                <w:sz w:val="20"/>
              </w:rPr>
            </w:pPr>
            <w:r>
              <w:rPr>
                <w:color w:val="000000"/>
                <w:sz w:val="20"/>
              </w:rPr>
              <w:t>Nova podjetja, ki so prejela podporo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F4CB2D" w14:textId="77777777" w:rsidR="00A77B3E" w:rsidRDefault="00B16CCF">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232C08" w14:textId="77777777" w:rsidR="00A77B3E" w:rsidRDefault="00B16CCF">
            <w:pPr>
              <w:spacing w:before="5pt"/>
              <w:jc w:val="end"/>
              <w:rPr>
                <w:color w:val="000000"/>
                <w:sz w:val="20"/>
              </w:rPr>
            </w:pPr>
            <w:r>
              <w:rPr>
                <w:color w:val="000000"/>
                <w:sz w:val="20"/>
              </w:rPr>
              <w:t>36,00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5CE89B" w14:textId="77777777" w:rsidR="00A77B3E" w:rsidRDefault="00B16CCF">
            <w:pPr>
              <w:spacing w:before="5pt"/>
              <w:jc w:val="end"/>
              <w:rPr>
                <w:color w:val="000000"/>
                <w:sz w:val="20"/>
              </w:rPr>
            </w:pPr>
            <w:r>
              <w:rPr>
                <w:color w:val="000000"/>
                <w:sz w:val="20"/>
              </w:rPr>
              <w:t>1.198,00</w:t>
            </w:r>
          </w:p>
        </w:tc>
      </w:tr>
      <w:tr w:rsidR="00823317" w14:paraId="0E7BEA9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D711C0"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D0B0B8" w14:textId="77777777" w:rsidR="00A77B3E" w:rsidRDefault="00B16CCF">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183EA4"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27CB1C"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A7A71F"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C321B6" w14:textId="77777777" w:rsidR="00A77B3E" w:rsidRDefault="00B16CCF">
            <w:pPr>
              <w:spacing w:before="5pt"/>
              <w:rPr>
                <w:color w:val="000000"/>
                <w:sz w:val="20"/>
              </w:rPr>
            </w:pPr>
            <w:r>
              <w:rPr>
                <w:color w:val="000000"/>
                <w:sz w:val="20"/>
              </w:rPr>
              <w:t>Projekti turističnih destinacij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F1079A" w14:textId="77777777" w:rsidR="00A77B3E" w:rsidRDefault="00B16CCF">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BD7989" w14:textId="77777777" w:rsidR="00A77B3E" w:rsidRDefault="00B16CCF">
            <w:pPr>
              <w:spacing w:before="5pt"/>
              <w:jc w:val="end"/>
              <w:rPr>
                <w:color w:val="000000"/>
                <w:sz w:val="20"/>
              </w:rPr>
            </w:pPr>
            <w:r>
              <w:rPr>
                <w:color w:val="000000"/>
                <w:sz w:val="20"/>
              </w:rPr>
              <w:t>15,00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EC4767" w14:textId="77777777" w:rsidR="00A77B3E" w:rsidRDefault="00B16CCF">
            <w:pPr>
              <w:spacing w:before="5pt"/>
              <w:jc w:val="end"/>
              <w:rPr>
                <w:color w:val="000000"/>
                <w:sz w:val="20"/>
              </w:rPr>
            </w:pPr>
            <w:r>
              <w:rPr>
                <w:color w:val="000000"/>
                <w:sz w:val="20"/>
              </w:rPr>
              <w:t>15,00</w:t>
            </w:r>
          </w:p>
        </w:tc>
      </w:tr>
      <w:tr w:rsidR="00823317" w14:paraId="266CFBF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E3C18E" w14:textId="77777777" w:rsidR="00A77B3E" w:rsidRDefault="00B16CCF">
            <w:pPr>
              <w:spacing w:before="5pt"/>
              <w:rPr>
                <w:color w:val="000000"/>
                <w:sz w:val="20"/>
              </w:rPr>
            </w:pPr>
            <w:r>
              <w:rPr>
                <w:color w:val="000000"/>
                <w:sz w:val="20"/>
              </w:rPr>
              <w:lastRenderedPageBreak/>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85337D" w14:textId="77777777" w:rsidR="00A77B3E" w:rsidRDefault="00B16CCF">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150027"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B3A56B"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DDDE20" w14:textId="77777777" w:rsidR="00A77B3E" w:rsidRDefault="00B16CCF">
            <w:pPr>
              <w:spacing w:before="5pt"/>
              <w:rPr>
                <w:color w:val="000000"/>
                <w:sz w:val="20"/>
              </w:rPr>
            </w:pPr>
            <w:r>
              <w:rPr>
                <w:color w:val="000000"/>
                <w:sz w:val="20"/>
              </w:rPr>
              <w:t>015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9F4CD0" w14:textId="77777777" w:rsidR="00A77B3E" w:rsidRDefault="00B16CCF">
            <w:pPr>
              <w:spacing w:before="5pt"/>
              <w:rPr>
                <w:color w:val="000000"/>
                <w:sz w:val="20"/>
              </w:rPr>
            </w:pPr>
            <w:r>
              <w:rPr>
                <w:color w:val="000000"/>
                <w:sz w:val="20"/>
              </w:rPr>
              <w:t>Število vključenih oseb v podjetniško usposabljanje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52A394" w14:textId="77777777" w:rsidR="00A77B3E" w:rsidRDefault="00B16CCF">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5A1A57"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B15093" w14:textId="77777777" w:rsidR="00A77B3E" w:rsidRDefault="00B16CCF">
            <w:pPr>
              <w:spacing w:before="5pt"/>
              <w:jc w:val="end"/>
              <w:rPr>
                <w:color w:val="000000"/>
                <w:sz w:val="20"/>
              </w:rPr>
            </w:pPr>
            <w:r>
              <w:rPr>
                <w:color w:val="000000"/>
                <w:sz w:val="20"/>
              </w:rPr>
              <w:t>848,00</w:t>
            </w:r>
          </w:p>
        </w:tc>
      </w:tr>
    </w:tbl>
    <w:p w14:paraId="3E0AB6B4" w14:textId="77777777" w:rsidR="00A77B3E" w:rsidRDefault="00A77B3E">
      <w:pPr>
        <w:spacing w:before="5pt"/>
        <w:rPr>
          <w:color w:val="000000"/>
          <w:sz w:val="20"/>
        </w:rPr>
      </w:pPr>
    </w:p>
    <w:p w14:paraId="3C0FE2EB" w14:textId="77777777" w:rsidR="00A77B3E" w:rsidRDefault="00B16CCF">
      <w:pPr>
        <w:spacing w:before="5pt"/>
        <w:rPr>
          <w:color w:val="000000"/>
          <w:sz w:val="0"/>
        </w:rPr>
      </w:pPr>
      <w:r>
        <w:rPr>
          <w:color w:val="000000"/>
        </w:rPr>
        <w:t>Sklic: člen 22(3)(d)(ii) uredbe o skupnih določbah</w:t>
      </w:r>
    </w:p>
    <w:p w14:paraId="48812ECE" w14:textId="77777777" w:rsidR="00A77B3E" w:rsidRDefault="00B16CCF">
      <w:pPr>
        <w:pStyle w:val="Naslov5"/>
        <w:spacing w:before="5pt" w:after="0pt"/>
        <w:rPr>
          <w:b w:val="0"/>
          <w:i w:val="0"/>
          <w:color w:val="000000"/>
          <w:sz w:val="24"/>
        </w:rPr>
      </w:pPr>
      <w:bookmarkStart w:id="49" w:name="_Toc256000810"/>
      <w:r>
        <w:rPr>
          <w:b w:val="0"/>
          <w:i w:val="0"/>
          <w:color w:val="000000"/>
          <w:sz w:val="24"/>
        </w:rPr>
        <w:t>Tabela 3: Kazalniki rezultatov</w:t>
      </w:r>
      <w:bookmarkEnd w:id="49"/>
    </w:p>
    <w:p w14:paraId="1EED821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22"/>
        <w:gridCol w:w="1220"/>
        <w:gridCol w:w="813"/>
        <w:gridCol w:w="1264"/>
        <w:gridCol w:w="1467"/>
        <w:gridCol w:w="1438"/>
        <w:gridCol w:w="1002"/>
        <w:gridCol w:w="1293"/>
        <w:gridCol w:w="1365"/>
        <w:gridCol w:w="1795"/>
        <w:gridCol w:w="1133"/>
        <w:gridCol w:w="1060"/>
      </w:tblGrid>
      <w:tr w:rsidR="00823317" w14:paraId="769EC55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A43307"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464D63"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13B180"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8D2996"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8107CE"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153909"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39F359"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397885" w14:textId="77777777" w:rsidR="00A77B3E" w:rsidRDefault="00B16CCF">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D16255" w14:textId="77777777" w:rsidR="00A77B3E" w:rsidRDefault="00B16CCF">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B60C74" w14:textId="77777777" w:rsidR="00A77B3E" w:rsidRDefault="00B16CCF">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08931C" w14:textId="77777777" w:rsidR="00A77B3E" w:rsidRDefault="00B16CCF">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008943" w14:textId="77777777" w:rsidR="00A77B3E" w:rsidRDefault="00B16CCF">
            <w:pPr>
              <w:spacing w:before="5pt"/>
              <w:jc w:val="center"/>
              <w:rPr>
                <w:color w:val="000000"/>
                <w:sz w:val="20"/>
              </w:rPr>
            </w:pPr>
            <w:r>
              <w:rPr>
                <w:color w:val="000000"/>
                <w:sz w:val="20"/>
              </w:rPr>
              <w:t>Opombe</w:t>
            </w:r>
          </w:p>
        </w:tc>
      </w:tr>
      <w:tr w:rsidR="00823317" w14:paraId="4192477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05EAD5"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0EBED4" w14:textId="77777777" w:rsidR="00A77B3E" w:rsidRDefault="00B16CCF">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BB8F7F"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7CFC18"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DFC90F" w14:textId="77777777" w:rsidR="00A77B3E" w:rsidRDefault="00B16CCF">
            <w:pPr>
              <w:spacing w:before="5pt"/>
              <w:rPr>
                <w:color w:val="000000"/>
                <w:sz w:val="20"/>
              </w:rPr>
            </w:pPr>
            <w:r>
              <w:rPr>
                <w:color w:val="000000"/>
                <w:sz w:val="20"/>
              </w:rPr>
              <w:t>RCR02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3121F6" w14:textId="77777777" w:rsidR="00A77B3E" w:rsidRDefault="00B16CCF">
            <w:pPr>
              <w:spacing w:before="5pt"/>
              <w:rPr>
                <w:color w:val="000000"/>
                <w:sz w:val="20"/>
              </w:rPr>
            </w:pPr>
            <w:r>
              <w:rPr>
                <w:color w:val="000000"/>
                <w:sz w:val="20"/>
              </w:rPr>
              <w:t>Zasebne naložbe, ki po vrednosti dosegajo javno podporo (od tega: nepovratna sredstva, finančni instrumenti)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F0A837" w14:textId="77777777" w:rsidR="00A77B3E" w:rsidRDefault="00B16CCF">
            <w:pPr>
              <w:spacing w:before="5pt"/>
              <w:rPr>
                <w:color w:val="000000"/>
                <w:sz w:val="20"/>
              </w:rPr>
            </w:pPr>
            <w:r>
              <w:rPr>
                <w:color w:val="000000"/>
                <w:sz w:val="20"/>
              </w:rPr>
              <w:t>euro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723B9E"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65FD21" w14:textId="77777777" w:rsidR="00A77B3E" w:rsidRDefault="00B16CCF">
            <w:pPr>
              <w:spacing w:before="5pt"/>
              <w:jc w:val="center"/>
              <w:rPr>
                <w:color w:val="000000"/>
                <w:sz w:val="20"/>
              </w:rPr>
            </w:pPr>
            <w:r>
              <w:rPr>
                <w:color w:val="000000"/>
                <w:sz w:val="2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ACC7F0" w14:textId="77777777" w:rsidR="00A77B3E" w:rsidRDefault="00B16CCF">
            <w:pPr>
              <w:spacing w:before="5pt"/>
              <w:jc w:val="end"/>
              <w:rPr>
                <w:color w:val="000000"/>
                <w:sz w:val="20"/>
              </w:rPr>
            </w:pPr>
            <w:r>
              <w:rPr>
                <w:color w:val="000000"/>
                <w:sz w:val="20"/>
              </w:rPr>
              <w:t>114.500.000,00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7EF9B5" w14:textId="77777777" w:rsidR="00A77B3E" w:rsidRDefault="00B16CCF">
            <w:pPr>
              <w:spacing w:before="5pt"/>
              <w:rPr>
                <w:color w:val="000000"/>
                <w:sz w:val="20"/>
              </w:rPr>
            </w:pPr>
            <w:r>
              <w:rPr>
                <w:color w:val="000000"/>
                <w:sz w:val="20"/>
              </w:rPr>
              <w:t>IS eMA, IO MGRT, MGRT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3E8572" w14:textId="77777777" w:rsidR="00A77B3E" w:rsidRDefault="00A77B3E">
            <w:pPr>
              <w:spacing w:before="5pt"/>
              <w:rPr>
                <w:color w:val="000000"/>
                <w:sz w:val="20"/>
              </w:rPr>
            </w:pPr>
          </w:p>
        </w:tc>
      </w:tr>
      <w:tr w:rsidR="00823317" w14:paraId="7D95BC3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CBC2DF"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FFB269" w14:textId="77777777" w:rsidR="00A77B3E" w:rsidRDefault="00B16CCF">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6C5856"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85AE30"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784433" w14:textId="77777777" w:rsidR="00A77B3E" w:rsidRDefault="00B16CCF">
            <w:pPr>
              <w:spacing w:before="5pt"/>
              <w:rPr>
                <w:color w:val="000000"/>
                <w:sz w:val="20"/>
              </w:rPr>
            </w:pPr>
            <w:r>
              <w:rPr>
                <w:color w:val="000000"/>
                <w:sz w:val="20"/>
              </w:rPr>
              <w:t>RCR17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DD2D6C" w14:textId="77777777" w:rsidR="00A77B3E" w:rsidRDefault="00B16CCF">
            <w:pPr>
              <w:spacing w:before="5pt"/>
              <w:rPr>
                <w:color w:val="000000"/>
                <w:sz w:val="20"/>
              </w:rPr>
            </w:pPr>
            <w:r>
              <w:rPr>
                <w:color w:val="000000"/>
                <w:sz w:val="20"/>
              </w:rPr>
              <w:t>Nova podjetja, ki preživijo na trgu</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245A5C" w14:textId="77777777" w:rsidR="00A77B3E" w:rsidRDefault="00B16CCF">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AB31E4"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A5FA0D" w14:textId="77777777" w:rsidR="00A77B3E" w:rsidRDefault="00B16CCF">
            <w:pPr>
              <w:spacing w:before="5pt"/>
              <w:jc w:val="center"/>
              <w:rPr>
                <w:color w:val="000000"/>
                <w:sz w:val="20"/>
              </w:rPr>
            </w:pPr>
            <w:r>
              <w:rPr>
                <w:color w:val="000000"/>
                <w:sz w:val="2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76B916" w14:textId="77777777" w:rsidR="00A77B3E" w:rsidRDefault="00B16CCF">
            <w:pPr>
              <w:spacing w:before="5pt"/>
              <w:jc w:val="end"/>
              <w:rPr>
                <w:color w:val="000000"/>
                <w:sz w:val="20"/>
              </w:rPr>
            </w:pPr>
            <w:r>
              <w:rPr>
                <w:color w:val="000000"/>
                <w:sz w:val="20"/>
              </w:rPr>
              <w:t>35,00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A75E35" w14:textId="77777777" w:rsidR="00A77B3E" w:rsidRDefault="00B16CCF">
            <w:pPr>
              <w:spacing w:before="5pt"/>
              <w:rPr>
                <w:color w:val="000000"/>
                <w:sz w:val="20"/>
              </w:rPr>
            </w:pPr>
            <w:r>
              <w:rPr>
                <w:color w:val="000000"/>
                <w:sz w:val="20"/>
              </w:rPr>
              <w:t>MGRT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D5C93C" w14:textId="77777777" w:rsidR="00A77B3E" w:rsidRDefault="00A77B3E">
            <w:pPr>
              <w:spacing w:before="5pt"/>
              <w:rPr>
                <w:color w:val="000000"/>
                <w:sz w:val="20"/>
              </w:rPr>
            </w:pPr>
          </w:p>
        </w:tc>
      </w:tr>
      <w:tr w:rsidR="00823317" w14:paraId="7AC36B0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6182E2"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E70545" w14:textId="77777777" w:rsidR="00A77B3E" w:rsidRDefault="00B16CCF">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C21AEE"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9007C2"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867B84" w14:textId="77777777" w:rsidR="00A77B3E" w:rsidRDefault="00B16CCF">
            <w:pPr>
              <w:spacing w:before="5pt"/>
              <w:rPr>
                <w:color w:val="000000"/>
                <w:sz w:val="20"/>
              </w:rPr>
            </w:pPr>
            <w:r>
              <w:rPr>
                <w:color w:val="000000"/>
                <w:sz w:val="20"/>
              </w:rPr>
              <w:t>RCR19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3D28DC" w14:textId="77777777" w:rsidR="00A77B3E" w:rsidRDefault="00B16CCF">
            <w:pPr>
              <w:spacing w:before="5pt"/>
              <w:rPr>
                <w:color w:val="000000"/>
                <w:sz w:val="20"/>
              </w:rPr>
            </w:pPr>
            <w:r>
              <w:rPr>
                <w:color w:val="000000"/>
                <w:sz w:val="20"/>
              </w:rPr>
              <w:t>Podjetja z večjim prometom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55325A" w14:textId="77777777" w:rsidR="00A77B3E" w:rsidRDefault="00B16CCF">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796389"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EC6B7D" w14:textId="77777777" w:rsidR="00A77B3E" w:rsidRDefault="00B16CCF">
            <w:pPr>
              <w:spacing w:before="5pt"/>
              <w:jc w:val="center"/>
              <w:rPr>
                <w:color w:val="000000"/>
                <w:sz w:val="20"/>
              </w:rPr>
            </w:pPr>
            <w:r>
              <w:rPr>
                <w:color w:val="000000"/>
                <w:sz w:val="2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E489C1" w14:textId="77777777" w:rsidR="00A77B3E" w:rsidRDefault="00B16CCF">
            <w:pPr>
              <w:spacing w:before="5pt"/>
              <w:jc w:val="end"/>
              <w:rPr>
                <w:color w:val="000000"/>
                <w:sz w:val="20"/>
              </w:rPr>
            </w:pPr>
            <w:r>
              <w:rPr>
                <w:color w:val="000000"/>
                <w:sz w:val="20"/>
              </w:rPr>
              <w:t>202,00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8587CE" w14:textId="77777777" w:rsidR="00A77B3E" w:rsidRDefault="00B16CCF">
            <w:pPr>
              <w:spacing w:before="5pt"/>
              <w:rPr>
                <w:color w:val="000000"/>
                <w:sz w:val="20"/>
              </w:rPr>
            </w:pPr>
            <w:r>
              <w:rPr>
                <w:color w:val="000000"/>
                <w:sz w:val="20"/>
              </w:rPr>
              <w:t>IS eMA, IO MGRT, MGRT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B7C9BE" w14:textId="77777777" w:rsidR="00A77B3E" w:rsidRDefault="00A77B3E">
            <w:pPr>
              <w:spacing w:before="5pt"/>
              <w:rPr>
                <w:color w:val="000000"/>
                <w:sz w:val="20"/>
              </w:rPr>
            </w:pPr>
          </w:p>
        </w:tc>
      </w:tr>
      <w:tr w:rsidR="00823317" w14:paraId="71E6B0D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EE69DA"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5F968E" w14:textId="77777777" w:rsidR="00A77B3E" w:rsidRDefault="00B16CCF">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1F8E90"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AD275F"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CC2122" w14:textId="77777777" w:rsidR="00A77B3E" w:rsidRDefault="00B16CCF">
            <w:pPr>
              <w:spacing w:before="5pt"/>
              <w:rPr>
                <w:color w:val="000000"/>
                <w:sz w:val="20"/>
              </w:rPr>
            </w:pPr>
            <w:r>
              <w:rPr>
                <w:color w:val="000000"/>
                <w:sz w:val="20"/>
              </w:rPr>
              <w:t>RCR25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1FE2FA" w14:textId="77777777" w:rsidR="00A77B3E" w:rsidRDefault="00B16CCF">
            <w:pPr>
              <w:spacing w:before="5pt"/>
              <w:rPr>
                <w:color w:val="000000"/>
                <w:sz w:val="20"/>
              </w:rPr>
            </w:pPr>
            <w:r>
              <w:rPr>
                <w:color w:val="000000"/>
                <w:sz w:val="20"/>
              </w:rPr>
              <w:t>MSP z večjo dodano vrednostjo na zaposlenega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53718E" w14:textId="77777777" w:rsidR="00A77B3E" w:rsidRDefault="00B16CCF">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381B2C"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771E81" w14:textId="77777777" w:rsidR="00A77B3E" w:rsidRDefault="00B16CCF">
            <w:pPr>
              <w:spacing w:before="5pt"/>
              <w:jc w:val="center"/>
              <w:rPr>
                <w:color w:val="000000"/>
                <w:sz w:val="20"/>
              </w:rPr>
            </w:pPr>
            <w:r>
              <w:rPr>
                <w:color w:val="000000"/>
                <w:sz w:val="2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DA2B8D" w14:textId="77777777" w:rsidR="00A77B3E" w:rsidRDefault="00B16CCF">
            <w:pPr>
              <w:spacing w:before="5pt"/>
              <w:jc w:val="end"/>
              <w:rPr>
                <w:color w:val="000000"/>
                <w:sz w:val="20"/>
              </w:rPr>
            </w:pPr>
            <w:r>
              <w:rPr>
                <w:color w:val="000000"/>
                <w:sz w:val="20"/>
              </w:rPr>
              <w:t>41,00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C5C79E" w14:textId="77777777" w:rsidR="00A77B3E" w:rsidRDefault="00B16CCF">
            <w:pPr>
              <w:spacing w:before="5pt"/>
              <w:rPr>
                <w:color w:val="000000"/>
                <w:sz w:val="20"/>
              </w:rPr>
            </w:pPr>
            <w:r>
              <w:rPr>
                <w:color w:val="000000"/>
                <w:sz w:val="20"/>
              </w:rPr>
              <w:t>IS eMA, IO MGRT, MGRT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87DAEE" w14:textId="77777777" w:rsidR="00A77B3E" w:rsidRDefault="00A77B3E">
            <w:pPr>
              <w:spacing w:before="5pt"/>
              <w:rPr>
                <w:color w:val="000000"/>
                <w:sz w:val="20"/>
              </w:rPr>
            </w:pPr>
          </w:p>
        </w:tc>
      </w:tr>
      <w:tr w:rsidR="00823317" w14:paraId="406D8C4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1AA316"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EF5664" w14:textId="77777777" w:rsidR="00A77B3E" w:rsidRDefault="00B16CCF">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D1F42C"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911E84"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4C8253" w14:textId="77777777" w:rsidR="00A77B3E" w:rsidRDefault="00B16CCF">
            <w:pPr>
              <w:spacing w:before="5pt"/>
              <w:rPr>
                <w:color w:val="000000"/>
                <w:sz w:val="20"/>
              </w:rPr>
            </w:pPr>
            <w:r>
              <w:rPr>
                <w:color w:val="000000"/>
                <w:sz w:val="20"/>
              </w:rPr>
              <w:t>RCR02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3071DC" w14:textId="77777777" w:rsidR="00A77B3E" w:rsidRDefault="00B16CCF">
            <w:pPr>
              <w:spacing w:before="5pt"/>
              <w:rPr>
                <w:color w:val="000000"/>
                <w:sz w:val="20"/>
              </w:rPr>
            </w:pPr>
            <w:r>
              <w:rPr>
                <w:color w:val="000000"/>
                <w:sz w:val="20"/>
              </w:rPr>
              <w:t xml:space="preserve">Zasebne naložbe, ki po vrednosti dosegajo javno podporo (od tega: nepovratna sredstva, </w:t>
            </w:r>
            <w:r>
              <w:rPr>
                <w:color w:val="000000"/>
                <w:sz w:val="20"/>
              </w:rPr>
              <w:lastRenderedPageBreak/>
              <w:t>finančni instrumenti)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8CD83E" w14:textId="77777777" w:rsidR="00A77B3E" w:rsidRDefault="00B16CCF">
            <w:pPr>
              <w:spacing w:before="5pt"/>
              <w:rPr>
                <w:color w:val="000000"/>
                <w:sz w:val="20"/>
              </w:rPr>
            </w:pPr>
            <w:r>
              <w:rPr>
                <w:color w:val="000000"/>
                <w:sz w:val="20"/>
              </w:rPr>
              <w:lastRenderedPageBreak/>
              <w:t>euro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509BC3"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746E7F" w14:textId="77777777" w:rsidR="00A77B3E" w:rsidRDefault="00B16CCF">
            <w:pPr>
              <w:spacing w:before="5pt"/>
              <w:jc w:val="center"/>
              <w:rPr>
                <w:color w:val="000000"/>
                <w:sz w:val="20"/>
              </w:rPr>
            </w:pPr>
            <w:r>
              <w:rPr>
                <w:color w:val="000000"/>
                <w:sz w:val="2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BFABEB" w14:textId="77777777" w:rsidR="00A77B3E" w:rsidRDefault="00B16CCF">
            <w:pPr>
              <w:spacing w:before="5pt"/>
              <w:jc w:val="end"/>
              <w:rPr>
                <w:color w:val="000000"/>
                <w:sz w:val="20"/>
              </w:rPr>
            </w:pPr>
            <w:r>
              <w:rPr>
                <w:color w:val="000000"/>
                <w:sz w:val="20"/>
              </w:rPr>
              <w:t>92.350.000,00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332F89" w14:textId="77777777" w:rsidR="00A77B3E" w:rsidRDefault="00B16CCF">
            <w:pPr>
              <w:spacing w:before="5pt"/>
              <w:rPr>
                <w:color w:val="000000"/>
                <w:sz w:val="20"/>
              </w:rPr>
            </w:pPr>
            <w:r>
              <w:rPr>
                <w:color w:val="000000"/>
                <w:sz w:val="20"/>
              </w:rPr>
              <w:t>IS eMA, IO MGRT, MGRT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B37A74" w14:textId="77777777" w:rsidR="00A77B3E" w:rsidRDefault="00A77B3E">
            <w:pPr>
              <w:spacing w:before="5pt"/>
              <w:rPr>
                <w:color w:val="000000"/>
                <w:sz w:val="20"/>
              </w:rPr>
            </w:pPr>
          </w:p>
        </w:tc>
      </w:tr>
      <w:tr w:rsidR="00823317" w14:paraId="2165D76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AA8AD4"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9CD277" w14:textId="77777777" w:rsidR="00A77B3E" w:rsidRDefault="00B16CCF">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42E4D7"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51DC20"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76B787" w14:textId="77777777" w:rsidR="00A77B3E" w:rsidRDefault="00B16CCF">
            <w:pPr>
              <w:spacing w:before="5pt"/>
              <w:rPr>
                <w:color w:val="000000"/>
                <w:sz w:val="20"/>
              </w:rPr>
            </w:pPr>
            <w:r>
              <w:rPr>
                <w:color w:val="000000"/>
                <w:sz w:val="20"/>
              </w:rPr>
              <w:t>RCR17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6B9248" w14:textId="77777777" w:rsidR="00A77B3E" w:rsidRDefault="00B16CCF">
            <w:pPr>
              <w:spacing w:before="5pt"/>
              <w:rPr>
                <w:color w:val="000000"/>
                <w:sz w:val="20"/>
              </w:rPr>
            </w:pPr>
            <w:r>
              <w:rPr>
                <w:color w:val="000000"/>
                <w:sz w:val="20"/>
              </w:rPr>
              <w:t>Nova podjetja, ki preživijo na trgu</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D79EA2" w14:textId="77777777" w:rsidR="00A77B3E" w:rsidRDefault="00B16CCF">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ED9BD2"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7FA180" w14:textId="77777777" w:rsidR="00A77B3E" w:rsidRDefault="00B16CCF">
            <w:pPr>
              <w:spacing w:before="5pt"/>
              <w:jc w:val="center"/>
              <w:rPr>
                <w:color w:val="000000"/>
                <w:sz w:val="20"/>
              </w:rPr>
            </w:pPr>
            <w:r>
              <w:rPr>
                <w:color w:val="000000"/>
                <w:sz w:val="2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63A005" w14:textId="77777777" w:rsidR="00A77B3E" w:rsidRDefault="00B16CCF">
            <w:pPr>
              <w:spacing w:before="5pt"/>
              <w:jc w:val="end"/>
              <w:rPr>
                <w:color w:val="000000"/>
                <w:sz w:val="20"/>
              </w:rPr>
            </w:pPr>
            <w:r>
              <w:rPr>
                <w:color w:val="000000"/>
                <w:sz w:val="20"/>
              </w:rPr>
              <w:t>40,00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FE7E50" w14:textId="77777777" w:rsidR="00A77B3E" w:rsidRDefault="00B16CCF">
            <w:pPr>
              <w:spacing w:before="5pt"/>
              <w:rPr>
                <w:color w:val="000000"/>
                <w:sz w:val="20"/>
              </w:rPr>
            </w:pPr>
            <w:r>
              <w:rPr>
                <w:color w:val="000000"/>
                <w:sz w:val="20"/>
              </w:rPr>
              <w:t>MGRT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409A22" w14:textId="77777777" w:rsidR="00A77B3E" w:rsidRDefault="00A77B3E">
            <w:pPr>
              <w:spacing w:before="5pt"/>
              <w:rPr>
                <w:color w:val="000000"/>
                <w:sz w:val="20"/>
              </w:rPr>
            </w:pPr>
          </w:p>
        </w:tc>
      </w:tr>
      <w:tr w:rsidR="00823317" w14:paraId="7CCCA6B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047396"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D3290B" w14:textId="77777777" w:rsidR="00A77B3E" w:rsidRDefault="00B16CCF">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DA65E2"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83759B"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43815E" w14:textId="77777777" w:rsidR="00A77B3E" w:rsidRDefault="00B16CCF">
            <w:pPr>
              <w:spacing w:before="5pt"/>
              <w:rPr>
                <w:color w:val="000000"/>
                <w:sz w:val="20"/>
              </w:rPr>
            </w:pPr>
            <w:r>
              <w:rPr>
                <w:color w:val="000000"/>
                <w:sz w:val="20"/>
              </w:rPr>
              <w:t>RCR19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C6C69F" w14:textId="77777777" w:rsidR="00A77B3E" w:rsidRDefault="00B16CCF">
            <w:pPr>
              <w:spacing w:before="5pt"/>
              <w:rPr>
                <w:color w:val="000000"/>
                <w:sz w:val="20"/>
              </w:rPr>
            </w:pPr>
            <w:r>
              <w:rPr>
                <w:color w:val="000000"/>
                <w:sz w:val="20"/>
              </w:rPr>
              <w:t>Podjetja z večjim prometom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BE8293" w14:textId="77777777" w:rsidR="00A77B3E" w:rsidRDefault="00B16CCF">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A41FCF"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65434E" w14:textId="77777777" w:rsidR="00A77B3E" w:rsidRDefault="00B16CCF">
            <w:pPr>
              <w:spacing w:before="5pt"/>
              <w:jc w:val="center"/>
              <w:rPr>
                <w:color w:val="000000"/>
                <w:sz w:val="20"/>
              </w:rPr>
            </w:pPr>
            <w:r>
              <w:rPr>
                <w:color w:val="000000"/>
                <w:sz w:val="2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D3F1E3" w14:textId="77777777" w:rsidR="00A77B3E" w:rsidRDefault="00B16CCF">
            <w:pPr>
              <w:spacing w:before="5pt"/>
              <w:jc w:val="end"/>
              <w:rPr>
                <w:color w:val="000000"/>
                <w:sz w:val="20"/>
              </w:rPr>
            </w:pPr>
            <w:r>
              <w:rPr>
                <w:color w:val="000000"/>
                <w:sz w:val="20"/>
              </w:rPr>
              <w:t>371,00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F3502E" w14:textId="77777777" w:rsidR="00A77B3E" w:rsidRDefault="00B16CCF">
            <w:pPr>
              <w:spacing w:before="5pt"/>
              <w:rPr>
                <w:color w:val="000000"/>
                <w:sz w:val="20"/>
              </w:rPr>
            </w:pPr>
            <w:r>
              <w:rPr>
                <w:color w:val="000000"/>
                <w:sz w:val="20"/>
              </w:rPr>
              <w:t>IS eMA, IO MGRT, MGRT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57CFD4" w14:textId="77777777" w:rsidR="00A77B3E" w:rsidRDefault="00A77B3E">
            <w:pPr>
              <w:spacing w:before="5pt"/>
              <w:rPr>
                <w:color w:val="000000"/>
                <w:sz w:val="20"/>
              </w:rPr>
            </w:pPr>
          </w:p>
        </w:tc>
      </w:tr>
      <w:tr w:rsidR="00823317" w14:paraId="3EC6159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23DAB9"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8ABFF3" w14:textId="77777777" w:rsidR="00A77B3E" w:rsidRDefault="00B16CCF">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F2B7D4"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82FEBC"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73270C" w14:textId="77777777" w:rsidR="00A77B3E" w:rsidRDefault="00B16CCF">
            <w:pPr>
              <w:spacing w:before="5pt"/>
              <w:rPr>
                <w:color w:val="000000"/>
                <w:sz w:val="20"/>
              </w:rPr>
            </w:pPr>
            <w:r>
              <w:rPr>
                <w:color w:val="000000"/>
                <w:sz w:val="20"/>
              </w:rPr>
              <w:t>RCR25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ADCC67" w14:textId="77777777" w:rsidR="00A77B3E" w:rsidRDefault="00B16CCF">
            <w:pPr>
              <w:spacing w:before="5pt"/>
              <w:rPr>
                <w:color w:val="000000"/>
                <w:sz w:val="20"/>
              </w:rPr>
            </w:pPr>
            <w:r>
              <w:rPr>
                <w:color w:val="000000"/>
                <w:sz w:val="20"/>
              </w:rPr>
              <w:t>MSP z večjo dodano vrednostjo na zaposlenega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876B79" w14:textId="77777777" w:rsidR="00A77B3E" w:rsidRDefault="00B16CCF">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32FC10"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FCDC6F" w14:textId="77777777" w:rsidR="00A77B3E" w:rsidRDefault="00B16CCF">
            <w:pPr>
              <w:spacing w:before="5pt"/>
              <w:jc w:val="center"/>
              <w:rPr>
                <w:color w:val="000000"/>
                <w:sz w:val="20"/>
              </w:rPr>
            </w:pPr>
            <w:r>
              <w:rPr>
                <w:color w:val="000000"/>
                <w:sz w:val="2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A17A5E" w14:textId="77777777" w:rsidR="00A77B3E" w:rsidRDefault="00B16CCF">
            <w:pPr>
              <w:spacing w:before="5pt"/>
              <w:jc w:val="end"/>
              <w:rPr>
                <w:color w:val="000000"/>
                <w:sz w:val="20"/>
              </w:rPr>
            </w:pPr>
            <w:r>
              <w:rPr>
                <w:color w:val="000000"/>
                <w:sz w:val="20"/>
              </w:rPr>
              <w:t>46,00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E06580" w14:textId="77777777" w:rsidR="00A77B3E" w:rsidRDefault="00B16CCF">
            <w:pPr>
              <w:spacing w:before="5pt"/>
              <w:rPr>
                <w:color w:val="000000"/>
                <w:sz w:val="20"/>
              </w:rPr>
            </w:pPr>
            <w:r>
              <w:rPr>
                <w:color w:val="000000"/>
                <w:sz w:val="20"/>
              </w:rPr>
              <w:t>IS eMA, IO MGRT, MGRT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A2DB5B" w14:textId="77777777" w:rsidR="00A77B3E" w:rsidRDefault="00A77B3E">
            <w:pPr>
              <w:spacing w:before="5pt"/>
              <w:rPr>
                <w:color w:val="000000"/>
                <w:sz w:val="20"/>
              </w:rPr>
            </w:pPr>
          </w:p>
        </w:tc>
      </w:tr>
    </w:tbl>
    <w:p w14:paraId="5036178B" w14:textId="77777777" w:rsidR="00A77B3E" w:rsidRDefault="00A77B3E">
      <w:pPr>
        <w:spacing w:before="5pt"/>
        <w:rPr>
          <w:color w:val="000000"/>
          <w:sz w:val="20"/>
        </w:rPr>
      </w:pPr>
    </w:p>
    <w:p w14:paraId="46320E5B" w14:textId="77777777" w:rsidR="00A77B3E" w:rsidRDefault="00B16CCF">
      <w:pPr>
        <w:pStyle w:val="Naslov4"/>
        <w:spacing w:before="5pt" w:after="0pt"/>
        <w:rPr>
          <w:b w:val="0"/>
          <w:color w:val="000000"/>
          <w:sz w:val="24"/>
        </w:rPr>
      </w:pPr>
      <w:bookmarkStart w:id="50" w:name="_Toc256000811"/>
      <w:r>
        <w:rPr>
          <w:b w:val="0"/>
          <w:color w:val="000000"/>
          <w:sz w:val="24"/>
        </w:rPr>
        <w:t>2.1.1.1.3. Okvirna razčlenitev načrtovanih sredstev (EU) glede na vrsto ukrepa</w:t>
      </w:r>
      <w:bookmarkEnd w:id="50"/>
    </w:p>
    <w:p w14:paraId="095D9141" w14:textId="77777777" w:rsidR="00A77B3E" w:rsidRDefault="00A77B3E">
      <w:pPr>
        <w:spacing w:before="5pt"/>
        <w:rPr>
          <w:color w:val="000000"/>
          <w:sz w:val="0"/>
        </w:rPr>
      </w:pPr>
    </w:p>
    <w:p w14:paraId="659A1612" w14:textId="77777777" w:rsidR="00A77B3E" w:rsidRDefault="00B16CCF">
      <w:pPr>
        <w:spacing w:before="5pt"/>
        <w:rPr>
          <w:color w:val="000000"/>
          <w:sz w:val="0"/>
        </w:rPr>
      </w:pPr>
      <w:r>
        <w:rPr>
          <w:color w:val="000000"/>
        </w:rPr>
        <w:t>Sklic: člen 22(3)(d)(viii) uredbe o skupnih določbah</w:t>
      </w:r>
    </w:p>
    <w:p w14:paraId="634D97DD" w14:textId="77777777" w:rsidR="00A77B3E" w:rsidRDefault="00B16CCF">
      <w:pPr>
        <w:pStyle w:val="Naslov5"/>
        <w:spacing w:before="5pt" w:after="0pt"/>
        <w:rPr>
          <w:b w:val="0"/>
          <w:i w:val="0"/>
          <w:color w:val="000000"/>
          <w:sz w:val="24"/>
        </w:rPr>
      </w:pPr>
      <w:bookmarkStart w:id="51" w:name="_Toc256000812"/>
      <w:r>
        <w:rPr>
          <w:b w:val="0"/>
          <w:i w:val="0"/>
          <w:color w:val="000000"/>
          <w:sz w:val="24"/>
        </w:rPr>
        <w:t>Tabela 4: Razsežnost 1 – področje ukrepanja</w:t>
      </w:r>
      <w:bookmarkEnd w:id="51"/>
    </w:p>
    <w:p w14:paraId="32C7E5A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307"/>
        <w:gridCol w:w="2128"/>
        <w:gridCol w:w="1545"/>
        <w:gridCol w:w="2206"/>
        <w:gridCol w:w="3854"/>
        <w:gridCol w:w="3132"/>
      </w:tblGrid>
      <w:tr w:rsidR="00823317" w14:paraId="4A9B370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C1445B"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681BFE"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06BD4F"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9957F7"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D07786"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860C85" w14:textId="77777777" w:rsidR="00A77B3E" w:rsidRDefault="00B16CCF">
            <w:pPr>
              <w:spacing w:before="5pt"/>
              <w:jc w:val="center"/>
              <w:rPr>
                <w:color w:val="000000"/>
                <w:sz w:val="20"/>
              </w:rPr>
            </w:pPr>
            <w:r>
              <w:rPr>
                <w:color w:val="000000"/>
                <w:sz w:val="20"/>
              </w:rPr>
              <w:t>Znesek (v EUR)</w:t>
            </w:r>
          </w:p>
        </w:tc>
      </w:tr>
      <w:tr w:rsidR="00823317" w14:paraId="3355757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9B43B0"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809499" w14:textId="77777777" w:rsidR="00A77B3E" w:rsidRDefault="00B16CCF">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D18D5E"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293C8B"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0481D3" w14:textId="77777777" w:rsidR="00A77B3E" w:rsidRDefault="00B16CCF">
            <w:pPr>
              <w:spacing w:before="5pt"/>
              <w:rPr>
                <w:color w:val="000000"/>
                <w:sz w:val="20"/>
              </w:rPr>
            </w:pPr>
            <w:r>
              <w:rPr>
                <w:color w:val="000000"/>
                <w:sz w:val="20"/>
              </w:rPr>
              <w:t>013. Digitalizacija MSP (vključno z e-trgovanjem, e-poslovanjem in v omrežje povezanimi poslovnimi procesi, vozlišči za digitalne inovacije, živimi laboratoriji, spletnimi podjetji ter zagonskimi podjetji na področju IKT, B2B)</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F579FC" w14:textId="77777777" w:rsidR="00A77B3E" w:rsidRDefault="00B16CCF">
            <w:pPr>
              <w:spacing w:before="5pt"/>
              <w:jc w:val="end"/>
              <w:rPr>
                <w:color w:val="000000"/>
                <w:sz w:val="20"/>
              </w:rPr>
            </w:pPr>
            <w:r>
              <w:rPr>
                <w:color w:val="000000"/>
                <w:sz w:val="20"/>
              </w:rPr>
              <w:t>1.133.333,33</w:t>
            </w:r>
          </w:p>
        </w:tc>
      </w:tr>
      <w:tr w:rsidR="00823317" w14:paraId="5D9FD79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88238E"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C8E9CF" w14:textId="77777777" w:rsidR="00A77B3E" w:rsidRDefault="00B16CCF">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BE8158"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74C9F6"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74B6AA" w14:textId="77777777" w:rsidR="00A77B3E" w:rsidRDefault="00B16CCF">
            <w:pPr>
              <w:spacing w:before="5pt"/>
              <w:rPr>
                <w:color w:val="000000"/>
                <w:sz w:val="20"/>
              </w:rPr>
            </w:pPr>
            <w:r>
              <w:rPr>
                <w:color w:val="000000"/>
                <w:sz w:val="20"/>
              </w:rPr>
              <w:t>021. Poslovni razvoj in internacionalizacija MSP, vključno s produktivnimi naložbami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905880" w14:textId="77777777" w:rsidR="00A77B3E" w:rsidRDefault="00B16CCF">
            <w:pPr>
              <w:spacing w:before="5pt"/>
              <w:jc w:val="end"/>
              <w:rPr>
                <w:color w:val="000000"/>
                <w:sz w:val="20"/>
              </w:rPr>
            </w:pPr>
            <w:r>
              <w:rPr>
                <w:color w:val="000000"/>
                <w:sz w:val="20"/>
              </w:rPr>
              <w:t>45.690.780,11</w:t>
            </w:r>
          </w:p>
        </w:tc>
      </w:tr>
      <w:tr w:rsidR="00823317" w14:paraId="015B976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1E21A1"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FD07AA" w14:textId="77777777" w:rsidR="00A77B3E" w:rsidRDefault="00B16CCF">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1BC700"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ADEDFE"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8FFC73" w14:textId="77777777" w:rsidR="00A77B3E" w:rsidRDefault="00B16CCF">
            <w:pPr>
              <w:spacing w:before="5pt"/>
              <w:rPr>
                <w:color w:val="000000"/>
                <w:sz w:val="20"/>
              </w:rPr>
            </w:pPr>
            <w:r>
              <w:rPr>
                <w:color w:val="000000"/>
                <w:sz w:val="20"/>
              </w:rPr>
              <w:t>023. Razvoj znanj in spretnosti za pametno specializacijo, industrijski prehod, podjetništvo in prilagodljivost podjetij na spremembe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D46CB8" w14:textId="77777777" w:rsidR="00A77B3E" w:rsidRDefault="00B16CCF">
            <w:pPr>
              <w:spacing w:before="5pt"/>
              <w:jc w:val="end"/>
              <w:rPr>
                <w:color w:val="000000"/>
                <w:sz w:val="20"/>
              </w:rPr>
            </w:pPr>
            <w:r>
              <w:rPr>
                <w:color w:val="000000"/>
                <w:sz w:val="20"/>
              </w:rPr>
              <w:t>2.460.000,00</w:t>
            </w:r>
          </w:p>
        </w:tc>
      </w:tr>
      <w:tr w:rsidR="00823317" w14:paraId="1DF826A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CB111F"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5CA488" w14:textId="77777777" w:rsidR="00A77B3E" w:rsidRDefault="00B16CCF">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20EBAE"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FE5484"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FD31C8" w14:textId="77777777" w:rsidR="00A77B3E" w:rsidRDefault="00B16CCF">
            <w:pPr>
              <w:spacing w:before="5pt"/>
              <w:rPr>
                <w:color w:val="000000"/>
                <w:sz w:val="20"/>
              </w:rPr>
            </w:pPr>
            <w:r>
              <w:rPr>
                <w:color w:val="000000"/>
                <w:sz w:val="20"/>
              </w:rPr>
              <w:t>024. Napredne pomožne storitve za MSP in skupine MSP (vključno z upravljavskimi, trženjskimi in oblikovalskimi storitvami)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6B99CD" w14:textId="77777777" w:rsidR="00A77B3E" w:rsidRDefault="00B16CCF">
            <w:pPr>
              <w:spacing w:before="5pt"/>
              <w:jc w:val="end"/>
              <w:rPr>
                <w:color w:val="000000"/>
                <w:sz w:val="20"/>
              </w:rPr>
            </w:pPr>
            <w:r>
              <w:rPr>
                <w:color w:val="000000"/>
                <w:sz w:val="20"/>
              </w:rPr>
              <w:t>8.926.834,40</w:t>
            </w:r>
          </w:p>
        </w:tc>
      </w:tr>
      <w:tr w:rsidR="00823317" w14:paraId="37E002A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EF1AE6" w14:textId="77777777" w:rsidR="00A77B3E" w:rsidRDefault="00B16CCF">
            <w:pPr>
              <w:spacing w:before="5pt"/>
              <w:rPr>
                <w:color w:val="000000"/>
                <w:sz w:val="20"/>
              </w:rPr>
            </w:pPr>
            <w:r>
              <w:rPr>
                <w:color w:val="000000"/>
                <w:sz w:val="20"/>
              </w:rPr>
              <w:lastRenderedPageBreak/>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E7C1AC" w14:textId="77777777" w:rsidR="00A77B3E" w:rsidRDefault="00B16CCF">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FDAE56"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1604B0"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BEBFE8" w14:textId="77777777" w:rsidR="00A77B3E" w:rsidRDefault="00B16CCF">
            <w:pPr>
              <w:spacing w:before="5pt"/>
              <w:rPr>
                <w:color w:val="000000"/>
                <w:sz w:val="20"/>
              </w:rPr>
            </w:pPr>
            <w:r>
              <w:rPr>
                <w:color w:val="000000"/>
                <w:sz w:val="20"/>
              </w:rPr>
              <w:t>025. Inkubacija, podpora „spin off“ in „spin out“ podjetjem ter zagonskim podjetjem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D51DAC" w14:textId="77777777" w:rsidR="00A77B3E" w:rsidRDefault="00B16CCF">
            <w:pPr>
              <w:spacing w:before="5pt"/>
              <w:jc w:val="end"/>
              <w:rPr>
                <w:color w:val="000000"/>
                <w:sz w:val="20"/>
              </w:rPr>
            </w:pPr>
            <w:r>
              <w:rPr>
                <w:color w:val="000000"/>
                <w:sz w:val="20"/>
              </w:rPr>
              <w:t>4.708.524,16</w:t>
            </w:r>
          </w:p>
        </w:tc>
      </w:tr>
      <w:tr w:rsidR="00823317" w14:paraId="44FBA1F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D2E98F"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56D675" w14:textId="77777777" w:rsidR="00A77B3E" w:rsidRDefault="00B16CCF">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6E3998"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A4560F"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864F1E" w14:textId="77777777" w:rsidR="00A77B3E" w:rsidRDefault="00B16CCF">
            <w:pPr>
              <w:spacing w:before="5pt"/>
              <w:rPr>
                <w:color w:val="000000"/>
                <w:sz w:val="20"/>
              </w:rPr>
            </w:pPr>
            <w:r>
              <w:rPr>
                <w:color w:val="000000"/>
                <w:sz w:val="20"/>
              </w:rPr>
              <w:t>013. Digitalizacija MSP (vključno z e-trgovanjem, e-poslovanjem in v omrežje povezanimi poslovnimi procesi, vozlišči za digitalne inovacije, živimi laboratoriji, spletnimi podjetji ter zagonskimi podjetji na področju IKT, B2B)</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9631A7" w14:textId="77777777" w:rsidR="00A77B3E" w:rsidRDefault="00B16CCF">
            <w:pPr>
              <w:spacing w:before="5pt"/>
              <w:jc w:val="end"/>
              <w:rPr>
                <w:color w:val="000000"/>
                <w:sz w:val="20"/>
              </w:rPr>
            </w:pPr>
            <w:r>
              <w:rPr>
                <w:color w:val="000000"/>
                <w:sz w:val="20"/>
              </w:rPr>
              <w:t>3.375.095,88</w:t>
            </w:r>
          </w:p>
        </w:tc>
      </w:tr>
      <w:tr w:rsidR="00823317" w14:paraId="0D918B5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8179D2"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2B0EC7" w14:textId="77777777" w:rsidR="00A77B3E" w:rsidRDefault="00B16CCF">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E2EFE9"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1AB527"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A48E94" w14:textId="77777777" w:rsidR="00A77B3E" w:rsidRDefault="00B16CCF">
            <w:pPr>
              <w:spacing w:before="5pt"/>
              <w:rPr>
                <w:color w:val="000000"/>
                <w:sz w:val="20"/>
              </w:rPr>
            </w:pPr>
            <w:r>
              <w:rPr>
                <w:color w:val="000000"/>
                <w:sz w:val="20"/>
              </w:rPr>
              <w:t>021. Poslovni razvoj in internacionalizacija MSP, vključno s produktivnimi naložbami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FEB5CE" w14:textId="77777777" w:rsidR="00A77B3E" w:rsidRDefault="00B16CCF">
            <w:pPr>
              <w:spacing w:before="5pt"/>
              <w:jc w:val="end"/>
              <w:rPr>
                <w:color w:val="000000"/>
                <w:sz w:val="20"/>
              </w:rPr>
            </w:pPr>
            <w:r>
              <w:rPr>
                <w:color w:val="000000"/>
                <w:sz w:val="20"/>
              </w:rPr>
              <w:t>70.861.710,12</w:t>
            </w:r>
          </w:p>
        </w:tc>
      </w:tr>
      <w:tr w:rsidR="00823317" w14:paraId="1473B59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9C1513"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E14CC6" w14:textId="77777777" w:rsidR="00A77B3E" w:rsidRDefault="00B16CCF">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4B1DBA"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C01B39"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E12B75" w14:textId="77777777" w:rsidR="00A77B3E" w:rsidRDefault="00B16CCF">
            <w:pPr>
              <w:spacing w:before="5pt"/>
              <w:rPr>
                <w:color w:val="000000"/>
                <w:sz w:val="20"/>
              </w:rPr>
            </w:pPr>
            <w:r>
              <w:rPr>
                <w:color w:val="000000"/>
                <w:sz w:val="20"/>
              </w:rPr>
              <w:t>023. Razvoj znanj in spretnosti za pametno specializacijo, industrijski prehod, podjetništvo in prilagodljivost podjetij na spremembe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4CE181" w14:textId="77777777" w:rsidR="00A77B3E" w:rsidRDefault="00B16CCF">
            <w:pPr>
              <w:spacing w:before="5pt"/>
              <w:jc w:val="end"/>
              <w:rPr>
                <w:color w:val="000000"/>
                <w:sz w:val="20"/>
              </w:rPr>
            </w:pPr>
            <w:r>
              <w:rPr>
                <w:color w:val="000000"/>
                <w:sz w:val="20"/>
              </w:rPr>
              <w:t>10.470.000,00</w:t>
            </w:r>
          </w:p>
        </w:tc>
      </w:tr>
      <w:tr w:rsidR="00823317" w14:paraId="48F95CB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0AC770"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91DC24" w14:textId="77777777" w:rsidR="00A77B3E" w:rsidRDefault="00B16CCF">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B743B8"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ADC03C"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B4A832" w14:textId="77777777" w:rsidR="00A77B3E" w:rsidRDefault="00B16CCF">
            <w:pPr>
              <w:spacing w:before="5pt"/>
              <w:rPr>
                <w:color w:val="000000"/>
                <w:sz w:val="20"/>
              </w:rPr>
            </w:pPr>
            <w:r>
              <w:rPr>
                <w:color w:val="000000"/>
                <w:sz w:val="20"/>
              </w:rPr>
              <w:t>024. Napredne pomožne storitve za MSP in skupine MSP (vključno z upravljavskimi, trženjskimi in oblikovalskimi storitvami)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A55D4F" w14:textId="77777777" w:rsidR="00A77B3E" w:rsidRDefault="00B16CCF">
            <w:pPr>
              <w:spacing w:before="5pt"/>
              <w:jc w:val="end"/>
              <w:rPr>
                <w:color w:val="000000"/>
                <w:sz w:val="20"/>
              </w:rPr>
            </w:pPr>
            <w:r>
              <w:rPr>
                <w:color w:val="000000"/>
                <w:sz w:val="20"/>
              </w:rPr>
              <w:t>22.661.346,30</w:t>
            </w:r>
          </w:p>
        </w:tc>
      </w:tr>
      <w:tr w:rsidR="00823317" w14:paraId="4F55C35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65C699"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809C52" w14:textId="77777777" w:rsidR="00A77B3E" w:rsidRDefault="00B16CCF">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F9CD3B"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43294D"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9432C8" w14:textId="77777777" w:rsidR="00A77B3E" w:rsidRDefault="00B16CCF">
            <w:pPr>
              <w:spacing w:before="5pt"/>
              <w:rPr>
                <w:color w:val="000000"/>
                <w:sz w:val="20"/>
              </w:rPr>
            </w:pPr>
            <w:r>
              <w:rPr>
                <w:color w:val="000000"/>
                <w:sz w:val="20"/>
              </w:rPr>
              <w:t>025. Inkubacija, podpora „spin off“ in „spin out“ podjetjem ter zagonskim podjetjem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6D0B43" w14:textId="77777777" w:rsidR="00A77B3E" w:rsidRDefault="00B16CCF">
            <w:pPr>
              <w:spacing w:before="5pt"/>
              <w:jc w:val="end"/>
              <w:rPr>
                <w:color w:val="000000"/>
                <w:sz w:val="20"/>
              </w:rPr>
            </w:pPr>
            <w:r>
              <w:rPr>
                <w:color w:val="000000"/>
                <w:sz w:val="20"/>
              </w:rPr>
              <w:t>12.894.200,70</w:t>
            </w:r>
          </w:p>
        </w:tc>
      </w:tr>
      <w:tr w:rsidR="00823317" w14:paraId="6875546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338459"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6921EC" w14:textId="77777777" w:rsidR="00A77B3E" w:rsidRDefault="00B16CCF">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474189"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AA06B4"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CFEA74"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622D6D" w14:textId="77777777" w:rsidR="00A77B3E" w:rsidRDefault="00B16CCF">
            <w:pPr>
              <w:spacing w:before="5pt"/>
              <w:jc w:val="end"/>
              <w:rPr>
                <w:color w:val="000000"/>
                <w:sz w:val="20"/>
              </w:rPr>
            </w:pPr>
            <w:r>
              <w:rPr>
                <w:color w:val="000000"/>
                <w:sz w:val="20"/>
              </w:rPr>
              <w:t>183.181.825,00</w:t>
            </w:r>
          </w:p>
        </w:tc>
      </w:tr>
    </w:tbl>
    <w:p w14:paraId="78351C1C" w14:textId="77777777" w:rsidR="00A77B3E" w:rsidRDefault="00A77B3E">
      <w:pPr>
        <w:spacing w:before="5pt"/>
        <w:rPr>
          <w:color w:val="000000"/>
          <w:sz w:val="20"/>
        </w:rPr>
      </w:pPr>
    </w:p>
    <w:p w14:paraId="28844CB1" w14:textId="77777777" w:rsidR="00A77B3E" w:rsidRDefault="00B16CCF">
      <w:pPr>
        <w:pStyle w:val="Naslov5"/>
        <w:spacing w:before="5pt" w:after="0pt"/>
        <w:rPr>
          <w:b w:val="0"/>
          <w:i w:val="0"/>
          <w:color w:val="000000"/>
          <w:sz w:val="24"/>
        </w:rPr>
      </w:pPr>
      <w:bookmarkStart w:id="52" w:name="_Toc256000813"/>
      <w:r>
        <w:rPr>
          <w:b w:val="0"/>
          <w:i w:val="0"/>
          <w:color w:val="000000"/>
          <w:sz w:val="24"/>
        </w:rPr>
        <w:t>Tabela 5: Razsežnost 2 – oblika financiranja</w:t>
      </w:r>
      <w:bookmarkEnd w:id="52"/>
    </w:p>
    <w:p w14:paraId="767EF92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75"/>
        <w:gridCol w:w="2285"/>
        <w:gridCol w:w="1659"/>
        <w:gridCol w:w="2368"/>
        <w:gridCol w:w="3023"/>
        <w:gridCol w:w="3362"/>
      </w:tblGrid>
      <w:tr w:rsidR="00823317" w14:paraId="67BFA02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28C7ED"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8A8DAA"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697FEF"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5DDF7F"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53E5A7"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09DFB55" w14:textId="77777777" w:rsidR="00A77B3E" w:rsidRDefault="00B16CCF">
            <w:pPr>
              <w:spacing w:before="5pt"/>
              <w:jc w:val="center"/>
              <w:rPr>
                <w:color w:val="000000"/>
                <w:sz w:val="20"/>
              </w:rPr>
            </w:pPr>
            <w:r>
              <w:rPr>
                <w:color w:val="000000"/>
                <w:sz w:val="20"/>
              </w:rPr>
              <w:t>Znesek (v EUR)</w:t>
            </w:r>
          </w:p>
        </w:tc>
      </w:tr>
      <w:tr w:rsidR="00823317" w14:paraId="7901C30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70D64F"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DA671F" w14:textId="77777777" w:rsidR="00A77B3E" w:rsidRDefault="00B16CCF">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B2E29B"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AC460C"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083039" w14:textId="77777777" w:rsidR="00A77B3E" w:rsidRDefault="00B16CCF">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2EC9D6" w14:textId="77777777" w:rsidR="00A77B3E" w:rsidRDefault="00B16CCF">
            <w:pPr>
              <w:spacing w:before="5pt"/>
              <w:jc w:val="end"/>
              <w:rPr>
                <w:color w:val="000000"/>
                <w:sz w:val="20"/>
              </w:rPr>
            </w:pPr>
            <w:r>
              <w:rPr>
                <w:color w:val="000000"/>
                <w:sz w:val="20"/>
              </w:rPr>
              <w:t>36.529.472,00</w:t>
            </w:r>
          </w:p>
        </w:tc>
      </w:tr>
      <w:tr w:rsidR="00823317" w14:paraId="5368B93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A3A46E"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E7F57D" w14:textId="77777777" w:rsidR="00A77B3E" w:rsidRDefault="00B16CCF">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C19AF9"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62FEC7"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D4D43C" w14:textId="77777777" w:rsidR="00A77B3E" w:rsidRDefault="00B16CCF">
            <w:pPr>
              <w:spacing w:before="5pt"/>
              <w:rPr>
                <w:color w:val="000000"/>
                <w:sz w:val="20"/>
              </w:rPr>
            </w:pPr>
            <w:r>
              <w:rPr>
                <w:color w:val="000000"/>
                <w:sz w:val="20"/>
              </w:rPr>
              <w:t xml:space="preserve">04. Podpora prek finančnih instrumentov: jamstva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DEE7A1" w14:textId="77777777" w:rsidR="00A77B3E" w:rsidRDefault="00B16CCF">
            <w:pPr>
              <w:spacing w:before="5pt"/>
              <w:jc w:val="end"/>
              <w:rPr>
                <w:color w:val="000000"/>
                <w:sz w:val="20"/>
              </w:rPr>
            </w:pPr>
            <w:r>
              <w:rPr>
                <w:color w:val="000000"/>
                <w:sz w:val="20"/>
              </w:rPr>
              <w:t>26.390.000,00</w:t>
            </w:r>
          </w:p>
        </w:tc>
      </w:tr>
      <w:tr w:rsidR="00823317" w14:paraId="7B3F0D9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95855C"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29FE3A" w14:textId="77777777" w:rsidR="00A77B3E" w:rsidRDefault="00B16CCF">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0ACED0"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ACCFF0"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B203E1" w14:textId="77777777" w:rsidR="00A77B3E" w:rsidRDefault="00B16CCF">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4B9279" w14:textId="77777777" w:rsidR="00A77B3E" w:rsidRDefault="00B16CCF">
            <w:pPr>
              <w:spacing w:before="5pt"/>
              <w:jc w:val="end"/>
              <w:rPr>
                <w:color w:val="000000"/>
                <w:sz w:val="20"/>
              </w:rPr>
            </w:pPr>
            <w:r>
              <w:rPr>
                <w:color w:val="000000"/>
                <w:sz w:val="20"/>
              </w:rPr>
              <w:t>77.652.353,00</w:t>
            </w:r>
          </w:p>
        </w:tc>
      </w:tr>
      <w:tr w:rsidR="00823317" w14:paraId="3CBEDE4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F92768"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699A9F" w14:textId="77777777" w:rsidR="00A77B3E" w:rsidRDefault="00B16CCF">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5D9770"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8756B6"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1678B4" w14:textId="77777777" w:rsidR="00A77B3E" w:rsidRDefault="00B16CCF">
            <w:pPr>
              <w:spacing w:before="5pt"/>
              <w:rPr>
                <w:color w:val="000000"/>
                <w:sz w:val="20"/>
              </w:rPr>
            </w:pPr>
            <w:r>
              <w:rPr>
                <w:color w:val="000000"/>
                <w:sz w:val="20"/>
              </w:rPr>
              <w:t xml:space="preserve">04. Podpora prek finančnih instrumentov: jamstva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218382" w14:textId="77777777" w:rsidR="00A77B3E" w:rsidRDefault="00B16CCF">
            <w:pPr>
              <w:spacing w:before="5pt"/>
              <w:jc w:val="end"/>
              <w:rPr>
                <w:color w:val="000000"/>
                <w:sz w:val="20"/>
              </w:rPr>
            </w:pPr>
            <w:r>
              <w:rPr>
                <w:color w:val="000000"/>
                <w:sz w:val="20"/>
              </w:rPr>
              <w:t>42.610.000,00</w:t>
            </w:r>
          </w:p>
        </w:tc>
      </w:tr>
      <w:tr w:rsidR="00823317" w14:paraId="48EF272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6231A6"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175757" w14:textId="77777777" w:rsidR="00A77B3E" w:rsidRDefault="00B16CCF">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7E7AA0"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331F2E"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40221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6947AB" w14:textId="77777777" w:rsidR="00A77B3E" w:rsidRDefault="00B16CCF">
            <w:pPr>
              <w:spacing w:before="5pt"/>
              <w:jc w:val="end"/>
              <w:rPr>
                <w:color w:val="000000"/>
                <w:sz w:val="20"/>
              </w:rPr>
            </w:pPr>
            <w:r>
              <w:rPr>
                <w:color w:val="000000"/>
                <w:sz w:val="20"/>
              </w:rPr>
              <w:t>183.181.825,00</w:t>
            </w:r>
          </w:p>
        </w:tc>
      </w:tr>
    </w:tbl>
    <w:p w14:paraId="19BD5683" w14:textId="77777777" w:rsidR="00A77B3E" w:rsidRDefault="00A77B3E">
      <w:pPr>
        <w:spacing w:before="5pt"/>
        <w:rPr>
          <w:color w:val="000000"/>
          <w:sz w:val="20"/>
        </w:rPr>
      </w:pPr>
    </w:p>
    <w:p w14:paraId="0FACAF8B" w14:textId="77777777" w:rsidR="00A77B3E" w:rsidRDefault="00B16CCF">
      <w:pPr>
        <w:pStyle w:val="Naslov5"/>
        <w:spacing w:before="5pt" w:after="0pt"/>
        <w:rPr>
          <w:b w:val="0"/>
          <w:i w:val="0"/>
          <w:color w:val="000000"/>
          <w:sz w:val="24"/>
        </w:rPr>
      </w:pPr>
      <w:bookmarkStart w:id="53" w:name="_Toc256000814"/>
      <w:r>
        <w:rPr>
          <w:b w:val="0"/>
          <w:i w:val="0"/>
          <w:color w:val="000000"/>
          <w:sz w:val="24"/>
        </w:rPr>
        <w:lastRenderedPageBreak/>
        <w:t>Tabela 6: Razsežnost 3 – mehanizem za ozemeljsko izvrševanje in ozemeljski pristop</w:t>
      </w:r>
      <w:bookmarkEnd w:id="53"/>
    </w:p>
    <w:p w14:paraId="6ED713B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85"/>
        <w:gridCol w:w="2293"/>
        <w:gridCol w:w="1665"/>
        <w:gridCol w:w="2377"/>
        <w:gridCol w:w="2978"/>
        <w:gridCol w:w="3374"/>
      </w:tblGrid>
      <w:tr w:rsidR="00823317" w14:paraId="07DDF83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C1BC0AC"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BB700F"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C6C6AB"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C05215"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19BFCE"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E002F4" w14:textId="77777777" w:rsidR="00A77B3E" w:rsidRDefault="00B16CCF">
            <w:pPr>
              <w:spacing w:before="5pt"/>
              <w:jc w:val="center"/>
              <w:rPr>
                <w:color w:val="000000"/>
                <w:sz w:val="20"/>
              </w:rPr>
            </w:pPr>
            <w:r>
              <w:rPr>
                <w:color w:val="000000"/>
                <w:sz w:val="20"/>
              </w:rPr>
              <w:t>Znesek (v EUR)</w:t>
            </w:r>
          </w:p>
        </w:tc>
      </w:tr>
      <w:tr w:rsidR="00823317" w14:paraId="33BDCAD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8780C9"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648B12" w14:textId="77777777" w:rsidR="00A77B3E" w:rsidRDefault="00B16CCF">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37E22B"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EC6109"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53992C" w14:textId="77777777" w:rsidR="00A77B3E" w:rsidRDefault="00B16CCF">
            <w:pPr>
              <w:spacing w:before="5pt"/>
              <w:rPr>
                <w:color w:val="000000"/>
                <w:sz w:val="20"/>
              </w:rPr>
            </w:pPr>
            <w:r>
              <w:rPr>
                <w:color w:val="000000"/>
                <w:sz w:val="20"/>
              </w:rPr>
              <w:t>24. Druge vrste teritorialnega orodja – druge vrste ciljnih ozemelj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27ED0C" w14:textId="77777777" w:rsidR="00A77B3E" w:rsidRDefault="00B16CCF">
            <w:pPr>
              <w:spacing w:before="5pt"/>
              <w:jc w:val="end"/>
              <w:rPr>
                <w:color w:val="000000"/>
                <w:sz w:val="20"/>
              </w:rPr>
            </w:pPr>
            <w:r>
              <w:rPr>
                <w:color w:val="000000"/>
                <w:sz w:val="20"/>
              </w:rPr>
              <w:t>2.460.000,00</w:t>
            </w:r>
          </w:p>
        </w:tc>
      </w:tr>
      <w:tr w:rsidR="00823317" w14:paraId="60CBA85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1A6528"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A76FF7" w14:textId="77777777" w:rsidR="00A77B3E" w:rsidRDefault="00B16CCF">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7F5F07"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6D529C"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06CD96" w14:textId="77777777" w:rsidR="00A77B3E" w:rsidRDefault="00B16CCF">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09E60F" w14:textId="77777777" w:rsidR="00A77B3E" w:rsidRDefault="00B16CCF">
            <w:pPr>
              <w:spacing w:before="5pt"/>
              <w:jc w:val="end"/>
              <w:rPr>
                <w:color w:val="000000"/>
                <w:sz w:val="20"/>
              </w:rPr>
            </w:pPr>
            <w:r>
              <w:rPr>
                <w:color w:val="000000"/>
                <w:sz w:val="20"/>
              </w:rPr>
              <w:t>60.459.472,00</w:t>
            </w:r>
          </w:p>
        </w:tc>
      </w:tr>
      <w:tr w:rsidR="00823317" w14:paraId="229836E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05D1C0"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4C5271" w14:textId="77777777" w:rsidR="00A77B3E" w:rsidRDefault="00B16CCF">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03B2E2"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F27D36"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BA7D25" w14:textId="77777777" w:rsidR="00A77B3E" w:rsidRDefault="00B16CCF">
            <w:pPr>
              <w:spacing w:before="5pt"/>
              <w:rPr>
                <w:color w:val="000000"/>
                <w:sz w:val="20"/>
              </w:rPr>
            </w:pPr>
            <w:r>
              <w:rPr>
                <w:color w:val="000000"/>
                <w:sz w:val="20"/>
              </w:rPr>
              <w:t>24. Druge vrste teritorialnega orodja – druge vrste ciljnih ozemelj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5FF072" w14:textId="77777777" w:rsidR="00A77B3E" w:rsidRDefault="00B16CCF">
            <w:pPr>
              <w:spacing w:before="5pt"/>
              <w:jc w:val="end"/>
              <w:rPr>
                <w:color w:val="000000"/>
                <w:sz w:val="20"/>
              </w:rPr>
            </w:pPr>
            <w:r>
              <w:rPr>
                <w:color w:val="000000"/>
                <w:sz w:val="20"/>
              </w:rPr>
              <w:t>10.470.000,00</w:t>
            </w:r>
          </w:p>
        </w:tc>
      </w:tr>
      <w:tr w:rsidR="00823317" w14:paraId="52E9407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80296B"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C1C95D" w14:textId="77777777" w:rsidR="00A77B3E" w:rsidRDefault="00B16CCF">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569FF2"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42D25D"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8D369E" w14:textId="77777777" w:rsidR="00A77B3E" w:rsidRDefault="00B16CCF">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751667" w14:textId="77777777" w:rsidR="00A77B3E" w:rsidRDefault="00B16CCF">
            <w:pPr>
              <w:spacing w:before="5pt"/>
              <w:jc w:val="end"/>
              <w:rPr>
                <w:color w:val="000000"/>
                <w:sz w:val="20"/>
              </w:rPr>
            </w:pPr>
            <w:r>
              <w:rPr>
                <w:color w:val="000000"/>
                <w:sz w:val="20"/>
              </w:rPr>
              <w:t>109.792.353,00</w:t>
            </w:r>
          </w:p>
        </w:tc>
      </w:tr>
      <w:tr w:rsidR="00823317" w14:paraId="287DEBD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59EC6A"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CF95A4" w14:textId="77777777" w:rsidR="00A77B3E" w:rsidRDefault="00B16CCF">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ACAD70"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867B0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299C9E"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6A4FA3" w14:textId="77777777" w:rsidR="00A77B3E" w:rsidRDefault="00B16CCF">
            <w:pPr>
              <w:spacing w:before="5pt"/>
              <w:jc w:val="end"/>
              <w:rPr>
                <w:color w:val="000000"/>
                <w:sz w:val="20"/>
              </w:rPr>
            </w:pPr>
            <w:r>
              <w:rPr>
                <w:color w:val="000000"/>
                <w:sz w:val="20"/>
              </w:rPr>
              <w:t>183.181.825,00</w:t>
            </w:r>
          </w:p>
        </w:tc>
      </w:tr>
    </w:tbl>
    <w:p w14:paraId="01CC9555" w14:textId="77777777" w:rsidR="00A77B3E" w:rsidRDefault="00A77B3E">
      <w:pPr>
        <w:spacing w:before="5pt"/>
        <w:rPr>
          <w:color w:val="000000"/>
          <w:sz w:val="20"/>
        </w:rPr>
      </w:pPr>
    </w:p>
    <w:p w14:paraId="2089A0A4" w14:textId="77777777" w:rsidR="00A77B3E" w:rsidRDefault="00B16CCF">
      <w:pPr>
        <w:pStyle w:val="Naslov5"/>
        <w:spacing w:before="5pt" w:after="0pt"/>
        <w:rPr>
          <w:b w:val="0"/>
          <w:i w:val="0"/>
          <w:color w:val="000000"/>
          <w:sz w:val="24"/>
        </w:rPr>
      </w:pPr>
      <w:bookmarkStart w:id="54" w:name="_Toc256000815"/>
      <w:r>
        <w:rPr>
          <w:b w:val="0"/>
          <w:i w:val="0"/>
          <w:color w:val="000000"/>
          <w:sz w:val="24"/>
        </w:rPr>
        <w:t>Tabela 7: Razsežnost 6 – sekundarna področja ESS+</w:t>
      </w:r>
      <w:bookmarkEnd w:id="54"/>
    </w:p>
    <w:p w14:paraId="5AE4875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117"/>
        <w:gridCol w:w="2877"/>
        <w:gridCol w:w="1780"/>
        <w:gridCol w:w="2982"/>
        <w:gridCol w:w="2259"/>
        <w:gridCol w:w="2157"/>
      </w:tblGrid>
      <w:tr w:rsidR="00823317" w14:paraId="7706EEB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295506"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AF8C0A"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9C32B2"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51D96B"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0E9000"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B71755" w14:textId="77777777" w:rsidR="00A77B3E" w:rsidRDefault="00B16CCF">
            <w:pPr>
              <w:spacing w:before="5pt"/>
              <w:jc w:val="center"/>
              <w:rPr>
                <w:color w:val="000000"/>
                <w:sz w:val="20"/>
              </w:rPr>
            </w:pPr>
            <w:r>
              <w:rPr>
                <w:color w:val="000000"/>
                <w:sz w:val="20"/>
              </w:rPr>
              <w:t>Znesek (v EUR)</w:t>
            </w:r>
          </w:p>
        </w:tc>
      </w:tr>
    </w:tbl>
    <w:p w14:paraId="6000F6B0" w14:textId="77777777" w:rsidR="00A77B3E" w:rsidRDefault="00A77B3E">
      <w:pPr>
        <w:spacing w:before="5pt"/>
        <w:rPr>
          <w:color w:val="000000"/>
          <w:sz w:val="20"/>
        </w:rPr>
      </w:pPr>
    </w:p>
    <w:p w14:paraId="2004A2DE" w14:textId="77777777" w:rsidR="00A77B3E" w:rsidRDefault="00B16CCF">
      <w:pPr>
        <w:pStyle w:val="Naslov5"/>
        <w:spacing w:before="5pt" w:after="0pt"/>
        <w:rPr>
          <w:b w:val="0"/>
          <w:i w:val="0"/>
          <w:color w:val="000000"/>
          <w:sz w:val="24"/>
        </w:rPr>
      </w:pPr>
      <w:bookmarkStart w:id="55" w:name="_Toc256000816"/>
      <w:r>
        <w:rPr>
          <w:b w:val="0"/>
          <w:i w:val="0"/>
          <w:color w:val="000000"/>
          <w:sz w:val="24"/>
        </w:rPr>
        <w:t>Tabela 8: Razsežnost 7 – razsežnost enakosti spolov v okviru ESS+*, ESRR, Kohezijskega sklada in SPP</w:t>
      </w:r>
      <w:bookmarkEnd w:id="55"/>
    </w:p>
    <w:p w14:paraId="6CE8EBD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59"/>
        <w:gridCol w:w="2268"/>
        <w:gridCol w:w="1647"/>
        <w:gridCol w:w="2351"/>
        <w:gridCol w:w="3109"/>
        <w:gridCol w:w="3338"/>
      </w:tblGrid>
      <w:tr w:rsidR="00823317" w14:paraId="1A8EA77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ABDAF0"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FB0892"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84ABA4"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B9B447"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45F1D2"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35AB998" w14:textId="77777777" w:rsidR="00A77B3E" w:rsidRDefault="00B16CCF">
            <w:pPr>
              <w:spacing w:before="5pt"/>
              <w:jc w:val="center"/>
              <w:rPr>
                <w:color w:val="000000"/>
                <w:sz w:val="20"/>
              </w:rPr>
            </w:pPr>
            <w:r>
              <w:rPr>
                <w:color w:val="000000"/>
                <w:sz w:val="20"/>
              </w:rPr>
              <w:t>Znesek (v EUR)</w:t>
            </w:r>
          </w:p>
        </w:tc>
      </w:tr>
      <w:tr w:rsidR="00823317" w14:paraId="30C10ED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BADF8F"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1F69A9" w14:textId="77777777" w:rsidR="00A77B3E" w:rsidRDefault="00B16CCF">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2543DA"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A8B24C"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CCFEFA" w14:textId="77777777" w:rsidR="00A77B3E" w:rsidRDefault="00B16CCF">
            <w:pPr>
              <w:spacing w:before="5pt"/>
              <w:rPr>
                <w:color w:val="000000"/>
                <w:sz w:val="20"/>
              </w:rPr>
            </w:pPr>
            <w:r>
              <w:rPr>
                <w:color w:val="000000"/>
                <w:sz w:val="20"/>
              </w:rPr>
              <w:t>01. Osredotočanje na enakost spolov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5E8FD7" w14:textId="77777777" w:rsidR="00A77B3E" w:rsidRDefault="00B16CCF">
            <w:pPr>
              <w:spacing w:before="5pt"/>
              <w:jc w:val="end"/>
              <w:rPr>
                <w:color w:val="000000"/>
                <w:sz w:val="20"/>
              </w:rPr>
            </w:pPr>
            <w:r>
              <w:rPr>
                <w:color w:val="000000"/>
                <w:sz w:val="20"/>
              </w:rPr>
              <w:t>675.803,14</w:t>
            </w:r>
          </w:p>
        </w:tc>
      </w:tr>
      <w:tr w:rsidR="00823317" w14:paraId="61B7DBF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62F896"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E79251" w14:textId="77777777" w:rsidR="00A77B3E" w:rsidRDefault="00B16CCF">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E52922"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67D2EB"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136BD8" w14:textId="77777777" w:rsidR="00A77B3E" w:rsidRDefault="00B16CCF">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1D1B93" w14:textId="77777777" w:rsidR="00A77B3E" w:rsidRDefault="00B16CCF">
            <w:pPr>
              <w:spacing w:before="5pt"/>
              <w:jc w:val="end"/>
              <w:rPr>
                <w:color w:val="000000"/>
                <w:sz w:val="20"/>
              </w:rPr>
            </w:pPr>
            <w:r>
              <w:rPr>
                <w:color w:val="000000"/>
                <w:sz w:val="20"/>
              </w:rPr>
              <w:t>62.243.668,86</w:t>
            </w:r>
          </w:p>
        </w:tc>
      </w:tr>
      <w:tr w:rsidR="00823317" w14:paraId="5488500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7FC0BE"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122392" w14:textId="77777777" w:rsidR="00A77B3E" w:rsidRDefault="00B16CCF">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EB7D1E"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2BC316"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E7FF00" w14:textId="77777777" w:rsidR="00A77B3E" w:rsidRDefault="00B16CCF">
            <w:pPr>
              <w:spacing w:before="5pt"/>
              <w:rPr>
                <w:color w:val="000000"/>
                <w:sz w:val="20"/>
              </w:rPr>
            </w:pPr>
            <w:r>
              <w:rPr>
                <w:color w:val="000000"/>
                <w:sz w:val="20"/>
              </w:rPr>
              <w:t>01. Osredotočanje na enakost spolov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2EA54C" w14:textId="77777777" w:rsidR="00A77B3E" w:rsidRDefault="00B16CCF">
            <w:pPr>
              <w:spacing w:before="5pt"/>
              <w:jc w:val="end"/>
              <w:rPr>
                <w:color w:val="000000"/>
                <w:sz w:val="20"/>
              </w:rPr>
            </w:pPr>
            <w:r>
              <w:rPr>
                <w:color w:val="000000"/>
                <w:sz w:val="20"/>
              </w:rPr>
              <w:t>2.787.687,94</w:t>
            </w:r>
          </w:p>
        </w:tc>
      </w:tr>
      <w:tr w:rsidR="00823317" w14:paraId="4A74D78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728997"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151B0F" w14:textId="77777777" w:rsidR="00A77B3E" w:rsidRDefault="00B16CCF">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BBC094"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D7B519"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4B56ED" w14:textId="77777777" w:rsidR="00A77B3E" w:rsidRDefault="00B16CCF">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528995" w14:textId="77777777" w:rsidR="00A77B3E" w:rsidRDefault="00B16CCF">
            <w:pPr>
              <w:spacing w:before="5pt"/>
              <w:jc w:val="end"/>
              <w:rPr>
                <w:color w:val="000000"/>
                <w:sz w:val="20"/>
              </w:rPr>
            </w:pPr>
            <w:r>
              <w:rPr>
                <w:color w:val="000000"/>
                <w:sz w:val="20"/>
              </w:rPr>
              <w:t>117.474.665,06</w:t>
            </w:r>
          </w:p>
        </w:tc>
      </w:tr>
      <w:tr w:rsidR="00823317" w14:paraId="76BA414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7DD518"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65059D" w14:textId="77777777" w:rsidR="00A77B3E" w:rsidRDefault="00B16CCF">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95104E"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9F69F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B1C6B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21DA22" w14:textId="77777777" w:rsidR="00A77B3E" w:rsidRDefault="00B16CCF">
            <w:pPr>
              <w:spacing w:before="5pt"/>
              <w:jc w:val="end"/>
              <w:rPr>
                <w:color w:val="000000"/>
                <w:sz w:val="20"/>
              </w:rPr>
            </w:pPr>
            <w:r>
              <w:rPr>
                <w:color w:val="000000"/>
                <w:sz w:val="20"/>
              </w:rPr>
              <w:t>183.181.825,00</w:t>
            </w:r>
          </w:p>
        </w:tc>
      </w:tr>
    </w:tbl>
    <w:p w14:paraId="62668B4B" w14:textId="77777777" w:rsidR="00A77B3E" w:rsidRDefault="00B16CCF">
      <w:pPr>
        <w:spacing w:before="5pt"/>
        <w:rPr>
          <w:color w:val="000000"/>
          <w:sz w:val="20"/>
        </w:rPr>
      </w:pPr>
      <w:r>
        <w:rPr>
          <w:color w:val="000000"/>
          <w:sz w:val="20"/>
        </w:rPr>
        <w:t>* Načeloma 40 % za ESS+ prispeva k spremljanju enakosti spolov. 100 % se uporabi, kadar se država članica odloči za uporabo člena 6 uredbe o ESS+.</w:t>
      </w:r>
    </w:p>
    <w:p w14:paraId="12FAA214" w14:textId="77777777" w:rsidR="00A77B3E" w:rsidRDefault="00B16CCF">
      <w:pPr>
        <w:pStyle w:val="Naslov4"/>
        <w:spacing w:before="5pt" w:after="0pt"/>
        <w:rPr>
          <w:b w:val="0"/>
          <w:color w:val="000000"/>
          <w:sz w:val="24"/>
        </w:rPr>
      </w:pPr>
      <w:r>
        <w:rPr>
          <w:b w:val="0"/>
          <w:color w:val="000000"/>
          <w:sz w:val="24"/>
        </w:rPr>
        <w:br w:type="page"/>
      </w:r>
      <w:bookmarkStart w:id="56" w:name="_Toc256000817"/>
      <w:r>
        <w:rPr>
          <w:b w:val="0"/>
          <w:color w:val="000000"/>
          <w:sz w:val="24"/>
        </w:rPr>
        <w:lastRenderedPageBreak/>
        <w:t>2.1.1.1. Specifični cilj: RSO1.4. Razvoj znanj in spretnosti za pametno specializacijo, industrijski prehod in podjetništvo (ESRR)</w:t>
      </w:r>
      <w:bookmarkEnd w:id="56"/>
    </w:p>
    <w:p w14:paraId="342886F9" w14:textId="77777777" w:rsidR="00A77B3E" w:rsidRDefault="00A77B3E">
      <w:pPr>
        <w:spacing w:before="5pt"/>
        <w:rPr>
          <w:color w:val="000000"/>
          <w:sz w:val="0"/>
        </w:rPr>
      </w:pPr>
    </w:p>
    <w:p w14:paraId="11CED0A8" w14:textId="77777777" w:rsidR="00A77B3E" w:rsidRDefault="00B16CCF">
      <w:pPr>
        <w:pStyle w:val="Naslov4"/>
        <w:spacing w:before="5pt" w:after="0pt"/>
        <w:rPr>
          <w:b w:val="0"/>
          <w:color w:val="000000"/>
          <w:sz w:val="24"/>
        </w:rPr>
      </w:pPr>
      <w:bookmarkStart w:id="57" w:name="_Toc256000818"/>
      <w:r>
        <w:rPr>
          <w:b w:val="0"/>
          <w:color w:val="000000"/>
          <w:sz w:val="24"/>
        </w:rPr>
        <w:t>2.1.1.1.1. Ukrepi skladov</w:t>
      </w:r>
      <w:bookmarkEnd w:id="57"/>
    </w:p>
    <w:p w14:paraId="46277A79" w14:textId="77777777" w:rsidR="00A77B3E" w:rsidRDefault="00A77B3E">
      <w:pPr>
        <w:spacing w:before="5pt"/>
        <w:rPr>
          <w:color w:val="000000"/>
          <w:sz w:val="0"/>
        </w:rPr>
      </w:pPr>
    </w:p>
    <w:p w14:paraId="73924BB2" w14:textId="77777777" w:rsidR="00A77B3E" w:rsidRDefault="00B16CCF">
      <w:pPr>
        <w:spacing w:before="5pt"/>
        <w:rPr>
          <w:color w:val="000000"/>
          <w:sz w:val="0"/>
        </w:rPr>
      </w:pPr>
      <w:r>
        <w:rPr>
          <w:color w:val="000000"/>
        </w:rPr>
        <w:t>Sklic: člen 22(3)(d)(i), (iii), (iv), (v), (vi) in (vii) uredbe o skupnih določbah</w:t>
      </w:r>
    </w:p>
    <w:p w14:paraId="4E6EE067" w14:textId="77777777" w:rsidR="00A77B3E" w:rsidRDefault="00B16CCF">
      <w:pPr>
        <w:pStyle w:val="Naslov5"/>
        <w:spacing w:before="5pt" w:after="0pt"/>
        <w:rPr>
          <w:b w:val="0"/>
          <w:i w:val="0"/>
          <w:color w:val="000000"/>
          <w:sz w:val="24"/>
        </w:rPr>
      </w:pPr>
      <w:bookmarkStart w:id="58" w:name="_Toc256000819"/>
      <w:r>
        <w:rPr>
          <w:b w:val="0"/>
          <w:i w:val="0"/>
          <w:color w:val="000000"/>
          <w:sz w:val="24"/>
        </w:rPr>
        <w:t>Povezane vrste ukrepov – člen 22(3)(d)(i) uredbe o skupnih določbah in člen 6 uredbe o ESS+:</w:t>
      </w:r>
      <w:bookmarkEnd w:id="58"/>
    </w:p>
    <w:p w14:paraId="0EA3A94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19823781"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A11AA6" w14:textId="77777777" w:rsidR="00A77B3E" w:rsidRDefault="00A77B3E">
            <w:pPr>
              <w:spacing w:before="5pt"/>
              <w:rPr>
                <w:color w:val="000000"/>
                <w:sz w:val="0"/>
              </w:rPr>
            </w:pPr>
          </w:p>
          <w:p w14:paraId="3A882BB2" w14:textId="77777777" w:rsidR="00A77B3E" w:rsidRDefault="00B16CCF">
            <w:pPr>
              <w:spacing w:before="5pt"/>
              <w:rPr>
                <w:color w:val="000000"/>
              </w:rPr>
            </w:pPr>
            <w:r>
              <w:rPr>
                <w:color w:val="000000"/>
              </w:rPr>
              <w:t>Z namenom spodbujanja nadaljnjega gospodarskega razvoja Slovenije je nujno, da se razvijejo znanja in spretnosti, potrebne za pametno specializacijo, industrijski prehod ter zeleno in digitalno preobrazbo na celotnem inovacijskem ciklu od razvoja, uvajanja do uporabe tehnologij in postopkov – specifično za razvojna podjetja, ki razvijajo najnaprednejše tehnologije (npr. digitalne, umetna inteligenca) kot tudi podjetja, ki te tehnologije uporabljajo za razvoj novih inovativnih proizvodov in storitev v vseh segmentih gospodarstva in družbe. Slednje vključuje vse od gospodarskih subjektov, institucij znanja do deležnikov podpornega okolja pametne specializacije, vključno s SRIP ter javnim sektorjem, ki mora raziskave in razvoj podpirati tudi z inovativnim oblikovanjem politik in predpisov ter kot prvi kupec inovacij (inovativno, zeleno, predkomercialno javno naročanje). Na ta način bomo poskušali nasloviti pomanjkanje znanj in spretnosti ter neskladja med ponudbo znanj in spretnosti ter povpraševanjem po njih. S ciljem zlasti da se:</w:t>
            </w:r>
          </w:p>
          <w:p w14:paraId="150119E4" w14:textId="77777777" w:rsidR="00A77B3E" w:rsidRDefault="00B16CCF">
            <w:pPr>
              <w:numPr>
                <w:ilvl w:val="0"/>
                <w:numId w:val="14"/>
              </w:numPr>
              <w:spacing w:before="5pt"/>
              <w:rPr>
                <w:color w:val="000000"/>
              </w:rPr>
            </w:pPr>
            <w:r>
              <w:rPr>
                <w:color w:val="000000"/>
              </w:rPr>
              <w:t>zmanjšajo omejitve zmogljivosti v gospodarstvu in obravnavajo izzivi, povezani s tehnološkimi spremembami in industrijskim prehodom ter</w:t>
            </w:r>
          </w:p>
          <w:p w14:paraId="664B0B94" w14:textId="77777777" w:rsidR="00A77B3E" w:rsidRDefault="00B16CCF">
            <w:pPr>
              <w:numPr>
                <w:ilvl w:val="0"/>
                <w:numId w:val="14"/>
              </w:numPr>
              <w:spacing w:before="5pt"/>
              <w:rPr>
                <w:color w:val="000000"/>
              </w:rPr>
            </w:pPr>
            <w:r>
              <w:rPr>
                <w:color w:val="000000"/>
              </w:rPr>
              <w:t>podpre rast MSP ter omogoči internacionalizacija,</w:t>
            </w:r>
          </w:p>
          <w:p w14:paraId="68081F1B" w14:textId="77777777" w:rsidR="00A77B3E" w:rsidRDefault="00B16CCF">
            <w:pPr>
              <w:spacing w:before="5pt"/>
              <w:rPr>
                <w:color w:val="000000"/>
              </w:rPr>
            </w:pPr>
            <w:r>
              <w:rPr>
                <w:color w:val="000000"/>
              </w:rPr>
              <w:t>bodo ukrepi tega specifičnega cilja namenjeni ožanju razkoraka med sistemom izobraževanja in trgom dela prvenstveno na prednostnih področjih S5, vlaganjem v spretnosti in kompetence na področju družbene inovativnosti, obenem pa se bodo določeni komplementarni ukrepi (med katerimi je za S5 najpomembnejši razvoj in polna vzpostavitev orodja Platforma za napovedovanje kompetenc) izvedli znotraj CP 4 (pojasnjeno pri samih ukrepih).</w:t>
            </w:r>
          </w:p>
          <w:p w14:paraId="1A9E2FB2" w14:textId="77777777" w:rsidR="00A77B3E" w:rsidRDefault="00A77B3E">
            <w:pPr>
              <w:spacing w:before="5pt"/>
              <w:rPr>
                <w:color w:val="000000"/>
              </w:rPr>
            </w:pPr>
          </w:p>
          <w:p w14:paraId="41986DD2" w14:textId="77777777" w:rsidR="00A77B3E" w:rsidRDefault="00B16CCF">
            <w:pPr>
              <w:spacing w:before="5pt"/>
              <w:rPr>
                <w:color w:val="000000"/>
              </w:rPr>
            </w:pPr>
            <w:r>
              <w:rPr>
                <w:color w:val="000000"/>
              </w:rPr>
              <w:t>V okviru tega specifičnega cilja bodo zato z ukrepi naslovljena predvsem naslednja področja:</w:t>
            </w:r>
          </w:p>
          <w:p w14:paraId="0FB9E6EF" w14:textId="77777777" w:rsidR="00A77B3E" w:rsidRDefault="00A77B3E">
            <w:pPr>
              <w:spacing w:before="5pt"/>
              <w:rPr>
                <w:color w:val="000000"/>
              </w:rPr>
            </w:pPr>
          </w:p>
          <w:p w14:paraId="69DD29E6" w14:textId="77777777" w:rsidR="00A77B3E" w:rsidRDefault="00B16CCF">
            <w:pPr>
              <w:numPr>
                <w:ilvl w:val="0"/>
                <w:numId w:val="15"/>
              </w:numPr>
              <w:spacing w:before="5pt"/>
              <w:rPr>
                <w:color w:val="000000"/>
              </w:rPr>
            </w:pPr>
            <w:r>
              <w:rPr>
                <w:i/>
                <w:iCs/>
                <w:color w:val="000000"/>
              </w:rPr>
              <w:t>krepitev znanj in spretnosti za pametno specializacijo, industrijsko tranzicijo in v podporo inovativnosti za podjetja in ostale deležnike v gospodarstvu</w:t>
            </w:r>
            <w:r>
              <w:rPr>
                <w:color w:val="000000"/>
              </w:rPr>
              <w:t>,</w:t>
            </w:r>
            <w:r>
              <w:rPr>
                <w:i/>
                <w:iCs/>
                <w:color w:val="000000"/>
              </w:rPr>
              <w:t xml:space="preserve"> </w:t>
            </w:r>
            <w:r>
              <w:rPr>
                <w:color w:val="000000"/>
              </w:rPr>
              <w:t xml:space="preserve">kjerbodo aktivnosti usmerjene predvsem v nadaljnjo krepitev in osredotočenje delovanja kompetenčnih centrov za razvoj kadrov na vseh prednostnih področjih in prečnih vsebinah svežnja ukrepov S5. Ukrep je namenjen izpopolnjevanju in razvoju kompetenc zaposlenih s pomočjo razvoja kompetenčnih modelov in krepitve povezovanja podjetij ter izmenjave znanj, mobilnosti zaposlenih, izmenjave dobrih praks v okviru in na podlagi kompetenčnih centrov za razvoj kadrov, v okviru katerih se že v obstoječem programskem obdobju izvajajo neformalne oblike izobraževanj in usposabljanj. Ukrep, ki se je izkazal za uspešnega v preteklem obdobju, bo tudi v obdobju 2021-2027 z vlaganjem v usposabljanja zaposlenih, spodbujanjem razvojnih sprememb v podjetjih ter krepitvijo mreženja in povezovanja podjetij, usmerjen k dvigu in razvoju relevantnih spretnosti in kompetenc posameznih podjetij in izboljšanju položaja zaposlenih na trgu dela. Z izvajanjem ukrepa ter vključitvijo delodajalcev v načrtovanje izobraževanj bomo krepili rast in konkurenčnost podjetij ter zmanjševali neusklajenost ponudbe in povpraševanja znanj in spretnosti na trgu dela, hkrati pa komplementarno prispevali k ostalim ukrepom v okviru pametne specializacije. Pri identifikaciji vlaganj v pridobivanje različnih kompetenc preko usposabljanj znotraj posameznih kariernih centrov, pa bo pomembno vlogo odigralo novo sistemsko orodje Platforma za napovedovanje kompetenc (v nadaljevanju: PNK), ki se razvija v okviru SC ESO4.2 na CP 4. Ko bo le-to ustrezno razvito (predvidoma 2024), bo </w:t>
            </w:r>
            <w:r>
              <w:rPr>
                <w:color w:val="000000"/>
              </w:rPr>
              <w:lastRenderedPageBreak/>
              <w:t>komplementarnost dvosmerna – po eni strani bodo kompetenčni centri koristili podatke/rezultate iz PNK ter istočasno s svojimi aktualnimi potrebami »polnili« bazo v PNK. Ukrep bo dosegel komplementarne učinke z ukrepi izobraževanja odraslih v okviru SC ESO4.7 (VŽU) na CP 4;</w:t>
            </w:r>
          </w:p>
          <w:p w14:paraId="649D5CE8" w14:textId="77777777" w:rsidR="00A77B3E" w:rsidRDefault="00A77B3E">
            <w:pPr>
              <w:spacing w:before="5pt"/>
              <w:rPr>
                <w:color w:val="000000"/>
              </w:rPr>
            </w:pPr>
          </w:p>
          <w:p w14:paraId="04020FE5" w14:textId="77777777" w:rsidR="00A77B3E" w:rsidRDefault="00B16CCF">
            <w:pPr>
              <w:numPr>
                <w:ilvl w:val="0"/>
                <w:numId w:val="16"/>
              </w:numPr>
              <w:spacing w:before="5pt"/>
              <w:rPr>
                <w:color w:val="000000"/>
              </w:rPr>
            </w:pPr>
            <w:r>
              <w:rPr>
                <w:i/>
                <w:iCs/>
                <w:color w:val="000000"/>
              </w:rPr>
              <w:t>priprava in izvajanje fleksibilnih študijskih programov za izpopolnjevanje diplomantov</w:t>
            </w:r>
            <w:r>
              <w:rPr>
                <w:color w:val="000000"/>
              </w:rPr>
              <w:t xml:space="preserve"> </w:t>
            </w:r>
            <w:r>
              <w:rPr>
                <w:i/>
                <w:iCs/>
                <w:color w:val="000000"/>
              </w:rPr>
              <w:t>in mikro dokazil</w:t>
            </w:r>
            <w:r>
              <w:rPr>
                <w:color w:val="000000"/>
              </w:rPr>
              <w:t>, prvenstveno na prednostnih področjih opredeljenih v S5 ter v neposrednem sodelovanju s SRIP-i oz. gospodarstvom, da bomo omogočili hitrejši in kvalitetnejši prehod iz sistema izobraževanja v zaposlenostin do usposabljanje diplomantov. Z razvojem ponudbe študijskih programov za izpopolnjevanje je možno doseči hitrejšo odpravo vrzeli med pridobljenimi predmetno-specifičnimi znanji diplomanta in pričakovanji delodajalca. Priprava študijskih programov za izpopolnjevanje, kot tudi drugih oblik mikro dokazil, za razliko od študijskih programov za pridobitev izobrazbe, poteka namreč hitreje in lahko zagotovi izpolnitev trenutno aktualnih potreb po znanjih na trgu dela, še posebej na področjih, ki so ključna z vidika razvoja in uporabe znanj in spretnosti na prednostnih področjih, ki jih opredeljuje S5. Delodajalci pogosto pričakujejo od diplomantov ozka, specialna znanja, ki jih ni mogoče zagotoviti v okviru temeljnih ciljev študijskih programov za pridobitev izobrazbe, kvaliteten študijski program za izpopolnjevanje pa jih lahko. Pri tem je pomembno dodatno okrepiti tudi samo vlogo visokošolskih institucij pri soustvarjanju in razvoju znanj in spretnosti v okviru prednostnih področij S5. Pričakovani dolgoročen učinek tega ukrepa je okrepljena vpetost visokošolskih institucij v širše okolje z vzpostavljenim mehanizmom za prepoznavanje kratkoročnih in srednjeročnih potreb po visokošolskih znanjih, ki pripravljavcem študijskih programov za pridobitev izobrazbe zagotavlja tudi povratno informacijo o relevantnosti znanj diplomanta za njegovo kariero v lokalnem in širšem okolju. S tem se bo krepila vloga visokošolskih institucij na področju VŽU, kot tudi močneje naslovilo/preprečilo pomembno težavo, ki smo ji priča v Sloveniji, to je beg možganov diplomantov. Tudi pri razvoju programov za izpopolnjevanje bo pomembno vlogo imela uporaba podatkov in izsledkov iz novo nastajajočega sistemskega orodja – PNK, ki bo, kot rečeno, razvito v okviru CP 4, SC ESO4.2;</w:t>
            </w:r>
          </w:p>
          <w:p w14:paraId="5E286EF9" w14:textId="77777777" w:rsidR="00A77B3E" w:rsidRDefault="00A77B3E">
            <w:pPr>
              <w:spacing w:before="5pt"/>
              <w:rPr>
                <w:color w:val="000000"/>
              </w:rPr>
            </w:pPr>
          </w:p>
          <w:p w14:paraId="50363BCB" w14:textId="77777777" w:rsidR="00A77B3E" w:rsidRDefault="00B16CCF">
            <w:pPr>
              <w:spacing w:before="5pt"/>
              <w:rPr>
                <w:color w:val="000000"/>
              </w:rPr>
            </w:pPr>
            <w:r>
              <w:rPr>
                <w:color w:val="000000"/>
              </w:rPr>
              <w:t>V skladu s Tehničnimi smernicami za uporabo »načela, da se ne škoduje bistveno« smo za vsak predviden ukrep ocenili njegov vpliv na okoljske cilje. Na podlagi odgovorov na vprašanja iz kontrolnega seznama ugotavljamo, da noben izmed predvidenih ukrepov v okviru predmetnega specifičnega cilja po svoji naravi nima bistvenega škodljivega vpliva na katerega koli od šestih okoljskih ciljev. Tehnična merila so navedena v Prilogi: DNSH.</w:t>
            </w:r>
          </w:p>
          <w:p w14:paraId="4BA0C5D1" w14:textId="77777777" w:rsidR="00A77B3E" w:rsidRDefault="00A77B3E">
            <w:pPr>
              <w:spacing w:before="5pt"/>
              <w:rPr>
                <w:color w:val="000000"/>
                <w:sz w:val="6"/>
              </w:rPr>
            </w:pPr>
          </w:p>
          <w:p w14:paraId="71D1D26B" w14:textId="77777777" w:rsidR="00A77B3E" w:rsidRDefault="00A77B3E">
            <w:pPr>
              <w:spacing w:before="5pt"/>
              <w:rPr>
                <w:color w:val="000000"/>
                <w:sz w:val="6"/>
              </w:rPr>
            </w:pPr>
          </w:p>
        </w:tc>
      </w:tr>
    </w:tbl>
    <w:p w14:paraId="3398013E" w14:textId="77777777" w:rsidR="00A77B3E" w:rsidRDefault="00A77B3E">
      <w:pPr>
        <w:spacing w:before="5pt"/>
        <w:rPr>
          <w:color w:val="000000"/>
        </w:rPr>
      </w:pPr>
    </w:p>
    <w:p w14:paraId="697475E5" w14:textId="77777777" w:rsidR="00A77B3E" w:rsidRDefault="00B16CCF">
      <w:pPr>
        <w:pStyle w:val="Naslov5"/>
        <w:spacing w:before="5pt" w:after="0pt"/>
        <w:rPr>
          <w:b w:val="0"/>
          <w:i w:val="0"/>
          <w:color w:val="000000"/>
          <w:sz w:val="24"/>
        </w:rPr>
      </w:pPr>
      <w:bookmarkStart w:id="59" w:name="_Toc256000820"/>
      <w:r>
        <w:rPr>
          <w:b w:val="0"/>
          <w:i w:val="0"/>
          <w:color w:val="000000"/>
          <w:sz w:val="24"/>
        </w:rPr>
        <w:t>Glavne ciljne skupine – člen 22(3)(d)(iii) uredbe o skupnih določbah:</w:t>
      </w:r>
      <w:bookmarkEnd w:id="59"/>
    </w:p>
    <w:p w14:paraId="33DBD23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40DEE140"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1D7EA0" w14:textId="77777777" w:rsidR="00A77B3E" w:rsidRDefault="00A77B3E">
            <w:pPr>
              <w:spacing w:before="5pt"/>
              <w:rPr>
                <w:color w:val="000000"/>
                <w:sz w:val="0"/>
              </w:rPr>
            </w:pPr>
          </w:p>
          <w:p w14:paraId="6D8F7B64" w14:textId="77777777" w:rsidR="00A77B3E" w:rsidRDefault="00B16CCF">
            <w:pPr>
              <w:spacing w:before="5pt"/>
              <w:rPr>
                <w:color w:val="000000"/>
              </w:rPr>
            </w:pPr>
            <w:r>
              <w:rPr>
                <w:color w:val="000000"/>
              </w:rPr>
              <w:t>Ciljne skupine: mala in srednje velika podjetja, SRIP, ministrstva, izvajalske institucije, delodajalci, zaposleni, visokošolski zavodi, partnerji v okviru raziskovalno-razvojnih programov, partnerji v okviru projektov SRIP in drugi relevantni partnerji.</w:t>
            </w:r>
          </w:p>
          <w:p w14:paraId="347D9F2B" w14:textId="77777777" w:rsidR="00A77B3E" w:rsidRDefault="00A77B3E">
            <w:pPr>
              <w:spacing w:before="5pt"/>
              <w:rPr>
                <w:color w:val="000000"/>
              </w:rPr>
            </w:pPr>
          </w:p>
          <w:p w14:paraId="52500791" w14:textId="77777777" w:rsidR="00A77B3E" w:rsidRDefault="00B16CCF">
            <w:pPr>
              <w:spacing w:before="5pt"/>
              <w:rPr>
                <w:color w:val="000000"/>
              </w:rPr>
            </w:pPr>
            <w:r>
              <w:rPr>
                <w:color w:val="000000"/>
              </w:rPr>
              <w:t>Upravičenci: JŠRIPS, visokošolski zavodi, ministrstvo, pristojno za javno upravo, zbornice.</w:t>
            </w:r>
          </w:p>
          <w:p w14:paraId="633F226F" w14:textId="77777777" w:rsidR="00A77B3E" w:rsidRDefault="00A77B3E">
            <w:pPr>
              <w:spacing w:before="5pt"/>
              <w:rPr>
                <w:color w:val="000000"/>
                <w:sz w:val="6"/>
              </w:rPr>
            </w:pPr>
          </w:p>
          <w:p w14:paraId="0818F796" w14:textId="77777777" w:rsidR="00A77B3E" w:rsidRDefault="00A77B3E">
            <w:pPr>
              <w:spacing w:before="5pt"/>
              <w:rPr>
                <w:color w:val="000000"/>
                <w:sz w:val="6"/>
              </w:rPr>
            </w:pPr>
          </w:p>
        </w:tc>
      </w:tr>
    </w:tbl>
    <w:p w14:paraId="41743116" w14:textId="77777777" w:rsidR="00A77B3E" w:rsidRDefault="00A77B3E">
      <w:pPr>
        <w:spacing w:before="5pt"/>
        <w:rPr>
          <w:color w:val="000000"/>
        </w:rPr>
      </w:pPr>
    </w:p>
    <w:p w14:paraId="218BF4DB" w14:textId="77777777" w:rsidR="00A77B3E" w:rsidRDefault="00B16CCF">
      <w:pPr>
        <w:pStyle w:val="Naslov5"/>
        <w:spacing w:before="5pt" w:after="0pt"/>
        <w:rPr>
          <w:b w:val="0"/>
          <w:i w:val="0"/>
          <w:color w:val="000000"/>
          <w:sz w:val="24"/>
        </w:rPr>
      </w:pPr>
      <w:bookmarkStart w:id="60" w:name="_Toc256000821"/>
      <w:r>
        <w:rPr>
          <w:b w:val="0"/>
          <w:i w:val="0"/>
          <w:color w:val="000000"/>
          <w:sz w:val="24"/>
        </w:rPr>
        <w:lastRenderedPageBreak/>
        <w:t>Ukrepi za zaščito enakosti, vključenosti in nediskriminacije – člen 22(3)(d)(iv) uredbe o skupnih določbah in člen 6 uredbe o ESS+</w:t>
      </w:r>
      <w:bookmarkEnd w:id="60"/>
    </w:p>
    <w:p w14:paraId="113D439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7713F09C"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55A228" w14:textId="77777777" w:rsidR="00A77B3E" w:rsidRDefault="00A77B3E">
            <w:pPr>
              <w:spacing w:before="5pt"/>
              <w:rPr>
                <w:color w:val="000000"/>
                <w:sz w:val="0"/>
              </w:rPr>
            </w:pPr>
          </w:p>
          <w:p w14:paraId="4E3AD73C" w14:textId="77777777" w:rsidR="00A77B3E" w:rsidRDefault="00B16CCF">
            <w:pPr>
              <w:spacing w:before="5pt"/>
              <w:rPr>
                <w:color w:val="000000"/>
              </w:rPr>
            </w:pPr>
            <w:r>
              <w:rPr>
                <w:color w:val="000000"/>
              </w:rPr>
              <w:t>Spoštovanje načel enakosti, vključenosti in nediskriminacije bo zagotovljeno pri izvajanju vseh aktivnosti na vseh ravneh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w:t>
            </w:r>
          </w:p>
          <w:p w14:paraId="425FF8A1" w14:textId="77777777" w:rsidR="00A77B3E" w:rsidRDefault="00A77B3E">
            <w:pPr>
              <w:spacing w:before="5pt"/>
              <w:rPr>
                <w:color w:val="000000"/>
              </w:rPr>
            </w:pPr>
          </w:p>
          <w:p w14:paraId="76D21E8A" w14:textId="77777777" w:rsidR="00A77B3E" w:rsidRDefault="00B16CCF">
            <w:pPr>
              <w:spacing w:before="5pt"/>
              <w:rPr>
                <w:color w:val="000000"/>
              </w:rPr>
            </w:pPr>
            <w:r>
              <w:rPr>
                <w:color w:val="000000"/>
              </w:rPr>
              <w:t>V okviru javnega razpisa za pripravo in izvajanje fleksibilnih študijskih programov za izpopolnjevanje diplomantov bo vključeno merilo, ki bo nagrajevalo prijavitelje, ki bodo v projekt vključili aktivnosti spodbujanja vključevanja žensk v izobraževanje s ciljem pridobitve kompetenc s področja STEM.</w:t>
            </w:r>
          </w:p>
          <w:p w14:paraId="75EA7D1B" w14:textId="77777777" w:rsidR="00A77B3E" w:rsidRDefault="00A77B3E">
            <w:pPr>
              <w:spacing w:before="5pt"/>
              <w:rPr>
                <w:color w:val="000000"/>
              </w:rPr>
            </w:pPr>
          </w:p>
          <w:p w14:paraId="3FCE6115" w14:textId="77777777" w:rsidR="00A77B3E" w:rsidRDefault="00B16CCF">
            <w:pPr>
              <w:spacing w:before="5pt"/>
              <w:rPr>
                <w:color w:val="000000"/>
              </w:rPr>
            </w:pPr>
            <w:r>
              <w:rPr>
                <w:color w:val="000000"/>
              </w:rPr>
              <w:t>Osnovni namen ukrepa Krepitev znanj in spretnosti sistemskih izvajalcev pametne specializacije pa je krepitev kompetenc s področja pametne specializacije, ki po vsebini prav tako spadajo v večji meri na področje STEM poklicev. Vsem ključnim deležnikom bo dana možnost, da pridobijo dodatne kompetence.</w:t>
            </w:r>
          </w:p>
          <w:p w14:paraId="6B6F283C" w14:textId="77777777" w:rsidR="00A77B3E" w:rsidRDefault="00A77B3E">
            <w:pPr>
              <w:spacing w:before="5pt"/>
              <w:rPr>
                <w:color w:val="000000"/>
                <w:sz w:val="6"/>
              </w:rPr>
            </w:pPr>
          </w:p>
          <w:p w14:paraId="22677C30" w14:textId="77777777" w:rsidR="00A77B3E" w:rsidRDefault="00A77B3E">
            <w:pPr>
              <w:spacing w:before="5pt"/>
              <w:rPr>
                <w:color w:val="000000"/>
                <w:sz w:val="6"/>
              </w:rPr>
            </w:pPr>
          </w:p>
        </w:tc>
      </w:tr>
    </w:tbl>
    <w:p w14:paraId="53029332" w14:textId="77777777" w:rsidR="00A77B3E" w:rsidRDefault="00A77B3E">
      <w:pPr>
        <w:spacing w:before="5pt"/>
        <w:rPr>
          <w:color w:val="000000"/>
        </w:rPr>
      </w:pPr>
    </w:p>
    <w:p w14:paraId="24D5CF31" w14:textId="77777777" w:rsidR="00A77B3E" w:rsidRDefault="00B16CCF">
      <w:pPr>
        <w:pStyle w:val="Naslov5"/>
        <w:spacing w:before="5pt" w:after="0pt"/>
        <w:rPr>
          <w:b w:val="0"/>
          <w:i w:val="0"/>
          <w:color w:val="000000"/>
          <w:sz w:val="24"/>
        </w:rPr>
      </w:pPr>
      <w:bookmarkStart w:id="61" w:name="_Toc256000822"/>
      <w:r>
        <w:rPr>
          <w:b w:val="0"/>
          <w:i w:val="0"/>
          <w:color w:val="000000"/>
          <w:sz w:val="24"/>
        </w:rPr>
        <w:t>Navedba specifičnih ciljnih ozemelj, vključno z načrtovano uporabo teritorialnih orodij – člen 22(3)(d)(v) uredbe o skupnih določbah</w:t>
      </w:r>
      <w:bookmarkEnd w:id="61"/>
    </w:p>
    <w:p w14:paraId="397A3F1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50EAA0B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D39A0B" w14:textId="77777777" w:rsidR="00A77B3E" w:rsidRDefault="00A77B3E">
            <w:pPr>
              <w:spacing w:before="5pt"/>
              <w:rPr>
                <w:color w:val="000000"/>
                <w:sz w:val="0"/>
              </w:rPr>
            </w:pPr>
          </w:p>
          <w:p w14:paraId="4DC96A6B" w14:textId="77777777" w:rsidR="00A77B3E" w:rsidRDefault="00B16CCF">
            <w:pPr>
              <w:spacing w:before="5pt"/>
              <w:rPr>
                <w:color w:val="000000"/>
              </w:rPr>
            </w:pPr>
            <w:r>
              <w:rPr>
                <w:color w:val="000000"/>
              </w:rPr>
              <w:t>V okviru navedenega specifičnega cilja ni predvidena uporaba teritorialnih orodij.</w:t>
            </w:r>
          </w:p>
          <w:p w14:paraId="43045D38" w14:textId="77777777" w:rsidR="00A77B3E" w:rsidRDefault="00A77B3E">
            <w:pPr>
              <w:spacing w:before="5pt"/>
              <w:rPr>
                <w:color w:val="000000"/>
                <w:sz w:val="6"/>
              </w:rPr>
            </w:pPr>
          </w:p>
          <w:p w14:paraId="1978F8B9" w14:textId="77777777" w:rsidR="00A77B3E" w:rsidRDefault="00A77B3E">
            <w:pPr>
              <w:spacing w:before="5pt"/>
              <w:rPr>
                <w:color w:val="000000"/>
                <w:sz w:val="6"/>
              </w:rPr>
            </w:pPr>
          </w:p>
        </w:tc>
      </w:tr>
    </w:tbl>
    <w:p w14:paraId="54240EE1" w14:textId="77777777" w:rsidR="00A77B3E" w:rsidRDefault="00A77B3E">
      <w:pPr>
        <w:spacing w:before="5pt"/>
        <w:rPr>
          <w:color w:val="000000"/>
        </w:rPr>
      </w:pPr>
    </w:p>
    <w:p w14:paraId="065BA063" w14:textId="77777777" w:rsidR="00A77B3E" w:rsidRDefault="00B16CCF">
      <w:pPr>
        <w:pStyle w:val="Naslov5"/>
        <w:spacing w:before="5pt" w:after="0pt"/>
        <w:rPr>
          <w:b w:val="0"/>
          <w:i w:val="0"/>
          <w:color w:val="000000"/>
          <w:sz w:val="24"/>
        </w:rPr>
      </w:pPr>
      <w:bookmarkStart w:id="62" w:name="_Toc256000823"/>
      <w:r>
        <w:rPr>
          <w:b w:val="0"/>
          <w:i w:val="0"/>
          <w:color w:val="000000"/>
          <w:sz w:val="24"/>
        </w:rPr>
        <w:t>Medregionalni, čezmejni in transnacionalni ukrepi – člen 22(3)(d)(vi) uredbe o skupnih določbah</w:t>
      </w:r>
      <w:bookmarkEnd w:id="62"/>
    </w:p>
    <w:p w14:paraId="0424B6D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4EB1DBE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87AE94" w14:textId="77777777" w:rsidR="00A77B3E" w:rsidRDefault="00A77B3E">
            <w:pPr>
              <w:spacing w:before="5pt"/>
              <w:rPr>
                <w:color w:val="000000"/>
                <w:sz w:val="0"/>
              </w:rPr>
            </w:pPr>
          </w:p>
          <w:p w14:paraId="63410E06" w14:textId="77777777" w:rsidR="00A77B3E" w:rsidRDefault="00B16CCF">
            <w:pPr>
              <w:spacing w:before="5pt"/>
              <w:rPr>
                <w:color w:val="000000"/>
              </w:rPr>
            </w:pPr>
            <w:r>
              <w:rPr>
                <w:color w:val="000000"/>
              </w:rPr>
              <w:t xml:space="preserve">V okviru SC RSO 1.4, posvečenem krepitvi znanj in spretnosti za pametno specializacijo vnaprejšnje krovno sodelovanje ni predvideno. Ukrepi S5 so namreč namenjeni prvenstveno spodbujanju znanja in spretnosti, potrebnih za nemoteno izvajanje in doseganje ciljev S5 (zeleni prehod, torej predvsem v t.i. zelene in digitalne spretnosti), kar omogoča vsem akterjem – zlasti relevantnim podjetjem, pa tudi institucijam znanja in drugim deležnikom S5, da vlagajo v potrebne in ustrezne (S5) spretnosti svojih zaposlenih. Bo pa tovrstno medregionalno, čezmejno in transnacionalno povezovanje ustrezno </w:t>
            </w:r>
            <w:r>
              <w:rPr>
                <w:color w:val="000000"/>
              </w:rPr>
              <w:lastRenderedPageBreak/>
              <w:t>spodbujano preko različnih poslovnih subjektov podjetniškega in inovativnega okolja, ki so oz. bodo vključeni v različne vrste projektov transnacionalnega sodelovanja.</w:t>
            </w:r>
          </w:p>
          <w:p w14:paraId="51C3E71A" w14:textId="77777777" w:rsidR="00A77B3E" w:rsidRDefault="00A77B3E">
            <w:pPr>
              <w:spacing w:before="5pt"/>
              <w:rPr>
                <w:color w:val="000000"/>
              </w:rPr>
            </w:pPr>
          </w:p>
          <w:p w14:paraId="6385B200" w14:textId="77777777" w:rsidR="00A77B3E" w:rsidRDefault="00B16CCF">
            <w:pPr>
              <w:spacing w:before="5pt"/>
              <w:rPr>
                <w:color w:val="000000"/>
              </w:rPr>
            </w:pPr>
            <w:r>
              <w:rPr>
                <w:color w:val="000000"/>
              </w:rPr>
              <w:t>Dodatno k zgoraj zapisanemu načinu (ne)vključevanja ukrepov tega SC v medregionalne, čezmejne in transnacionalne ukrepe velja omeniti širše komplementarne učinke v okviru projekta FP EUSAIR, ki spodbuja inovacije v Jadransko-Ionski makroregiji na področju Okolja, trajnostnega turizma, energetike in transporta ter modrega gospodarstva. Konkreten primer neposredne povezave oz. komplementarnosti med vsebinami S5 (v konkretnem primeru Trajnostne modre rasti) in Ciljem 2 je moč pripoznati na primeru projekta BLUEAIR – Interreg IPA ADRION. Ta sicer na eni strani spodbuja nastanek Pametne specializacije za celotno EUSAIR za področje Modre rasti in s slednjo povezanih inovacij oz. inovacijskega okolja, medtem ko bona drugi strani »uporabljen« tudi kot okvir za izvedbo procesa podjetniškega odkrivanja na področju modrega gospodarstva v Sloveniji in drugih sodelujočih državah tudi z namenom odkrivanja njihovih skupnih potencialov na tem področju. Poleg tega je bil v okviru stebra 1 za Modro rast EUSAIR dogovorjen, med vsemi državami, makroregionalni projekt oz. flagship projekt z naslovom: Fostering quadruple helix ties in the fields of marine technologies and blue biotechnologies for advancing innovation, business development and business adaptation in blue bio-economy.</w:t>
            </w:r>
          </w:p>
          <w:p w14:paraId="1B0A96E0" w14:textId="77777777" w:rsidR="00A77B3E" w:rsidRDefault="00A77B3E">
            <w:pPr>
              <w:spacing w:before="5pt"/>
              <w:rPr>
                <w:color w:val="000000"/>
                <w:sz w:val="6"/>
              </w:rPr>
            </w:pPr>
          </w:p>
          <w:p w14:paraId="004ABFEF" w14:textId="77777777" w:rsidR="00A77B3E" w:rsidRDefault="00A77B3E">
            <w:pPr>
              <w:spacing w:before="5pt"/>
              <w:rPr>
                <w:color w:val="000000"/>
                <w:sz w:val="6"/>
              </w:rPr>
            </w:pPr>
          </w:p>
        </w:tc>
      </w:tr>
    </w:tbl>
    <w:p w14:paraId="184E5A4E" w14:textId="77777777" w:rsidR="00A77B3E" w:rsidRDefault="00A77B3E">
      <w:pPr>
        <w:spacing w:before="5pt"/>
        <w:rPr>
          <w:color w:val="000000"/>
        </w:rPr>
      </w:pPr>
    </w:p>
    <w:p w14:paraId="10EB3057" w14:textId="77777777" w:rsidR="00A77B3E" w:rsidRDefault="00B16CCF">
      <w:pPr>
        <w:pStyle w:val="Naslov5"/>
        <w:spacing w:before="5pt" w:after="0pt"/>
        <w:rPr>
          <w:b w:val="0"/>
          <w:i w:val="0"/>
          <w:color w:val="000000"/>
          <w:sz w:val="24"/>
        </w:rPr>
      </w:pPr>
      <w:bookmarkStart w:id="63" w:name="_Toc256000824"/>
      <w:r>
        <w:rPr>
          <w:b w:val="0"/>
          <w:i w:val="0"/>
          <w:color w:val="000000"/>
          <w:sz w:val="24"/>
        </w:rPr>
        <w:t>Načrtovana uporaba finančnih instrumentov – člen 22(3)(d)(vii) uredbe o skupnih določbah</w:t>
      </w:r>
      <w:bookmarkEnd w:id="63"/>
    </w:p>
    <w:p w14:paraId="29AA307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1DFC1C5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11AA7C" w14:textId="77777777" w:rsidR="00A77B3E" w:rsidRDefault="00A77B3E">
            <w:pPr>
              <w:spacing w:before="5pt"/>
              <w:rPr>
                <w:color w:val="000000"/>
                <w:sz w:val="0"/>
              </w:rPr>
            </w:pPr>
          </w:p>
          <w:p w14:paraId="1DC61072" w14:textId="77777777" w:rsidR="00A77B3E" w:rsidRDefault="00B16CCF">
            <w:pPr>
              <w:spacing w:before="5pt"/>
              <w:rPr>
                <w:color w:val="000000"/>
              </w:rPr>
            </w:pPr>
            <w:r>
              <w:rPr>
                <w:color w:val="000000"/>
              </w:rPr>
              <w:t>Uporaba finančnih instrumentov, v skladu s Predhodno oceno potreb trga in vrzeli financiranja na trgu za izvajanje finančnih instrumentov v programskem obdobju 2021-2027 (julij 2022), ni načrtovana. Predlagani ukrepi namreč ne ustvarjajo prihodkov oziroma prihrankov, zaradi česar uporaba finančnih instrumentov ni smiselna oziroma ustrezna. Gre za ukrepe, katerih namen je krepitev znanj in spretnosti s področja pametne specializacije v javnem interesu in ki jih bodo v večji meri izvajala javne institucije (javni sklad, visokošolski zavodi, ministrstva), sicer v sodelovanju s SRIP-i in ostalimi deležniki S5, zato je na tem predmetnem SC predvidena v celoti uporaba nepovratnih virov.</w:t>
            </w:r>
          </w:p>
          <w:p w14:paraId="52719E23" w14:textId="77777777" w:rsidR="00A77B3E" w:rsidRDefault="00A77B3E">
            <w:pPr>
              <w:spacing w:before="5pt"/>
              <w:rPr>
                <w:color w:val="000000"/>
                <w:sz w:val="6"/>
              </w:rPr>
            </w:pPr>
          </w:p>
          <w:p w14:paraId="6BCC76F2" w14:textId="77777777" w:rsidR="00A77B3E" w:rsidRDefault="00A77B3E">
            <w:pPr>
              <w:spacing w:before="5pt"/>
              <w:rPr>
                <w:color w:val="000000"/>
                <w:sz w:val="6"/>
              </w:rPr>
            </w:pPr>
          </w:p>
        </w:tc>
      </w:tr>
    </w:tbl>
    <w:p w14:paraId="6BD854AD" w14:textId="77777777" w:rsidR="00A77B3E" w:rsidRDefault="00A77B3E">
      <w:pPr>
        <w:spacing w:before="5pt"/>
        <w:rPr>
          <w:color w:val="000000"/>
        </w:rPr>
      </w:pPr>
    </w:p>
    <w:p w14:paraId="65356296" w14:textId="77777777" w:rsidR="00A77B3E" w:rsidRDefault="00B16CCF">
      <w:pPr>
        <w:pStyle w:val="Naslov4"/>
        <w:spacing w:before="5pt" w:after="0pt"/>
        <w:rPr>
          <w:b w:val="0"/>
          <w:color w:val="000000"/>
          <w:sz w:val="24"/>
        </w:rPr>
      </w:pPr>
      <w:bookmarkStart w:id="64" w:name="_Toc256000825"/>
      <w:r>
        <w:rPr>
          <w:b w:val="0"/>
          <w:color w:val="000000"/>
          <w:sz w:val="24"/>
        </w:rPr>
        <w:t>2.1.1.1.2. Kazalniki</w:t>
      </w:r>
      <w:bookmarkEnd w:id="64"/>
    </w:p>
    <w:p w14:paraId="4C140A81" w14:textId="77777777" w:rsidR="00A77B3E" w:rsidRDefault="00A77B3E">
      <w:pPr>
        <w:spacing w:before="5pt"/>
        <w:rPr>
          <w:color w:val="000000"/>
          <w:sz w:val="0"/>
        </w:rPr>
      </w:pPr>
    </w:p>
    <w:p w14:paraId="37E3D3ED" w14:textId="77777777" w:rsidR="00A77B3E" w:rsidRDefault="00B16CCF">
      <w:pPr>
        <w:spacing w:before="5pt"/>
        <w:rPr>
          <w:color w:val="000000"/>
          <w:sz w:val="0"/>
        </w:rPr>
      </w:pPr>
      <w:r>
        <w:rPr>
          <w:color w:val="000000"/>
        </w:rPr>
        <w:t>Sklic: člen 22(3)(d)(ii) uredbe o skupnih določbah in člen 8 uredbe o ESRR in Kohezijskem skladu</w:t>
      </w:r>
    </w:p>
    <w:p w14:paraId="3A45F581" w14:textId="77777777" w:rsidR="00A77B3E" w:rsidRDefault="00B16CCF">
      <w:pPr>
        <w:pStyle w:val="Naslov5"/>
        <w:spacing w:before="5pt" w:after="0pt"/>
        <w:rPr>
          <w:b w:val="0"/>
          <w:i w:val="0"/>
          <w:color w:val="000000"/>
          <w:sz w:val="24"/>
        </w:rPr>
      </w:pPr>
      <w:bookmarkStart w:id="65" w:name="_Toc256000826"/>
      <w:r>
        <w:rPr>
          <w:b w:val="0"/>
          <w:i w:val="0"/>
          <w:color w:val="000000"/>
          <w:sz w:val="24"/>
        </w:rPr>
        <w:t>Tabela 2: Kazalniki učinka</w:t>
      </w:r>
      <w:bookmarkEnd w:id="65"/>
    </w:p>
    <w:p w14:paraId="28E8178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906"/>
        <w:gridCol w:w="1757"/>
        <w:gridCol w:w="1172"/>
        <w:gridCol w:w="1821"/>
        <w:gridCol w:w="2114"/>
        <w:gridCol w:w="2376"/>
        <w:gridCol w:w="1444"/>
        <w:gridCol w:w="1317"/>
        <w:gridCol w:w="1265"/>
      </w:tblGrid>
      <w:tr w:rsidR="00823317" w14:paraId="285CC48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DA67D5"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CE4A84"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00D98C6"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AAB035"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36B7A5"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301F57"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2F23BF"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7B39BE" w14:textId="77777777" w:rsidR="00A77B3E" w:rsidRDefault="00B16CCF">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630252" w14:textId="77777777" w:rsidR="00A77B3E" w:rsidRDefault="00B16CCF">
            <w:pPr>
              <w:spacing w:before="5pt"/>
              <w:jc w:val="center"/>
              <w:rPr>
                <w:color w:val="000000"/>
                <w:sz w:val="20"/>
              </w:rPr>
            </w:pPr>
            <w:r>
              <w:rPr>
                <w:color w:val="000000"/>
                <w:sz w:val="20"/>
              </w:rPr>
              <w:t>Cilj (2029)</w:t>
            </w:r>
          </w:p>
        </w:tc>
      </w:tr>
      <w:tr w:rsidR="00823317" w14:paraId="61C6F5B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EC467D"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58DBE9" w14:textId="77777777" w:rsidR="00A77B3E" w:rsidRDefault="00B16CCF">
            <w:pPr>
              <w:spacing w:before="5pt"/>
              <w:rPr>
                <w:color w:val="000000"/>
                <w:sz w:val="20"/>
              </w:rPr>
            </w:pPr>
            <w:r>
              <w:rPr>
                <w:color w:val="000000"/>
                <w:sz w:val="20"/>
              </w:rPr>
              <w:t>RSO1.4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F963D2"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773186"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B3D166" w14:textId="77777777" w:rsidR="00A77B3E" w:rsidRDefault="00B16CCF">
            <w:pPr>
              <w:spacing w:before="5pt"/>
              <w:rPr>
                <w:color w:val="000000"/>
                <w:sz w:val="20"/>
              </w:rPr>
            </w:pPr>
            <w:r>
              <w:rPr>
                <w:color w:val="000000"/>
                <w:sz w:val="20"/>
              </w:rPr>
              <w:t>RCO101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750939" w14:textId="77777777" w:rsidR="00A77B3E" w:rsidRDefault="00B16CCF">
            <w:pPr>
              <w:spacing w:before="5pt"/>
              <w:rPr>
                <w:color w:val="000000"/>
                <w:sz w:val="20"/>
              </w:rPr>
            </w:pPr>
            <w:r>
              <w:rPr>
                <w:color w:val="000000"/>
                <w:sz w:val="20"/>
              </w:rPr>
              <w:t>MSP, ki vlagajo v znanja in spretnosti za pametno specializacijo, industrijski prehod in podjetništvo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EFC160" w14:textId="77777777" w:rsidR="00A77B3E" w:rsidRDefault="00B16CCF">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DA487B" w14:textId="77777777" w:rsidR="00A77B3E" w:rsidRDefault="00B16CCF">
            <w:pPr>
              <w:spacing w:before="5pt"/>
              <w:jc w:val="end"/>
              <w:rPr>
                <w:color w:val="000000"/>
                <w:sz w:val="20"/>
              </w:rPr>
            </w:pPr>
            <w:r>
              <w:rPr>
                <w:color w:val="000000"/>
                <w:sz w:val="20"/>
              </w:rPr>
              <w:t>42,00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1B70E6" w14:textId="77777777" w:rsidR="00A77B3E" w:rsidRDefault="00B16CCF">
            <w:pPr>
              <w:spacing w:before="5pt"/>
              <w:jc w:val="end"/>
              <w:rPr>
                <w:color w:val="000000"/>
                <w:sz w:val="20"/>
              </w:rPr>
            </w:pPr>
            <w:r>
              <w:rPr>
                <w:color w:val="000000"/>
                <w:sz w:val="20"/>
              </w:rPr>
              <w:t>115,00</w:t>
            </w:r>
          </w:p>
        </w:tc>
      </w:tr>
      <w:tr w:rsidR="00823317" w14:paraId="207D6D7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CCE58A" w14:textId="77777777" w:rsidR="00A77B3E" w:rsidRDefault="00B16CCF">
            <w:pPr>
              <w:spacing w:before="5pt"/>
              <w:rPr>
                <w:color w:val="000000"/>
                <w:sz w:val="20"/>
              </w:rPr>
            </w:pPr>
            <w:r>
              <w:rPr>
                <w:color w:val="000000"/>
                <w:sz w:val="20"/>
              </w:rPr>
              <w:lastRenderedPageBreak/>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8EAF3B" w14:textId="77777777" w:rsidR="00A77B3E" w:rsidRDefault="00B16CCF">
            <w:pPr>
              <w:spacing w:before="5pt"/>
              <w:rPr>
                <w:color w:val="000000"/>
                <w:sz w:val="20"/>
              </w:rPr>
            </w:pPr>
            <w:r>
              <w:rPr>
                <w:color w:val="000000"/>
                <w:sz w:val="20"/>
              </w:rPr>
              <w:t>RSO1.4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E54AF2"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78D797"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F3A61C" w14:textId="77777777" w:rsidR="00A77B3E" w:rsidRDefault="00B16CCF">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382304" w14:textId="77777777" w:rsidR="00A77B3E" w:rsidRDefault="00B16CCF">
            <w:pPr>
              <w:spacing w:before="5pt"/>
              <w:rPr>
                <w:color w:val="000000"/>
                <w:sz w:val="20"/>
              </w:rPr>
            </w:pPr>
            <w:r>
              <w:rPr>
                <w:color w:val="000000"/>
                <w:sz w:val="20"/>
              </w:rPr>
              <w:t>Število vključenih institucij znanj v projekte za krepitev znanj in spretnosti za pametno specializacijo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A415B0" w14:textId="77777777" w:rsidR="00A77B3E" w:rsidRDefault="00B16CCF">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E0DFFC"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FD9D03" w14:textId="77777777" w:rsidR="00A77B3E" w:rsidRDefault="00B16CCF">
            <w:pPr>
              <w:spacing w:before="5pt"/>
              <w:jc w:val="end"/>
              <w:rPr>
                <w:color w:val="000000"/>
                <w:sz w:val="20"/>
              </w:rPr>
            </w:pPr>
            <w:r>
              <w:rPr>
                <w:color w:val="000000"/>
                <w:sz w:val="20"/>
              </w:rPr>
              <w:t>2,00</w:t>
            </w:r>
          </w:p>
        </w:tc>
      </w:tr>
      <w:tr w:rsidR="00823317" w14:paraId="4174732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DCF487"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9D9C68" w14:textId="77777777" w:rsidR="00A77B3E" w:rsidRDefault="00B16CCF">
            <w:pPr>
              <w:spacing w:before="5pt"/>
              <w:rPr>
                <w:color w:val="000000"/>
                <w:sz w:val="20"/>
              </w:rPr>
            </w:pPr>
            <w:r>
              <w:rPr>
                <w:color w:val="000000"/>
                <w:sz w:val="20"/>
              </w:rPr>
              <w:t>RSO1.4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8638EA"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4261DE"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B15AF7" w14:textId="77777777" w:rsidR="00A77B3E" w:rsidRDefault="00B16CCF">
            <w:pPr>
              <w:spacing w:before="5pt"/>
              <w:rPr>
                <w:color w:val="000000"/>
                <w:sz w:val="20"/>
              </w:rPr>
            </w:pPr>
            <w:r>
              <w:rPr>
                <w:color w:val="000000"/>
                <w:sz w:val="20"/>
              </w:rPr>
              <w:t>RCO101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FB7CFC" w14:textId="77777777" w:rsidR="00A77B3E" w:rsidRDefault="00B16CCF">
            <w:pPr>
              <w:spacing w:before="5pt"/>
              <w:rPr>
                <w:color w:val="000000"/>
                <w:sz w:val="20"/>
              </w:rPr>
            </w:pPr>
            <w:r>
              <w:rPr>
                <w:color w:val="000000"/>
                <w:sz w:val="20"/>
              </w:rPr>
              <w:t>MSP, ki vlagajo v znanja in spretnosti za pametno specializacijo, industrijski prehod in podjetništvo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F6C5C8" w14:textId="77777777" w:rsidR="00A77B3E" w:rsidRDefault="00B16CCF">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0E7BC6" w14:textId="77777777" w:rsidR="00A77B3E" w:rsidRDefault="00B16CCF">
            <w:pPr>
              <w:spacing w:before="5pt"/>
              <w:jc w:val="end"/>
              <w:rPr>
                <w:color w:val="000000"/>
                <w:sz w:val="20"/>
              </w:rPr>
            </w:pPr>
            <w:r>
              <w:rPr>
                <w:color w:val="000000"/>
                <w:sz w:val="20"/>
              </w:rPr>
              <w:t>58,00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AF26E9" w14:textId="77777777" w:rsidR="00A77B3E" w:rsidRDefault="00B16CCF">
            <w:pPr>
              <w:spacing w:before="5pt"/>
              <w:jc w:val="end"/>
              <w:rPr>
                <w:color w:val="000000"/>
                <w:sz w:val="20"/>
              </w:rPr>
            </w:pPr>
            <w:r>
              <w:rPr>
                <w:color w:val="000000"/>
                <w:sz w:val="20"/>
              </w:rPr>
              <w:t>162,00</w:t>
            </w:r>
          </w:p>
        </w:tc>
      </w:tr>
      <w:tr w:rsidR="00823317" w14:paraId="6E713F6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72E6C7"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0C35EF" w14:textId="77777777" w:rsidR="00A77B3E" w:rsidRDefault="00B16CCF">
            <w:pPr>
              <w:spacing w:before="5pt"/>
              <w:rPr>
                <w:color w:val="000000"/>
                <w:sz w:val="20"/>
              </w:rPr>
            </w:pPr>
            <w:r>
              <w:rPr>
                <w:color w:val="000000"/>
                <w:sz w:val="20"/>
              </w:rPr>
              <w:t>RSO1.4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7E0344"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5021D7"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2F22A6" w14:textId="77777777" w:rsidR="00A77B3E" w:rsidRDefault="00B16CCF">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512993" w14:textId="77777777" w:rsidR="00A77B3E" w:rsidRDefault="00B16CCF">
            <w:pPr>
              <w:spacing w:before="5pt"/>
              <w:rPr>
                <w:color w:val="000000"/>
                <w:sz w:val="20"/>
              </w:rPr>
            </w:pPr>
            <w:r>
              <w:rPr>
                <w:color w:val="000000"/>
                <w:sz w:val="20"/>
              </w:rPr>
              <w:t>Število vključenih institucij znanj v projekte za krepitev znanj in spretnosti za pametno specializacijo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B4BC20" w14:textId="77777777" w:rsidR="00A77B3E" w:rsidRDefault="00B16CCF">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A1FBA8"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402251" w14:textId="77777777" w:rsidR="00A77B3E" w:rsidRDefault="00B16CCF">
            <w:pPr>
              <w:spacing w:before="5pt"/>
              <w:jc w:val="end"/>
              <w:rPr>
                <w:color w:val="000000"/>
                <w:sz w:val="20"/>
              </w:rPr>
            </w:pPr>
            <w:r>
              <w:rPr>
                <w:color w:val="000000"/>
                <w:sz w:val="20"/>
              </w:rPr>
              <w:t>2,00</w:t>
            </w:r>
          </w:p>
        </w:tc>
      </w:tr>
    </w:tbl>
    <w:p w14:paraId="099B8681" w14:textId="77777777" w:rsidR="00A77B3E" w:rsidRDefault="00A77B3E">
      <w:pPr>
        <w:spacing w:before="5pt"/>
        <w:rPr>
          <w:color w:val="000000"/>
          <w:sz w:val="20"/>
        </w:rPr>
      </w:pPr>
    </w:p>
    <w:p w14:paraId="2E83BC09" w14:textId="77777777" w:rsidR="00A77B3E" w:rsidRDefault="00B16CCF">
      <w:pPr>
        <w:spacing w:before="5pt"/>
        <w:rPr>
          <w:color w:val="000000"/>
          <w:sz w:val="0"/>
        </w:rPr>
      </w:pPr>
      <w:r>
        <w:rPr>
          <w:color w:val="000000"/>
        </w:rPr>
        <w:t>Sklic: člen 22(3)(d)(ii) uredbe o skupnih določbah</w:t>
      </w:r>
    </w:p>
    <w:p w14:paraId="0ED16F74" w14:textId="77777777" w:rsidR="00A77B3E" w:rsidRDefault="00B16CCF">
      <w:pPr>
        <w:pStyle w:val="Naslov5"/>
        <w:spacing w:before="5pt" w:after="0pt"/>
        <w:rPr>
          <w:b w:val="0"/>
          <w:i w:val="0"/>
          <w:color w:val="000000"/>
          <w:sz w:val="24"/>
        </w:rPr>
      </w:pPr>
      <w:bookmarkStart w:id="66" w:name="_Toc256000827"/>
      <w:r>
        <w:rPr>
          <w:b w:val="0"/>
          <w:i w:val="0"/>
          <w:color w:val="000000"/>
          <w:sz w:val="24"/>
        </w:rPr>
        <w:t>Tabela 3: Kazalniki rezultatov</w:t>
      </w:r>
      <w:bookmarkEnd w:id="66"/>
    </w:p>
    <w:p w14:paraId="13AD61E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07"/>
        <w:gridCol w:w="1205"/>
        <w:gridCol w:w="804"/>
        <w:gridCol w:w="1249"/>
        <w:gridCol w:w="1450"/>
        <w:gridCol w:w="1630"/>
        <w:gridCol w:w="1262"/>
        <w:gridCol w:w="1278"/>
        <w:gridCol w:w="1349"/>
        <w:gridCol w:w="1062"/>
        <w:gridCol w:w="1529"/>
        <w:gridCol w:w="1047"/>
      </w:tblGrid>
      <w:tr w:rsidR="00823317" w14:paraId="1F7B76D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9092B5"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591CC5"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B18483"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35725A"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70BB97"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D961F9"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9090A8"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0A58F8" w14:textId="77777777" w:rsidR="00A77B3E" w:rsidRDefault="00B16CCF">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03F710" w14:textId="77777777" w:rsidR="00A77B3E" w:rsidRDefault="00B16CCF">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29F9E8" w14:textId="77777777" w:rsidR="00A77B3E" w:rsidRDefault="00B16CCF">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64EBA3" w14:textId="77777777" w:rsidR="00A77B3E" w:rsidRDefault="00B16CCF">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B08217" w14:textId="77777777" w:rsidR="00A77B3E" w:rsidRDefault="00B16CCF">
            <w:pPr>
              <w:spacing w:before="5pt"/>
              <w:jc w:val="center"/>
              <w:rPr>
                <w:color w:val="000000"/>
                <w:sz w:val="20"/>
              </w:rPr>
            </w:pPr>
            <w:r>
              <w:rPr>
                <w:color w:val="000000"/>
                <w:sz w:val="20"/>
              </w:rPr>
              <w:t>Opombe</w:t>
            </w:r>
          </w:p>
        </w:tc>
      </w:tr>
      <w:tr w:rsidR="00823317" w14:paraId="036B5C4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8AB859"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CF088D" w14:textId="77777777" w:rsidR="00A77B3E" w:rsidRDefault="00B16CCF">
            <w:pPr>
              <w:spacing w:before="5pt"/>
              <w:rPr>
                <w:color w:val="000000"/>
                <w:sz w:val="20"/>
              </w:rPr>
            </w:pPr>
            <w:r>
              <w:rPr>
                <w:color w:val="000000"/>
                <w:sz w:val="20"/>
              </w:rPr>
              <w:t>RSO1.4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87B102"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9E84E0"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5C557A" w14:textId="77777777" w:rsidR="00A77B3E" w:rsidRDefault="00B16CCF">
            <w:pPr>
              <w:spacing w:before="5pt"/>
              <w:rPr>
                <w:color w:val="000000"/>
                <w:sz w:val="20"/>
              </w:rPr>
            </w:pPr>
            <w:r>
              <w:rPr>
                <w:color w:val="000000"/>
                <w:sz w:val="20"/>
              </w:rPr>
              <w:t>RCR98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47E378" w14:textId="77777777" w:rsidR="00A77B3E" w:rsidRDefault="00B16CCF">
            <w:pPr>
              <w:spacing w:before="5pt"/>
              <w:rPr>
                <w:color w:val="000000"/>
                <w:sz w:val="20"/>
              </w:rPr>
            </w:pPr>
            <w:r>
              <w:rPr>
                <w:color w:val="000000"/>
                <w:sz w:val="20"/>
              </w:rPr>
              <w:t>Zaposleni v MSP, ki zaključijo usposabljanje za znanja in spretnosti za pametno specializacijo, industrijski prehod in podjetništvo (glede na vrste znanj in spretnosti: tehnična, upravljavska, podjetniška, zelena, drugo)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EE2446" w14:textId="77777777" w:rsidR="00A77B3E" w:rsidRDefault="00B16CCF">
            <w:pPr>
              <w:spacing w:before="5pt"/>
              <w:rPr>
                <w:color w:val="000000"/>
                <w:sz w:val="20"/>
              </w:rPr>
            </w:pPr>
            <w:r>
              <w:rPr>
                <w:color w:val="000000"/>
                <w:sz w:val="20"/>
              </w:rPr>
              <w:t>udeleženci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F25551"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BFCDA2" w14:textId="77777777" w:rsidR="00A77B3E" w:rsidRDefault="00B16CCF">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408517" w14:textId="77777777" w:rsidR="00A77B3E" w:rsidRDefault="00B16CCF">
            <w:pPr>
              <w:spacing w:before="5pt"/>
              <w:jc w:val="end"/>
              <w:rPr>
                <w:color w:val="000000"/>
                <w:sz w:val="20"/>
              </w:rPr>
            </w:pPr>
            <w:r>
              <w:rPr>
                <w:color w:val="000000"/>
                <w:sz w:val="20"/>
              </w:rPr>
              <w:t>988,00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3E7089" w14:textId="77777777" w:rsidR="00A77B3E" w:rsidRDefault="00B16CCF">
            <w:pPr>
              <w:spacing w:before="5pt"/>
              <w:rPr>
                <w:color w:val="000000"/>
                <w:sz w:val="20"/>
              </w:rPr>
            </w:pPr>
            <w:r>
              <w:rPr>
                <w:color w:val="000000"/>
                <w:sz w:val="20"/>
              </w:rPr>
              <w:t>Upravičenec, MIZŠ, MDDSZ in eMA2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7025EA" w14:textId="77777777" w:rsidR="00A77B3E" w:rsidRDefault="00A77B3E">
            <w:pPr>
              <w:spacing w:before="5pt"/>
              <w:rPr>
                <w:color w:val="000000"/>
                <w:sz w:val="20"/>
              </w:rPr>
            </w:pPr>
          </w:p>
        </w:tc>
      </w:tr>
      <w:tr w:rsidR="00823317" w14:paraId="4CB0265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C0A4BA"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7C5A99" w14:textId="77777777" w:rsidR="00A77B3E" w:rsidRDefault="00B16CCF">
            <w:pPr>
              <w:spacing w:before="5pt"/>
              <w:rPr>
                <w:color w:val="000000"/>
                <w:sz w:val="20"/>
              </w:rPr>
            </w:pPr>
            <w:r>
              <w:rPr>
                <w:color w:val="000000"/>
                <w:sz w:val="20"/>
              </w:rPr>
              <w:t>RSO1.4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AC700E"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53A613"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16EA57" w14:textId="77777777" w:rsidR="00A77B3E" w:rsidRDefault="00B16CCF">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28D15D" w14:textId="77777777" w:rsidR="00A77B3E" w:rsidRDefault="00B16CCF">
            <w:pPr>
              <w:spacing w:before="5pt"/>
              <w:rPr>
                <w:color w:val="000000"/>
                <w:sz w:val="20"/>
              </w:rPr>
            </w:pPr>
            <w:r>
              <w:rPr>
                <w:color w:val="000000"/>
                <w:sz w:val="20"/>
              </w:rPr>
              <w:t xml:space="preserve">Zaposleni pri deležnikih SRIP, ki zaključijo </w:t>
            </w:r>
            <w:r>
              <w:rPr>
                <w:color w:val="000000"/>
                <w:sz w:val="20"/>
              </w:rPr>
              <w:lastRenderedPageBreak/>
              <w:t>usposabljanje za znanja in spretnosti za pametno specializacijo, industrijsko tranzicijo in podjetništvo (glede na vrsto znanj in spretnosti: tehnična, upravljavska, podjetniška, zelena, drugo)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F4BABF" w14:textId="77777777" w:rsidR="00A77B3E" w:rsidRDefault="00B16CCF">
            <w:pPr>
              <w:spacing w:before="5pt"/>
              <w:rPr>
                <w:color w:val="000000"/>
                <w:sz w:val="20"/>
              </w:rPr>
            </w:pPr>
            <w:r>
              <w:rPr>
                <w:color w:val="000000"/>
                <w:sz w:val="20"/>
              </w:rPr>
              <w:lastRenderedPageBreak/>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AD02AE"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4CD07D" w14:textId="77777777" w:rsidR="00A77B3E" w:rsidRDefault="00B16CCF">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E707E1" w14:textId="77777777" w:rsidR="00A77B3E" w:rsidRDefault="00B16CCF">
            <w:pPr>
              <w:spacing w:before="5pt"/>
              <w:jc w:val="end"/>
              <w:rPr>
                <w:color w:val="000000"/>
                <w:sz w:val="20"/>
              </w:rPr>
            </w:pPr>
            <w:r>
              <w:rPr>
                <w:color w:val="000000"/>
                <w:sz w:val="20"/>
              </w:rPr>
              <w:t>19,00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260C9E" w14:textId="77777777" w:rsidR="00A77B3E" w:rsidRDefault="00B16CCF">
            <w:pPr>
              <w:spacing w:before="5pt"/>
              <w:rPr>
                <w:color w:val="000000"/>
                <w:sz w:val="20"/>
              </w:rPr>
            </w:pPr>
            <w:r>
              <w:rPr>
                <w:color w:val="000000"/>
                <w:sz w:val="20"/>
              </w:rPr>
              <w:t>Upravičenec in eMA2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BEE6FD" w14:textId="77777777" w:rsidR="00A77B3E" w:rsidRDefault="00A77B3E">
            <w:pPr>
              <w:spacing w:before="5pt"/>
              <w:rPr>
                <w:color w:val="000000"/>
                <w:sz w:val="20"/>
              </w:rPr>
            </w:pPr>
          </w:p>
        </w:tc>
      </w:tr>
      <w:tr w:rsidR="00823317" w14:paraId="270C0D2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BCAF4E"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9DFDEF" w14:textId="77777777" w:rsidR="00A77B3E" w:rsidRDefault="00B16CCF">
            <w:pPr>
              <w:spacing w:before="5pt"/>
              <w:rPr>
                <w:color w:val="000000"/>
                <w:sz w:val="20"/>
              </w:rPr>
            </w:pPr>
            <w:r>
              <w:rPr>
                <w:color w:val="000000"/>
                <w:sz w:val="20"/>
              </w:rPr>
              <w:t>RSO1.4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236EF4"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6431CD"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D750ED" w14:textId="77777777" w:rsidR="00A77B3E" w:rsidRDefault="00B16CCF">
            <w:pPr>
              <w:spacing w:before="5pt"/>
              <w:rPr>
                <w:color w:val="000000"/>
                <w:sz w:val="20"/>
              </w:rPr>
            </w:pPr>
            <w:r>
              <w:rPr>
                <w:color w:val="000000"/>
                <w:sz w:val="20"/>
              </w:rPr>
              <w:t>RCR98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487608" w14:textId="77777777" w:rsidR="00A77B3E" w:rsidRDefault="00B16CCF">
            <w:pPr>
              <w:spacing w:before="5pt"/>
              <w:rPr>
                <w:color w:val="000000"/>
                <w:sz w:val="20"/>
              </w:rPr>
            </w:pPr>
            <w:r>
              <w:rPr>
                <w:color w:val="000000"/>
                <w:sz w:val="20"/>
              </w:rPr>
              <w:t>Zaposleni v MSP, ki zaključijo usposabljanje za znanja in spretnosti za pametno specializacijo, industrijski prehod in podjetništvo (glede na vrste znanj in spretnosti: tehnična, upravljavska, podjetniška, zelena, drugo)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E4D3E4" w14:textId="77777777" w:rsidR="00A77B3E" w:rsidRDefault="00B16CCF">
            <w:pPr>
              <w:spacing w:before="5pt"/>
              <w:rPr>
                <w:color w:val="000000"/>
                <w:sz w:val="20"/>
              </w:rPr>
            </w:pPr>
            <w:r>
              <w:rPr>
                <w:color w:val="000000"/>
                <w:sz w:val="20"/>
              </w:rPr>
              <w:t>udeleženci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A1BA80"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7CB743" w14:textId="77777777" w:rsidR="00A77B3E" w:rsidRDefault="00B16CCF">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8F5B5C" w14:textId="77777777" w:rsidR="00A77B3E" w:rsidRDefault="00B16CCF">
            <w:pPr>
              <w:spacing w:before="5pt"/>
              <w:jc w:val="end"/>
              <w:rPr>
                <w:color w:val="000000"/>
                <w:sz w:val="20"/>
              </w:rPr>
            </w:pPr>
            <w:r>
              <w:rPr>
                <w:color w:val="000000"/>
                <w:sz w:val="20"/>
              </w:rPr>
              <w:t>1.307,00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B09FFB" w14:textId="77777777" w:rsidR="00A77B3E" w:rsidRDefault="00B16CCF">
            <w:pPr>
              <w:spacing w:before="5pt"/>
              <w:rPr>
                <w:color w:val="000000"/>
                <w:sz w:val="20"/>
              </w:rPr>
            </w:pPr>
            <w:r>
              <w:rPr>
                <w:color w:val="000000"/>
                <w:sz w:val="20"/>
              </w:rPr>
              <w:t>Upravičenec, MIZŠ, MDDSZ in eMA2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F62591" w14:textId="77777777" w:rsidR="00A77B3E" w:rsidRDefault="00A77B3E">
            <w:pPr>
              <w:spacing w:before="5pt"/>
              <w:rPr>
                <w:color w:val="000000"/>
                <w:sz w:val="20"/>
              </w:rPr>
            </w:pPr>
          </w:p>
        </w:tc>
      </w:tr>
      <w:tr w:rsidR="00823317" w14:paraId="6008D26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619D70"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E1865C" w14:textId="77777777" w:rsidR="00A77B3E" w:rsidRDefault="00B16CCF">
            <w:pPr>
              <w:spacing w:before="5pt"/>
              <w:rPr>
                <w:color w:val="000000"/>
                <w:sz w:val="20"/>
              </w:rPr>
            </w:pPr>
            <w:r>
              <w:rPr>
                <w:color w:val="000000"/>
                <w:sz w:val="20"/>
              </w:rPr>
              <w:t>RSO1.4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EC6BDD"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F2BB40"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066867" w14:textId="77777777" w:rsidR="00A77B3E" w:rsidRDefault="00B16CCF">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E035AC" w14:textId="77777777" w:rsidR="00A77B3E" w:rsidRDefault="00B16CCF">
            <w:pPr>
              <w:spacing w:before="5pt"/>
              <w:rPr>
                <w:color w:val="000000"/>
                <w:sz w:val="20"/>
              </w:rPr>
            </w:pPr>
            <w:r>
              <w:rPr>
                <w:color w:val="000000"/>
                <w:sz w:val="20"/>
              </w:rPr>
              <w:t xml:space="preserve">Zaposleni pri deležnikih SRIP, ki zaključijo usposabljanje za znanja in spretnosti za pametno specializacijo, industrijsko tranzicijo in podjetništvo </w:t>
            </w:r>
            <w:r>
              <w:rPr>
                <w:color w:val="000000"/>
                <w:sz w:val="20"/>
              </w:rPr>
              <w:lastRenderedPageBreak/>
              <w:t>(glede na vrsto znanj in spretnosti: tehnična, upravljavska, podjetniška, zelena, drugo)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77E3E0" w14:textId="77777777" w:rsidR="00A77B3E" w:rsidRDefault="00B16CCF">
            <w:pPr>
              <w:spacing w:before="5pt"/>
              <w:rPr>
                <w:color w:val="000000"/>
                <w:sz w:val="20"/>
              </w:rPr>
            </w:pPr>
            <w:r>
              <w:rPr>
                <w:color w:val="000000"/>
                <w:sz w:val="20"/>
              </w:rPr>
              <w:lastRenderedPageBreak/>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6DBA6D"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95CE52" w14:textId="77777777" w:rsidR="00A77B3E" w:rsidRDefault="00B16CCF">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19211F" w14:textId="77777777" w:rsidR="00A77B3E" w:rsidRDefault="00B16CCF">
            <w:pPr>
              <w:spacing w:before="5pt"/>
              <w:jc w:val="end"/>
              <w:rPr>
                <w:color w:val="000000"/>
                <w:sz w:val="20"/>
              </w:rPr>
            </w:pPr>
            <w:r>
              <w:rPr>
                <w:color w:val="000000"/>
                <w:sz w:val="20"/>
              </w:rPr>
              <w:t>31,00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184328" w14:textId="77777777" w:rsidR="00A77B3E" w:rsidRDefault="00B16CCF">
            <w:pPr>
              <w:spacing w:before="5pt"/>
              <w:rPr>
                <w:color w:val="000000"/>
                <w:sz w:val="20"/>
              </w:rPr>
            </w:pPr>
            <w:r>
              <w:rPr>
                <w:color w:val="000000"/>
                <w:sz w:val="20"/>
              </w:rPr>
              <w:t>Upravičenec in eMA2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D52567" w14:textId="77777777" w:rsidR="00A77B3E" w:rsidRDefault="00A77B3E">
            <w:pPr>
              <w:spacing w:before="5pt"/>
              <w:rPr>
                <w:color w:val="000000"/>
                <w:sz w:val="20"/>
              </w:rPr>
            </w:pPr>
          </w:p>
        </w:tc>
      </w:tr>
    </w:tbl>
    <w:p w14:paraId="4D7BDE01" w14:textId="77777777" w:rsidR="00A77B3E" w:rsidRDefault="00A77B3E">
      <w:pPr>
        <w:spacing w:before="5pt"/>
        <w:rPr>
          <w:color w:val="000000"/>
          <w:sz w:val="20"/>
        </w:rPr>
      </w:pPr>
    </w:p>
    <w:p w14:paraId="2400B57D" w14:textId="77777777" w:rsidR="00A77B3E" w:rsidRDefault="00B16CCF">
      <w:pPr>
        <w:pStyle w:val="Naslov4"/>
        <w:spacing w:before="5pt" w:after="0pt"/>
        <w:rPr>
          <w:b w:val="0"/>
          <w:color w:val="000000"/>
          <w:sz w:val="24"/>
        </w:rPr>
      </w:pPr>
      <w:bookmarkStart w:id="67" w:name="_Toc256000828"/>
      <w:r>
        <w:rPr>
          <w:b w:val="0"/>
          <w:color w:val="000000"/>
          <w:sz w:val="24"/>
        </w:rPr>
        <w:t>2.1.1.1.3. Okvirna razčlenitev načrtovanih sredstev (EU) glede na vrsto ukrepa</w:t>
      </w:r>
      <w:bookmarkEnd w:id="67"/>
    </w:p>
    <w:p w14:paraId="4A3F502E" w14:textId="77777777" w:rsidR="00A77B3E" w:rsidRDefault="00A77B3E">
      <w:pPr>
        <w:spacing w:before="5pt"/>
        <w:rPr>
          <w:color w:val="000000"/>
          <w:sz w:val="0"/>
        </w:rPr>
      </w:pPr>
    </w:p>
    <w:p w14:paraId="79F3D165" w14:textId="77777777" w:rsidR="00A77B3E" w:rsidRDefault="00B16CCF">
      <w:pPr>
        <w:spacing w:before="5pt"/>
        <w:rPr>
          <w:color w:val="000000"/>
          <w:sz w:val="0"/>
        </w:rPr>
      </w:pPr>
      <w:r>
        <w:rPr>
          <w:color w:val="000000"/>
        </w:rPr>
        <w:t>Sklic: člen 22(3)(d)(viii) uredbe o skupnih določbah</w:t>
      </w:r>
    </w:p>
    <w:p w14:paraId="19B503FC" w14:textId="77777777" w:rsidR="00A77B3E" w:rsidRDefault="00B16CCF">
      <w:pPr>
        <w:pStyle w:val="Naslov5"/>
        <w:spacing w:before="5pt" w:after="0pt"/>
        <w:rPr>
          <w:b w:val="0"/>
          <w:i w:val="0"/>
          <w:color w:val="000000"/>
          <w:sz w:val="24"/>
        </w:rPr>
      </w:pPr>
      <w:bookmarkStart w:id="68" w:name="_Toc256000829"/>
      <w:r>
        <w:rPr>
          <w:b w:val="0"/>
          <w:i w:val="0"/>
          <w:color w:val="000000"/>
          <w:sz w:val="24"/>
        </w:rPr>
        <w:t>Tabela 4: Razsežnost 1 – področje ukrepanja</w:t>
      </w:r>
      <w:bookmarkEnd w:id="68"/>
    </w:p>
    <w:p w14:paraId="50668A6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95"/>
        <w:gridCol w:w="2301"/>
        <w:gridCol w:w="1671"/>
        <w:gridCol w:w="2385"/>
        <w:gridCol w:w="3181"/>
        <w:gridCol w:w="3139"/>
      </w:tblGrid>
      <w:tr w:rsidR="00823317" w14:paraId="7E3D419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8D95410"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7AA2D6"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C5A7FC"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CA49E3"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814D0E"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75BF6B" w14:textId="77777777" w:rsidR="00A77B3E" w:rsidRDefault="00B16CCF">
            <w:pPr>
              <w:spacing w:before="5pt"/>
              <w:jc w:val="center"/>
              <w:rPr>
                <w:color w:val="000000"/>
                <w:sz w:val="20"/>
              </w:rPr>
            </w:pPr>
            <w:r>
              <w:rPr>
                <w:color w:val="000000"/>
                <w:sz w:val="20"/>
              </w:rPr>
              <w:t>Znesek (v EUR)</w:t>
            </w:r>
          </w:p>
        </w:tc>
      </w:tr>
      <w:tr w:rsidR="00823317" w14:paraId="34CB753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0A0FE8"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10E6DD" w14:textId="77777777" w:rsidR="00A77B3E" w:rsidRDefault="00B16CCF">
            <w:pPr>
              <w:spacing w:before="5pt"/>
              <w:rPr>
                <w:color w:val="000000"/>
                <w:sz w:val="20"/>
              </w:rPr>
            </w:pPr>
            <w:r>
              <w:rPr>
                <w:color w:val="000000"/>
                <w:sz w:val="20"/>
              </w:rPr>
              <w:t>RSO1.4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756CDF"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DE96E0"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4F16EC" w14:textId="77777777" w:rsidR="00A77B3E" w:rsidRDefault="00B16CCF">
            <w:pPr>
              <w:spacing w:before="5pt"/>
              <w:rPr>
                <w:color w:val="000000"/>
                <w:sz w:val="20"/>
              </w:rPr>
            </w:pPr>
            <w:r>
              <w:rPr>
                <w:color w:val="000000"/>
                <w:sz w:val="20"/>
              </w:rPr>
              <w:t>023. Razvoj znanj in spretnosti za pametno specializacijo, industrijski prehod, podjetništvo in prilagodljivost podjetij na spremembe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2F25D7" w14:textId="77777777" w:rsidR="00A77B3E" w:rsidRDefault="00B16CCF">
            <w:pPr>
              <w:spacing w:before="5pt"/>
              <w:jc w:val="end"/>
              <w:rPr>
                <w:color w:val="000000"/>
                <w:sz w:val="20"/>
              </w:rPr>
            </w:pPr>
            <w:r>
              <w:rPr>
                <w:color w:val="000000"/>
                <w:sz w:val="20"/>
              </w:rPr>
              <w:t>3.529.723,00</w:t>
            </w:r>
          </w:p>
        </w:tc>
      </w:tr>
      <w:tr w:rsidR="00823317" w14:paraId="1C17AB1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5D4740"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8354E4" w14:textId="77777777" w:rsidR="00A77B3E" w:rsidRDefault="00B16CCF">
            <w:pPr>
              <w:spacing w:before="5pt"/>
              <w:rPr>
                <w:color w:val="000000"/>
                <w:sz w:val="20"/>
              </w:rPr>
            </w:pPr>
            <w:r>
              <w:rPr>
                <w:color w:val="000000"/>
                <w:sz w:val="20"/>
              </w:rPr>
              <w:t>RSO1.4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5C855F"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755F7B"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DCE6F2" w14:textId="77777777" w:rsidR="00A77B3E" w:rsidRDefault="00B16CCF">
            <w:pPr>
              <w:spacing w:before="5pt"/>
              <w:rPr>
                <w:color w:val="000000"/>
                <w:sz w:val="20"/>
              </w:rPr>
            </w:pPr>
            <w:r>
              <w:rPr>
                <w:color w:val="000000"/>
                <w:sz w:val="20"/>
              </w:rPr>
              <w:t>023. Razvoj znanj in spretnosti za pametno specializacijo, industrijski prehod, podjetništvo in prilagodljivost podjetij na spremembe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94B605" w14:textId="77777777" w:rsidR="00A77B3E" w:rsidRDefault="00B16CCF">
            <w:pPr>
              <w:spacing w:before="5pt"/>
              <w:jc w:val="end"/>
              <w:rPr>
                <w:color w:val="000000"/>
                <w:sz w:val="20"/>
              </w:rPr>
            </w:pPr>
            <w:r>
              <w:rPr>
                <w:color w:val="000000"/>
                <w:sz w:val="20"/>
              </w:rPr>
              <w:t>9.756.944,00</w:t>
            </w:r>
          </w:p>
        </w:tc>
      </w:tr>
      <w:tr w:rsidR="00823317" w14:paraId="618C04F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0A8F6E"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2D4A26" w14:textId="77777777" w:rsidR="00A77B3E" w:rsidRDefault="00B16CCF">
            <w:pPr>
              <w:spacing w:before="5pt"/>
              <w:rPr>
                <w:color w:val="000000"/>
                <w:sz w:val="20"/>
              </w:rPr>
            </w:pPr>
            <w:r>
              <w:rPr>
                <w:color w:val="000000"/>
                <w:sz w:val="20"/>
              </w:rPr>
              <w:t>RSO1.4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826FD0"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0880D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447354"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093D93" w14:textId="77777777" w:rsidR="00A77B3E" w:rsidRDefault="00B16CCF">
            <w:pPr>
              <w:spacing w:before="5pt"/>
              <w:jc w:val="end"/>
              <w:rPr>
                <w:color w:val="000000"/>
                <w:sz w:val="20"/>
              </w:rPr>
            </w:pPr>
            <w:r>
              <w:rPr>
                <w:color w:val="000000"/>
                <w:sz w:val="20"/>
              </w:rPr>
              <w:t>13.286.667,00</w:t>
            </w:r>
          </w:p>
        </w:tc>
      </w:tr>
    </w:tbl>
    <w:p w14:paraId="53A8873F" w14:textId="77777777" w:rsidR="00A77B3E" w:rsidRDefault="00A77B3E">
      <w:pPr>
        <w:spacing w:before="5pt"/>
        <w:rPr>
          <w:color w:val="000000"/>
          <w:sz w:val="20"/>
        </w:rPr>
      </w:pPr>
    </w:p>
    <w:p w14:paraId="03596936" w14:textId="77777777" w:rsidR="00A77B3E" w:rsidRDefault="00B16CCF">
      <w:pPr>
        <w:pStyle w:val="Naslov5"/>
        <w:spacing w:before="5pt" w:after="0pt"/>
        <w:rPr>
          <w:b w:val="0"/>
          <w:i w:val="0"/>
          <w:color w:val="000000"/>
          <w:sz w:val="24"/>
        </w:rPr>
      </w:pPr>
      <w:bookmarkStart w:id="69" w:name="_Toc256000830"/>
      <w:r>
        <w:rPr>
          <w:b w:val="0"/>
          <w:i w:val="0"/>
          <w:color w:val="000000"/>
          <w:sz w:val="24"/>
        </w:rPr>
        <w:t>Tabela 5: Razsežnost 2 – oblika financiranja</w:t>
      </w:r>
      <w:bookmarkEnd w:id="69"/>
    </w:p>
    <w:p w14:paraId="1825F09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93"/>
        <w:gridCol w:w="2392"/>
        <w:gridCol w:w="1737"/>
        <w:gridCol w:w="2480"/>
        <w:gridCol w:w="2706"/>
        <w:gridCol w:w="3264"/>
      </w:tblGrid>
      <w:tr w:rsidR="00823317" w14:paraId="7016301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8CB97D"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B4ACF3"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D5BDD7E"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4CF4E1"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5B27DD"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15381A" w14:textId="77777777" w:rsidR="00A77B3E" w:rsidRDefault="00B16CCF">
            <w:pPr>
              <w:spacing w:before="5pt"/>
              <w:jc w:val="center"/>
              <w:rPr>
                <w:color w:val="000000"/>
                <w:sz w:val="20"/>
              </w:rPr>
            </w:pPr>
            <w:r>
              <w:rPr>
                <w:color w:val="000000"/>
                <w:sz w:val="20"/>
              </w:rPr>
              <w:t>Znesek (v EUR)</w:t>
            </w:r>
          </w:p>
        </w:tc>
      </w:tr>
      <w:tr w:rsidR="00823317" w14:paraId="0820359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3F9263"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DFA414" w14:textId="77777777" w:rsidR="00A77B3E" w:rsidRDefault="00B16CCF">
            <w:pPr>
              <w:spacing w:before="5pt"/>
              <w:rPr>
                <w:color w:val="000000"/>
                <w:sz w:val="20"/>
              </w:rPr>
            </w:pPr>
            <w:r>
              <w:rPr>
                <w:color w:val="000000"/>
                <w:sz w:val="20"/>
              </w:rPr>
              <w:t>RSO1.4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A64B04"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989152"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0BF1D2" w14:textId="77777777" w:rsidR="00A77B3E" w:rsidRDefault="00B16CCF">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48E906" w14:textId="77777777" w:rsidR="00A77B3E" w:rsidRDefault="00B16CCF">
            <w:pPr>
              <w:spacing w:before="5pt"/>
              <w:jc w:val="end"/>
              <w:rPr>
                <w:color w:val="000000"/>
                <w:sz w:val="20"/>
              </w:rPr>
            </w:pPr>
            <w:r>
              <w:rPr>
                <w:color w:val="000000"/>
                <w:sz w:val="20"/>
              </w:rPr>
              <w:t>3.529.723,00</w:t>
            </w:r>
          </w:p>
        </w:tc>
      </w:tr>
      <w:tr w:rsidR="00823317" w14:paraId="3DF7D29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B4B45A"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77C862" w14:textId="77777777" w:rsidR="00A77B3E" w:rsidRDefault="00B16CCF">
            <w:pPr>
              <w:spacing w:before="5pt"/>
              <w:rPr>
                <w:color w:val="000000"/>
                <w:sz w:val="20"/>
              </w:rPr>
            </w:pPr>
            <w:r>
              <w:rPr>
                <w:color w:val="000000"/>
                <w:sz w:val="20"/>
              </w:rPr>
              <w:t>RSO1.4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4F5782"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DCCC1A"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8ECBED" w14:textId="77777777" w:rsidR="00A77B3E" w:rsidRDefault="00B16CCF">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320BB3" w14:textId="77777777" w:rsidR="00A77B3E" w:rsidRDefault="00B16CCF">
            <w:pPr>
              <w:spacing w:before="5pt"/>
              <w:jc w:val="end"/>
              <w:rPr>
                <w:color w:val="000000"/>
                <w:sz w:val="20"/>
              </w:rPr>
            </w:pPr>
            <w:r>
              <w:rPr>
                <w:color w:val="000000"/>
                <w:sz w:val="20"/>
              </w:rPr>
              <w:t>9.756.944,00</w:t>
            </w:r>
          </w:p>
        </w:tc>
      </w:tr>
      <w:tr w:rsidR="00823317" w14:paraId="70F5E1B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575275"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033DA7" w14:textId="77777777" w:rsidR="00A77B3E" w:rsidRDefault="00B16CCF">
            <w:pPr>
              <w:spacing w:before="5pt"/>
              <w:rPr>
                <w:color w:val="000000"/>
                <w:sz w:val="20"/>
              </w:rPr>
            </w:pPr>
            <w:r>
              <w:rPr>
                <w:color w:val="000000"/>
                <w:sz w:val="20"/>
              </w:rPr>
              <w:t>RSO1.4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60FFC4"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40E2B5"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463829"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E540DB" w14:textId="77777777" w:rsidR="00A77B3E" w:rsidRDefault="00B16CCF">
            <w:pPr>
              <w:spacing w:before="5pt"/>
              <w:jc w:val="end"/>
              <w:rPr>
                <w:color w:val="000000"/>
                <w:sz w:val="20"/>
              </w:rPr>
            </w:pPr>
            <w:r>
              <w:rPr>
                <w:color w:val="000000"/>
                <w:sz w:val="20"/>
              </w:rPr>
              <w:t>13.286.667,00</w:t>
            </w:r>
          </w:p>
        </w:tc>
      </w:tr>
    </w:tbl>
    <w:p w14:paraId="23E1C16A" w14:textId="77777777" w:rsidR="00A77B3E" w:rsidRDefault="00A77B3E">
      <w:pPr>
        <w:spacing w:before="5pt"/>
        <w:rPr>
          <w:color w:val="000000"/>
          <w:sz w:val="20"/>
        </w:rPr>
      </w:pPr>
    </w:p>
    <w:p w14:paraId="26C5CA5D" w14:textId="77777777" w:rsidR="00A77B3E" w:rsidRDefault="00B16CCF">
      <w:pPr>
        <w:pStyle w:val="Naslov5"/>
        <w:spacing w:before="5pt" w:after="0pt"/>
        <w:rPr>
          <w:b w:val="0"/>
          <w:i w:val="0"/>
          <w:color w:val="000000"/>
          <w:sz w:val="24"/>
        </w:rPr>
      </w:pPr>
      <w:bookmarkStart w:id="70" w:name="_Toc256000831"/>
      <w:r>
        <w:rPr>
          <w:b w:val="0"/>
          <w:i w:val="0"/>
          <w:color w:val="000000"/>
          <w:sz w:val="24"/>
        </w:rPr>
        <w:t>Tabela 6: Razsežnost 3 – mehanizem za ozemeljsko izvrševanje in ozemeljski pristop</w:t>
      </w:r>
      <w:bookmarkEnd w:id="70"/>
    </w:p>
    <w:p w14:paraId="0CF116D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26"/>
        <w:gridCol w:w="2331"/>
        <w:gridCol w:w="1692"/>
        <w:gridCol w:w="2416"/>
        <w:gridCol w:w="3027"/>
        <w:gridCol w:w="3180"/>
      </w:tblGrid>
      <w:tr w:rsidR="00823317" w14:paraId="0E3905D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072E9F"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9459C8"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4454D8F"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BD431C"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4C4730B"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7E6016" w14:textId="77777777" w:rsidR="00A77B3E" w:rsidRDefault="00B16CCF">
            <w:pPr>
              <w:spacing w:before="5pt"/>
              <w:jc w:val="center"/>
              <w:rPr>
                <w:color w:val="000000"/>
                <w:sz w:val="20"/>
              </w:rPr>
            </w:pPr>
            <w:r>
              <w:rPr>
                <w:color w:val="000000"/>
                <w:sz w:val="20"/>
              </w:rPr>
              <w:t>Znesek (v EUR)</w:t>
            </w:r>
          </w:p>
        </w:tc>
      </w:tr>
      <w:tr w:rsidR="00823317" w14:paraId="1330CCE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A18E0D" w14:textId="77777777" w:rsidR="00A77B3E" w:rsidRDefault="00B16CCF">
            <w:pPr>
              <w:spacing w:before="5pt"/>
              <w:rPr>
                <w:color w:val="000000"/>
                <w:sz w:val="20"/>
              </w:rPr>
            </w:pPr>
            <w:r>
              <w:rPr>
                <w:color w:val="000000"/>
                <w:sz w:val="20"/>
              </w:rPr>
              <w:lastRenderedPageBreak/>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D3621D" w14:textId="77777777" w:rsidR="00A77B3E" w:rsidRDefault="00B16CCF">
            <w:pPr>
              <w:spacing w:before="5pt"/>
              <w:rPr>
                <w:color w:val="000000"/>
                <w:sz w:val="20"/>
              </w:rPr>
            </w:pPr>
            <w:r>
              <w:rPr>
                <w:color w:val="000000"/>
                <w:sz w:val="20"/>
              </w:rPr>
              <w:t>RSO1.4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67C0C2"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5AC498"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34C745" w14:textId="77777777" w:rsidR="00A77B3E" w:rsidRDefault="00B16CCF">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CD89EB" w14:textId="77777777" w:rsidR="00A77B3E" w:rsidRDefault="00B16CCF">
            <w:pPr>
              <w:spacing w:before="5pt"/>
              <w:jc w:val="end"/>
              <w:rPr>
                <w:color w:val="000000"/>
                <w:sz w:val="20"/>
              </w:rPr>
            </w:pPr>
            <w:r>
              <w:rPr>
                <w:color w:val="000000"/>
                <w:sz w:val="20"/>
              </w:rPr>
              <w:t>3.529.723,00</w:t>
            </w:r>
          </w:p>
        </w:tc>
      </w:tr>
      <w:tr w:rsidR="00823317" w14:paraId="6474A75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323753"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8150D4" w14:textId="77777777" w:rsidR="00A77B3E" w:rsidRDefault="00B16CCF">
            <w:pPr>
              <w:spacing w:before="5pt"/>
              <w:rPr>
                <w:color w:val="000000"/>
                <w:sz w:val="20"/>
              </w:rPr>
            </w:pPr>
            <w:r>
              <w:rPr>
                <w:color w:val="000000"/>
                <w:sz w:val="20"/>
              </w:rPr>
              <w:t>RSO1.4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06C183"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3A9908"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0D8499" w14:textId="77777777" w:rsidR="00A77B3E" w:rsidRDefault="00B16CCF">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A4C05D" w14:textId="77777777" w:rsidR="00A77B3E" w:rsidRDefault="00B16CCF">
            <w:pPr>
              <w:spacing w:before="5pt"/>
              <w:jc w:val="end"/>
              <w:rPr>
                <w:color w:val="000000"/>
                <w:sz w:val="20"/>
              </w:rPr>
            </w:pPr>
            <w:r>
              <w:rPr>
                <w:color w:val="000000"/>
                <w:sz w:val="20"/>
              </w:rPr>
              <w:t>9.756.944,00</w:t>
            </w:r>
          </w:p>
        </w:tc>
      </w:tr>
      <w:tr w:rsidR="00823317" w14:paraId="6547020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45BD74"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81F218" w14:textId="77777777" w:rsidR="00A77B3E" w:rsidRDefault="00B16CCF">
            <w:pPr>
              <w:spacing w:before="5pt"/>
              <w:rPr>
                <w:color w:val="000000"/>
                <w:sz w:val="20"/>
              </w:rPr>
            </w:pPr>
            <w:r>
              <w:rPr>
                <w:color w:val="000000"/>
                <w:sz w:val="20"/>
              </w:rPr>
              <w:t>RSO1.4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314C39"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4607D0"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A69FF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547632" w14:textId="77777777" w:rsidR="00A77B3E" w:rsidRDefault="00B16CCF">
            <w:pPr>
              <w:spacing w:before="5pt"/>
              <w:jc w:val="end"/>
              <w:rPr>
                <w:color w:val="000000"/>
                <w:sz w:val="20"/>
              </w:rPr>
            </w:pPr>
            <w:r>
              <w:rPr>
                <w:color w:val="000000"/>
                <w:sz w:val="20"/>
              </w:rPr>
              <w:t>13.286.667,00</w:t>
            </w:r>
          </w:p>
        </w:tc>
      </w:tr>
    </w:tbl>
    <w:p w14:paraId="7024AFC9" w14:textId="77777777" w:rsidR="00A77B3E" w:rsidRDefault="00A77B3E">
      <w:pPr>
        <w:spacing w:before="5pt"/>
        <w:rPr>
          <w:color w:val="000000"/>
          <w:sz w:val="20"/>
        </w:rPr>
      </w:pPr>
    </w:p>
    <w:p w14:paraId="4A78A08A" w14:textId="77777777" w:rsidR="00A77B3E" w:rsidRDefault="00B16CCF">
      <w:pPr>
        <w:pStyle w:val="Naslov5"/>
        <w:spacing w:before="5pt" w:after="0pt"/>
        <w:rPr>
          <w:b w:val="0"/>
          <w:i w:val="0"/>
          <w:color w:val="000000"/>
          <w:sz w:val="24"/>
        </w:rPr>
      </w:pPr>
      <w:bookmarkStart w:id="71" w:name="_Toc256000832"/>
      <w:r>
        <w:rPr>
          <w:b w:val="0"/>
          <w:i w:val="0"/>
          <w:color w:val="000000"/>
          <w:sz w:val="24"/>
        </w:rPr>
        <w:t>Tabela 7: Razsežnost 6 – sekundarna področja ESS+</w:t>
      </w:r>
      <w:bookmarkEnd w:id="71"/>
    </w:p>
    <w:p w14:paraId="10B3A4F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117"/>
        <w:gridCol w:w="2877"/>
        <w:gridCol w:w="1780"/>
        <w:gridCol w:w="2982"/>
        <w:gridCol w:w="2259"/>
        <w:gridCol w:w="2157"/>
      </w:tblGrid>
      <w:tr w:rsidR="00823317" w14:paraId="4C8FC6E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CCD24D"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ACB8C1"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38835B"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13F939"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4CDE44"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F7B962" w14:textId="77777777" w:rsidR="00A77B3E" w:rsidRDefault="00B16CCF">
            <w:pPr>
              <w:spacing w:before="5pt"/>
              <w:jc w:val="center"/>
              <w:rPr>
                <w:color w:val="000000"/>
                <w:sz w:val="20"/>
              </w:rPr>
            </w:pPr>
            <w:r>
              <w:rPr>
                <w:color w:val="000000"/>
                <w:sz w:val="20"/>
              </w:rPr>
              <w:t>Znesek (v EUR)</w:t>
            </w:r>
          </w:p>
        </w:tc>
      </w:tr>
    </w:tbl>
    <w:p w14:paraId="42CE981C" w14:textId="77777777" w:rsidR="00A77B3E" w:rsidRDefault="00A77B3E">
      <w:pPr>
        <w:spacing w:before="5pt"/>
        <w:rPr>
          <w:color w:val="000000"/>
          <w:sz w:val="20"/>
        </w:rPr>
      </w:pPr>
    </w:p>
    <w:p w14:paraId="0AAE3E3F" w14:textId="77777777" w:rsidR="00A77B3E" w:rsidRDefault="00B16CCF">
      <w:pPr>
        <w:pStyle w:val="Naslov5"/>
        <w:spacing w:before="5pt" w:after="0pt"/>
        <w:rPr>
          <w:b w:val="0"/>
          <w:i w:val="0"/>
          <w:color w:val="000000"/>
          <w:sz w:val="24"/>
        </w:rPr>
      </w:pPr>
      <w:bookmarkStart w:id="72" w:name="_Toc256000833"/>
      <w:r>
        <w:rPr>
          <w:b w:val="0"/>
          <w:i w:val="0"/>
          <w:color w:val="000000"/>
          <w:sz w:val="24"/>
        </w:rPr>
        <w:t>Tabela 8: Razsežnost 7 – razsežnost enakosti spolov v okviru ESS+*, ESRR, Kohezijskega sklada in SPP</w:t>
      </w:r>
      <w:bookmarkEnd w:id="72"/>
    </w:p>
    <w:p w14:paraId="5996A2B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35"/>
        <w:gridCol w:w="2339"/>
        <w:gridCol w:w="1699"/>
        <w:gridCol w:w="2425"/>
        <w:gridCol w:w="2983"/>
        <w:gridCol w:w="3191"/>
      </w:tblGrid>
      <w:tr w:rsidR="00823317" w14:paraId="51A701F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ED50A7"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3BC80B"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7642BD"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EB16FD"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DDC8F2"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72A815" w14:textId="77777777" w:rsidR="00A77B3E" w:rsidRDefault="00B16CCF">
            <w:pPr>
              <w:spacing w:before="5pt"/>
              <w:jc w:val="center"/>
              <w:rPr>
                <w:color w:val="000000"/>
                <w:sz w:val="20"/>
              </w:rPr>
            </w:pPr>
            <w:r>
              <w:rPr>
                <w:color w:val="000000"/>
                <w:sz w:val="20"/>
              </w:rPr>
              <w:t>Znesek (v EUR)</w:t>
            </w:r>
          </w:p>
        </w:tc>
      </w:tr>
      <w:tr w:rsidR="00823317" w14:paraId="247982D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0481B6"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F0D013" w14:textId="77777777" w:rsidR="00A77B3E" w:rsidRDefault="00B16CCF">
            <w:pPr>
              <w:spacing w:before="5pt"/>
              <w:rPr>
                <w:color w:val="000000"/>
                <w:sz w:val="20"/>
              </w:rPr>
            </w:pPr>
            <w:r>
              <w:rPr>
                <w:color w:val="000000"/>
                <w:sz w:val="20"/>
              </w:rPr>
              <w:t>RSO1.4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6B4224"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D545BC"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E0EAEF" w14:textId="77777777" w:rsidR="00A77B3E" w:rsidRDefault="00B16CCF">
            <w:pPr>
              <w:spacing w:before="5pt"/>
              <w:rPr>
                <w:color w:val="000000"/>
                <w:sz w:val="20"/>
              </w:rPr>
            </w:pPr>
            <w:r>
              <w:rPr>
                <w:color w:val="000000"/>
                <w:sz w:val="20"/>
              </w:rPr>
              <w:t>02. Vključevanje vidika spola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A177B0" w14:textId="77777777" w:rsidR="00A77B3E" w:rsidRDefault="00B16CCF">
            <w:pPr>
              <w:spacing w:before="5pt"/>
              <w:jc w:val="end"/>
              <w:rPr>
                <w:color w:val="000000"/>
                <w:sz w:val="20"/>
              </w:rPr>
            </w:pPr>
            <w:r>
              <w:rPr>
                <w:color w:val="000000"/>
                <w:sz w:val="20"/>
              </w:rPr>
              <w:t>1.411.889,00</w:t>
            </w:r>
          </w:p>
        </w:tc>
      </w:tr>
      <w:tr w:rsidR="00823317" w14:paraId="2339922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9E2FA6"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96EB91" w14:textId="77777777" w:rsidR="00A77B3E" w:rsidRDefault="00B16CCF">
            <w:pPr>
              <w:spacing w:before="5pt"/>
              <w:rPr>
                <w:color w:val="000000"/>
                <w:sz w:val="20"/>
              </w:rPr>
            </w:pPr>
            <w:r>
              <w:rPr>
                <w:color w:val="000000"/>
                <w:sz w:val="20"/>
              </w:rPr>
              <w:t>RSO1.4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D7E19B"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F6DF89"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EA57B8" w14:textId="77777777" w:rsidR="00A77B3E" w:rsidRDefault="00B16CCF">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341C97" w14:textId="77777777" w:rsidR="00A77B3E" w:rsidRDefault="00B16CCF">
            <w:pPr>
              <w:spacing w:before="5pt"/>
              <w:jc w:val="end"/>
              <w:rPr>
                <w:color w:val="000000"/>
                <w:sz w:val="20"/>
              </w:rPr>
            </w:pPr>
            <w:r>
              <w:rPr>
                <w:color w:val="000000"/>
                <w:sz w:val="20"/>
              </w:rPr>
              <w:t>2.117.834,00</w:t>
            </w:r>
          </w:p>
        </w:tc>
      </w:tr>
      <w:tr w:rsidR="00823317" w14:paraId="12F58A7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A92FC5"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9A8297" w14:textId="77777777" w:rsidR="00A77B3E" w:rsidRDefault="00B16CCF">
            <w:pPr>
              <w:spacing w:before="5pt"/>
              <w:rPr>
                <w:color w:val="000000"/>
                <w:sz w:val="20"/>
              </w:rPr>
            </w:pPr>
            <w:r>
              <w:rPr>
                <w:color w:val="000000"/>
                <w:sz w:val="20"/>
              </w:rPr>
              <w:t>RSO1.4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90B598"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9360C8"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F4CD52" w14:textId="77777777" w:rsidR="00A77B3E" w:rsidRDefault="00B16CCF">
            <w:pPr>
              <w:spacing w:before="5pt"/>
              <w:rPr>
                <w:color w:val="000000"/>
                <w:sz w:val="20"/>
              </w:rPr>
            </w:pPr>
            <w:r>
              <w:rPr>
                <w:color w:val="000000"/>
                <w:sz w:val="20"/>
              </w:rPr>
              <w:t>02. Vključevanje vidika spola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759583" w14:textId="77777777" w:rsidR="00A77B3E" w:rsidRDefault="00B16CCF">
            <w:pPr>
              <w:spacing w:before="5pt"/>
              <w:jc w:val="end"/>
              <w:rPr>
                <w:color w:val="000000"/>
                <w:sz w:val="20"/>
              </w:rPr>
            </w:pPr>
            <w:r>
              <w:rPr>
                <w:color w:val="000000"/>
                <w:sz w:val="20"/>
              </w:rPr>
              <w:t>3.902.778,00</w:t>
            </w:r>
          </w:p>
        </w:tc>
      </w:tr>
      <w:tr w:rsidR="00823317" w14:paraId="304AAE4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CD18AB"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384F7C" w14:textId="77777777" w:rsidR="00A77B3E" w:rsidRDefault="00B16CCF">
            <w:pPr>
              <w:spacing w:before="5pt"/>
              <w:rPr>
                <w:color w:val="000000"/>
                <w:sz w:val="20"/>
              </w:rPr>
            </w:pPr>
            <w:r>
              <w:rPr>
                <w:color w:val="000000"/>
                <w:sz w:val="20"/>
              </w:rPr>
              <w:t>RSO1.4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4E092A"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C23DD0"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CA3F30" w14:textId="77777777" w:rsidR="00A77B3E" w:rsidRDefault="00B16CCF">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E6DA1F" w14:textId="77777777" w:rsidR="00A77B3E" w:rsidRDefault="00B16CCF">
            <w:pPr>
              <w:spacing w:before="5pt"/>
              <w:jc w:val="end"/>
              <w:rPr>
                <w:color w:val="000000"/>
                <w:sz w:val="20"/>
              </w:rPr>
            </w:pPr>
            <w:r>
              <w:rPr>
                <w:color w:val="000000"/>
                <w:sz w:val="20"/>
              </w:rPr>
              <w:t>5.854.166,00</w:t>
            </w:r>
          </w:p>
        </w:tc>
      </w:tr>
      <w:tr w:rsidR="00823317" w14:paraId="6F640F7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0BC908"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2C1472" w14:textId="77777777" w:rsidR="00A77B3E" w:rsidRDefault="00B16CCF">
            <w:pPr>
              <w:spacing w:before="5pt"/>
              <w:rPr>
                <w:color w:val="000000"/>
                <w:sz w:val="20"/>
              </w:rPr>
            </w:pPr>
            <w:r>
              <w:rPr>
                <w:color w:val="000000"/>
                <w:sz w:val="20"/>
              </w:rPr>
              <w:t>RSO1.4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191967"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F062E7"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0F13A2"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70EDEB" w14:textId="77777777" w:rsidR="00A77B3E" w:rsidRDefault="00B16CCF">
            <w:pPr>
              <w:spacing w:before="5pt"/>
              <w:jc w:val="end"/>
              <w:rPr>
                <w:color w:val="000000"/>
                <w:sz w:val="20"/>
              </w:rPr>
            </w:pPr>
            <w:r>
              <w:rPr>
                <w:color w:val="000000"/>
                <w:sz w:val="20"/>
              </w:rPr>
              <w:t>13.286.667,00</w:t>
            </w:r>
          </w:p>
        </w:tc>
      </w:tr>
    </w:tbl>
    <w:p w14:paraId="6CB1F975" w14:textId="77777777" w:rsidR="00A77B3E" w:rsidRDefault="00B16CCF">
      <w:pPr>
        <w:spacing w:before="5pt"/>
        <w:rPr>
          <w:color w:val="000000"/>
          <w:sz w:val="20"/>
        </w:rPr>
      </w:pPr>
      <w:r>
        <w:rPr>
          <w:color w:val="000000"/>
          <w:sz w:val="20"/>
        </w:rPr>
        <w:t>* Načeloma 40 % za ESS+ prispeva k spremljanju enakosti spolov. 100 % se uporabi, kadar se država članica odloči za uporabo člena 6 uredbe o ESS+.</w:t>
      </w:r>
    </w:p>
    <w:p w14:paraId="02BBE462" w14:textId="77777777" w:rsidR="00A77B3E" w:rsidRDefault="00B16CCF">
      <w:pPr>
        <w:pStyle w:val="Naslov3"/>
        <w:spacing w:before="5pt" w:after="0pt"/>
        <w:rPr>
          <w:rFonts w:ascii="Times New Roman" w:hAnsi="Times New Roman" w:cs="Times New Roman"/>
          <w:b w:val="0"/>
          <w:color w:val="000000"/>
          <w:sz w:val="24"/>
        </w:rPr>
      </w:pPr>
      <w:r>
        <w:rPr>
          <w:rFonts w:ascii="Times New Roman" w:hAnsi="Times New Roman" w:cs="Times New Roman"/>
          <w:b w:val="0"/>
          <w:color w:val="000000"/>
          <w:sz w:val="24"/>
        </w:rPr>
        <w:br w:type="page"/>
      </w:r>
      <w:bookmarkStart w:id="73" w:name="_Toc256000834"/>
      <w:r>
        <w:rPr>
          <w:rFonts w:ascii="Times New Roman" w:hAnsi="Times New Roman" w:cs="Times New Roman"/>
          <w:b w:val="0"/>
          <w:color w:val="000000"/>
          <w:sz w:val="24"/>
        </w:rPr>
        <w:lastRenderedPageBreak/>
        <w:t>2.1.1. Prednostna naloga: 2. Digitalna povezljivost   (Specifični cilj za digitalno povezljivost, določen v točki (v) člena 3(1)(a) uredbe o ESRR in Kohezijskem skladu)</w:t>
      </w:r>
      <w:bookmarkEnd w:id="73"/>
    </w:p>
    <w:p w14:paraId="7D354636" w14:textId="77777777" w:rsidR="00A77B3E" w:rsidRDefault="00A77B3E">
      <w:pPr>
        <w:spacing w:before="5pt"/>
        <w:rPr>
          <w:color w:val="000000"/>
          <w:sz w:val="0"/>
        </w:rPr>
      </w:pPr>
    </w:p>
    <w:p w14:paraId="7FD371D0" w14:textId="77777777" w:rsidR="00A77B3E" w:rsidRDefault="00B16CCF">
      <w:pPr>
        <w:pStyle w:val="Naslov4"/>
        <w:spacing w:before="5pt" w:after="0pt"/>
        <w:rPr>
          <w:b w:val="0"/>
          <w:color w:val="000000"/>
          <w:sz w:val="24"/>
        </w:rPr>
      </w:pPr>
      <w:bookmarkStart w:id="74" w:name="_Toc256000835"/>
      <w:r>
        <w:rPr>
          <w:b w:val="0"/>
          <w:color w:val="000000"/>
          <w:sz w:val="24"/>
        </w:rPr>
        <w:t>2.1.1.1. Specifični cilj: RSO1.5. Izboljšanje digitalne povezljivosti (ESRR)</w:t>
      </w:r>
      <w:bookmarkEnd w:id="74"/>
    </w:p>
    <w:p w14:paraId="6DC23491" w14:textId="77777777" w:rsidR="00A77B3E" w:rsidRDefault="00A77B3E">
      <w:pPr>
        <w:spacing w:before="5pt"/>
        <w:rPr>
          <w:color w:val="000000"/>
          <w:sz w:val="0"/>
        </w:rPr>
      </w:pPr>
    </w:p>
    <w:p w14:paraId="4E679031" w14:textId="77777777" w:rsidR="00A77B3E" w:rsidRDefault="00B16CCF">
      <w:pPr>
        <w:pStyle w:val="Naslov4"/>
        <w:spacing w:before="5pt" w:after="0pt"/>
        <w:rPr>
          <w:b w:val="0"/>
          <w:color w:val="000000"/>
          <w:sz w:val="24"/>
        </w:rPr>
      </w:pPr>
      <w:bookmarkStart w:id="75" w:name="_Toc256000836"/>
      <w:r>
        <w:rPr>
          <w:b w:val="0"/>
          <w:color w:val="000000"/>
          <w:sz w:val="24"/>
        </w:rPr>
        <w:t>2.1.1.1.1. Ukrepi skladov</w:t>
      </w:r>
      <w:bookmarkEnd w:id="75"/>
    </w:p>
    <w:p w14:paraId="761388D4" w14:textId="77777777" w:rsidR="00A77B3E" w:rsidRDefault="00A77B3E">
      <w:pPr>
        <w:spacing w:before="5pt"/>
        <w:rPr>
          <w:color w:val="000000"/>
          <w:sz w:val="0"/>
        </w:rPr>
      </w:pPr>
    </w:p>
    <w:p w14:paraId="667535D5" w14:textId="77777777" w:rsidR="00A77B3E" w:rsidRDefault="00B16CCF">
      <w:pPr>
        <w:spacing w:before="5pt"/>
        <w:rPr>
          <w:color w:val="000000"/>
          <w:sz w:val="0"/>
        </w:rPr>
      </w:pPr>
      <w:r>
        <w:rPr>
          <w:color w:val="000000"/>
        </w:rPr>
        <w:t>Sklic: člen 22(3)(d)(i), (iii), (iv), (v), (vi) in (vii) uredbe o skupnih določbah</w:t>
      </w:r>
    </w:p>
    <w:p w14:paraId="399F204B" w14:textId="77777777" w:rsidR="00A77B3E" w:rsidRDefault="00B16CCF">
      <w:pPr>
        <w:pStyle w:val="Naslov5"/>
        <w:spacing w:before="5pt" w:after="0pt"/>
        <w:rPr>
          <w:b w:val="0"/>
          <w:i w:val="0"/>
          <w:color w:val="000000"/>
          <w:sz w:val="24"/>
        </w:rPr>
      </w:pPr>
      <w:bookmarkStart w:id="76" w:name="_Toc256000837"/>
      <w:r>
        <w:rPr>
          <w:b w:val="0"/>
          <w:i w:val="0"/>
          <w:color w:val="000000"/>
          <w:sz w:val="24"/>
        </w:rPr>
        <w:t>Povezane vrste ukrepov – člen 22(3)(d)(i) uredbe o skupnih določbah in člen 6 uredbe o ESS+:</w:t>
      </w:r>
      <w:bookmarkEnd w:id="76"/>
    </w:p>
    <w:p w14:paraId="28A6B70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1DC351D4"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C7B8CC" w14:textId="77777777" w:rsidR="00A77B3E" w:rsidRDefault="00A77B3E">
            <w:pPr>
              <w:spacing w:before="5pt"/>
              <w:rPr>
                <w:color w:val="000000"/>
                <w:sz w:val="0"/>
              </w:rPr>
            </w:pPr>
          </w:p>
          <w:p w14:paraId="6F092141" w14:textId="77777777" w:rsidR="00A77B3E" w:rsidRDefault="00B16CCF">
            <w:pPr>
              <w:spacing w:before="5pt"/>
              <w:rPr>
                <w:color w:val="000000"/>
              </w:rPr>
            </w:pPr>
            <w:r>
              <w:rPr>
                <w:color w:val="000000"/>
              </w:rPr>
              <w:t>Nepokritih belih lis v Sloveniji, ki nimajo vsaj 100 Mbps, predstavlja več kot 108.000 gospodinjstev/stanovanj[1], pri čemer moramo poudariti, da jih veliko od teh nima zagotovljenega niti 30 Mbps, hkrati pa imajo slabo pokritost z mobilnim signalom[2]. Stanje na terenu je takšno tudi zato, ker gre predvsem za bele lise na podeželju, in večinoma za hribovite konfiguracije in za gradnjo na težko dostopnih terenih z redko poseljenostjo, kjer tudi z dosedanjo ponujeno subvencijo države ni bilo zadostnega tržnega interesa operaterjev za gradnjo širokopasovnih omrežij. Na tem področju je ključna vloga države, da zagotovi sredstva za gradnjo. V trenutnem Operativnem programu za obdobje 2014-2020 je bilo iz naslova evropskih kohezijskih sredstev sofinanciranih 27.824.202,20 evrov za izgradnjo 15.424 belih lis oz. omogočenih gospodinjstev. S sredstvi NOO (30 mio evrov) je namen zagotoviti sofinanciranje za približno 8.500 belih lis oz. gospodinjstev/stanovanj, za katera je izgradnja širokopasovnega omrežja še posebej zahtevna in posledično tudi dražja.</w:t>
            </w:r>
          </w:p>
          <w:p w14:paraId="4C4DAED4" w14:textId="77777777" w:rsidR="00A77B3E" w:rsidRDefault="00A77B3E">
            <w:pPr>
              <w:spacing w:before="5pt"/>
              <w:rPr>
                <w:color w:val="000000"/>
              </w:rPr>
            </w:pPr>
          </w:p>
          <w:p w14:paraId="5B38CA5D" w14:textId="77777777" w:rsidR="00A77B3E" w:rsidRDefault="00B16CCF">
            <w:pPr>
              <w:spacing w:before="5pt"/>
              <w:rPr>
                <w:color w:val="000000"/>
              </w:rPr>
            </w:pPr>
            <w:r>
              <w:rPr>
                <w:color w:val="000000"/>
              </w:rPr>
              <w:t xml:space="preserve">Za digitalizacijo in digitalno preobrazbo podeželja, primestnih območij in mest so nujno potrebni priključki hitrosti vsaj 100 Mbps, saj brez širokopasovne povezave danes enostavno ni možno več zagotavljati ustreznih pogojev za delo in izobraževanje na daljavo, kakor tudi ne ustrezne dostopnosti vseh digitalno dostopnih javnih in zasebnih storitev. Na teh območjih, še posebej na podeželju, sloni v veliki meri tudi naše gospodarstvo, kmetijstvo, turizem, gozdarstvo, ki za svoj razvoj nujno potrebuje kakovostna in visoko zmogljiva širokopasovna omrežja, saj brez njih ni možno zagotoviti ustreznega in učinkovitega poslovanja, izobraževanja ter na splošno pospešenega in enakovrednega družbenega razvoja. Razvoj širokopasovne infrastrukture je pomemben tudi za razvoj 5G omrežij, avtonomne vožnje, in podobnega, saj razvoj le teh, brez zgrajene visoko zmogljive digitalne, širokopasovne infrastrukture elektronskih komunikacij, ni mogoč. </w:t>
            </w:r>
          </w:p>
          <w:p w14:paraId="2CB83956" w14:textId="77777777" w:rsidR="00A77B3E" w:rsidRDefault="00A77B3E">
            <w:pPr>
              <w:spacing w:before="5pt"/>
              <w:rPr>
                <w:color w:val="000000"/>
              </w:rPr>
            </w:pPr>
          </w:p>
          <w:p w14:paraId="327C7322" w14:textId="77777777" w:rsidR="00A77B3E" w:rsidRDefault="00B16CCF">
            <w:pPr>
              <w:spacing w:before="5pt"/>
              <w:rPr>
                <w:color w:val="000000"/>
              </w:rPr>
            </w:pPr>
            <w:r>
              <w:rPr>
                <w:color w:val="000000"/>
              </w:rPr>
              <w:t>Razvoj hitrega širokopasovnega omrežja v Sloveniji za dosego cilja 100-odstotnega dostopa do hitre širokopasovne infrastrukture je pomemben cilj za Slovenijo, ki naj bi bil 100-odstotno dosežen do leta 2025 v okviru izvajanja Načrta razvoja gigabitne infrastrukture 2030, ki ga je Vlada Republike Slovenije sprejela 25. avgusta 2022. Za dosego tega cilja je trenutno ugotovljena investicijska vrzel v višini 278.580.000 EUR javne podpore za 107.932 gospodinjstev. Dodatnih 15.326.344 EUR je načrtovanih za bone za povezljivost, čeprav vir financiranja še ni opredeljen in potrjen. Slovenija si bo prizadevala zapolniti to vrzel s 30 milijoni EUR iz Načrta za okrevanje in odpornost (NOO), Evropskega sklada za regionalni razvoj (ESRR) in tudi z drugimi finančnimi viri, ki ne vključujejo Evropskega kmetijskega sklada za razvoj podeželja (EKSRP). Gospodinjstva na podeželju predstavljajo 45 % vseh gospodinjstev v Sloveniji. Leta 2021 je imelo že 70,68 % podeželskih gospodinjstev širokopasovni dostop NGN (DESI 2022), od tega je imelo 51,52 % zelo zmogljiva omrežja. Z načrtovano podporo Slovenija pričakuje, da bo do leta 2025 imela 100 % podeželskih gospodinjstev širokopasovni dostop, od tega 100 % gospodinjstev s hitrim širokopasovnim dostopom. Polna pokritost je tako načrtovana za leto 2025.</w:t>
            </w:r>
          </w:p>
          <w:p w14:paraId="6B599F7D" w14:textId="77777777" w:rsidR="00A77B3E" w:rsidRDefault="00A77B3E">
            <w:pPr>
              <w:spacing w:before="5pt"/>
              <w:rPr>
                <w:color w:val="000000"/>
              </w:rPr>
            </w:pPr>
          </w:p>
          <w:p w14:paraId="68486AD4" w14:textId="77777777" w:rsidR="00A77B3E" w:rsidRDefault="00B16CCF">
            <w:pPr>
              <w:spacing w:before="5pt"/>
              <w:rPr>
                <w:color w:val="000000"/>
              </w:rPr>
            </w:pPr>
            <w:r>
              <w:rPr>
                <w:color w:val="000000"/>
              </w:rPr>
              <w:t>Uvajanje naprednih tehnologij v gospodinjstva/stanovanja, gospodarstvo in javne institucije bo zahtevalo visoko zmogljivo infrastrukturo, ki bo omogočala uporabo najnovejših digitalnih tehnologij in storitev ter tako omogočila t.i. gigabitno družbo. Preko teh ukrepov sledimo tudi smernicam enotnega trga za javno sofinanciranje infrastrukture, kjer ni tržnega interesa vlagateljev.</w:t>
            </w:r>
          </w:p>
          <w:p w14:paraId="3D3740ED" w14:textId="77777777" w:rsidR="00A77B3E" w:rsidRDefault="00A77B3E">
            <w:pPr>
              <w:spacing w:before="5pt"/>
              <w:rPr>
                <w:color w:val="000000"/>
              </w:rPr>
            </w:pPr>
          </w:p>
          <w:p w14:paraId="0BC28BE2" w14:textId="77777777" w:rsidR="00A77B3E" w:rsidRDefault="00B16CCF">
            <w:pPr>
              <w:spacing w:before="5pt"/>
              <w:rPr>
                <w:color w:val="000000"/>
              </w:rPr>
            </w:pPr>
            <w:r>
              <w:rPr>
                <w:color w:val="000000"/>
              </w:rPr>
              <w:t>Ukrep torej predvideva sofinanciranje gradnje odprte visoko zmogljive širokopasovne infrastrukture oziroma širokopasovnih povezav do, gospodinjstev/stanovanj, podjetij in javnih institucij za potrebe uvajanja novih storitev in tehnologij, kot so e-poslovanje, e-izobraževanje, IoT, pametne hiše/objekti/domovi, 5G, ipd., na območjih, kjer taka omrežja danes še ne obstajajo (odprta visoko zmogljiva širokopasovna omrežja hrbtenična/dostopovna, katerih zmogljivost bo takoj omogočala prenosne hitrosti vsaj 100 Mbps do končnega uporabnika, v prihodnosti nadgradljiva na 1 Gbps) in za njihovo gradnjo ne obstaja interes operaterjev oz. investitorjev. Za vzgojno-izobraževalne zavode pa bodo podprte navedene naložbe tudi izven navedenih območjih, da se zagotovi dolgoročnost, ekonomska vzdržnost in ustrezno tehnično upravljanje te infrastrukture, kar je nujno za nemoten izobraževalni proces.</w:t>
            </w:r>
          </w:p>
          <w:p w14:paraId="417D1107" w14:textId="77777777" w:rsidR="00A77B3E" w:rsidRDefault="00A77B3E">
            <w:pPr>
              <w:spacing w:before="5pt"/>
              <w:rPr>
                <w:color w:val="000000"/>
              </w:rPr>
            </w:pPr>
          </w:p>
          <w:p w14:paraId="76030EA9" w14:textId="77777777" w:rsidR="00A77B3E" w:rsidRDefault="00B16CCF">
            <w:pPr>
              <w:spacing w:before="5pt"/>
              <w:rPr>
                <w:color w:val="000000"/>
              </w:rPr>
            </w:pPr>
            <w:r>
              <w:rPr>
                <w:color w:val="000000"/>
              </w:rPr>
              <w:t>Pri izvajanju ukrepov se upošteva načelo preventive tako, da bo izpostavljenost prebivalstva z EMS, ki jih povzročajo naprave za digitalno povezljivost, zmanjšana na najmanjšo možno mero. V skladu s Tehničnimi smernicami za uporabo »načela, da se ne škoduje bistveno« izdanih na podlagi Uredbe o vzpostavitvi mehanizma za okrevanje in odpornost (C(2021) 1054 final) smo za predviden ukrep ocenili, da po svoji naravi nima bistvenega škodljivega vpliva na katerega koli od šestih okoljskih ciljev ob upoštevanju tehničnih meril, navedenih v Prilogi: DNSH.</w:t>
            </w:r>
          </w:p>
          <w:p w14:paraId="6E56506B" w14:textId="77777777" w:rsidR="00A77B3E" w:rsidRDefault="00A77B3E">
            <w:pPr>
              <w:spacing w:before="5pt"/>
              <w:rPr>
                <w:color w:val="000000"/>
              </w:rPr>
            </w:pPr>
          </w:p>
          <w:p w14:paraId="00580FC9" w14:textId="77777777" w:rsidR="00A77B3E" w:rsidRDefault="00B16CCF">
            <w:pPr>
              <w:spacing w:before="5pt"/>
              <w:rPr>
                <w:color w:val="000000"/>
              </w:rPr>
            </w:pPr>
            <w:r>
              <w:rPr>
                <w:color w:val="000000"/>
              </w:rPr>
              <w:t>[1] Geografski prikaz belih lis je dostopen na DID Bele lise (gov.si) in Geoportal AKOS (akos-rs.si). Konkreten seznam hišnih naslovov oz gospodinjstev, ki so bila identificirana kot bele lise v poizvedovanju po tržnem interesu leta 2019 so bile predmet javnega razpisa GOŠO 4 [https://www.gov.si/assets/ministrstva/MJU/DID/GOSO/PRILOGA_2_RD_BL_GOSO4_V4.xlsxin] in po njem še ostanek v GOŠO 5 [https://www.gov.si/assets/ministrstva/MJU/DID/GOSO-5/PRILOGA_2_GOSO5_BL_cist.xlsx]. Po končanem poizvedovanju po tržnem interesu leta 2021 je bila z edinimi operaterjem, ki ga je izrazil, podpisana pogodba za samo 1.500 gospodinjstev, zato bo predvidoma do konca leta 2022 izvedeno ponovno poizvedovanje po tržnem interesu, na podlagi katerega bodo identificirane bele lise za naslednje javne razpise. [https://www.gov.si/assets/ministrstva/MJU/DID/GOSO/PRILOGA_2_RD_BL_GOSO4_V4.xlsxin] in GOŠO 5 [https://www.gov.si/assets/ministrstva/MJU/DID/GOSO-5/PRILOGA_2_GOSO5_BL_cist.xlsx].</w:t>
            </w:r>
          </w:p>
          <w:p w14:paraId="4D624FAF" w14:textId="77777777" w:rsidR="00A77B3E" w:rsidRDefault="00B16CCF">
            <w:pPr>
              <w:spacing w:before="5pt"/>
              <w:rPr>
                <w:color w:val="000000"/>
              </w:rPr>
            </w:pPr>
            <w:r>
              <w:rPr>
                <w:color w:val="000000"/>
              </w:rPr>
              <w:t>[2] Na področju digitalne povezljivosti bomo izhajali iz dejanskih potreb, ki bodo opredeljene v Načrtu razvoja gigabitne infrastrukture do leta 2030, ki ga je Vlada RS potrdila 25. 8. 2022, in so v celoti skladne z digitalnimi cilji EU.</w:t>
            </w:r>
          </w:p>
          <w:p w14:paraId="4F97D939" w14:textId="77777777" w:rsidR="00A77B3E" w:rsidRDefault="00A77B3E">
            <w:pPr>
              <w:spacing w:before="5pt"/>
              <w:rPr>
                <w:color w:val="000000"/>
                <w:sz w:val="6"/>
              </w:rPr>
            </w:pPr>
          </w:p>
          <w:p w14:paraId="0F75301C" w14:textId="77777777" w:rsidR="00A77B3E" w:rsidRDefault="00A77B3E">
            <w:pPr>
              <w:spacing w:before="5pt"/>
              <w:rPr>
                <w:color w:val="000000"/>
                <w:sz w:val="6"/>
              </w:rPr>
            </w:pPr>
          </w:p>
        </w:tc>
      </w:tr>
    </w:tbl>
    <w:p w14:paraId="6926F992" w14:textId="77777777" w:rsidR="00A77B3E" w:rsidRDefault="00A77B3E">
      <w:pPr>
        <w:spacing w:before="5pt"/>
        <w:rPr>
          <w:color w:val="000000"/>
        </w:rPr>
      </w:pPr>
    </w:p>
    <w:p w14:paraId="174141CA" w14:textId="77777777" w:rsidR="00A77B3E" w:rsidRDefault="00B16CCF">
      <w:pPr>
        <w:pStyle w:val="Naslov5"/>
        <w:spacing w:before="5pt" w:after="0pt"/>
        <w:rPr>
          <w:b w:val="0"/>
          <w:i w:val="0"/>
          <w:color w:val="000000"/>
          <w:sz w:val="24"/>
        </w:rPr>
      </w:pPr>
      <w:bookmarkStart w:id="77" w:name="_Toc256000838"/>
      <w:r>
        <w:rPr>
          <w:b w:val="0"/>
          <w:i w:val="0"/>
          <w:color w:val="000000"/>
          <w:sz w:val="24"/>
        </w:rPr>
        <w:t>Glavne ciljne skupine – člen 22(3)(d)(iii) uredbe o skupnih določbah:</w:t>
      </w:r>
      <w:bookmarkEnd w:id="77"/>
    </w:p>
    <w:p w14:paraId="3D859D8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316342AF"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F81D67" w14:textId="77777777" w:rsidR="00A77B3E" w:rsidRDefault="00A77B3E">
            <w:pPr>
              <w:spacing w:before="5pt"/>
              <w:rPr>
                <w:color w:val="000000"/>
                <w:sz w:val="0"/>
              </w:rPr>
            </w:pPr>
          </w:p>
          <w:p w14:paraId="4E8CD375" w14:textId="77777777" w:rsidR="00A77B3E" w:rsidRDefault="00B16CCF">
            <w:pPr>
              <w:spacing w:before="5pt"/>
              <w:rPr>
                <w:color w:val="000000"/>
              </w:rPr>
            </w:pPr>
            <w:r>
              <w:rPr>
                <w:color w:val="000000"/>
              </w:rPr>
              <w:lastRenderedPageBreak/>
              <w:t>Ciljne skupine: gospodinjstva/stanovanja, VIZ, javni zavodi s področja vzgoje in izobraževanja.</w:t>
            </w:r>
          </w:p>
          <w:p w14:paraId="0B98FD95" w14:textId="77777777" w:rsidR="00A77B3E" w:rsidRDefault="00A77B3E">
            <w:pPr>
              <w:spacing w:before="5pt"/>
              <w:rPr>
                <w:color w:val="000000"/>
              </w:rPr>
            </w:pPr>
          </w:p>
          <w:p w14:paraId="0744FAF3" w14:textId="77777777" w:rsidR="00A77B3E" w:rsidRDefault="00B16CCF">
            <w:pPr>
              <w:spacing w:before="5pt"/>
              <w:rPr>
                <w:color w:val="000000"/>
              </w:rPr>
            </w:pPr>
            <w:r>
              <w:rPr>
                <w:color w:val="000000"/>
              </w:rPr>
              <w:t>Upravičenci: podjetja, javni zavod ARNES.</w:t>
            </w:r>
          </w:p>
          <w:p w14:paraId="7C5BEA21" w14:textId="77777777" w:rsidR="00A77B3E" w:rsidRDefault="00A77B3E">
            <w:pPr>
              <w:spacing w:before="5pt"/>
              <w:rPr>
                <w:color w:val="000000"/>
                <w:sz w:val="6"/>
              </w:rPr>
            </w:pPr>
          </w:p>
          <w:p w14:paraId="6D31FA7B" w14:textId="77777777" w:rsidR="00A77B3E" w:rsidRDefault="00A77B3E">
            <w:pPr>
              <w:spacing w:before="5pt"/>
              <w:rPr>
                <w:color w:val="000000"/>
                <w:sz w:val="6"/>
              </w:rPr>
            </w:pPr>
          </w:p>
        </w:tc>
      </w:tr>
    </w:tbl>
    <w:p w14:paraId="4802131C" w14:textId="77777777" w:rsidR="00A77B3E" w:rsidRDefault="00A77B3E">
      <w:pPr>
        <w:spacing w:before="5pt"/>
        <w:rPr>
          <w:color w:val="000000"/>
        </w:rPr>
      </w:pPr>
    </w:p>
    <w:p w14:paraId="12A3E35B" w14:textId="77777777" w:rsidR="00A77B3E" w:rsidRDefault="00B16CCF">
      <w:pPr>
        <w:pStyle w:val="Naslov5"/>
        <w:spacing w:before="5pt" w:after="0pt"/>
        <w:rPr>
          <w:b w:val="0"/>
          <w:i w:val="0"/>
          <w:color w:val="000000"/>
          <w:sz w:val="24"/>
        </w:rPr>
      </w:pPr>
      <w:bookmarkStart w:id="78" w:name="_Toc256000839"/>
      <w:r>
        <w:rPr>
          <w:b w:val="0"/>
          <w:i w:val="0"/>
          <w:color w:val="000000"/>
          <w:sz w:val="24"/>
        </w:rPr>
        <w:t>Ukrepi za zaščito enakosti, vključenosti in nediskriminacije – člen 22(3)(d)(iv) uredbe o skupnih določbah in člen 6 uredbe o ESS+</w:t>
      </w:r>
      <w:bookmarkEnd w:id="78"/>
    </w:p>
    <w:p w14:paraId="3455C6C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71648590"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B81E14" w14:textId="77777777" w:rsidR="00A77B3E" w:rsidRDefault="00A77B3E">
            <w:pPr>
              <w:spacing w:before="5pt"/>
              <w:rPr>
                <w:color w:val="000000"/>
                <w:sz w:val="0"/>
              </w:rPr>
            </w:pPr>
          </w:p>
          <w:p w14:paraId="0766D849" w14:textId="77777777" w:rsidR="00A77B3E" w:rsidRDefault="00B16CCF">
            <w:pPr>
              <w:spacing w:before="5pt"/>
              <w:rPr>
                <w:color w:val="000000"/>
              </w:rPr>
            </w:pPr>
            <w:r>
              <w:rPr>
                <w:color w:val="000000"/>
              </w:rPr>
              <w:t>Spoštovanje načel enakosti, vključenosti in nediskriminacije bo zagotovljeno pri izvajanju vseh aktivnosti na vseh ravneh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w:t>
            </w:r>
          </w:p>
          <w:p w14:paraId="0F841508" w14:textId="77777777" w:rsidR="00A77B3E" w:rsidRDefault="00A77B3E">
            <w:pPr>
              <w:spacing w:before="5pt"/>
              <w:rPr>
                <w:color w:val="000000"/>
              </w:rPr>
            </w:pPr>
          </w:p>
          <w:p w14:paraId="59278356" w14:textId="77777777" w:rsidR="00A77B3E" w:rsidRDefault="00B16CCF">
            <w:pPr>
              <w:spacing w:before="5pt"/>
              <w:rPr>
                <w:color w:val="000000"/>
              </w:rPr>
            </w:pPr>
            <w:r>
              <w:rPr>
                <w:color w:val="000000"/>
              </w:rPr>
              <w:t>Upravičena bodo gospodinjstva/stanovanja, za katera ni bil izkazan tržni interes. Ukrep javnega sofinanciranja gradnje omrežja (za izboljšanje digitalne povezljivosti) je namenjen temu, da se gospodinjstvom/stanovanjem, ki nimajo širokopasovnega dostopa do interneta z določeno prenosno hitrostjo in za katera zasebni investitorji oz. operaterji elektronskih komunikacij niso izrazili interesa za gradnjo v naslednjih treh letih, z javnimi sredstvi zagotovi ustrezen širokopasovni dostop. Ukrep je torej sam po sebi in v celoti namenjen temu, da se ščiti enakopravnost, vključenost in nediskriminacijo gospodinjstev/stanovanj, ki imajo slabšo digitalno infrastrukturo (in v pretežni meri, nikakor pa ne v celoti, je to na ruralnih območjih). Z drugimi besedami, z javnimi sredstvi se pozitivno diskriminira območja oziroma gospodinjstva/stanovanja s slabšo povezljivostjo, in sicer tako, da se jim zagotavljajo investicije v širokopasovno omrežje.</w:t>
            </w:r>
          </w:p>
          <w:p w14:paraId="5BE65341" w14:textId="77777777" w:rsidR="00A77B3E" w:rsidRDefault="00A77B3E">
            <w:pPr>
              <w:spacing w:before="5pt"/>
              <w:rPr>
                <w:color w:val="000000"/>
                <w:sz w:val="6"/>
              </w:rPr>
            </w:pPr>
          </w:p>
          <w:p w14:paraId="2E14DCBA" w14:textId="77777777" w:rsidR="00A77B3E" w:rsidRDefault="00A77B3E">
            <w:pPr>
              <w:spacing w:before="5pt"/>
              <w:rPr>
                <w:color w:val="000000"/>
                <w:sz w:val="6"/>
              </w:rPr>
            </w:pPr>
          </w:p>
        </w:tc>
      </w:tr>
    </w:tbl>
    <w:p w14:paraId="3864D5C8" w14:textId="77777777" w:rsidR="00A77B3E" w:rsidRDefault="00A77B3E">
      <w:pPr>
        <w:spacing w:before="5pt"/>
        <w:rPr>
          <w:color w:val="000000"/>
        </w:rPr>
      </w:pPr>
    </w:p>
    <w:p w14:paraId="0F6A25DD" w14:textId="77777777" w:rsidR="00A77B3E" w:rsidRDefault="00B16CCF">
      <w:pPr>
        <w:pStyle w:val="Naslov5"/>
        <w:spacing w:before="5pt" w:after="0pt"/>
        <w:rPr>
          <w:b w:val="0"/>
          <w:i w:val="0"/>
          <w:color w:val="000000"/>
          <w:sz w:val="24"/>
        </w:rPr>
      </w:pPr>
      <w:bookmarkStart w:id="79" w:name="_Toc256000840"/>
      <w:r>
        <w:rPr>
          <w:b w:val="0"/>
          <w:i w:val="0"/>
          <w:color w:val="000000"/>
          <w:sz w:val="24"/>
        </w:rPr>
        <w:t>Navedba specifičnih ciljnih ozemelj, vključno z načrtovano uporabo teritorialnih orodij – člen 22(3)(d)(v) uredbe o skupnih določbah</w:t>
      </w:r>
      <w:bookmarkEnd w:id="79"/>
    </w:p>
    <w:p w14:paraId="763B385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6E8FF3BD"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ED767D" w14:textId="77777777" w:rsidR="00A77B3E" w:rsidRDefault="00A77B3E">
            <w:pPr>
              <w:spacing w:before="5pt"/>
              <w:rPr>
                <w:color w:val="000000"/>
                <w:sz w:val="0"/>
              </w:rPr>
            </w:pPr>
          </w:p>
          <w:p w14:paraId="28E77041" w14:textId="77777777" w:rsidR="00A77B3E" w:rsidRDefault="00B16CCF">
            <w:pPr>
              <w:spacing w:before="5pt"/>
              <w:rPr>
                <w:color w:val="000000"/>
              </w:rPr>
            </w:pPr>
            <w:r>
              <w:rPr>
                <w:color w:val="000000"/>
              </w:rPr>
              <w:t>V okviru specifičnega cilja ni predvidena uporaba teritorialnih orodij.</w:t>
            </w:r>
          </w:p>
          <w:p w14:paraId="51CA3518" w14:textId="77777777" w:rsidR="00A77B3E" w:rsidRDefault="00A77B3E">
            <w:pPr>
              <w:spacing w:before="5pt"/>
              <w:rPr>
                <w:color w:val="000000"/>
                <w:sz w:val="6"/>
              </w:rPr>
            </w:pPr>
          </w:p>
          <w:p w14:paraId="5563BE7F" w14:textId="77777777" w:rsidR="00A77B3E" w:rsidRDefault="00A77B3E">
            <w:pPr>
              <w:spacing w:before="5pt"/>
              <w:rPr>
                <w:color w:val="000000"/>
                <w:sz w:val="6"/>
              </w:rPr>
            </w:pPr>
          </w:p>
        </w:tc>
      </w:tr>
    </w:tbl>
    <w:p w14:paraId="23867F31" w14:textId="77777777" w:rsidR="00A77B3E" w:rsidRDefault="00A77B3E">
      <w:pPr>
        <w:spacing w:before="5pt"/>
        <w:rPr>
          <w:color w:val="000000"/>
        </w:rPr>
      </w:pPr>
    </w:p>
    <w:p w14:paraId="79CA3312" w14:textId="77777777" w:rsidR="00A77B3E" w:rsidRDefault="00B16CCF">
      <w:pPr>
        <w:pStyle w:val="Naslov5"/>
        <w:spacing w:before="5pt" w:after="0pt"/>
        <w:rPr>
          <w:b w:val="0"/>
          <w:i w:val="0"/>
          <w:color w:val="000000"/>
          <w:sz w:val="24"/>
        </w:rPr>
      </w:pPr>
      <w:bookmarkStart w:id="80" w:name="_Toc256000841"/>
      <w:r>
        <w:rPr>
          <w:b w:val="0"/>
          <w:i w:val="0"/>
          <w:color w:val="000000"/>
          <w:sz w:val="24"/>
        </w:rPr>
        <w:lastRenderedPageBreak/>
        <w:t>Medregionalni, čezmejni in transnacionalni ukrepi – člen 22(3)(d)(vi) uredbe o skupnih določbah</w:t>
      </w:r>
      <w:bookmarkEnd w:id="80"/>
    </w:p>
    <w:p w14:paraId="5D16233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4782D5AD"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50C6C6" w14:textId="77777777" w:rsidR="00A77B3E" w:rsidRDefault="00A77B3E">
            <w:pPr>
              <w:spacing w:before="5pt"/>
              <w:rPr>
                <w:color w:val="000000"/>
                <w:sz w:val="0"/>
              </w:rPr>
            </w:pPr>
          </w:p>
          <w:p w14:paraId="76E667B4" w14:textId="77777777" w:rsidR="00A77B3E" w:rsidRDefault="00B16CCF">
            <w:pPr>
              <w:spacing w:before="5pt"/>
              <w:rPr>
                <w:color w:val="000000"/>
              </w:rPr>
            </w:pPr>
            <w:r>
              <w:rPr>
                <w:color w:val="000000"/>
              </w:rPr>
              <w:t>V okviru specifičnega cilja medregionalni, čezmejni ali transnacionalni ukrepi niso predvideni, saj gre za ukrepe investiranja, ki so namenjeni prebivalcem Slovenije. Bodo pa ti ukrepi seveda prispevali k temu, da bodo slovenski deležniki lažje in uspešneje sodelovali v aktivnostih, ki se izvajajo v vseh treh makroregijah, kjer Slovenija sodeluje.</w:t>
            </w:r>
          </w:p>
          <w:p w14:paraId="00255310" w14:textId="77777777" w:rsidR="00A77B3E" w:rsidRDefault="00A77B3E">
            <w:pPr>
              <w:spacing w:before="5pt"/>
              <w:rPr>
                <w:color w:val="000000"/>
                <w:sz w:val="6"/>
              </w:rPr>
            </w:pPr>
          </w:p>
          <w:p w14:paraId="32F04B3B" w14:textId="77777777" w:rsidR="00A77B3E" w:rsidRDefault="00A77B3E">
            <w:pPr>
              <w:spacing w:before="5pt"/>
              <w:rPr>
                <w:color w:val="000000"/>
                <w:sz w:val="6"/>
              </w:rPr>
            </w:pPr>
          </w:p>
        </w:tc>
      </w:tr>
    </w:tbl>
    <w:p w14:paraId="014C1B67" w14:textId="77777777" w:rsidR="00A77B3E" w:rsidRDefault="00A77B3E">
      <w:pPr>
        <w:spacing w:before="5pt"/>
        <w:rPr>
          <w:color w:val="000000"/>
        </w:rPr>
      </w:pPr>
    </w:p>
    <w:p w14:paraId="5FC3F1D1" w14:textId="77777777" w:rsidR="00A77B3E" w:rsidRDefault="00B16CCF">
      <w:pPr>
        <w:pStyle w:val="Naslov5"/>
        <w:spacing w:before="5pt" w:after="0pt"/>
        <w:rPr>
          <w:b w:val="0"/>
          <w:i w:val="0"/>
          <w:color w:val="000000"/>
          <w:sz w:val="24"/>
        </w:rPr>
      </w:pPr>
      <w:bookmarkStart w:id="81" w:name="_Toc256000842"/>
      <w:r>
        <w:rPr>
          <w:b w:val="0"/>
          <w:i w:val="0"/>
          <w:color w:val="000000"/>
          <w:sz w:val="24"/>
        </w:rPr>
        <w:t>Načrtovana uporaba finančnih instrumentov – člen 22(3)(d)(vii) uredbe o skupnih določbah</w:t>
      </w:r>
      <w:bookmarkEnd w:id="81"/>
    </w:p>
    <w:p w14:paraId="7B20CFF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0F6C5230"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D82C40" w14:textId="77777777" w:rsidR="00A77B3E" w:rsidRDefault="00A77B3E">
            <w:pPr>
              <w:spacing w:before="5pt"/>
              <w:rPr>
                <w:color w:val="000000"/>
                <w:sz w:val="0"/>
              </w:rPr>
            </w:pPr>
          </w:p>
          <w:p w14:paraId="64265928" w14:textId="77777777" w:rsidR="00A77B3E" w:rsidRDefault="00B16CCF">
            <w:pPr>
              <w:spacing w:before="5pt"/>
              <w:rPr>
                <w:color w:val="000000"/>
              </w:rPr>
            </w:pPr>
            <w:r>
              <w:rPr>
                <w:color w:val="000000"/>
              </w:rPr>
              <w:t>V skladu s Predhodno oceno potreb trga in vrzeli financiranja na trgu za izvajanje finančnih instrumentov v programskem obdobju 2021-2027 (julij 2022) na tem področju ni bila ugotovljena smiselnost uporabe finančnih instrumentov oziroma obstaja vrzeli za finančne instrumente. Sredstva namenjena gradnji GOŠO projektov bodo namenjena pokrivanju »belih lis«-to so območja, kjer ni tržnega interesa operaterjev za gradnjo GOŠO. Tovrstni projekti ne zagotavljajo zadovoljivega denarnega toka, ki je predpogoj za uporabo podpore FI.</w:t>
            </w:r>
          </w:p>
          <w:p w14:paraId="2E373F6E" w14:textId="77777777" w:rsidR="00A77B3E" w:rsidRDefault="00A77B3E">
            <w:pPr>
              <w:spacing w:before="5pt"/>
              <w:rPr>
                <w:color w:val="000000"/>
              </w:rPr>
            </w:pPr>
          </w:p>
          <w:p w14:paraId="18892805" w14:textId="77777777" w:rsidR="00A77B3E" w:rsidRDefault="00B16CCF">
            <w:pPr>
              <w:spacing w:before="5pt"/>
              <w:rPr>
                <w:color w:val="000000"/>
              </w:rPr>
            </w:pPr>
            <w:r>
              <w:rPr>
                <w:color w:val="000000"/>
              </w:rPr>
              <w:t>Na geografska področja, kjer imajo operaterji tržni interes za gradnjo omrežij, se namreč z javnimi sredstvi ne bo posegalo. V celoti pa bodo spoštovana tudi pravila o dovoljenih državnih pomočeh.</w:t>
            </w:r>
          </w:p>
          <w:p w14:paraId="60D0FF1D" w14:textId="77777777" w:rsidR="00A77B3E" w:rsidRDefault="00A77B3E">
            <w:pPr>
              <w:spacing w:before="5pt"/>
              <w:rPr>
                <w:color w:val="000000"/>
                <w:sz w:val="6"/>
              </w:rPr>
            </w:pPr>
          </w:p>
          <w:p w14:paraId="4CD7D752" w14:textId="77777777" w:rsidR="00A77B3E" w:rsidRDefault="00A77B3E">
            <w:pPr>
              <w:spacing w:before="5pt"/>
              <w:rPr>
                <w:color w:val="000000"/>
                <w:sz w:val="6"/>
              </w:rPr>
            </w:pPr>
          </w:p>
        </w:tc>
      </w:tr>
    </w:tbl>
    <w:p w14:paraId="4999B668" w14:textId="77777777" w:rsidR="00A77B3E" w:rsidRDefault="00A77B3E">
      <w:pPr>
        <w:spacing w:before="5pt"/>
        <w:rPr>
          <w:color w:val="000000"/>
        </w:rPr>
      </w:pPr>
    </w:p>
    <w:p w14:paraId="28F78BC0" w14:textId="77777777" w:rsidR="00A77B3E" w:rsidRDefault="00B16CCF">
      <w:pPr>
        <w:pStyle w:val="Naslov4"/>
        <w:spacing w:before="5pt" w:after="0pt"/>
        <w:rPr>
          <w:b w:val="0"/>
          <w:color w:val="000000"/>
          <w:sz w:val="24"/>
        </w:rPr>
      </w:pPr>
      <w:bookmarkStart w:id="82" w:name="_Toc256000843"/>
      <w:r>
        <w:rPr>
          <w:b w:val="0"/>
          <w:color w:val="000000"/>
          <w:sz w:val="24"/>
        </w:rPr>
        <w:t>2.1.1.1.2. Kazalniki</w:t>
      </w:r>
      <w:bookmarkEnd w:id="82"/>
    </w:p>
    <w:p w14:paraId="3BB901AB" w14:textId="77777777" w:rsidR="00A77B3E" w:rsidRDefault="00A77B3E">
      <w:pPr>
        <w:spacing w:before="5pt"/>
        <w:rPr>
          <w:color w:val="000000"/>
          <w:sz w:val="0"/>
        </w:rPr>
      </w:pPr>
    </w:p>
    <w:p w14:paraId="4381CA72" w14:textId="77777777" w:rsidR="00A77B3E" w:rsidRDefault="00B16CCF">
      <w:pPr>
        <w:spacing w:before="5pt"/>
        <w:rPr>
          <w:color w:val="000000"/>
          <w:sz w:val="0"/>
        </w:rPr>
      </w:pPr>
      <w:r>
        <w:rPr>
          <w:color w:val="000000"/>
        </w:rPr>
        <w:t>Sklic: člen 22(3)(d)(ii) uredbe o skupnih določbah in člen 8 uredbe o ESRR in Kohezijskem skladu</w:t>
      </w:r>
    </w:p>
    <w:p w14:paraId="654062A2" w14:textId="77777777" w:rsidR="00A77B3E" w:rsidRDefault="00B16CCF">
      <w:pPr>
        <w:pStyle w:val="Naslov5"/>
        <w:spacing w:before="5pt" w:after="0pt"/>
        <w:rPr>
          <w:b w:val="0"/>
          <w:i w:val="0"/>
          <w:color w:val="000000"/>
          <w:sz w:val="24"/>
        </w:rPr>
      </w:pPr>
      <w:bookmarkStart w:id="83" w:name="_Toc256000844"/>
      <w:r>
        <w:rPr>
          <w:b w:val="0"/>
          <w:i w:val="0"/>
          <w:color w:val="000000"/>
          <w:sz w:val="24"/>
        </w:rPr>
        <w:t>Tabela 2: Kazalniki učinka</w:t>
      </w:r>
      <w:bookmarkEnd w:id="83"/>
    </w:p>
    <w:p w14:paraId="7214DE4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743"/>
        <w:gridCol w:w="1608"/>
        <w:gridCol w:w="1073"/>
        <w:gridCol w:w="1667"/>
        <w:gridCol w:w="1935"/>
        <w:gridCol w:w="2837"/>
        <w:gridCol w:w="1686"/>
        <w:gridCol w:w="1206"/>
        <w:gridCol w:w="1417"/>
      </w:tblGrid>
      <w:tr w:rsidR="00823317" w14:paraId="0914EC2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A04C8B"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1A548FD"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EDD93F"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B3F65E"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FF3BA1"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9F7445"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3C3A4E"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95A7DD" w14:textId="77777777" w:rsidR="00A77B3E" w:rsidRDefault="00B16CCF">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55A7D7" w14:textId="77777777" w:rsidR="00A77B3E" w:rsidRDefault="00B16CCF">
            <w:pPr>
              <w:spacing w:before="5pt"/>
              <w:jc w:val="center"/>
              <w:rPr>
                <w:color w:val="000000"/>
                <w:sz w:val="20"/>
              </w:rPr>
            </w:pPr>
            <w:r>
              <w:rPr>
                <w:color w:val="000000"/>
                <w:sz w:val="20"/>
              </w:rPr>
              <w:t>Cilj (2029)</w:t>
            </w:r>
          </w:p>
        </w:tc>
      </w:tr>
      <w:tr w:rsidR="00823317" w14:paraId="2949C5D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B45031" w14:textId="77777777" w:rsidR="00A77B3E" w:rsidRDefault="00B16CCF">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7507DE" w14:textId="77777777" w:rsidR="00A77B3E" w:rsidRDefault="00B16CCF">
            <w:pPr>
              <w:spacing w:before="5pt"/>
              <w:rPr>
                <w:color w:val="000000"/>
                <w:sz w:val="20"/>
              </w:rPr>
            </w:pPr>
            <w:r>
              <w:rPr>
                <w:color w:val="000000"/>
                <w:sz w:val="20"/>
              </w:rPr>
              <w:t>RSO1.5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BBC5F6"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A657F0"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888FC5" w14:textId="77777777" w:rsidR="00A77B3E" w:rsidRDefault="00B16CCF">
            <w:pPr>
              <w:spacing w:before="5pt"/>
              <w:rPr>
                <w:color w:val="000000"/>
                <w:sz w:val="20"/>
              </w:rPr>
            </w:pPr>
            <w:r>
              <w:rPr>
                <w:color w:val="000000"/>
                <w:sz w:val="20"/>
              </w:rPr>
              <w:t>RCO41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003C86" w14:textId="77777777" w:rsidR="00A77B3E" w:rsidRDefault="00B16CCF">
            <w:pPr>
              <w:spacing w:before="5pt"/>
              <w:rPr>
                <w:color w:val="000000"/>
                <w:sz w:val="20"/>
              </w:rPr>
            </w:pPr>
            <w:r>
              <w:rPr>
                <w:color w:val="000000"/>
                <w:sz w:val="20"/>
              </w:rPr>
              <w:t>Dodatna stanovanja z dostopom do zelo visokozmogljivega širokopasovnega omrežja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1ED737" w14:textId="77777777" w:rsidR="00A77B3E" w:rsidRDefault="00B16CCF">
            <w:pPr>
              <w:spacing w:before="5pt"/>
              <w:rPr>
                <w:color w:val="000000"/>
                <w:sz w:val="20"/>
              </w:rPr>
            </w:pPr>
            <w:r>
              <w:rPr>
                <w:color w:val="000000"/>
                <w:sz w:val="20"/>
              </w:rPr>
              <w:t>stanovanja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334075" w14:textId="77777777" w:rsidR="00A77B3E" w:rsidRDefault="00B16CCF">
            <w:pPr>
              <w:spacing w:before="5pt"/>
              <w:jc w:val="end"/>
              <w:rPr>
                <w:color w:val="000000"/>
                <w:sz w:val="20"/>
              </w:rPr>
            </w:pPr>
            <w:r>
              <w:rPr>
                <w:color w:val="000000"/>
                <w:sz w:val="20"/>
              </w:rPr>
              <w:t>122,00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3C9C6C" w14:textId="77777777" w:rsidR="00A77B3E" w:rsidRDefault="00B16CCF">
            <w:pPr>
              <w:spacing w:before="5pt"/>
              <w:jc w:val="end"/>
              <w:rPr>
                <w:color w:val="000000"/>
                <w:sz w:val="20"/>
              </w:rPr>
            </w:pPr>
            <w:r>
              <w:rPr>
                <w:color w:val="000000"/>
                <w:sz w:val="20"/>
              </w:rPr>
              <w:t>2.439,00</w:t>
            </w:r>
          </w:p>
        </w:tc>
      </w:tr>
      <w:tr w:rsidR="00823317" w14:paraId="2D69B16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384E9C" w14:textId="77777777" w:rsidR="00A77B3E" w:rsidRDefault="00B16CCF">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2C674D" w14:textId="77777777" w:rsidR="00A77B3E" w:rsidRDefault="00B16CCF">
            <w:pPr>
              <w:spacing w:before="5pt"/>
              <w:rPr>
                <w:color w:val="000000"/>
                <w:sz w:val="20"/>
              </w:rPr>
            </w:pPr>
            <w:r>
              <w:rPr>
                <w:color w:val="000000"/>
                <w:sz w:val="20"/>
              </w:rPr>
              <w:t>RSO1.5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83CA64"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F83ADD"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F716A2" w14:textId="77777777" w:rsidR="00A77B3E" w:rsidRDefault="00B16CCF">
            <w:pPr>
              <w:spacing w:before="5pt"/>
              <w:rPr>
                <w:color w:val="000000"/>
                <w:sz w:val="20"/>
              </w:rPr>
            </w:pPr>
            <w:r>
              <w:rPr>
                <w:color w:val="000000"/>
                <w:sz w:val="20"/>
              </w:rPr>
              <w:t>RCO41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2C49B4" w14:textId="77777777" w:rsidR="00A77B3E" w:rsidRDefault="00B16CCF">
            <w:pPr>
              <w:spacing w:before="5pt"/>
              <w:rPr>
                <w:color w:val="000000"/>
                <w:sz w:val="20"/>
              </w:rPr>
            </w:pPr>
            <w:r>
              <w:rPr>
                <w:color w:val="000000"/>
                <w:sz w:val="20"/>
              </w:rPr>
              <w:t>Dodatna stanovanja z dostopom do zelo visokozmogljivega širokopasovnega omrežja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1433D1" w14:textId="77777777" w:rsidR="00A77B3E" w:rsidRDefault="00B16CCF">
            <w:pPr>
              <w:spacing w:before="5pt"/>
              <w:rPr>
                <w:color w:val="000000"/>
                <w:sz w:val="20"/>
              </w:rPr>
            </w:pPr>
            <w:r>
              <w:rPr>
                <w:color w:val="000000"/>
                <w:sz w:val="20"/>
              </w:rPr>
              <w:t>stanovanja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149FF6" w14:textId="77777777" w:rsidR="00A77B3E" w:rsidRDefault="00B16CCF">
            <w:pPr>
              <w:spacing w:before="5pt"/>
              <w:jc w:val="end"/>
              <w:rPr>
                <w:color w:val="000000"/>
                <w:sz w:val="20"/>
              </w:rPr>
            </w:pPr>
            <w:r>
              <w:rPr>
                <w:color w:val="000000"/>
                <w:sz w:val="20"/>
              </w:rPr>
              <w:t>200,00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4969B9" w14:textId="77777777" w:rsidR="00A77B3E" w:rsidRDefault="00B16CCF">
            <w:pPr>
              <w:spacing w:before="5pt"/>
              <w:jc w:val="end"/>
              <w:rPr>
                <w:color w:val="000000"/>
                <w:sz w:val="20"/>
              </w:rPr>
            </w:pPr>
            <w:r>
              <w:rPr>
                <w:color w:val="000000"/>
                <w:sz w:val="20"/>
              </w:rPr>
              <w:t>4.017,00</w:t>
            </w:r>
          </w:p>
        </w:tc>
      </w:tr>
    </w:tbl>
    <w:p w14:paraId="4AC6A18A" w14:textId="77777777" w:rsidR="00A77B3E" w:rsidRDefault="00A77B3E">
      <w:pPr>
        <w:spacing w:before="5pt"/>
        <w:rPr>
          <w:color w:val="000000"/>
          <w:sz w:val="20"/>
        </w:rPr>
      </w:pPr>
    </w:p>
    <w:p w14:paraId="41301A07" w14:textId="77777777" w:rsidR="00A77B3E" w:rsidRDefault="00B16CCF">
      <w:pPr>
        <w:spacing w:before="5pt"/>
        <w:rPr>
          <w:color w:val="000000"/>
          <w:sz w:val="0"/>
        </w:rPr>
      </w:pPr>
      <w:r>
        <w:rPr>
          <w:color w:val="000000"/>
        </w:rPr>
        <w:lastRenderedPageBreak/>
        <w:t>Sklic: člen 22(3)(d)(ii) uredbe o skupnih določbah</w:t>
      </w:r>
    </w:p>
    <w:p w14:paraId="6D6351C9" w14:textId="77777777" w:rsidR="00A77B3E" w:rsidRDefault="00B16CCF">
      <w:pPr>
        <w:pStyle w:val="Naslov5"/>
        <w:spacing w:before="5pt" w:after="0pt"/>
        <w:rPr>
          <w:b w:val="0"/>
          <w:i w:val="0"/>
          <w:color w:val="000000"/>
          <w:sz w:val="24"/>
        </w:rPr>
      </w:pPr>
      <w:bookmarkStart w:id="84" w:name="_Toc256000845"/>
      <w:r>
        <w:rPr>
          <w:b w:val="0"/>
          <w:i w:val="0"/>
          <w:color w:val="000000"/>
          <w:sz w:val="24"/>
        </w:rPr>
        <w:t>Tabela 3: Kazalniki rezultatov</w:t>
      </w:r>
      <w:bookmarkEnd w:id="84"/>
    </w:p>
    <w:p w14:paraId="164584A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37"/>
        <w:gridCol w:w="1142"/>
        <w:gridCol w:w="762"/>
        <w:gridCol w:w="1183"/>
        <w:gridCol w:w="1374"/>
        <w:gridCol w:w="1797"/>
        <w:gridCol w:w="1197"/>
        <w:gridCol w:w="1210"/>
        <w:gridCol w:w="1278"/>
        <w:gridCol w:w="1006"/>
        <w:gridCol w:w="1408"/>
        <w:gridCol w:w="1578"/>
      </w:tblGrid>
      <w:tr w:rsidR="00823317" w14:paraId="696231C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FEE598"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4BAB369"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81B003"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4A605F"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5FEAF6"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C5C007"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648C28"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61BC8A" w14:textId="77777777" w:rsidR="00A77B3E" w:rsidRDefault="00B16CCF">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8AC416" w14:textId="77777777" w:rsidR="00A77B3E" w:rsidRDefault="00B16CCF">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91648C" w14:textId="77777777" w:rsidR="00A77B3E" w:rsidRDefault="00B16CCF">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CB1F8E" w14:textId="77777777" w:rsidR="00A77B3E" w:rsidRDefault="00B16CCF">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867C7A" w14:textId="77777777" w:rsidR="00A77B3E" w:rsidRDefault="00B16CCF">
            <w:pPr>
              <w:spacing w:before="5pt"/>
              <w:jc w:val="center"/>
              <w:rPr>
                <w:color w:val="000000"/>
                <w:sz w:val="20"/>
              </w:rPr>
            </w:pPr>
            <w:r>
              <w:rPr>
                <w:color w:val="000000"/>
                <w:sz w:val="20"/>
              </w:rPr>
              <w:t>Opombe</w:t>
            </w:r>
          </w:p>
        </w:tc>
      </w:tr>
      <w:tr w:rsidR="00823317" w14:paraId="27B4CF3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1BA65B" w14:textId="77777777" w:rsidR="00A77B3E" w:rsidRDefault="00B16CCF">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C9EAD0" w14:textId="77777777" w:rsidR="00A77B3E" w:rsidRDefault="00B16CCF">
            <w:pPr>
              <w:spacing w:before="5pt"/>
              <w:rPr>
                <w:color w:val="000000"/>
                <w:sz w:val="20"/>
              </w:rPr>
            </w:pPr>
            <w:r>
              <w:rPr>
                <w:color w:val="000000"/>
                <w:sz w:val="20"/>
              </w:rPr>
              <w:t>RSO1.5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423436"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D9BED5"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7AA23B" w14:textId="77777777" w:rsidR="00A77B3E" w:rsidRDefault="00B16CCF">
            <w:pPr>
              <w:spacing w:before="5pt"/>
              <w:rPr>
                <w:color w:val="000000"/>
                <w:sz w:val="20"/>
              </w:rPr>
            </w:pPr>
            <w:r>
              <w:rPr>
                <w:color w:val="000000"/>
                <w:sz w:val="20"/>
              </w:rPr>
              <w:t>RCR53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AE9BC1" w14:textId="77777777" w:rsidR="00A77B3E" w:rsidRDefault="00B16CCF">
            <w:pPr>
              <w:spacing w:before="5pt"/>
              <w:rPr>
                <w:color w:val="000000"/>
                <w:sz w:val="20"/>
              </w:rPr>
            </w:pPr>
            <w:r>
              <w:rPr>
                <w:color w:val="000000"/>
                <w:sz w:val="20"/>
              </w:rPr>
              <w:t>Stanovanja z naročninami na zelo visokozmogljivo širokopasovno omrežje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9A31A7" w14:textId="77777777" w:rsidR="00A77B3E" w:rsidRDefault="00B16CCF">
            <w:pPr>
              <w:spacing w:before="5pt"/>
              <w:rPr>
                <w:color w:val="000000"/>
                <w:sz w:val="20"/>
              </w:rPr>
            </w:pPr>
            <w:r>
              <w:rPr>
                <w:color w:val="000000"/>
                <w:sz w:val="20"/>
              </w:rPr>
              <w:t>stanovanja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6F94C7"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AB9094" w14:textId="77777777" w:rsidR="00A77B3E" w:rsidRDefault="00B16CCF">
            <w:pPr>
              <w:spacing w:before="5pt"/>
              <w:jc w:val="center"/>
              <w:rPr>
                <w:color w:val="000000"/>
                <w:sz w:val="20"/>
              </w:rPr>
            </w:pPr>
            <w:r>
              <w:rPr>
                <w:color w:val="000000"/>
                <w:sz w:val="2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D64207" w14:textId="77777777" w:rsidR="00A77B3E" w:rsidRDefault="00B16CCF">
            <w:pPr>
              <w:spacing w:before="5pt"/>
              <w:jc w:val="end"/>
              <w:rPr>
                <w:color w:val="000000"/>
                <w:sz w:val="20"/>
              </w:rPr>
            </w:pPr>
            <w:r>
              <w:rPr>
                <w:color w:val="000000"/>
                <w:sz w:val="20"/>
              </w:rPr>
              <w:t>1.463,00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AFCC3B" w14:textId="77777777" w:rsidR="00A77B3E" w:rsidRDefault="00B16CCF">
            <w:pPr>
              <w:spacing w:before="5pt"/>
              <w:rPr>
                <w:color w:val="000000"/>
                <w:sz w:val="20"/>
              </w:rPr>
            </w:pPr>
            <w:r>
              <w:rPr>
                <w:color w:val="000000"/>
                <w:sz w:val="20"/>
              </w:rPr>
              <w:t>Upravičenci, SDP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3AA410" w14:textId="77777777" w:rsidR="00A77B3E" w:rsidRDefault="00B16CCF">
            <w:pPr>
              <w:spacing w:before="5pt"/>
              <w:rPr>
                <w:color w:val="000000"/>
                <w:sz w:val="20"/>
              </w:rPr>
            </w:pPr>
            <w:r>
              <w:rPr>
                <w:color w:val="000000"/>
                <w:sz w:val="20"/>
              </w:rPr>
              <w:t>Zadnji tržni interes je pokazal 108.000 belih lis. V sklopu NOO bomo pokrili 8.500 belih lis. Predvidoma konec leta 2022 bo izveden nov postopek poizvedovanja po tržnem interesu.</w:t>
            </w:r>
          </w:p>
        </w:tc>
      </w:tr>
      <w:tr w:rsidR="00823317" w14:paraId="1432043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7EE6F8" w14:textId="77777777" w:rsidR="00A77B3E" w:rsidRDefault="00B16CCF">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6F9E72" w14:textId="77777777" w:rsidR="00A77B3E" w:rsidRDefault="00B16CCF">
            <w:pPr>
              <w:spacing w:before="5pt"/>
              <w:rPr>
                <w:color w:val="000000"/>
                <w:sz w:val="20"/>
              </w:rPr>
            </w:pPr>
            <w:r>
              <w:rPr>
                <w:color w:val="000000"/>
                <w:sz w:val="20"/>
              </w:rPr>
              <w:t>RSO1.5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1E59E6"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6BA845"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231F20" w14:textId="77777777" w:rsidR="00A77B3E" w:rsidRDefault="00B16CCF">
            <w:pPr>
              <w:spacing w:before="5pt"/>
              <w:rPr>
                <w:color w:val="000000"/>
                <w:sz w:val="20"/>
              </w:rPr>
            </w:pPr>
            <w:r>
              <w:rPr>
                <w:color w:val="000000"/>
                <w:sz w:val="20"/>
              </w:rPr>
              <w:t>RCR53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6E1A71" w14:textId="77777777" w:rsidR="00A77B3E" w:rsidRDefault="00B16CCF">
            <w:pPr>
              <w:spacing w:before="5pt"/>
              <w:rPr>
                <w:color w:val="000000"/>
                <w:sz w:val="20"/>
              </w:rPr>
            </w:pPr>
            <w:r>
              <w:rPr>
                <w:color w:val="000000"/>
                <w:sz w:val="20"/>
              </w:rPr>
              <w:t>Stanovanja z naročninami na zelo visokozmogljivo širokopasovno omrežje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F938CB" w14:textId="77777777" w:rsidR="00A77B3E" w:rsidRDefault="00B16CCF">
            <w:pPr>
              <w:spacing w:before="5pt"/>
              <w:rPr>
                <w:color w:val="000000"/>
                <w:sz w:val="20"/>
              </w:rPr>
            </w:pPr>
            <w:r>
              <w:rPr>
                <w:color w:val="000000"/>
                <w:sz w:val="20"/>
              </w:rPr>
              <w:t>stanovanja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04921F"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6688F4" w14:textId="77777777" w:rsidR="00A77B3E" w:rsidRDefault="00B16CCF">
            <w:pPr>
              <w:spacing w:before="5pt"/>
              <w:jc w:val="center"/>
              <w:rPr>
                <w:color w:val="000000"/>
                <w:sz w:val="20"/>
              </w:rPr>
            </w:pPr>
            <w:r>
              <w:rPr>
                <w:color w:val="000000"/>
                <w:sz w:val="2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A0BC60" w14:textId="77777777" w:rsidR="00A77B3E" w:rsidRDefault="00B16CCF">
            <w:pPr>
              <w:spacing w:before="5pt"/>
              <w:jc w:val="end"/>
              <w:rPr>
                <w:color w:val="000000"/>
                <w:sz w:val="20"/>
              </w:rPr>
            </w:pPr>
            <w:r>
              <w:rPr>
                <w:color w:val="000000"/>
                <w:sz w:val="20"/>
              </w:rPr>
              <w:t>2.410,00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679082" w14:textId="77777777" w:rsidR="00A77B3E" w:rsidRDefault="00B16CCF">
            <w:pPr>
              <w:spacing w:before="5pt"/>
              <w:rPr>
                <w:color w:val="000000"/>
                <w:sz w:val="20"/>
              </w:rPr>
            </w:pPr>
            <w:r>
              <w:rPr>
                <w:color w:val="000000"/>
                <w:sz w:val="20"/>
              </w:rPr>
              <w:t>Upravičenci, SDP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1F98B3" w14:textId="77777777" w:rsidR="00A77B3E" w:rsidRDefault="00B16CCF">
            <w:pPr>
              <w:spacing w:before="5pt"/>
              <w:rPr>
                <w:color w:val="000000"/>
                <w:sz w:val="20"/>
              </w:rPr>
            </w:pPr>
            <w:r>
              <w:rPr>
                <w:color w:val="000000"/>
                <w:sz w:val="20"/>
              </w:rPr>
              <w:t>Zadnji tržni interes je pokazal 108.000 belih lis. V sklopu NOO bomo pokrili 8.500 belih lis. Predvidoma konec leta 2022 bo izveden nov postopek poizvedovanja po tržnem interesu.</w:t>
            </w:r>
          </w:p>
        </w:tc>
      </w:tr>
    </w:tbl>
    <w:p w14:paraId="5DD77443" w14:textId="77777777" w:rsidR="00A77B3E" w:rsidRDefault="00A77B3E">
      <w:pPr>
        <w:spacing w:before="5pt"/>
        <w:rPr>
          <w:color w:val="000000"/>
          <w:sz w:val="20"/>
        </w:rPr>
      </w:pPr>
    </w:p>
    <w:p w14:paraId="2D940B7A" w14:textId="77777777" w:rsidR="00A77B3E" w:rsidRDefault="00B16CCF">
      <w:pPr>
        <w:pStyle w:val="Naslov4"/>
        <w:spacing w:before="5pt" w:after="0pt"/>
        <w:rPr>
          <w:b w:val="0"/>
          <w:color w:val="000000"/>
          <w:sz w:val="24"/>
        </w:rPr>
      </w:pPr>
      <w:bookmarkStart w:id="85" w:name="_Toc256000846"/>
      <w:r>
        <w:rPr>
          <w:b w:val="0"/>
          <w:color w:val="000000"/>
          <w:sz w:val="24"/>
        </w:rPr>
        <w:t>2.1.1.1.3. Okvirna razčlenitev načrtovanih sredstev (EU) glede na vrsto ukrepa</w:t>
      </w:r>
      <w:bookmarkEnd w:id="85"/>
    </w:p>
    <w:p w14:paraId="238918B2" w14:textId="77777777" w:rsidR="00A77B3E" w:rsidRDefault="00A77B3E">
      <w:pPr>
        <w:spacing w:before="5pt"/>
        <w:rPr>
          <w:color w:val="000000"/>
          <w:sz w:val="0"/>
        </w:rPr>
      </w:pPr>
    </w:p>
    <w:p w14:paraId="5D85222E" w14:textId="77777777" w:rsidR="00A77B3E" w:rsidRDefault="00B16CCF">
      <w:pPr>
        <w:spacing w:before="5pt"/>
        <w:rPr>
          <w:color w:val="000000"/>
          <w:sz w:val="0"/>
        </w:rPr>
      </w:pPr>
      <w:r>
        <w:rPr>
          <w:color w:val="000000"/>
        </w:rPr>
        <w:t>Sklic: člen 22(3)(d)(viii) uredbe o skupnih določbah</w:t>
      </w:r>
    </w:p>
    <w:p w14:paraId="577D1D6B" w14:textId="77777777" w:rsidR="00A77B3E" w:rsidRDefault="00B16CCF">
      <w:pPr>
        <w:pStyle w:val="Naslov5"/>
        <w:spacing w:before="5pt" w:after="0pt"/>
        <w:rPr>
          <w:b w:val="0"/>
          <w:i w:val="0"/>
          <w:color w:val="000000"/>
          <w:sz w:val="24"/>
        </w:rPr>
      </w:pPr>
      <w:bookmarkStart w:id="86" w:name="_Toc256000847"/>
      <w:r>
        <w:rPr>
          <w:b w:val="0"/>
          <w:i w:val="0"/>
          <w:color w:val="000000"/>
          <w:sz w:val="24"/>
        </w:rPr>
        <w:t>Tabela 4: Razsežnost 1 – področje ukrepanja</w:t>
      </w:r>
      <w:bookmarkEnd w:id="86"/>
    </w:p>
    <w:p w14:paraId="75DE827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24"/>
        <w:gridCol w:w="2236"/>
        <w:gridCol w:w="1624"/>
        <w:gridCol w:w="2318"/>
        <w:gridCol w:w="3519"/>
        <w:gridCol w:w="3051"/>
      </w:tblGrid>
      <w:tr w:rsidR="00823317" w14:paraId="66C8F31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440CF79"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643BAE"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52839D"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8FEC2F"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64B239"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1604F5" w14:textId="77777777" w:rsidR="00A77B3E" w:rsidRDefault="00B16CCF">
            <w:pPr>
              <w:spacing w:before="5pt"/>
              <w:jc w:val="center"/>
              <w:rPr>
                <w:color w:val="000000"/>
                <w:sz w:val="20"/>
              </w:rPr>
            </w:pPr>
            <w:r>
              <w:rPr>
                <w:color w:val="000000"/>
                <w:sz w:val="20"/>
              </w:rPr>
              <w:t>Znesek (v EUR)</w:t>
            </w:r>
          </w:p>
        </w:tc>
      </w:tr>
      <w:tr w:rsidR="00823317" w14:paraId="33F5F82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2262CA" w14:textId="77777777" w:rsidR="00A77B3E" w:rsidRDefault="00B16CCF">
            <w:pPr>
              <w:spacing w:before="5pt"/>
              <w:rPr>
                <w:color w:val="000000"/>
                <w:sz w:val="20"/>
              </w:rPr>
            </w:pPr>
            <w:r>
              <w:rPr>
                <w:color w:val="000000"/>
                <w:sz w:val="20"/>
              </w:rPr>
              <w:lastRenderedPageBreak/>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34CA62" w14:textId="77777777" w:rsidR="00A77B3E" w:rsidRDefault="00B16CCF">
            <w:pPr>
              <w:spacing w:before="5pt"/>
              <w:rPr>
                <w:color w:val="000000"/>
                <w:sz w:val="20"/>
              </w:rPr>
            </w:pPr>
            <w:r>
              <w:rPr>
                <w:color w:val="000000"/>
                <w:sz w:val="20"/>
              </w:rPr>
              <w:t>RSO1.5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44D3C3"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7CC898"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28204C" w14:textId="77777777" w:rsidR="00A77B3E" w:rsidRDefault="00B16CCF">
            <w:pPr>
              <w:spacing w:before="5pt"/>
              <w:rPr>
                <w:color w:val="000000"/>
                <w:sz w:val="20"/>
              </w:rPr>
            </w:pPr>
            <w:r>
              <w:rPr>
                <w:color w:val="000000"/>
                <w:sz w:val="20"/>
              </w:rPr>
              <w:t xml:space="preserve">034. IKT: zelo visokozmogljiva širokopasovna omrežja (dostop/krajevna zanka, katere učinkovitost je enakovredna namestitvi optičnih vlaken do razdelilne točke na končni lokaciji za stanovanjske in poslovne objekte)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6BDC7A" w14:textId="77777777" w:rsidR="00A77B3E" w:rsidRDefault="00B16CCF">
            <w:pPr>
              <w:spacing w:before="5pt"/>
              <w:jc w:val="end"/>
              <w:rPr>
                <w:color w:val="000000"/>
                <w:sz w:val="20"/>
              </w:rPr>
            </w:pPr>
            <w:r>
              <w:rPr>
                <w:color w:val="000000"/>
                <w:sz w:val="20"/>
              </w:rPr>
              <w:t>3.415.620,00</w:t>
            </w:r>
          </w:p>
        </w:tc>
      </w:tr>
      <w:tr w:rsidR="00823317" w14:paraId="420F3A4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3CF296" w14:textId="77777777" w:rsidR="00A77B3E" w:rsidRDefault="00B16CCF">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335437" w14:textId="77777777" w:rsidR="00A77B3E" w:rsidRDefault="00B16CCF">
            <w:pPr>
              <w:spacing w:before="5pt"/>
              <w:rPr>
                <w:color w:val="000000"/>
                <w:sz w:val="20"/>
              </w:rPr>
            </w:pPr>
            <w:r>
              <w:rPr>
                <w:color w:val="000000"/>
                <w:sz w:val="20"/>
              </w:rPr>
              <w:t>RSO1.5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326EDC"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D3E690"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40D75C" w14:textId="77777777" w:rsidR="00A77B3E" w:rsidRDefault="00B16CCF">
            <w:pPr>
              <w:spacing w:before="5pt"/>
              <w:rPr>
                <w:color w:val="000000"/>
                <w:sz w:val="20"/>
              </w:rPr>
            </w:pPr>
            <w:r>
              <w:rPr>
                <w:color w:val="000000"/>
                <w:sz w:val="20"/>
              </w:rPr>
              <w:t xml:space="preserve">035. IKT: zelo visokozmogljiva širokopasovna omrežja (dostop/krajevna zanka, katere učinkovitost je enakovredna namestitvi optičnih vlaken do bazne postaje za naprednejšo brezžično komunikacijo)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92D556" w14:textId="77777777" w:rsidR="00A77B3E" w:rsidRDefault="00B16CCF">
            <w:pPr>
              <w:spacing w:before="5pt"/>
              <w:jc w:val="end"/>
              <w:rPr>
                <w:color w:val="000000"/>
                <w:sz w:val="20"/>
              </w:rPr>
            </w:pPr>
            <w:r>
              <w:rPr>
                <w:color w:val="000000"/>
                <w:sz w:val="20"/>
              </w:rPr>
              <w:t>663.124,00</w:t>
            </w:r>
          </w:p>
        </w:tc>
      </w:tr>
      <w:tr w:rsidR="00823317" w14:paraId="15FC1B3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3AACAC" w14:textId="77777777" w:rsidR="00A77B3E" w:rsidRDefault="00B16CCF">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FF3341" w14:textId="77777777" w:rsidR="00A77B3E" w:rsidRDefault="00B16CCF">
            <w:pPr>
              <w:spacing w:before="5pt"/>
              <w:rPr>
                <w:color w:val="000000"/>
                <w:sz w:val="20"/>
              </w:rPr>
            </w:pPr>
            <w:r>
              <w:rPr>
                <w:color w:val="000000"/>
                <w:sz w:val="20"/>
              </w:rPr>
              <w:t>RSO1.5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5E0641"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22A396"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EA7F45" w14:textId="77777777" w:rsidR="00A77B3E" w:rsidRDefault="00B16CCF">
            <w:pPr>
              <w:spacing w:before="5pt"/>
              <w:rPr>
                <w:color w:val="000000"/>
                <w:sz w:val="20"/>
              </w:rPr>
            </w:pPr>
            <w:r>
              <w:rPr>
                <w:color w:val="000000"/>
                <w:sz w:val="20"/>
              </w:rPr>
              <w:t xml:space="preserve">034. IKT: zelo visokozmogljiva širokopasovna omrežja (dostop/krajevna zanka, katere učinkovitost je enakovredna namestitvi optičnih vlaken do razdelilne točke na končni lokaciji za stanovanjske in poslovne objekte)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214260" w14:textId="77777777" w:rsidR="00A77B3E" w:rsidRDefault="00B16CCF">
            <w:pPr>
              <w:spacing w:before="5pt"/>
              <w:jc w:val="end"/>
              <w:rPr>
                <w:color w:val="000000"/>
                <w:sz w:val="20"/>
              </w:rPr>
            </w:pPr>
            <w:r>
              <w:rPr>
                <w:color w:val="000000"/>
                <w:sz w:val="20"/>
              </w:rPr>
              <w:t>13.650.000,00</w:t>
            </w:r>
          </w:p>
        </w:tc>
      </w:tr>
      <w:tr w:rsidR="00823317" w14:paraId="0B8A3CA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ACEB9E" w14:textId="77777777" w:rsidR="00A77B3E" w:rsidRDefault="00B16CCF">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D7CFB0" w14:textId="77777777" w:rsidR="00A77B3E" w:rsidRDefault="00B16CCF">
            <w:pPr>
              <w:spacing w:before="5pt"/>
              <w:rPr>
                <w:color w:val="000000"/>
                <w:sz w:val="20"/>
              </w:rPr>
            </w:pPr>
            <w:r>
              <w:rPr>
                <w:color w:val="000000"/>
                <w:sz w:val="20"/>
              </w:rPr>
              <w:t>RSO1.5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474AC2"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0BDAAD"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D115C2" w14:textId="77777777" w:rsidR="00A77B3E" w:rsidRDefault="00B16CCF">
            <w:pPr>
              <w:spacing w:before="5pt"/>
              <w:rPr>
                <w:color w:val="000000"/>
                <w:sz w:val="20"/>
              </w:rPr>
            </w:pPr>
            <w:r>
              <w:rPr>
                <w:color w:val="000000"/>
                <w:sz w:val="20"/>
              </w:rPr>
              <w:t xml:space="preserve">035. IKT: zelo visokozmogljiva širokopasovna omrežja (dostop/krajevna zanka, katere učinkovitost je enakovredna namestitvi optičnih vlaken do bazne postaje za naprednejšo brezžično komunikacijo)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3C976F" w14:textId="77777777" w:rsidR="00A77B3E" w:rsidRDefault="00B16CCF">
            <w:pPr>
              <w:spacing w:before="5pt"/>
              <w:jc w:val="end"/>
              <w:rPr>
                <w:color w:val="000000"/>
                <w:sz w:val="20"/>
              </w:rPr>
            </w:pPr>
            <w:r>
              <w:rPr>
                <w:color w:val="000000"/>
                <w:sz w:val="20"/>
              </w:rPr>
              <w:t>1.934.000,00</w:t>
            </w:r>
          </w:p>
        </w:tc>
      </w:tr>
      <w:tr w:rsidR="00823317" w14:paraId="00822B2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4525B6" w14:textId="77777777" w:rsidR="00A77B3E" w:rsidRDefault="00B16CCF">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C4918E" w14:textId="77777777" w:rsidR="00A77B3E" w:rsidRDefault="00B16CCF">
            <w:pPr>
              <w:spacing w:before="5pt"/>
              <w:rPr>
                <w:color w:val="000000"/>
                <w:sz w:val="20"/>
              </w:rPr>
            </w:pPr>
            <w:r>
              <w:rPr>
                <w:color w:val="000000"/>
                <w:sz w:val="20"/>
              </w:rPr>
              <w:t>RSO1.5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10D7A4"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2D8D5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94FA0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47F4AB" w14:textId="77777777" w:rsidR="00A77B3E" w:rsidRDefault="00B16CCF">
            <w:pPr>
              <w:spacing w:before="5pt"/>
              <w:jc w:val="end"/>
              <w:rPr>
                <w:color w:val="000000"/>
                <w:sz w:val="20"/>
              </w:rPr>
            </w:pPr>
            <w:r>
              <w:rPr>
                <w:color w:val="000000"/>
                <w:sz w:val="20"/>
              </w:rPr>
              <w:t>19.662.744,00</w:t>
            </w:r>
          </w:p>
        </w:tc>
      </w:tr>
    </w:tbl>
    <w:p w14:paraId="1CBE2148" w14:textId="77777777" w:rsidR="00A77B3E" w:rsidRDefault="00A77B3E">
      <w:pPr>
        <w:spacing w:before="5pt"/>
        <w:rPr>
          <w:color w:val="000000"/>
          <w:sz w:val="20"/>
        </w:rPr>
      </w:pPr>
    </w:p>
    <w:p w14:paraId="450F7DC8" w14:textId="77777777" w:rsidR="00A77B3E" w:rsidRDefault="00B16CCF">
      <w:pPr>
        <w:pStyle w:val="Naslov5"/>
        <w:spacing w:before="5pt" w:after="0pt"/>
        <w:rPr>
          <w:b w:val="0"/>
          <w:i w:val="0"/>
          <w:color w:val="000000"/>
          <w:sz w:val="24"/>
        </w:rPr>
      </w:pPr>
      <w:bookmarkStart w:id="87" w:name="_Toc256000848"/>
      <w:r>
        <w:rPr>
          <w:b w:val="0"/>
          <w:i w:val="0"/>
          <w:color w:val="000000"/>
          <w:sz w:val="24"/>
        </w:rPr>
        <w:t>Tabela 5: Razsežnost 2 – oblika financiranja</w:t>
      </w:r>
      <w:bookmarkEnd w:id="87"/>
    </w:p>
    <w:p w14:paraId="7E59309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93"/>
        <w:gridCol w:w="2392"/>
        <w:gridCol w:w="1737"/>
        <w:gridCol w:w="2480"/>
        <w:gridCol w:w="2706"/>
        <w:gridCol w:w="3264"/>
      </w:tblGrid>
      <w:tr w:rsidR="00823317" w14:paraId="40F79D4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AA0B97"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8B67B7"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169260"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FA3DE0"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247B69"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9F5E76" w14:textId="77777777" w:rsidR="00A77B3E" w:rsidRDefault="00B16CCF">
            <w:pPr>
              <w:spacing w:before="5pt"/>
              <w:jc w:val="center"/>
              <w:rPr>
                <w:color w:val="000000"/>
                <w:sz w:val="20"/>
              </w:rPr>
            </w:pPr>
            <w:r>
              <w:rPr>
                <w:color w:val="000000"/>
                <w:sz w:val="20"/>
              </w:rPr>
              <w:t>Znesek (v EUR)</w:t>
            </w:r>
          </w:p>
        </w:tc>
      </w:tr>
      <w:tr w:rsidR="00823317" w14:paraId="2369DA0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58658E" w14:textId="77777777" w:rsidR="00A77B3E" w:rsidRDefault="00B16CCF">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3CF977" w14:textId="77777777" w:rsidR="00A77B3E" w:rsidRDefault="00B16CCF">
            <w:pPr>
              <w:spacing w:before="5pt"/>
              <w:rPr>
                <w:color w:val="000000"/>
                <w:sz w:val="20"/>
              </w:rPr>
            </w:pPr>
            <w:r>
              <w:rPr>
                <w:color w:val="000000"/>
                <w:sz w:val="20"/>
              </w:rPr>
              <w:t>RSO1.5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3B0DE5"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90BE7D"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E8B95F" w14:textId="77777777" w:rsidR="00A77B3E" w:rsidRDefault="00B16CCF">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1C4402" w14:textId="77777777" w:rsidR="00A77B3E" w:rsidRDefault="00B16CCF">
            <w:pPr>
              <w:spacing w:before="5pt"/>
              <w:jc w:val="end"/>
              <w:rPr>
                <w:color w:val="000000"/>
                <w:sz w:val="20"/>
              </w:rPr>
            </w:pPr>
            <w:r>
              <w:rPr>
                <w:color w:val="000000"/>
                <w:sz w:val="20"/>
              </w:rPr>
              <w:t>4.078.744,00</w:t>
            </w:r>
          </w:p>
        </w:tc>
      </w:tr>
      <w:tr w:rsidR="00823317" w14:paraId="60241FD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DE9F41" w14:textId="77777777" w:rsidR="00A77B3E" w:rsidRDefault="00B16CCF">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90507D" w14:textId="77777777" w:rsidR="00A77B3E" w:rsidRDefault="00B16CCF">
            <w:pPr>
              <w:spacing w:before="5pt"/>
              <w:rPr>
                <w:color w:val="000000"/>
                <w:sz w:val="20"/>
              </w:rPr>
            </w:pPr>
            <w:r>
              <w:rPr>
                <w:color w:val="000000"/>
                <w:sz w:val="20"/>
              </w:rPr>
              <w:t>RSO1.5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6C9704"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EA327F"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9FF4E6" w14:textId="77777777" w:rsidR="00A77B3E" w:rsidRDefault="00B16CCF">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82EF53" w14:textId="77777777" w:rsidR="00A77B3E" w:rsidRDefault="00B16CCF">
            <w:pPr>
              <w:spacing w:before="5pt"/>
              <w:jc w:val="end"/>
              <w:rPr>
                <w:color w:val="000000"/>
                <w:sz w:val="20"/>
              </w:rPr>
            </w:pPr>
            <w:r>
              <w:rPr>
                <w:color w:val="000000"/>
                <w:sz w:val="20"/>
              </w:rPr>
              <w:t>15.584.000,00</w:t>
            </w:r>
          </w:p>
        </w:tc>
      </w:tr>
      <w:tr w:rsidR="00823317" w14:paraId="39C53BB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E64907" w14:textId="77777777" w:rsidR="00A77B3E" w:rsidRDefault="00B16CCF">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8C8E25" w14:textId="77777777" w:rsidR="00A77B3E" w:rsidRDefault="00B16CCF">
            <w:pPr>
              <w:spacing w:before="5pt"/>
              <w:rPr>
                <w:color w:val="000000"/>
                <w:sz w:val="20"/>
              </w:rPr>
            </w:pPr>
            <w:r>
              <w:rPr>
                <w:color w:val="000000"/>
                <w:sz w:val="20"/>
              </w:rPr>
              <w:t>RSO1.5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362444"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1A243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ED0257"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7F96B5" w14:textId="77777777" w:rsidR="00A77B3E" w:rsidRDefault="00B16CCF">
            <w:pPr>
              <w:spacing w:before="5pt"/>
              <w:jc w:val="end"/>
              <w:rPr>
                <w:color w:val="000000"/>
                <w:sz w:val="20"/>
              </w:rPr>
            </w:pPr>
            <w:r>
              <w:rPr>
                <w:color w:val="000000"/>
                <w:sz w:val="20"/>
              </w:rPr>
              <w:t>19.662.744,00</w:t>
            </w:r>
          </w:p>
        </w:tc>
      </w:tr>
    </w:tbl>
    <w:p w14:paraId="5E911B39" w14:textId="77777777" w:rsidR="00A77B3E" w:rsidRDefault="00A77B3E">
      <w:pPr>
        <w:spacing w:before="5pt"/>
        <w:rPr>
          <w:color w:val="000000"/>
          <w:sz w:val="20"/>
        </w:rPr>
      </w:pPr>
    </w:p>
    <w:p w14:paraId="7FCE380A" w14:textId="77777777" w:rsidR="00A77B3E" w:rsidRDefault="00B16CCF">
      <w:pPr>
        <w:pStyle w:val="Naslov5"/>
        <w:spacing w:before="5pt" w:after="0pt"/>
        <w:rPr>
          <w:b w:val="0"/>
          <w:i w:val="0"/>
          <w:color w:val="000000"/>
          <w:sz w:val="24"/>
        </w:rPr>
      </w:pPr>
      <w:bookmarkStart w:id="88" w:name="_Toc256000849"/>
      <w:r>
        <w:rPr>
          <w:b w:val="0"/>
          <w:i w:val="0"/>
          <w:color w:val="000000"/>
          <w:sz w:val="24"/>
        </w:rPr>
        <w:t>Tabela 6: Razsežnost 3 – mehanizem za ozemeljsko izvrševanje in ozemeljski pristop</w:t>
      </w:r>
      <w:bookmarkEnd w:id="88"/>
    </w:p>
    <w:p w14:paraId="2548CBC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26"/>
        <w:gridCol w:w="2331"/>
        <w:gridCol w:w="1692"/>
        <w:gridCol w:w="2416"/>
        <w:gridCol w:w="3027"/>
        <w:gridCol w:w="3180"/>
      </w:tblGrid>
      <w:tr w:rsidR="00823317" w14:paraId="63145A6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4BE3362" w14:textId="77777777" w:rsidR="00A77B3E" w:rsidRDefault="00B16CCF">
            <w:pPr>
              <w:spacing w:before="5pt"/>
              <w:jc w:val="center"/>
              <w:rPr>
                <w:color w:val="000000"/>
                <w:sz w:val="20"/>
              </w:rPr>
            </w:pPr>
            <w:r>
              <w:rPr>
                <w:color w:val="000000"/>
                <w:sz w:val="20"/>
              </w:rPr>
              <w:lastRenderedPageBreak/>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C6293E"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290611"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DA8C26"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3F5CB4"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D4497E" w14:textId="77777777" w:rsidR="00A77B3E" w:rsidRDefault="00B16CCF">
            <w:pPr>
              <w:spacing w:before="5pt"/>
              <w:jc w:val="center"/>
              <w:rPr>
                <w:color w:val="000000"/>
                <w:sz w:val="20"/>
              </w:rPr>
            </w:pPr>
            <w:r>
              <w:rPr>
                <w:color w:val="000000"/>
                <w:sz w:val="20"/>
              </w:rPr>
              <w:t>Znesek (v EUR)</w:t>
            </w:r>
          </w:p>
        </w:tc>
      </w:tr>
      <w:tr w:rsidR="00823317" w14:paraId="0B1A4AD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DC6C39" w14:textId="77777777" w:rsidR="00A77B3E" w:rsidRDefault="00B16CCF">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307B89" w14:textId="77777777" w:rsidR="00A77B3E" w:rsidRDefault="00B16CCF">
            <w:pPr>
              <w:spacing w:before="5pt"/>
              <w:rPr>
                <w:color w:val="000000"/>
                <w:sz w:val="20"/>
              </w:rPr>
            </w:pPr>
            <w:r>
              <w:rPr>
                <w:color w:val="000000"/>
                <w:sz w:val="20"/>
              </w:rPr>
              <w:t>RSO1.5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FFEC6C"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1DA0CF"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AEFA2C" w14:textId="77777777" w:rsidR="00A77B3E" w:rsidRDefault="00B16CCF">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C01CB6" w14:textId="77777777" w:rsidR="00A77B3E" w:rsidRDefault="00B16CCF">
            <w:pPr>
              <w:spacing w:before="5pt"/>
              <w:jc w:val="end"/>
              <w:rPr>
                <w:color w:val="000000"/>
                <w:sz w:val="20"/>
              </w:rPr>
            </w:pPr>
            <w:r>
              <w:rPr>
                <w:color w:val="000000"/>
                <w:sz w:val="20"/>
              </w:rPr>
              <w:t>4.078.744,00</w:t>
            </w:r>
          </w:p>
        </w:tc>
      </w:tr>
      <w:tr w:rsidR="00823317" w14:paraId="23B09BC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B5A99F" w14:textId="77777777" w:rsidR="00A77B3E" w:rsidRDefault="00B16CCF">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38DCE0" w14:textId="77777777" w:rsidR="00A77B3E" w:rsidRDefault="00B16CCF">
            <w:pPr>
              <w:spacing w:before="5pt"/>
              <w:rPr>
                <w:color w:val="000000"/>
                <w:sz w:val="20"/>
              </w:rPr>
            </w:pPr>
            <w:r>
              <w:rPr>
                <w:color w:val="000000"/>
                <w:sz w:val="20"/>
              </w:rPr>
              <w:t>RSO1.5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7E6C57"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0F4642"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07272C" w14:textId="77777777" w:rsidR="00A77B3E" w:rsidRDefault="00B16CCF">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768A9F" w14:textId="77777777" w:rsidR="00A77B3E" w:rsidRDefault="00B16CCF">
            <w:pPr>
              <w:spacing w:before="5pt"/>
              <w:jc w:val="end"/>
              <w:rPr>
                <w:color w:val="000000"/>
                <w:sz w:val="20"/>
              </w:rPr>
            </w:pPr>
            <w:r>
              <w:rPr>
                <w:color w:val="000000"/>
                <w:sz w:val="20"/>
              </w:rPr>
              <w:t>15.584.000,00</w:t>
            </w:r>
          </w:p>
        </w:tc>
      </w:tr>
      <w:tr w:rsidR="00823317" w14:paraId="68224C4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53F21C" w14:textId="77777777" w:rsidR="00A77B3E" w:rsidRDefault="00B16CCF">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7C0273" w14:textId="77777777" w:rsidR="00A77B3E" w:rsidRDefault="00B16CCF">
            <w:pPr>
              <w:spacing w:before="5pt"/>
              <w:rPr>
                <w:color w:val="000000"/>
                <w:sz w:val="20"/>
              </w:rPr>
            </w:pPr>
            <w:r>
              <w:rPr>
                <w:color w:val="000000"/>
                <w:sz w:val="20"/>
              </w:rPr>
              <w:t>RSO1.5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76CD4C"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AE9615"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C0635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AF0367" w14:textId="77777777" w:rsidR="00A77B3E" w:rsidRDefault="00B16CCF">
            <w:pPr>
              <w:spacing w:before="5pt"/>
              <w:jc w:val="end"/>
              <w:rPr>
                <w:color w:val="000000"/>
                <w:sz w:val="20"/>
              </w:rPr>
            </w:pPr>
            <w:r>
              <w:rPr>
                <w:color w:val="000000"/>
                <w:sz w:val="20"/>
              </w:rPr>
              <w:t>19.662.744,00</w:t>
            </w:r>
          </w:p>
        </w:tc>
      </w:tr>
    </w:tbl>
    <w:p w14:paraId="06D4182F" w14:textId="77777777" w:rsidR="00A77B3E" w:rsidRDefault="00A77B3E">
      <w:pPr>
        <w:spacing w:before="5pt"/>
        <w:rPr>
          <w:color w:val="000000"/>
          <w:sz w:val="20"/>
        </w:rPr>
      </w:pPr>
    </w:p>
    <w:p w14:paraId="11B069E4" w14:textId="77777777" w:rsidR="00A77B3E" w:rsidRDefault="00B16CCF">
      <w:pPr>
        <w:pStyle w:val="Naslov5"/>
        <w:spacing w:before="5pt" w:after="0pt"/>
        <w:rPr>
          <w:b w:val="0"/>
          <w:i w:val="0"/>
          <w:color w:val="000000"/>
          <w:sz w:val="24"/>
        </w:rPr>
      </w:pPr>
      <w:bookmarkStart w:id="89" w:name="_Toc256000850"/>
      <w:r>
        <w:rPr>
          <w:b w:val="0"/>
          <w:i w:val="0"/>
          <w:color w:val="000000"/>
          <w:sz w:val="24"/>
        </w:rPr>
        <w:t>Tabela 7: Razsežnost 6 – sekundarna področja ESS+</w:t>
      </w:r>
      <w:bookmarkEnd w:id="89"/>
    </w:p>
    <w:p w14:paraId="37DB06C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117"/>
        <w:gridCol w:w="2877"/>
        <w:gridCol w:w="1780"/>
        <w:gridCol w:w="2982"/>
        <w:gridCol w:w="2259"/>
        <w:gridCol w:w="2157"/>
      </w:tblGrid>
      <w:tr w:rsidR="00823317" w14:paraId="2875637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9ED30E"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13C216"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09A574"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1D1659"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EF51E9"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264D6F" w14:textId="77777777" w:rsidR="00A77B3E" w:rsidRDefault="00B16CCF">
            <w:pPr>
              <w:spacing w:before="5pt"/>
              <w:jc w:val="center"/>
              <w:rPr>
                <w:color w:val="000000"/>
                <w:sz w:val="20"/>
              </w:rPr>
            </w:pPr>
            <w:r>
              <w:rPr>
                <w:color w:val="000000"/>
                <w:sz w:val="20"/>
              </w:rPr>
              <w:t>Znesek (v EUR)</w:t>
            </w:r>
          </w:p>
        </w:tc>
      </w:tr>
    </w:tbl>
    <w:p w14:paraId="3A763C74" w14:textId="77777777" w:rsidR="00A77B3E" w:rsidRDefault="00A77B3E">
      <w:pPr>
        <w:spacing w:before="5pt"/>
        <w:rPr>
          <w:color w:val="000000"/>
          <w:sz w:val="20"/>
        </w:rPr>
      </w:pPr>
    </w:p>
    <w:p w14:paraId="64F9EEA7" w14:textId="77777777" w:rsidR="00A77B3E" w:rsidRDefault="00B16CCF">
      <w:pPr>
        <w:pStyle w:val="Naslov5"/>
        <w:spacing w:before="5pt" w:after="0pt"/>
        <w:rPr>
          <w:b w:val="0"/>
          <w:i w:val="0"/>
          <w:color w:val="000000"/>
          <w:sz w:val="24"/>
        </w:rPr>
      </w:pPr>
      <w:bookmarkStart w:id="90" w:name="_Toc256000851"/>
      <w:r>
        <w:rPr>
          <w:b w:val="0"/>
          <w:i w:val="0"/>
          <w:color w:val="000000"/>
          <w:sz w:val="24"/>
        </w:rPr>
        <w:t>Tabela 8: Razsežnost 7 – razsežnost enakosti spolov v okviru ESS+*, ESRR, Kohezijskega sklada in SPP</w:t>
      </w:r>
      <w:bookmarkEnd w:id="90"/>
    </w:p>
    <w:p w14:paraId="6345659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13"/>
        <w:gridCol w:w="2411"/>
        <w:gridCol w:w="1750"/>
        <w:gridCol w:w="2498"/>
        <w:gridCol w:w="2612"/>
        <w:gridCol w:w="3288"/>
      </w:tblGrid>
      <w:tr w:rsidR="00823317" w14:paraId="506FAC2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5650E7"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6A96F8"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2E750B"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4D15BE"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47DF7C"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555A22" w14:textId="77777777" w:rsidR="00A77B3E" w:rsidRDefault="00B16CCF">
            <w:pPr>
              <w:spacing w:before="5pt"/>
              <w:jc w:val="center"/>
              <w:rPr>
                <w:color w:val="000000"/>
                <w:sz w:val="20"/>
              </w:rPr>
            </w:pPr>
            <w:r>
              <w:rPr>
                <w:color w:val="000000"/>
                <w:sz w:val="20"/>
              </w:rPr>
              <w:t>Znesek (v EUR)</w:t>
            </w:r>
          </w:p>
        </w:tc>
      </w:tr>
      <w:tr w:rsidR="00823317" w14:paraId="6CC15E4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2B6FC3" w14:textId="77777777" w:rsidR="00A77B3E" w:rsidRDefault="00B16CCF">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6B7CC3" w14:textId="77777777" w:rsidR="00A77B3E" w:rsidRDefault="00B16CCF">
            <w:pPr>
              <w:spacing w:before="5pt"/>
              <w:rPr>
                <w:color w:val="000000"/>
                <w:sz w:val="20"/>
              </w:rPr>
            </w:pPr>
            <w:r>
              <w:rPr>
                <w:color w:val="000000"/>
                <w:sz w:val="20"/>
              </w:rPr>
              <w:t>RSO1.5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9DEE0E"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C23ED1"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F0A673" w14:textId="77777777" w:rsidR="00A77B3E" w:rsidRDefault="00B16CCF">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2E7168" w14:textId="77777777" w:rsidR="00A77B3E" w:rsidRDefault="00B16CCF">
            <w:pPr>
              <w:spacing w:before="5pt"/>
              <w:jc w:val="end"/>
              <w:rPr>
                <w:color w:val="000000"/>
                <w:sz w:val="20"/>
              </w:rPr>
            </w:pPr>
            <w:r>
              <w:rPr>
                <w:color w:val="000000"/>
                <w:sz w:val="20"/>
              </w:rPr>
              <w:t>4.078.744,00</w:t>
            </w:r>
          </w:p>
        </w:tc>
      </w:tr>
      <w:tr w:rsidR="00823317" w14:paraId="4A5E340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4A85CF" w14:textId="77777777" w:rsidR="00A77B3E" w:rsidRDefault="00B16CCF">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FC4312" w14:textId="77777777" w:rsidR="00A77B3E" w:rsidRDefault="00B16CCF">
            <w:pPr>
              <w:spacing w:before="5pt"/>
              <w:rPr>
                <w:color w:val="000000"/>
                <w:sz w:val="20"/>
              </w:rPr>
            </w:pPr>
            <w:r>
              <w:rPr>
                <w:color w:val="000000"/>
                <w:sz w:val="20"/>
              </w:rPr>
              <w:t>RSO1.5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A5E075"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A0B6F5"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978F4D" w14:textId="77777777" w:rsidR="00A77B3E" w:rsidRDefault="00B16CCF">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613C97" w14:textId="77777777" w:rsidR="00A77B3E" w:rsidRDefault="00B16CCF">
            <w:pPr>
              <w:spacing w:before="5pt"/>
              <w:jc w:val="end"/>
              <w:rPr>
                <w:color w:val="000000"/>
                <w:sz w:val="20"/>
              </w:rPr>
            </w:pPr>
            <w:r>
              <w:rPr>
                <w:color w:val="000000"/>
                <w:sz w:val="20"/>
              </w:rPr>
              <w:t>15.584.000,00</w:t>
            </w:r>
          </w:p>
        </w:tc>
      </w:tr>
      <w:tr w:rsidR="00823317" w14:paraId="41313F5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FDBC91" w14:textId="77777777" w:rsidR="00A77B3E" w:rsidRDefault="00B16CCF">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37D4FB" w14:textId="77777777" w:rsidR="00A77B3E" w:rsidRDefault="00B16CCF">
            <w:pPr>
              <w:spacing w:before="5pt"/>
              <w:rPr>
                <w:color w:val="000000"/>
                <w:sz w:val="20"/>
              </w:rPr>
            </w:pPr>
            <w:r>
              <w:rPr>
                <w:color w:val="000000"/>
                <w:sz w:val="20"/>
              </w:rPr>
              <w:t>RSO1.5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F24D8A"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95955A"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8F7EF4"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0627CB" w14:textId="77777777" w:rsidR="00A77B3E" w:rsidRDefault="00B16CCF">
            <w:pPr>
              <w:spacing w:before="5pt"/>
              <w:jc w:val="end"/>
              <w:rPr>
                <w:color w:val="000000"/>
                <w:sz w:val="20"/>
              </w:rPr>
            </w:pPr>
            <w:r>
              <w:rPr>
                <w:color w:val="000000"/>
                <w:sz w:val="20"/>
              </w:rPr>
              <w:t>19.662.744,00</w:t>
            </w:r>
          </w:p>
        </w:tc>
      </w:tr>
    </w:tbl>
    <w:p w14:paraId="19587123" w14:textId="77777777" w:rsidR="00A77B3E" w:rsidRDefault="00B16CCF">
      <w:pPr>
        <w:spacing w:before="5pt"/>
        <w:rPr>
          <w:color w:val="000000"/>
          <w:sz w:val="20"/>
        </w:rPr>
      </w:pPr>
      <w:r>
        <w:rPr>
          <w:color w:val="000000"/>
          <w:sz w:val="20"/>
        </w:rPr>
        <w:t>* Načeloma 40 % za ESS+ prispeva k spremljanju enakosti spolov. 100 % se uporabi, kadar se država članica odloči za uporabo člena 6 uredbe o ESS+.</w:t>
      </w:r>
    </w:p>
    <w:p w14:paraId="70F9057B" w14:textId="77777777" w:rsidR="00A77B3E" w:rsidRDefault="00B16CCF">
      <w:pPr>
        <w:pStyle w:val="Naslov3"/>
        <w:spacing w:before="5pt" w:after="0pt"/>
        <w:rPr>
          <w:rFonts w:ascii="Times New Roman" w:hAnsi="Times New Roman" w:cs="Times New Roman"/>
          <w:b w:val="0"/>
          <w:color w:val="000000"/>
          <w:sz w:val="24"/>
        </w:rPr>
      </w:pPr>
      <w:r>
        <w:rPr>
          <w:rFonts w:ascii="Times New Roman" w:hAnsi="Times New Roman" w:cs="Times New Roman"/>
          <w:b w:val="0"/>
          <w:color w:val="000000"/>
          <w:sz w:val="24"/>
        </w:rPr>
        <w:br w:type="page"/>
      </w:r>
      <w:bookmarkStart w:id="91" w:name="_Toc256000852"/>
      <w:r>
        <w:rPr>
          <w:rFonts w:ascii="Times New Roman" w:hAnsi="Times New Roman" w:cs="Times New Roman"/>
          <w:b w:val="0"/>
          <w:color w:val="000000"/>
          <w:sz w:val="24"/>
        </w:rPr>
        <w:lastRenderedPageBreak/>
        <w:t>2.1.1. Prednostna naloga: 11. Razvoj strateških tehnologij za Evropo - STEP</w:t>
      </w:r>
      <w:bookmarkEnd w:id="91"/>
    </w:p>
    <w:p w14:paraId="1C54419D" w14:textId="77777777" w:rsidR="00A77B3E" w:rsidRDefault="00A77B3E">
      <w:pPr>
        <w:spacing w:before="5pt"/>
        <w:rPr>
          <w:color w:val="000000"/>
          <w:sz w:val="0"/>
        </w:rPr>
      </w:pPr>
    </w:p>
    <w:p w14:paraId="6765D64F" w14:textId="77777777" w:rsidR="00A77B3E" w:rsidRDefault="00B16CCF">
      <w:pPr>
        <w:pStyle w:val="Naslov4"/>
        <w:spacing w:before="5pt" w:after="0pt"/>
        <w:rPr>
          <w:b w:val="0"/>
          <w:color w:val="000000"/>
          <w:sz w:val="24"/>
        </w:rPr>
      </w:pPr>
      <w:bookmarkStart w:id="92" w:name="_Toc256000853"/>
      <w:r>
        <w:rPr>
          <w:b w:val="0"/>
          <w:color w:val="000000"/>
          <w:sz w:val="24"/>
        </w:rPr>
        <w:t>2.1.1.1. Specifični cilj: RSO1.6. Podpora naložb, ki prispevajo k ciljem platforme za strateške tehnologije za Evropo (v nadaljnjem besedilu: platforma STEP) iz člena 2 Uredbe (EU) 2024/795 Evropskega parlamenta in Sveta. (ESRR)</w:t>
      </w:r>
      <w:bookmarkEnd w:id="92"/>
    </w:p>
    <w:p w14:paraId="48DB9055" w14:textId="77777777" w:rsidR="00A77B3E" w:rsidRDefault="00A77B3E">
      <w:pPr>
        <w:spacing w:before="5pt"/>
        <w:rPr>
          <w:color w:val="000000"/>
          <w:sz w:val="0"/>
        </w:rPr>
      </w:pPr>
    </w:p>
    <w:p w14:paraId="2A3CDB7B" w14:textId="77777777" w:rsidR="00A77B3E" w:rsidRDefault="00B16CCF">
      <w:pPr>
        <w:pStyle w:val="Naslov4"/>
        <w:spacing w:before="5pt" w:after="0pt"/>
        <w:rPr>
          <w:b w:val="0"/>
          <w:color w:val="000000"/>
          <w:sz w:val="24"/>
        </w:rPr>
      </w:pPr>
      <w:bookmarkStart w:id="93" w:name="_Toc256000854"/>
      <w:r>
        <w:rPr>
          <w:b w:val="0"/>
          <w:color w:val="000000"/>
          <w:sz w:val="24"/>
        </w:rPr>
        <w:t>2.1.1.1.1. Ukrepi skladov</w:t>
      </w:r>
      <w:bookmarkEnd w:id="93"/>
    </w:p>
    <w:p w14:paraId="7BBCC5E9" w14:textId="77777777" w:rsidR="00A77B3E" w:rsidRDefault="00A77B3E">
      <w:pPr>
        <w:spacing w:before="5pt"/>
        <w:rPr>
          <w:color w:val="000000"/>
          <w:sz w:val="0"/>
        </w:rPr>
      </w:pPr>
    </w:p>
    <w:p w14:paraId="14017FBF" w14:textId="77777777" w:rsidR="00A77B3E" w:rsidRDefault="00B16CCF">
      <w:pPr>
        <w:spacing w:before="5pt"/>
        <w:rPr>
          <w:color w:val="000000"/>
          <w:sz w:val="0"/>
        </w:rPr>
      </w:pPr>
      <w:r>
        <w:rPr>
          <w:color w:val="000000"/>
        </w:rPr>
        <w:t>Sklic: člen 22(3)(d)(i), (iii), (iv), (v), (vi) in (vii) uredbe o skupnih določbah</w:t>
      </w:r>
    </w:p>
    <w:p w14:paraId="188E7EDB" w14:textId="77777777" w:rsidR="00A77B3E" w:rsidRDefault="00B16CCF">
      <w:pPr>
        <w:pStyle w:val="Naslov5"/>
        <w:spacing w:before="5pt" w:after="0pt"/>
        <w:rPr>
          <w:b w:val="0"/>
          <w:i w:val="0"/>
          <w:color w:val="000000"/>
          <w:sz w:val="24"/>
        </w:rPr>
      </w:pPr>
      <w:bookmarkStart w:id="94" w:name="_Toc256000855"/>
      <w:r>
        <w:rPr>
          <w:b w:val="0"/>
          <w:i w:val="0"/>
          <w:color w:val="000000"/>
          <w:sz w:val="24"/>
        </w:rPr>
        <w:t>Povezane vrste ukrepov – člen 22(3)(d)(i) uredbe o skupnih določbah in člen 6 uredbe o ESS+:</w:t>
      </w:r>
      <w:bookmarkEnd w:id="94"/>
    </w:p>
    <w:p w14:paraId="2DA5617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5A44B7B7"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97E346" w14:textId="77777777" w:rsidR="00A77B3E" w:rsidRDefault="00A77B3E">
            <w:pPr>
              <w:spacing w:before="5pt"/>
              <w:rPr>
                <w:color w:val="000000"/>
                <w:sz w:val="0"/>
              </w:rPr>
            </w:pPr>
          </w:p>
          <w:p w14:paraId="29F6C940" w14:textId="77777777" w:rsidR="00A77B3E" w:rsidRDefault="00B16CCF">
            <w:pPr>
              <w:spacing w:before="5pt"/>
              <w:rPr>
                <w:color w:val="000000"/>
              </w:rPr>
            </w:pPr>
            <w:r>
              <w:rPr>
                <w:color w:val="000000"/>
              </w:rPr>
              <w:t>Slovenija se sooča z izzivi, kot so nizka rast produktivnosti, zaostanek za povprečjem EU in potreba po prehodu v pametno in zeleno gospodarstvo. Platforma STEP (Strategic Technologies for Europe Platform) predstavlja ključni evropski mehanizem za podporo strateškim tehnologijam, katerih razvoj in/ali proizvodnja sta bistvena za krepitev evropske suverenosti in konkurenčnosti.</w:t>
            </w:r>
          </w:p>
          <w:p w14:paraId="7B936766" w14:textId="77777777" w:rsidR="00A77B3E" w:rsidRDefault="00B16CCF">
            <w:pPr>
              <w:spacing w:before="5pt"/>
              <w:rPr>
                <w:color w:val="000000"/>
              </w:rPr>
            </w:pPr>
            <w:r>
              <w:rPr>
                <w:color w:val="000000"/>
              </w:rPr>
              <w:t>Platforma STEP spodbuja projekte, ki naslavljajo sektorje skladno z Uredbo (EU) 2024/795 Evropskega parlamenta in Sveta z dne 29. februarja 2024 o vzpostavitvi platforme za strateške tehnologije za Evropo (platforma STEP), s posebnim poudarkom na zmanjševanju odvisnosti od tretjih držav, podpori evropskim vrednostnim verigam in razvoju tehnologij za prihodnost. Skladno s tem tudi Slovenija v okviru tega specifičnega cilja načrtuje ciljno usmerjene ukrepe, ki prispevajo k trajnostni konkurenčnosti in vključevanju v evropske strateške pobude.</w:t>
            </w:r>
          </w:p>
          <w:p w14:paraId="60F2BB60" w14:textId="77777777" w:rsidR="00A77B3E" w:rsidRDefault="00B16CCF">
            <w:pPr>
              <w:spacing w:before="5pt"/>
              <w:rPr>
                <w:color w:val="000000"/>
              </w:rPr>
            </w:pPr>
            <w:r>
              <w:rPr>
                <w:color w:val="000000"/>
              </w:rPr>
              <w:t>Specifični cilj RSO1.6 bo neposredno podprl prioritete platforme STEP z osredotočanjem na razvoj in/ali proizvodnjo ključnih tehnologij od faze, ko je izvedljivost že dokazana, vse do komercialne proizvodnje, prenos inovacij ter sodelovanje v pomembnih projektih skupnega evropskega interesa (IPCEI). Poleg tega bo omogočil Sloveniji boljšo integracijo v strateške vrednostne verige EU, izboljšal produktivnost in spodbudil trajnostno gospodarstvo.</w:t>
            </w:r>
          </w:p>
          <w:p w14:paraId="5B0B2D83" w14:textId="77777777" w:rsidR="00A77B3E" w:rsidRDefault="00B16CCF">
            <w:pPr>
              <w:spacing w:before="5pt"/>
              <w:rPr>
                <w:color w:val="000000"/>
              </w:rPr>
            </w:pPr>
            <w:r>
              <w:rPr>
                <w:color w:val="000000"/>
              </w:rPr>
              <w:t>Na področju čistih in z viri gospodarnih tehnologij bo dan poudarek na razsežnostih NEPN: tehnologijah za razogljičenje, energetsko učinkovitost, energetsko varnost, notranji trg energije, predvsem v smeri razvoja (inovativnih, procesnih) tehnologij, ki zagotavljajo sinergijske učinke povečanja OVE, energetske učinkovitosti, hrambe energije, brezemisijske mobilnosti, v okviru pametnih energetskih sistemov za povečanje avtonomije oskrbe z energijo ter posledično večjo trajnost in konkurenčnost.</w:t>
            </w:r>
          </w:p>
          <w:p w14:paraId="56DDDA0C" w14:textId="77777777" w:rsidR="00A77B3E" w:rsidRDefault="00B16CCF">
            <w:pPr>
              <w:spacing w:before="5pt"/>
              <w:rPr>
                <w:color w:val="000000"/>
              </w:rPr>
            </w:pPr>
            <w:r>
              <w:rPr>
                <w:b/>
                <w:bCs/>
                <w:color w:val="000000"/>
              </w:rPr>
              <w:t>Vlaganja bodo osredotočena na:</w:t>
            </w:r>
          </w:p>
          <w:p w14:paraId="1802E7F0" w14:textId="77777777" w:rsidR="00A77B3E" w:rsidRDefault="00B16CCF">
            <w:pPr>
              <w:spacing w:before="5pt"/>
              <w:rPr>
                <w:color w:val="000000"/>
              </w:rPr>
            </w:pPr>
            <w:r>
              <w:rPr>
                <w:b/>
                <w:bCs/>
                <w:color w:val="000000"/>
              </w:rPr>
              <w:t xml:space="preserve">1. Podporo razvoju in/ali proizvodnji kritičnih tehnologij in/ali zaščiti in okrepitvi njihovih dobavnih verig preko Javne agencije za znanstvenoraziskovalno in inovacijsko dejavnost Republike Slovenije (v nadaljevanju: ARIS): </w:t>
            </w:r>
            <w:r>
              <w:rPr>
                <w:color w:val="000000"/>
              </w:rPr>
              <w:t>spodbujanje raziskovalno-inovacijskih projektov (TRL 4–9) z namenom prehoda v komercialno proizvodnjo in projektov, namenjenih za vzpostavitev proizvodnje. Podpora bo namenjena projektom, ki razvijajo in/ali spodbujajo proizvodnjo kritičnih tehnologij, globokotehnoloških inovacij, čistih in z viri gospodarnih tehnologij, biotehnologij in na drugih področjih skladno s platformo STEP, ki na trg prinašajo inovativen, nastajajoč in najsodobnejši element z velikim gospodarskim potencialom ali prispevajo k zmanjšanju ali preprečevanju strateških odvisnosti EU oz. zaščiti in okrepitvi dobavnih verig kritičnih tehnologij. Ukrep naslavlja</w:t>
            </w:r>
            <w:r>
              <w:rPr>
                <w:b/>
                <w:bCs/>
                <w:color w:val="000000"/>
              </w:rPr>
              <w:t xml:space="preserve"> </w:t>
            </w:r>
            <w:r>
              <w:rPr>
                <w:color w:val="000000"/>
              </w:rPr>
              <w:t>potrebo po pospeševanju rasti produktivnosti in prehodu v pametno in zeleno gospodarstvo, kar je ključno za zmanjšanje razvojnega in inovacijskega zaostanka za povprečjem EU.</w:t>
            </w:r>
          </w:p>
          <w:p w14:paraId="4288930A" w14:textId="77777777" w:rsidR="00A77B3E" w:rsidRDefault="00B16CCF">
            <w:pPr>
              <w:spacing w:before="5pt"/>
              <w:rPr>
                <w:color w:val="000000"/>
              </w:rPr>
            </w:pPr>
            <w:r>
              <w:rPr>
                <w:b/>
                <w:bCs/>
                <w:color w:val="000000"/>
              </w:rPr>
              <w:t>2. Podporo projektom, ki prispevajo k ciljem platforme STEP in so ključnega pomena za razvoj kritičnih tehnologij strateškega pomena na področju:</w:t>
            </w:r>
          </w:p>
          <w:p w14:paraId="0C7DD0F6" w14:textId="77777777" w:rsidR="00A77B3E" w:rsidRDefault="00B16CCF">
            <w:pPr>
              <w:spacing w:before="5pt"/>
              <w:rPr>
                <w:color w:val="000000"/>
              </w:rPr>
            </w:pPr>
            <w:r>
              <w:rPr>
                <w:color w:val="000000"/>
              </w:rPr>
              <w:lastRenderedPageBreak/>
              <w:t>a) biotehnologije, specifično za zmanjševanje strateške odvisnosti EU zlasti na področju farmacije in sorodnih disciplin. Projekt se nanaša na podporo infrastrukturi in opremi kot povezanim storitvam (associated services), ki so ključne in specifične za razvoj in proizvodnjo tehnologij platforme STEP. Temeljil bo na vrhunski raziskovalni infrastrukturi (GIGA NMR) in bo vključeval sodelovanje v Evropskem konzorciju za raziskovalno infrastrukturo CERIC.</w:t>
            </w:r>
          </w:p>
          <w:p w14:paraId="51C6172D" w14:textId="77777777" w:rsidR="00A77B3E" w:rsidRDefault="00B16CCF">
            <w:pPr>
              <w:spacing w:before="5pt"/>
              <w:rPr>
                <w:color w:val="000000"/>
              </w:rPr>
            </w:pPr>
            <w:r>
              <w:rPr>
                <w:color w:val="000000"/>
              </w:rPr>
              <w:t>b) digitalnih tehnologij, specifično za zmanjševanje strateške odvisnosti EU zlasti na področju čipov in polprevodnikov. Projekt VISO-čip.si se nanaša na podporo infrastrukturi in opremi kot povezanim storitvam (associated services), ki so ključne in specifične za razvoj in proizvodnjo tehnologij platforme STEP. Temeljil bo na polprevodniških tehnologijah in bo vključeval sodelovanje v evropski mreži 27 kompetenčnih centrov za čipe.</w:t>
            </w:r>
          </w:p>
          <w:p w14:paraId="377400D3" w14:textId="77777777" w:rsidR="00A77B3E" w:rsidRDefault="00B16CCF">
            <w:pPr>
              <w:spacing w:before="5pt"/>
              <w:rPr>
                <w:color w:val="000000"/>
              </w:rPr>
            </w:pPr>
            <w:r>
              <w:rPr>
                <w:color w:val="000000"/>
              </w:rPr>
              <w:t>c) digitalnih tehnologij, specifično za zmanjševanje strateške odvisnosti EU na področju razvoja in uporabe umetne inteligence. Ključni element EURO HPC projekta je vzpostavitev Slovenske tovarne umetne inteligence (SLAIF), ki predstavlja osrednjo infrastrukturo za razvoj in proizvodnjo umetnointeligenčnih tehnologij v okviru platforme STEP. Za uspešno izvedbo projekta SLAIF je nujna investicija v izgradnjo in nadgradnjo kapacitet superračunalnika (HPC), ki bodo omogočale obsežne raziskave ter pospešen razvoj inovacij na področju umetne inteligence.</w:t>
            </w:r>
          </w:p>
          <w:p w14:paraId="78507292" w14:textId="77777777" w:rsidR="00A77B3E" w:rsidRDefault="00B16CCF">
            <w:pPr>
              <w:spacing w:before="5pt"/>
              <w:rPr>
                <w:color w:val="000000"/>
              </w:rPr>
            </w:pPr>
            <w:r>
              <w:rPr>
                <w:b/>
                <w:bCs/>
                <w:color w:val="000000"/>
              </w:rPr>
              <w:t xml:space="preserve">3. Podporo projektom s pečatom suverenosti (pečatom STEP) preko ARIS: </w:t>
            </w:r>
            <w:r>
              <w:rPr>
                <w:color w:val="000000"/>
              </w:rPr>
              <w:t>financiranje projektov, ki so pridobili pečat suverenosti, kar potrjuje njihovo skladnost s cilji platforme STEP in njihov prispevek k evropski suverenosti. Ukrep krepi strateško avtonomijo Slovenije in EU, kar je pomembno za dolgoročno konkurenčnost. Podpora projektom se lahko izvede preko javnega razpisa, javnega poziva ali preko neposredne potrditve operacije.</w:t>
            </w:r>
          </w:p>
          <w:p w14:paraId="414835AA" w14:textId="77777777" w:rsidR="00A77B3E" w:rsidRDefault="00B16CCF">
            <w:pPr>
              <w:spacing w:before="5pt"/>
              <w:rPr>
                <w:color w:val="000000"/>
              </w:rPr>
            </w:pPr>
            <w:r>
              <w:rPr>
                <w:b/>
                <w:bCs/>
                <w:color w:val="000000"/>
              </w:rPr>
              <w:t xml:space="preserve">4. Podporo projektom podjetij, vključenih v IPCEI: </w:t>
            </w:r>
            <w:r>
              <w:rPr>
                <w:color w:val="000000"/>
              </w:rPr>
              <w:t>podpora slovenskim podjetjem, ki sodelujejo v pomembnih projektih skupnega evropskega interesa (IPCEI), ki zajemajo tehnologije iz treh sektorjev platforme STEP, z namenom krepitve njihove vloge v evropskih vrednostnih verigah. Ukrep spodbuja pravičen prehod na podnebno nevtralno in krožno gospodarstvo, razvoj novih digitalnih rešitev ter spodbuja mednarodno sodelovanje, kar je ključno za izboljšanje produktivnosti. Za projekte direktnih partnerjev v IPCEI se predvideva podpora z neposredno potrditvijo operacije.</w:t>
            </w:r>
          </w:p>
          <w:p w14:paraId="0A3F8085" w14:textId="77777777" w:rsidR="00A77B3E" w:rsidRDefault="00B16CCF">
            <w:pPr>
              <w:spacing w:before="5pt"/>
              <w:rPr>
                <w:color w:val="000000"/>
              </w:rPr>
            </w:pPr>
            <w:r>
              <w:rPr>
                <w:color w:val="000000"/>
              </w:rPr>
              <w:t>Ukrepi v okviru tega specifičnega cilja bodo morali izpolnjevati kriterije iz uredbe STEP (Uredba (EU) 2024/795), kot so opredeljena v Sporočilu Komisije o smernicah v zvezi z nekaterimi določbami Uredbe (EU) 2024/795 o vzpostavitvi platforme za strateške tehnologije za Evropo (platforma STEP), in so hkrati zasnovani za neposredno naslavljanje ključnih izzivov Slovenije, kot so opredeljeni v Poročilu o produktivnosti 2023. Vsi ukrepi bodo morali izpolnjevati vsaj enega od pogojev platforme STEP: 1) na notranji trg prinašajo inovativen, nastajajoč in najsodobnejši element z velikim gospodarskim potencialom; IN/ALI 2) prispevajo k zmanjšanju ali preprečevanju strateških odvisnosti Unije.</w:t>
            </w:r>
          </w:p>
          <w:p w14:paraId="413225EA" w14:textId="77777777" w:rsidR="00A77B3E" w:rsidRDefault="00B16CCF">
            <w:pPr>
              <w:spacing w:before="5pt"/>
              <w:rPr>
                <w:color w:val="000000"/>
              </w:rPr>
            </w:pPr>
            <w:r>
              <w:rPr>
                <w:color w:val="000000"/>
              </w:rPr>
              <w:t>S spodbujanjem razvoja in/ali proizvodnje kritičnih tehnologij bodo ukrepi prispevali k trajnostni konkurenčnosti, strateški avtonomiji ter vključujočemu družbenemu razvoju Slovenije in Evropske unije. Podprti projekti bodo morali biti izvedeni do konca leta 2030.</w:t>
            </w:r>
          </w:p>
          <w:p w14:paraId="3BE5534E" w14:textId="77777777" w:rsidR="00A77B3E" w:rsidRDefault="00A77B3E">
            <w:pPr>
              <w:spacing w:before="5pt"/>
              <w:rPr>
                <w:color w:val="000000"/>
                <w:sz w:val="6"/>
              </w:rPr>
            </w:pPr>
          </w:p>
          <w:p w14:paraId="67B9B43F" w14:textId="77777777" w:rsidR="00A77B3E" w:rsidRDefault="00A77B3E">
            <w:pPr>
              <w:spacing w:before="5pt"/>
              <w:rPr>
                <w:color w:val="000000"/>
                <w:sz w:val="6"/>
              </w:rPr>
            </w:pPr>
          </w:p>
        </w:tc>
      </w:tr>
    </w:tbl>
    <w:p w14:paraId="1948D7BA" w14:textId="77777777" w:rsidR="00A77B3E" w:rsidRDefault="00A77B3E">
      <w:pPr>
        <w:spacing w:before="5pt"/>
        <w:rPr>
          <w:color w:val="000000"/>
        </w:rPr>
      </w:pPr>
    </w:p>
    <w:p w14:paraId="1A88B1CC" w14:textId="77777777" w:rsidR="00A77B3E" w:rsidRDefault="00B16CCF">
      <w:pPr>
        <w:pStyle w:val="Naslov5"/>
        <w:spacing w:before="5pt" w:after="0pt"/>
        <w:rPr>
          <w:b w:val="0"/>
          <w:i w:val="0"/>
          <w:color w:val="000000"/>
          <w:sz w:val="24"/>
        </w:rPr>
      </w:pPr>
      <w:bookmarkStart w:id="95" w:name="_Toc256000856"/>
      <w:r>
        <w:rPr>
          <w:b w:val="0"/>
          <w:i w:val="0"/>
          <w:color w:val="000000"/>
          <w:sz w:val="24"/>
        </w:rPr>
        <w:t>Glavne ciljne skupine – člen 22(3)(d)(iii) uredbe o skupnih določbah:</w:t>
      </w:r>
      <w:bookmarkEnd w:id="95"/>
    </w:p>
    <w:p w14:paraId="09198D9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4FEBEE8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58BED4" w14:textId="77777777" w:rsidR="00A77B3E" w:rsidRDefault="00A77B3E">
            <w:pPr>
              <w:spacing w:before="5pt"/>
              <w:rPr>
                <w:color w:val="000000"/>
                <w:sz w:val="0"/>
              </w:rPr>
            </w:pPr>
          </w:p>
          <w:p w14:paraId="4B9DABF9" w14:textId="77777777" w:rsidR="00A77B3E" w:rsidRDefault="00B16CCF">
            <w:pPr>
              <w:spacing w:before="5pt"/>
              <w:rPr>
                <w:color w:val="000000"/>
              </w:rPr>
            </w:pPr>
            <w:r>
              <w:rPr>
                <w:color w:val="000000"/>
              </w:rPr>
              <w:t>Ciljne skupine: podjetja, institucije znanja (raziskovalne organizacije, visokošolski zavodi, ipd.), razvojna partnerstva</w:t>
            </w:r>
          </w:p>
          <w:p w14:paraId="7ADB4AF1" w14:textId="77777777" w:rsidR="00A77B3E" w:rsidRDefault="00B16CCF">
            <w:pPr>
              <w:spacing w:before="5pt"/>
              <w:rPr>
                <w:color w:val="000000"/>
              </w:rPr>
            </w:pPr>
            <w:r>
              <w:rPr>
                <w:color w:val="000000"/>
              </w:rPr>
              <w:t>Upravičenci: podjetja, raziskovalne organizacije</w:t>
            </w:r>
          </w:p>
          <w:p w14:paraId="49D6F770" w14:textId="77777777" w:rsidR="00A77B3E" w:rsidRDefault="00A77B3E">
            <w:pPr>
              <w:spacing w:before="5pt"/>
              <w:rPr>
                <w:color w:val="000000"/>
                <w:sz w:val="6"/>
              </w:rPr>
            </w:pPr>
          </w:p>
          <w:p w14:paraId="56DF4F24" w14:textId="77777777" w:rsidR="00A77B3E" w:rsidRDefault="00A77B3E">
            <w:pPr>
              <w:spacing w:before="5pt"/>
              <w:rPr>
                <w:color w:val="000000"/>
                <w:sz w:val="6"/>
              </w:rPr>
            </w:pPr>
          </w:p>
        </w:tc>
      </w:tr>
    </w:tbl>
    <w:p w14:paraId="292B3BDD" w14:textId="77777777" w:rsidR="00A77B3E" w:rsidRDefault="00A77B3E">
      <w:pPr>
        <w:spacing w:before="5pt"/>
        <w:rPr>
          <w:color w:val="000000"/>
        </w:rPr>
      </w:pPr>
    </w:p>
    <w:p w14:paraId="7AA4604D" w14:textId="77777777" w:rsidR="00A77B3E" w:rsidRDefault="00B16CCF">
      <w:pPr>
        <w:pStyle w:val="Naslov5"/>
        <w:spacing w:before="5pt" w:after="0pt"/>
        <w:rPr>
          <w:b w:val="0"/>
          <w:i w:val="0"/>
          <w:color w:val="000000"/>
          <w:sz w:val="24"/>
        </w:rPr>
      </w:pPr>
      <w:bookmarkStart w:id="96" w:name="_Toc256000857"/>
      <w:r>
        <w:rPr>
          <w:b w:val="0"/>
          <w:i w:val="0"/>
          <w:color w:val="000000"/>
          <w:sz w:val="24"/>
        </w:rPr>
        <w:t>Ukrepi za zaščito enakosti, vključenosti in nediskriminacije – člen 22(3)(d)(iv) uredbe o skupnih določbah in člen 6 uredbe o ESS+</w:t>
      </w:r>
      <w:bookmarkEnd w:id="96"/>
    </w:p>
    <w:p w14:paraId="0F0F741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5D5C97B2"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E48106" w14:textId="77777777" w:rsidR="00A77B3E" w:rsidRDefault="00A77B3E">
            <w:pPr>
              <w:spacing w:before="5pt"/>
              <w:rPr>
                <w:color w:val="000000"/>
                <w:sz w:val="0"/>
              </w:rPr>
            </w:pPr>
          </w:p>
          <w:p w14:paraId="7F369CA4" w14:textId="77777777" w:rsidR="00A77B3E" w:rsidRDefault="00B16CCF">
            <w:pPr>
              <w:spacing w:before="5pt"/>
              <w:rPr>
                <w:color w:val="000000"/>
              </w:rPr>
            </w:pPr>
            <w:r>
              <w:rPr>
                <w:color w:val="000000"/>
              </w:rPr>
              <w:t>Spoštovanje načel enakosti, vključenosti in nediskriminacije bo zagotovljeno pri izvajanju vseh aktivnosti na vseh ravneh skladno z nacionalno zakonodajo, pravnim redom EU in relevantnimi mednarodnimi dokumenti za varstvo človekovih pravic. Pri zagotavljanju enakih možnosti in boja proti diskriminaciji bosta upoštevana tudi Postopkovnik za zagotavljanje horizontalnega omogočitvenega pogoja »Učinkovita uporaba in izvajanje Listine o temeljnih pravicah« in Akcijski program za invalide 2022-2030 ter drugi relevantni dokumenti, ki bodo nastali v okviru izvajanja. Načelo se bo upoštevalo tudi v okviru sistema upravljanja in nadzora.</w:t>
            </w:r>
          </w:p>
          <w:p w14:paraId="6D243B22" w14:textId="77777777" w:rsidR="00A77B3E" w:rsidRDefault="00B16CCF">
            <w:pPr>
              <w:spacing w:before="5pt"/>
              <w:rPr>
                <w:color w:val="000000"/>
              </w:rPr>
            </w:pPr>
            <w:r>
              <w:rPr>
                <w:color w:val="000000"/>
              </w:rPr>
              <w:t>Na področju znanstvenoraziskovalne in inovacijske dejavnosti v zvezi z zagotavljanjem enakosti spolov sledimo ciljem in ukrepom Resolucije o znanstveno raziskovalni in inovacijski strategiji Slovenije 2030 (ReZrlS30). Skladno z Ukrepom 6.4.4 ReZrlS30: Upoštevanje enakosti spolov pri financiranju raziskav, vključno z uveljavitvijo dimenzije spola v vsebine raziskovalnih dejavnosti bomo uveljavitev dimenzije spola v vsebinah raziskovalnih projektov implementirali kot horizontalno načelo znotraj projektov na področju raziskav in razvoja na ravni tehnološke pripravljenosti (TRL) 3-6, predvsem pri tistih, za katere je to smiselno.</w:t>
            </w:r>
          </w:p>
          <w:p w14:paraId="21FD756C" w14:textId="77777777" w:rsidR="00A77B3E" w:rsidRDefault="00A77B3E">
            <w:pPr>
              <w:spacing w:before="5pt"/>
              <w:rPr>
                <w:color w:val="000000"/>
                <w:sz w:val="6"/>
              </w:rPr>
            </w:pPr>
          </w:p>
          <w:p w14:paraId="138E83A2" w14:textId="77777777" w:rsidR="00A77B3E" w:rsidRDefault="00A77B3E">
            <w:pPr>
              <w:spacing w:before="5pt"/>
              <w:rPr>
                <w:color w:val="000000"/>
                <w:sz w:val="6"/>
              </w:rPr>
            </w:pPr>
          </w:p>
        </w:tc>
      </w:tr>
    </w:tbl>
    <w:p w14:paraId="44346A32" w14:textId="77777777" w:rsidR="00A77B3E" w:rsidRDefault="00A77B3E">
      <w:pPr>
        <w:spacing w:before="5pt"/>
        <w:rPr>
          <w:color w:val="000000"/>
        </w:rPr>
      </w:pPr>
    </w:p>
    <w:p w14:paraId="29DAD489" w14:textId="77777777" w:rsidR="00A77B3E" w:rsidRDefault="00B16CCF">
      <w:pPr>
        <w:pStyle w:val="Naslov5"/>
        <w:spacing w:before="5pt" w:after="0pt"/>
        <w:rPr>
          <w:b w:val="0"/>
          <w:i w:val="0"/>
          <w:color w:val="000000"/>
          <w:sz w:val="24"/>
        </w:rPr>
      </w:pPr>
      <w:bookmarkStart w:id="97" w:name="_Toc256000858"/>
      <w:r>
        <w:rPr>
          <w:b w:val="0"/>
          <w:i w:val="0"/>
          <w:color w:val="000000"/>
          <w:sz w:val="24"/>
        </w:rPr>
        <w:t>Navedba specifičnih ciljnih ozemelj, vključno z načrtovano uporabo teritorialnih orodij – člen 22(3)(d)(v) uredbe o skupnih določbah</w:t>
      </w:r>
      <w:bookmarkEnd w:id="97"/>
    </w:p>
    <w:p w14:paraId="4B18537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7736A0D3"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4742A3" w14:textId="77777777" w:rsidR="00A77B3E" w:rsidRDefault="00A77B3E">
            <w:pPr>
              <w:spacing w:before="5pt"/>
              <w:rPr>
                <w:color w:val="000000"/>
                <w:sz w:val="0"/>
              </w:rPr>
            </w:pPr>
          </w:p>
          <w:p w14:paraId="6BD466D1" w14:textId="77777777" w:rsidR="00A77B3E" w:rsidRDefault="00B16CCF">
            <w:pPr>
              <w:spacing w:before="5pt"/>
              <w:rPr>
                <w:color w:val="000000"/>
              </w:rPr>
            </w:pPr>
            <w:r>
              <w:rPr>
                <w:color w:val="000000"/>
              </w:rPr>
              <w:t>V okviru navedenega specifičnega cilja ni predvidena uporaba teritorialnih orodij. </w:t>
            </w:r>
          </w:p>
          <w:p w14:paraId="4E7946A7" w14:textId="77777777" w:rsidR="00A77B3E" w:rsidRDefault="00A77B3E">
            <w:pPr>
              <w:spacing w:before="5pt"/>
              <w:rPr>
                <w:color w:val="000000"/>
                <w:sz w:val="6"/>
              </w:rPr>
            </w:pPr>
          </w:p>
          <w:p w14:paraId="1D984FB5" w14:textId="77777777" w:rsidR="00A77B3E" w:rsidRDefault="00A77B3E">
            <w:pPr>
              <w:spacing w:before="5pt"/>
              <w:rPr>
                <w:color w:val="000000"/>
                <w:sz w:val="6"/>
              </w:rPr>
            </w:pPr>
          </w:p>
        </w:tc>
      </w:tr>
    </w:tbl>
    <w:p w14:paraId="05C4C933" w14:textId="77777777" w:rsidR="00A77B3E" w:rsidRDefault="00A77B3E">
      <w:pPr>
        <w:spacing w:before="5pt"/>
        <w:rPr>
          <w:color w:val="000000"/>
        </w:rPr>
      </w:pPr>
    </w:p>
    <w:p w14:paraId="69675775" w14:textId="77777777" w:rsidR="00A77B3E" w:rsidRDefault="00B16CCF">
      <w:pPr>
        <w:pStyle w:val="Naslov5"/>
        <w:spacing w:before="5pt" w:after="0pt"/>
        <w:rPr>
          <w:b w:val="0"/>
          <w:i w:val="0"/>
          <w:color w:val="000000"/>
          <w:sz w:val="24"/>
        </w:rPr>
      </w:pPr>
      <w:bookmarkStart w:id="98" w:name="_Toc256000859"/>
      <w:r>
        <w:rPr>
          <w:b w:val="0"/>
          <w:i w:val="0"/>
          <w:color w:val="000000"/>
          <w:sz w:val="24"/>
        </w:rPr>
        <w:t>Medregionalni, čezmejni in transnacionalni ukrepi – člen 22(3)(d)(vi) uredbe o skupnih določbah</w:t>
      </w:r>
      <w:bookmarkEnd w:id="98"/>
    </w:p>
    <w:p w14:paraId="3C930A9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463A291A"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0AB3BF" w14:textId="77777777" w:rsidR="00A77B3E" w:rsidRDefault="00A77B3E">
            <w:pPr>
              <w:spacing w:before="5pt"/>
              <w:rPr>
                <w:color w:val="000000"/>
                <w:sz w:val="0"/>
              </w:rPr>
            </w:pPr>
          </w:p>
          <w:p w14:paraId="659EA59D" w14:textId="77777777" w:rsidR="00A77B3E" w:rsidRDefault="00B16CCF">
            <w:pPr>
              <w:spacing w:before="5pt"/>
              <w:rPr>
                <w:color w:val="000000"/>
              </w:rPr>
            </w:pPr>
            <w:r>
              <w:rPr>
                <w:color w:val="000000"/>
              </w:rPr>
              <w:t>V okviru specifičnega cilja RSO1.6 bo Slovenija aktivno sodelovala v medregionalnih, čezmejnih in transnacionalnih pobudah, ki spodbujajo razvoj in implementacijo ključnih tehnologij ter krepijo evropsko suverenost. To vključuje sodelovanje v centraliziranih programih EU ter vključenost v evropska partnerstva in mreže, ki podpirajo inovacije in tehnološki razvoj, kot opredeljuje tudi Slovenska strategije trajnostne pametne specializacije (S5).</w:t>
            </w:r>
          </w:p>
          <w:p w14:paraId="1244625D" w14:textId="77777777" w:rsidR="00A77B3E" w:rsidRDefault="00B16CCF">
            <w:pPr>
              <w:spacing w:before="5pt"/>
              <w:rPr>
                <w:color w:val="000000"/>
              </w:rPr>
            </w:pPr>
            <w:r>
              <w:rPr>
                <w:color w:val="000000"/>
              </w:rPr>
              <w:t>Pozornost bo namenjena projektom, ki so prejeli pečat suverenosti (STEP Seal) na centraliziranih razpisih EU. Ti projekti so že prepoznani kot visoko kakovostni in strateško pomembni za dosego ciljev platforme STEP. Slovenija bo spodbujala izvedbo in nadaljnji razvoj takšnih projektov ter podpirala njihovo integracijo v evropske in nacionalne vrednostne verige.</w:t>
            </w:r>
          </w:p>
          <w:p w14:paraId="647E3398" w14:textId="77777777" w:rsidR="00A77B3E" w:rsidRDefault="00B16CCF">
            <w:pPr>
              <w:spacing w:before="5pt"/>
              <w:rPr>
                <w:color w:val="000000"/>
              </w:rPr>
            </w:pPr>
            <w:r>
              <w:rPr>
                <w:color w:val="000000"/>
              </w:rPr>
              <w:t>Poudarek bo tudi na projektih, ki prispevajo k zmanjšanju strateških odvisnosti EU in krepitvi evropskih vrednostnih verig, vključno s podporo slovenskim deležnikom v projektih IPCEI (Pomembnih projektih skupnega evropskega interesa). Slovenija bo spodbujala vključevanje podjetij v IPCEI konzorcije na prednostnih področjih S5. Sodelovanje v teh projektih bo omogočilo prenos znanja in tehnologij, okrepilo slovensko inovacijsko okolje ter prispevalo k skupnim evropskim ciljem.</w:t>
            </w:r>
          </w:p>
          <w:p w14:paraId="588E35B2" w14:textId="77777777" w:rsidR="00A77B3E" w:rsidRDefault="00B16CCF">
            <w:pPr>
              <w:spacing w:before="5pt"/>
              <w:rPr>
                <w:color w:val="000000"/>
              </w:rPr>
            </w:pPr>
            <w:r>
              <w:rPr>
                <w:color w:val="000000"/>
              </w:rPr>
              <w:lastRenderedPageBreak/>
              <w:t>Sodelovanje bo usmerjeno tudi v izmenjavo znanja, dobrih praks in skupnih projektov z drugimi regijami in državami članicami EU, z namenom pospeševanja digitalne preobrazbe, razvoja čistih tehnologij in biotehnologij. Slovenija bo spodbujala partnerstva med raziskovalnimi institucijami, podjetji in drugimi deležniki na mednarodni ravni, da bi okrepila svoj inovacijski potencial in izboljšala konkurenčnost.</w:t>
            </w:r>
          </w:p>
          <w:p w14:paraId="62AEC195" w14:textId="77777777" w:rsidR="00A77B3E" w:rsidRDefault="00B16CCF">
            <w:pPr>
              <w:spacing w:before="5pt"/>
              <w:rPr>
                <w:color w:val="000000"/>
              </w:rPr>
            </w:pPr>
            <w:r>
              <w:rPr>
                <w:color w:val="000000"/>
              </w:rPr>
              <w:t>S takšnim pristopom bo Slovenija prispevala k večji povezanosti in konkurenčnosti evropskega prostora, utrjevanju svoje vloge v evropskih in globalnih vrednostnih verigah ter spodbujanju strateške avtonomije EU, ter tako tudi k uresničevanju ciljev S5.</w:t>
            </w:r>
          </w:p>
          <w:p w14:paraId="65455BC0" w14:textId="77777777" w:rsidR="00A77B3E" w:rsidRDefault="00A77B3E">
            <w:pPr>
              <w:spacing w:before="5pt"/>
              <w:rPr>
                <w:color w:val="000000"/>
                <w:sz w:val="6"/>
              </w:rPr>
            </w:pPr>
          </w:p>
          <w:p w14:paraId="30DDC0CC" w14:textId="77777777" w:rsidR="00A77B3E" w:rsidRDefault="00A77B3E">
            <w:pPr>
              <w:spacing w:before="5pt"/>
              <w:rPr>
                <w:color w:val="000000"/>
                <w:sz w:val="6"/>
              </w:rPr>
            </w:pPr>
          </w:p>
        </w:tc>
      </w:tr>
    </w:tbl>
    <w:p w14:paraId="40479FDD" w14:textId="77777777" w:rsidR="00A77B3E" w:rsidRDefault="00A77B3E">
      <w:pPr>
        <w:spacing w:before="5pt"/>
        <w:rPr>
          <w:color w:val="000000"/>
        </w:rPr>
      </w:pPr>
    </w:p>
    <w:p w14:paraId="16CCBDD3" w14:textId="77777777" w:rsidR="00A77B3E" w:rsidRDefault="00B16CCF">
      <w:pPr>
        <w:pStyle w:val="Naslov5"/>
        <w:spacing w:before="5pt" w:after="0pt"/>
        <w:rPr>
          <w:b w:val="0"/>
          <w:i w:val="0"/>
          <w:color w:val="000000"/>
          <w:sz w:val="24"/>
        </w:rPr>
      </w:pPr>
      <w:bookmarkStart w:id="99" w:name="_Toc256000860"/>
      <w:r>
        <w:rPr>
          <w:b w:val="0"/>
          <w:i w:val="0"/>
          <w:color w:val="000000"/>
          <w:sz w:val="24"/>
        </w:rPr>
        <w:t>Načrtovana uporaba finančnih instrumentov – člen 22(3)(d)(vii) uredbe o skupnih določbah</w:t>
      </w:r>
      <w:bookmarkEnd w:id="99"/>
    </w:p>
    <w:p w14:paraId="479B07A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12F80207"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80FD11" w14:textId="77777777" w:rsidR="00A77B3E" w:rsidRDefault="00A77B3E">
            <w:pPr>
              <w:spacing w:before="5pt"/>
              <w:rPr>
                <w:color w:val="000000"/>
                <w:sz w:val="0"/>
              </w:rPr>
            </w:pPr>
          </w:p>
          <w:p w14:paraId="6C792A86" w14:textId="77777777" w:rsidR="00A77B3E" w:rsidRDefault="00B16CCF">
            <w:pPr>
              <w:spacing w:before="5pt"/>
              <w:rPr>
                <w:color w:val="000000"/>
              </w:rPr>
            </w:pPr>
            <w:r>
              <w:rPr>
                <w:color w:val="000000"/>
              </w:rPr>
              <w:t>Uporaba finančnih instrumentov v okviru specifičnega cilja RSO1.6, skladno s Predhodno oceno potreb trga in vrzeli financiranja na trgu za izvajanje finančnih instrumentov v programskem obdobju 2021–2027 (julij 2022), ni načrtovana. Predlagani ukrepi so usmerjeni v spodbujanje razvoja in/ali proizvodnje kritičnih tehnologij ter prenosa tehnologij, kar vključuje projekte, katerih narava ne omogoča ustvarjanja neposrednih prihodkov ali prihrankov, kar bi opravičevalo uporabo finančnih instrumentov.</w:t>
            </w:r>
          </w:p>
          <w:p w14:paraId="7F613D1A" w14:textId="77777777" w:rsidR="00A77B3E" w:rsidRDefault="00B16CCF">
            <w:pPr>
              <w:spacing w:before="5pt"/>
              <w:rPr>
                <w:color w:val="000000"/>
              </w:rPr>
            </w:pPr>
            <w:r>
              <w:rPr>
                <w:color w:val="000000"/>
              </w:rPr>
              <w:t>Cilj ukrepov je podpora strateško pomembnim projektom, ki prispevajo k tehnološki in gospodarski suverenosti ter trajnostni konkurenčnosti Slovenije in Evropske unije. Ti ukrepi bodo v večji meri izvedeni v sodelovanju med raziskovalnimi institucijami, podjetji ter partnerji na nacionalni in evropski ravni, pri čemer bo financiranje potekalo v celoti z nepovratnimi sredstvi.</w:t>
            </w:r>
          </w:p>
          <w:p w14:paraId="50721A56" w14:textId="77777777" w:rsidR="00A77B3E" w:rsidRDefault="00A77B3E">
            <w:pPr>
              <w:spacing w:before="5pt"/>
              <w:rPr>
                <w:color w:val="000000"/>
                <w:sz w:val="6"/>
              </w:rPr>
            </w:pPr>
          </w:p>
          <w:p w14:paraId="446933E0" w14:textId="77777777" w:rsidR="00A77B3E" w:rsidRDefault="00A77B3E">
            <w:pPr>
              <w:spacing w:before="5pt"/>
              <w:rPr>
                <w:color w:val="000000"/>
                <w:sz w:val="6"/>
              </w:rPr>
            </w:pPr>
          </w:p>
        </w:tc>
      </w:tr>
    </w:tbl>
    <w:p w14:paraId="4F727E5D" w14:textId="77777777" w:rsidR="00A77B3E" w:rsidRDefault="00A77B3E">
      <w:pPr>
        <w:spacing w:before="5pt"/>
        <w:rPr>
          <w:color w:val="000000"/>
        </w:rPr>
      </w:pPr>
    </w:p>
    <w:p w14:paraId="76669BFC" w14:textId="77777777" w:rsidR="00A77B3E" w:rsidRDefault="00B16CCF">
      <w:pPr>
        <w:pStyle w:val="Naslov4"/>
        <w:spacing w:before="5pt" w:after="0pt"/>
        <w:rPr>
          <w:b w:val="0"/>
          <w:color w:val="000000"/>
          <w:sz w:val="24"/>
        </w:rPr>
      </w:pPr>
      <w:bookmarkStart w:id="100" w:name="_Toc256000861"/>
      <w:r>
        <w:rPr>
          <w:b w:val="0"/>
          <w:color w:val="000000"/>
          <w:sz w:val="24"/>
        </w:rPr>
        <w:t>2.1.1.1.2. Kazalniki</w:t>
      </w:r>
      <w:bookmarkEnd w:id="100"/>
    </w:p>
    <w:p w14:paraId="597B0975" w14:textId="77777777" w:rsidR="00A77B3E" w:rsidRDefault="00A77B3E">
      <w:pPr>
        <w:spacing w:before="5pt"/>
        <w:rPr>
          <w:color w:val="000000"/>
          <w:sz w:val="0"/>
        </w:rPr>
      </w:pPr>
    </w:p>
    <w:p w14:paraId="6026B188" w14:textId="77777777" w:rsidR="00A77B3E" w:rsidRDefault="00B16CCF">
      <w:pPr>
        <w:spacing w:before="5pt"/>
        <w:rPr>
          <w:color w:val="000000"/>
          <w:sz w:val="0"/>
        </w:rPr>
      </w:pPr>
      <w:r>
        <w:rPr>
          <w:color w:val="000000"/>
        </w:rPr>
        <w:t>Sklic: člen 22(3)(d)(ii) uredbe o skupnih določbah in člen 8 uredbe o ESRR in Kohezijskem skladu</w:t>
      </w:r>
    </w:p>
    <w:p w14:paraId="47759B0D" w14:textId="77777777" w:rsidR="00A77B3E" w:rsidRDefault="00B16CCF">
      <w:pPr>
        <w:pStyle w:val="Naslov5"/>
        <w:spacing w:before="5pt" w:after="0pt"/>
        <w:rPr>
          <w:b w:val="0"/>
          <w:i w:val="0"/>
          <w:color w:val="000000"/>
          <w:sz w:val="24"/>
        </w:rPr>
      </w:pPr>
      <w:bookmarkStart w:id="101" w:name="_Toc256000862"/>
      <w:r>
        <w:rPr>
          <w:b w:val="0"/>
          <w:i w:val="0"/>
          <w:color w:val="000000"/>
          <w:sz w:val="24"/>
        </w:rPr>
        <w:t>Tabela 2: Kazalniki učinka</w:t>
      </w:r>
      <w:bookmarkEnd w:id="101"/>
    </w:p>
    <w:p w14:paraId="05CA2A1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697"/>
        <w:gridCol w:w="1566"/>
        <w:gridCol w:w="1045"/>
        <w:gridCol w:w="1624"/>
        <w:gridCol w:w="1885"/>
        <w:gridCol w:w="3063"/>
        <w:gridCol w:w="2016"/>
        <w:gridCol w:w="1175"/>
        <w:gridCol w:w="1101"/>
      </w:tblGrid>
      <w:tr w:rsidR="00823317" w14:paraId="171E9BF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BDDBE5"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A9BFBB"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2D0CC0"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4EF4D8"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13ED2B"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A7E5746"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E6EB4C"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DDBEC5" w14:textId="77777777" w:rsidR="00A77B3E" w:rsidRDefault="00B16CCF">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EC3E4C" w14:textId="77777777" w:rsidR="00A77B3E" w:rsidRDefault="00B16CCF">
            <w:pPr>
              <w:spacing w:before="5pt"/>
              <w:jc w:val="center"/>
              <w:rPr>
                <w:color w:val="000000"/>
                <w:sz w:val="20"/>
              </w:rPr>
            </w:pPr>
            <w:r>
              <w:rPr>
                <w:color w:val="000000"/>
                <w:sz w:val="20"/>
              </w:rPr>
              <w:t>Cilj (2029)</w:t>
            </w:r>
          </w:p>
        </w:tc>
      </w:tr>
      <w:tr w:rsidR="00823317" w14:paraId="1A5B63C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52089B" w14:textId="77777777" w:rsidR="00A77B3E" w:rsidRDefault="00B16CCF">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20ECCA" w14:textId="77777777" w:rsidR="00A77B3E" w:rsidRDefault="00B16CCF">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28C9FE"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D9C920"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059EC6" w14:textId="77777777" w:rsidR="00A77B3E" w:rsidRDefault="00B16CCF">
            <w:pPr>
              <w:spacing w:before="5pt"/>
              <w:rPr>
                <w:color w:val="000000"/>
                <w:sz w:val="20"/>
              </w:rPr>
            </w:pPr>
            <w:r>
              <w:rPr>
                <w:color w:val="000000"/>
                <w:sz w:val="20"/>
              </w:rPr>
              <w:t>RCO01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A8FD14" w14:textId="77777777" w:rsidR="00A77B3E" w:rsidRDefault="00B16CCF">
            <w:pPr>
              <w:spacing w:before="5pt"/>
              <w:rPr>
                <w:color w:val="000000"/>
                <w:sz w:val="20"/>
              </w:rPr>
            </w:pPr>
            <w:r>
              <w:rPr>
                <w:color w:val="000000"/>
                <w:sz w:val="20"/>
              </w:rPr>
              <w:t>Podjetja, ki so prejela podporo (od tega: mikro, mala, srednja, velika)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01B85D" w14:textId="77777777" w:rsidR="00A77B3E" w:rsidRDefault="00B16CCF">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0AA84B"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E71D4A" w14:textId="77777777" w:rsidR="00A77B3E" w:rsidRDefault="00B16CCF">
            <w:pPr>
              <w:spacing w:before="5pt"/>
              <w:jc w:val="end"/>
              <w:rPr>
                <w:color w:val="000000"/>
                <w:sz w:val="20"/>
              </w:rPr>
            </w:pPr>
            <w:r>
              <w:rPr>
                <w:color w:val="000000"/>
                <w:sz w:val="20"/>
              </w:rPr>
              <w:t>19,00</w:t>
            </w:r>
          </w:p>
        </w:tc>
      </w:tr>
      <w:tr w:rsidR="00823317" w14:paraId="5F2D87D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0F45C6" w14:textId="77777777" w:rsidR="00A77B3E" w:rsidRDefault="00B16CCF">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F4992B" w14:textId="77777777" w:rsidR="00A77B3E" w:rsidRDefault="00B16CCF">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A4D11A"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F69B0E"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A71BF0" w14:textId="77777777" w:rsidR="00A77B3E" w:rsidRDefault="00B16CCF">
            <w:pPr>
              <w:spacing w:before="5pt"/>
              <w:rPr>
                <w:color w:val="000000"/>
                <w:sz w:val="20"/>
              </w:rPr>
            </w:pPr>
            <w:r>
              <w:rPr>
                <w:color w:val="000000"/>
                <w:sz w:val="20"/>
              </w:rPr>
              <w:t>RCO02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E79456" w14:textId="77777777" w:rsidR="00A77B3E" w:rsidRDefault="00B16CCF">
            <w:pPr>
              <w:spacing w:before="5pt"/>
              <w:rPr>
                <w:color w:val="000000"/>
                <w:sz w:val="20"/>
              </w:rPr>
            </w:pPr>
            <w:r>
              <w:rPr>
                <w:color w:val="000000"/>
                <w:sz w:val="20"/>
              </w:rPr>
              <w:t>Podjetja, ki so prejela podporo v obliki nepovratnih sredstev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329264" w14:textId="77777777" w:rsidR="00A77B3E" w:rsidRDefault="00B16CCF">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26D66E"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FCF41C" w14:textId="77777777" w:rsidR="00A77B3E" w:rsidRDefault="00B16CCF">
            <w:pPr>
              <w:spacing w:before="5pt"/>
              <w:jc w:val="end"/>
              <w:rPr>
                <w:color w:val="000000"/>
                <w:sz w:val="20"/>
              </w:rPr>
            </w:pPr>
            <w:r>
              <w:rPr>
                <w:color w:val="000000"/>
                <w:sz w:val="20"/>
              </w:rPr>
              <w:t>19,00</w:t>
            </w:r>
          </w:p>
        </w:tc>
      </w:tr>
      <w:tr w:rsidR="00823317" w14:paraId="22C8A6B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C17A14" w14:textId="77777777" w:rsidR="00A77B3E" w:rsidRDefault="00B16CCF">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7540D5" w14:textId="77777777" w:rsidR="00A77B3E" w:rsidRDefault="00B16CCF">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45170D"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92283D"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1E6FD2" w14:textId="77777777" w:rsidR="00A77B3E" w:rsidRDefault="00B16CCF">
            <w:pPr>
              <w:spacing w:before="5pt"/>
              <w:rPr>
                <w:color w:val="000000"/>
                <w:sz w:val="20"/>
              </w:rPr>
            </w:pPr>
            <w:r>
              <w:rPr>
                <w:color w:val="000000"/>
                <w:sz w:val="20"/>
              </w:rPr>
              <w:t>RCO06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B4A5F4" w14:textId="77777777" w:rsidR="00A77B3E" w:rsidRDefault="00B16CCF">
            <w:pPr>
              <w:spacing w:before="5pt"/>
              <w:rPr>
                <w:color w:val="000000"/>
                <w:sz w:val="20"/>
              </w:rPr>
            </w:pPr>
            <w:r>
              <w:rPr>
                <w:color w:val="000000"/>
                <w:sz w:val="20"/>
              </w:rPr>
              <w:t>Raziskovalci, ki delujejo v raziskovalnih ustanovah, ki so prejela podporo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4F533D" w14:textId="77777777" w:rsidR="00A77B3E" w:rsidRDefault="00B16CCF">
            <w:pPr>
              <w:spacing w:before="5pt"/>
              <w:rPr>
                <w:color w:val="000000"/>
                <w:sz w:val="20"/>
              </w:rPr>
            </w:pPr>
            <w:r>
              <w:rPr>
                <w:color w:val="000000"/>
                <w:sz w:val="20"/>
              </w:rPr>
              <w:t>letni EPDČ</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391D95"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30AF79" w14:textId="77777777" w:rsidR="00A77B3E" w:rsidRDefault="00B16CCF">
            <w:pPr>
              <w:spacing w:before="5pt"/>
              <w:jc w:val="end"/>
              <w:rPr>
                <w:color w:val="000000"/>
                <w:sz w:val="20"/>
              </w:rPr>
            </w:pPr>
            <w:r>
              <w:rPr>
                <w:color w:val="000000"/>
                <w:sz w:val="20"/>
              </w:rPr>
              <w:t>10,00</w:t>
            </w:r>
          </w:p>
        </w:tc>
      </w:tr>
      <w:tr w:rsidR="00823317" w14:paraId="44DDA2D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AFF0AE" w14:textId="77777777" w:rsidR="00A77B3E" w:rsidRDefault="00B16CCF">
            <w:pPr>
              <w:spacing w:before="5pt"/>
              <w:rPr>
                <w:color w:val="000000"/>
                <w:sz w:val="20"/>
              </w:rPr>
            </w:pPr>
            <w:r>
              <w:rPr>
                <w:color w:val="000000"/>
                <w:sz w:val="20"/>
              </w:rPr>
              <w:lastRenderedPageBreak/>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B0F9E9" w14:textId="77777777" w:rsidR="00A77B3E" w:rsidRDefault="00B16CCF">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702A0C"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09F65C"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3D05C1" w14:textId="77777777" w:rsidR="00A77B3E" w:rsidRDefault="00B16CCF">
            <w:pPr>
              <w:spacing w:before="5pt"/>
              <w:rPr>
                <w:color w:val="000000"/>
                <w:sz w:val="20"/>
              </w:rPr>
            </w:pPr>
            <w:r>
              <w:rPr>
                <w:color w:val="000000"/>
                <w:sz w:val="20"/>
              </w:rPr>
              <w:t>RCO07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12B141" w14:textId="77777777" w:rsidR="00A77B3E" w:rsidRDefault="00B16CCF">
            <w:pPr>
              <w:spacing w:before="5pt"/>
              <w:rPr>
                <w:color w:val="000000"/>
                <w:sz w:val="20"/>
              </w:rPr>
            </w:pPr>
            <w:r>
              <w:rPr>
                <w:color w:val="000000"/>
                <w:sz w:val="20"/>
              </w:rPr>
              <w:t>Raziskovalne organizacije, ki sodelujejo v skupnih raziskovalnih projektih</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26D312" w14:textId="77777777" w:rsidR="00A77B3E" w:rsidRDefault="00B16CCF">
            <w:pPr>
              <w:spacing w:before="5pt"/>
              <w:rPr>
                <w:color w:val="000000"/>
                <w:sz w:val="20"/>
              </w:rPr>
            </w:pPr>
            <w:r>
              <w:rPr>
                <w:color w:val="000000"/>
                <w:sz w:val="20"/>
              </w:rPr>
              <w:t>Raziskovalne organizacije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7C25D1"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C39952" w14:textId="77777777" w:rsidR="00A77B3E" w:rsidRDefault="00B16CCF">
            <w:pPr>
              <w:spacing w:before="5pt"/>
              <w:jc w:val="end"/>
              <w:rPr>
                <w:color w:val="000000"/>
                <w:sz w:val="20"/>
              </w:rPr>
            </w:pPr>
            <w:r>
              <w:rPr>
                <w:color w:val="000000"/>
                <w:sz w:val="20"/>
              </w:rPr>
              <w:t>2,00</w:t>
            </w:r>
          </w:p>
        </w:tc>
      </w:tr>
      <w:tr w:rsidR="00823317" w14:paraId="33CEE79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BC4FCC" w14:textId="77777777" w:rsidR="00A77B3E" w:rsidRDefault="00B16CCF">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4E021A" w14:textId="77777777" w:rsidR="00A77B3E" w:rsidRDefault="00B16CCF">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B373BD"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6C00C4"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661049" w14:textId="77777777" w:rsidR="00A77B3E" w:rsidRDefault="00B16CCF">
            <w:pPr>
              <w:spacing w:before="5pt"/>
              <w:rPr>
                <w:color w:val="000000"/>
                <w:sz w:val="20"/>
              </w:rPr>
            </w:pPr>
            <w:r>
              <w:rPr>
                <w:color w:val="000000"/>
                <w:sz w:val="20"/>
              </w:rPr>
              <w:t>RCO10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8B7306" w14:textId="77777777" w:rsidR="00A77B3E" w:rsidRDefault="00B16CCF">
            <w:pPr>
              <w:spacing w:before="5pt"/>
              <w:rPr>
                <w:color w:val="000000"/>
                <w:sz w:val="20"/>
              </w:rPr>
            </w:pPr>
            <w:r>
              <w:rPr>
                <w:color w:val="000000"/>
                <w:sz w:val="20"/>
              </w:rPr>
              <w:t>Podjetja, ki sodelujejo z raziskovalnimi organizacijami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C887FC" w14:textId="77777777" w:rsidR="00A77B3E" w:rsidRDefault="00B16CCF">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159ECB"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79C031" w14:textId="77777777" w:rsidR="00A77B3E" w:rsidRDefault="00B16CCF">
            <w:pPr>
              <w:spacing w:before="5pt"/>
              <w:jc w:val="end"/>
              <w:rPr>
                <w:color w:val="000000"/>
                <w:sz w:val="20"/>
              </w:rPr>
            </w:pPr>
            <w:r>
              <w:rPr>
                <w:color w:val="000000"/>
                <w:sz w:val="20"/>
              </w:rPr>
              <w:t>2,00</w:t>
            </w:r>
          </w:p>
        </w:tc>
      </w:tr>
      <w:tr w:rsidR="00823317" w14:paraId="3C627C4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97C395" w14:textId="77777777" w:rsidR="00A77B3E" w:rsidRDefault="00B16CCF">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36ED4B" w14:textId="77777777" w:rsidR="00A77B3E" w:rsidRDefault="00B16CCF">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3A18A2"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CFD625"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57145F" w14:textId="77777777" w:rsidR="00A77B3E" w:rsidRDefault="00B16CCF">
            <w:pPr>
              <w:spacing w:before="5pt"/>
              <w:rPr>
                <w:color w:val="000000"/>
                <w:sz w:val="20"/>
              </w:rPr>
            </w:pPr>
            <w:r>
              <w:rPr>
                <w:color w:val="000000"/>
                <w:sz w:val="20"/>
              </w:rPr>
              <w:t>RCO125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B54C91" w14:textId="77777777" w:rsidR="00A77B3E" w:rsidRDefault="00B16CCF">
            <w:pPr>
              <w:spacing w:before="5pt"/>
              <w:rPr>
                <w:color w:val="000000"/>
                <w:sz w:val="20"/>
              </w:rPr>
            </w:pPr>
            <w:r>
              <w:rPr>
                <w:color w:val="000000"/>
                <w:sz w:val="20"/>
              </w:rPr>
              <w:t>Podjetja, povezana predvsem z digitalnimi tehnologijami in globokotehnološkimi inovacijami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47182A" w14:textId="77777777" w:rsidR="00A77B3E" w:rsidRDefault="00B16CCF">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76D3A8"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A2AA0D" w14:textId="77777777" w:rsidR="00A77B3E" w:rsidRDefault="00B16CCF">
            <w:pPr>
              <w:spacing w:before="5pt"/>
              <w:jc w:val="end"/>
              <w:rPr>
                <w:color w:val="000000"/>
                <w:sz w:val="20"/>
              </w:rPr>
            </w:pPr>
            <w:r>
              <w:rPr>
                <w:color w:val="000000"/>
                <w:sz w:val="20"/>
              </w:rPr>
              <w:t>3,00</w:t>
            </w:r>
          </w:p>
        </w:tc>
      </w:tr>
      <w:tr w:rsidR="00823317" w14:paraId="66F19E6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469B8B" w14:textId="77777777" w:rsidR="00A77B3E" w:rsidRDefault="00B16CCF">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C9DE9E" w14:textId="77777777" w:rsidR="00A77B3E" w:rsidRDefault="00B16CCF">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6E12F1"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D95C39"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B3EB26" w14:textId="77777777" w:rsidR="00A77B3E" w:rsidRDefault="00B16CCF">
            <w:pPr>
              <w:spacing w:before="5pt"/>
              <w:rPr>
                <w:color w:val="000000"/>
                <w:sz w:val="20"/>
              </w:rPr>
            </w:pPr>
            <w:r>
              <w:rPr>
                <w:color w:val="000000"/>
                <w:sz w:val="20"/>
              </w:rPr>
              <w:t>RCO126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50CE9F" w14:textId="77777777" w:rsidR="00A77B3E" w:rsidRDefault="00B16CCF">
            <w:pPr>
              <w:spacing w:before="5pt"/>
              <w:rPr>
                <w:color w:val="000000"/>
                <w:sz w:val="20"/>
              </w:rPr>
            </w:pPr>
            <w:r>
              <w:rPr>
                <w:color w:val="000000"/>
                <w:sz w:val="20"/>
              </w:rPr>
              <w:t>Podjetja, povezana predvsem s produktivnimi naložbami v s čistimi in z viri gospodarnimi tehnologijami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137DFC" w14:textId="77777777" w:rsidR="00A77B3E" w:rsidRDefault="00B16CCF">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D4E651"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948CFE" w14:textId="77777777" w:rsidR="00A77B3E" w:rsidRDefault="00B16CCF">
            <w:pPr>
              <w:spacing w:before="5pt"/>
              <w:jc w:val="end"/>
              <w:rPr>
                <w:color w:val="000000"/>
                <w:sz w:val="20"/>
              </w:rPr>
            </w:pPr>
            <w:r>
              <w:rPr>
                <w:color w:val="000000"/>
                <w:sz w:val="20"/>
              </w:rPr>
              <w:t>3,00</w:t>
            </w:r>
          </w:p>
        </w:tc>
      </w:tr>
      <w:tr w:rsidR="00823317" w14:paraId="48C4CE7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569CC0" w14:textId="77777777" w:rsidR="00A77B3E" w:rsidRDefault="00B16CCF">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C84898" w14:textId="77777777" w:rsidR="00A77B3E" w:rsidRDefault="00B16CCF">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95B6B4"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8ED5CE"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AD2570" w14:textId="77777777" w:rsidR="00A77B3E" w:rsidRDefault="00B16CCF">
            <w:pPr>
              <w:spacing w:before="5pt"/>
              <w:rPr>
                <w:color w:val="000000"/>
                <w:sz w:val="20"/>
              </w:rPr>
            </w:pPr>
            <w:r>
              <w:rPr>
                <w:color w:val="000000"/>
                <w:sz w:val="20"/>
              </w:rPr>
              <w:t>RCO127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821F37" w14:textId="77777777" w:rsidR="00A77B3E" w:rsidRDefault="00B16CCF">
            <w:pPr>
              <w:spacing w:before="5pt"/>
              <w:rPr>
                <w:color w:val="000000"/>
                <w:sz w:val="20"/>
              </w:rPr>
            </w:pPr>
            <w:r>
              <w:rPr>
                <w:color w:val="000000"/>
                <w:sz w:val="20"/>
              </w:rPr>
              <w:t>Podjetja, povezana predvsem s produktivnimi naložbami v biotehnologijo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F45F8A" w14:textId="77777777" w:rsidR="00A77B3E" w:rsidRDefault="00B16CCF">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0213D1"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BEF4DE" w14:textId="77777777" w:rsidR="00A77B3E" w:rsidRDefault="00B16CCF">
            <w:pPr>
              <w:spacing w:before="5pt"/>
              <w:jc w:val="end"/>
              <w:rPr>
                <w:color w:val="000000"/>
                <w:sz w:val="20"/>
              </w:rPr>
            </w:pPr>
            <w:r>
              <w:rPr>
                <w:color w:val="000000"/>
                <w:sz w:val="20"/>
              </w:rPr>
              <w:t>3,00</w:t>
            </w:r>
          </w:p>
        </w:tc>
      </w:tr>
      <w:tr w:rsidR="00823317" w14:paraId="4F43581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31F264" w14:textId="77777777" w:rsidR="00A77B3E" w:rsidRDefault="00B16CCF">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2CB887" w14:textId="77777777" w:rsidR="00A77B3E" w:rsidRDefault="00B16CCF">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AFD07C"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DDFCCA"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379FC1" w14:textId="77777777" w:rsidR="00A77B3E" w:rsidRDefault="00B16CCF">
            <w:pPr>
              <w:spacing w:before="5pt"/>
              <w:rPr>
                <w:color w:val="000000"/>
                <w:sz w:val="20"/>
              </w:rPr>
            </w:pPr>
            <w:r>
              <w:rPr>
                <w:color w:val="000000"/>
                <w:sz w:val="20"/>
              </w:rPr>
              <w:t>RCO01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F8AF2B" w14:textId="77777777" w:rsidR="00A77B3E" w:rsidRDefault="00B16CCF">
            <w:pPr>
              <w:spacing w:before="5pt"/>
              <w:rPr>
                <w:color w:val="000000"/>
                <w:sz w:val="20"/>
              </w:rPr>
            </w:pPr>
            <w:r>
              <w:rPr>
                <w:color w:val="000000"/>
                <w:sz w:val="20"/>
              </w:rPr>
              <w:t>Podjetja, ki so prejela podporo (od tega: mikro, mala, srednja, velika)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64C85B" w14:textId="77777777" w:rsidR="00A77B3E" w:rsidRDefault="00B16CCF">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672CB1"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2A4FC8" w14:textId="77777777" w:rsidR="00A77B3E" w:rsidRDefault="00B16CCF">
            <w:pPr>
              <w:spacing w:before="5pt"/>
              <w:jc w:val="end"/>
              <w:rPr>
                <w:color w:val="000000"/>
                <w:sz w:val="20"/>
              </w:rPr>
            </w:pPr>
            <w:r>
              <w:rPr>
                <w:color w:val="000000"/>
                <w:sz w:val="20"/>
              </w:rPr>
              <w:t>58,00</w:t>
            </w:r>
          </w:p>
        </w:tc>
      </w:tr>
      <w:tr w:rsidR="00823317" w14:paraId="4281FE9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97392E" w14:textId="77777777" w:rsidR="00A77B3E" w:rsidRDefault="00B16CCF">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79824F" w14:textId="77777777" w:rsidR="00A77B3E" w:rsidRDefault="00B16CCF">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89006B"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E1DC1F"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C63D2B" w14:textId="77777777" w:rsidR="00A77B3E" w:rsidRDefault="00B16CCF">
            <w:pPr>
              <w:spacing w:before="5pt"/>
              <w:rPr>
                <w:color w:val="000000"/>
                <w:sz w:val="20"/>
              </w:rPr>
            </w:pPr>
            <w:r>
              <w:rPr>
                <w:color w:val="000000"/>
                <w:sz w:val="20"/>
              </w:rPr>
              <w:t>RCO02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258564" w14:textId="77777777" w:rsidR="00A77B3E" w:rsidRDefault="00B16CCF">
            <w:pPr>
              <w:spacing w:before="5pt"/>
              <w:rPr>
                <w:color w:val="000000"/>
                <w:sz w:val="20"/>
              </w:rPr>
            </w:pPr>
            <w:r>
              <w:rPr>
                <w:color w:val="000000"/>
                <w:sz w:val="20"/>
              </w:rPr>
              <w:t>Podjetja, ki so prejela podporo v obliki nepovratnih sredstev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7B474F" w14:textId="77777777" w:rsidR="00A77B3E" w:rsidRDefault="00B16CCF">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6B96CF"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857FBA" w14:textId="77777777" w:rsidR="00A77B3E" w:rsidRDefault="00B16CCF">
            <w:pPr>
              <w:spacing w:before="5pt"/>
              <w:jc w:val="end"/>
              <w:rPr>
                <w:color w:val="000000"/>
                <w:sz w:val="20"/>
              </w:rPr>
            </w:pPr>
            <w:r>
              <w:rPr>
                <w:color w:val="000000"/>
                <w:sz w:val="20"/>
              </w:rPr>
              <w:t>58,00</w:t>
            </w:r>
          </w:p>
        </w:tc>
      </w:tr>
      <w:tr w:rsidR="00823317" w14:paraId="28ECE7B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103ED9" w14:textId="77777777" w:rsidR="00A77B3E" w:rsidRDefault="00B16CCF">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47BE75" w14:textId="77777777" w:rsidR="00A77B3E" w:rsidRDefault="00B16CCF">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626E1E"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271FAF"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F74B8D" w14:textId="77777777" w:rsidR="00A77B3E" w:rsidRDefault="00B16CCF">
            <w:pPr>
              <w:spacing w:before="5pt"/>
              <w:rPr>
                <w:color w:val="000000"/>
                <w:sz w:val="20"/>
              </w:rPr>
            </w:pPr>
            <w:r>
              <w:rPr>
                <w:color w:val="000000"/>
                <w:sz w:val="20"/>
              </w:rPr>
              <w:t>RCO06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1A24EF" w14:textId="77777777" w:rsidR="00A77B3E" w:rsidRDefault="00B16CCF">
            <w:pPr>
              <w:spacing w:before="5pt"/>
              <w:rPr>
                <w:color w:val="000000"/>
                <w:sz w:val="20"/>
              </w:rPr>
            </w:pPr>
            <w:r>
              <w:rPr>
                <w:color w:val="000000"/>
                <w:sz w:val="20"/>
              </w:rPr>
              <w:t>Raziskovalci, ki delujejo v raziskovalnih ustanovah, ki so prejela podporo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07ADF5" w14:textId="77777777" w:rsidR="00A77B3E" w:rsidRDefault="00B16CCF">
            <w:pPr>
              <w:spacing w:before="5pt"/>
              <w:rPr>
                <w:color w:val="000000"/>
                <w:sz w:val="20"/>
              </w:rPr>
            </w:pPr>
            <w:r>
              <w:rPr>
                <w:color w:val="000000"/>
                <w:sz w:val="20"/>
              </w:rPr>
              <w:t>letni EPDČ</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A94E46"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2C84BB" w14:textId="77777777" w:rsidR="00A77B3E" w:rsidRDefault="00B16CCF">
            <w:pPr>
              <w:spacing w:before="5pt"/>
              <w:jc w:val="end"/>
              <w:rPr>
                <w:color w:val="000000"/>
                <w:sz w:val="20"/>
              </w:rPr>
            </w:pPr>
            <w:r>
              <w:rPr>
                <w:color w:val="000000"/>
                <w:sz w:val="20"/>
              </w:rPr>
              <w:t>20,00</w:t>
            </w:r>
          </w:p>
        </w:tc>
      </w:tr>
      <w:tr w:rsidR="00823317" w14:paraId="75B594A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81C234" w14:textId="77777777" w:rsidR="00A77B3E" w:rsidRDefault="00B16CCF">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040840" w14:textId="77777777" w:rsidR="00A77B3E" w:rsidRDefault="00B16CCF">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BD6467"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C1A580"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F6F06D" w14:textId="77777777" w:rsidR="00A77B3E" w:rsidRDefault="00B16CCF">
            <w:pPr>
              <w:spacing w:before="5pt"/>
              <w:rPr>
                <w:color w:val="000000"/>
                <w:sz w:val="20"/>
              </w:rPr>
            </w:pPr>
            <w:r>
              <w:rPr>
                <w:color w:val="000000"/>
                <w:sz w:val="20"/>
              </w:rPr>
              <w:t>RCO07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723FAB" w14:textId="77777777" w:rsidR="00A77B3E" w:rsidRDefault="00B16CCF">
            <w:pPr>
              <w:spacing w:before="5pt"/>
              <w:rPr>
                <w:color w:val="000000"/>
                <w:sz w:val="20"/>
              </w:rPr>
            </w:pPr>
            <w:r>
              <w:rPr>
                <w:color w:val="000000"/>
                <w:sz w:val="20"/>
              </w:rPr>
              <w:t>Raziskovalne organizacije, ki sodelujejo v skupnih raziskovalnih projektih</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015431" w14:textId="77777777" w:rsidR="00A77B3E" w:rsidRDefault="00B16CCF">
            <w:pPr>
              <w:spacing w:before="5pt"/>
              <w:rPr>
                <w:color w:val="000000"/>
                <w:sz w:val="20"/>
              </w:rPr>
            </w:pPr>
            <w:r>
              <w:rPr>
                <w:color w:val="000000"/>
                <w:sz w:val="20"/>
              </w:rPr>
              <w:t>Raziskovalne organizacije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07CA2B"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E3C2D1" w14:textId="77777777" w:rsidR="00A77B3E" w:rsidRDefault="00B16CCF">
            <w:pPr>
              <w:spacing w:before="5pt"/>
              <w:jc w:val="end"/>
              <w:rPr>
                <w:color w:val="000000"/>
                <w:sz w:val="20"/>
              </w:rPr>
            </w:pPr>
            <w:r>
              <w:rPr>
                <w:color w:val="000000"/>
                <w:sz w:val="20"/>
              </w:rPr>
              <w:t>6,00</w:t>
            </w:r>
          </w:p>
        </w:tc>
      </w:tr>
      <w:tr w:rsidR="00823317" w14:paraId="168B671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15BF5C" w14:textId="77777777" w:rsidR="00A77B3E" w:rsidRDefault="00B16CCF">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5B18D8" w14:textId="77777777" w:rsidR="00A77B3E" w:rsidRDefault="00B16CCF">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D4E9F0"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1F835D"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FF6545" w14:textId="77777777" w:rsidR="00A77B3E" w:rsidRDefault="00B16CCF">
            <w:pPr>
              <w:spacing w:before="5pt"/>
              <w:rPr>
                <w:color w:val="000000"/>
                <w:sz w:val="20"/>
              </w:rPr>
            </w:pPr>
            <w:r>
              <w:rPr>
                <w:color w:val="000000"/>
                <w:sz w:val="20"/>
              </w:rPr>
              <w:t>RCO10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DCE3C6" w14:textId="77777777" w:rsidR="00A77B3E" w:rsidRDefault="00B16CCF">
            <w:pPr>
              <w:spacing w:before="5pt"/>
              <w:rPr>
                <w:color w:val="000000"/>
                <w:sz w:val="20"/>
              </w:rPr>
            </w:pPr>
            <w:r>
              <w:rPr>
                <w:color w:val="000000"/>
                <w:sz w:val="20"/>
              </w:rPr>
              <w:t>Podjetja, ki sodelujejo z raziskovalnimi organizacijami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1B2FB7" w14:textId="77777777" w:rsidR="00A77B3E" w:rsidRDefault="00B16CCF">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028B5F"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A99A25" w14:textId="77777777" w:rsidR="00A77B3E" w:rsidRDefault="00B16CCF">
            <w:pPr>
              <w:spacing w:before="5pt"/>
              <w:jc w:val="end"/>
              <w:rPr>
                <w:color w:val="000000"/>
                <w:sz w:val="20"/>
              </w:rPr>
            </w:pPr>
            <w:r>
              <w:rPr>
                <w:color w:val="000000"/>
                <w:sz w:val="20"/>
              </w:rPr>
              <w:t>6,00</w:t>
            </w:r>
          </w:p>
        </w:tc>
      </w:tr>
      <w:tr w:rsidR="00823317" w14:paraId="79B5CBA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FEBB89" w14:textId="77777777" w:rsidR="00A77B3E" w:rsidRDefault="00B16CCF">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6D8356" w14:textId="77777777" w:rsidR="00A77B3E" w:rsidRDefault="00B16CCF">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544ACB"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C60B56"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ADC7EB" w14:textId="77777777" w:rsidR="00A77B3E" w:rsidRDefault="00B16CCF">
            <w:pPr>
              <w:spacing w:before="5pt"/>
              <w:rPr>
                <w:color w:val="000000"/>
                <w:sz w:val="20"/>
              </w:rPr>
            </w:pPr>
            <w:r>
              <w:rPr>
                <w:color w:val="000000"/>
                <w:sz w:val="20"/>
              </w:rPr>
              <w:t>RCO125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DB6EDE" w14:textId="77777777" w:rsidR="00A77B3E" w:rsidRDefault="00B16CCF">
            <w:pPr>
              <w:spacing w:before="5pt"/>
              <w:rPr>
                <w:color w:val="000000"/>
                <w:sz w:val="20"/>
              </w:rPr>
            </w:pPr>
            <w:r>
              <w:rPr>
                <w:color w:val="000000"/>
                <w:sz w:val="20"/>
              </w:rPr>
              <w:t>Podjetja, povezana predvsem z digitalnimi tehnologijami in globokotehnološkimi inovacijami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391516" w14:textId="77777777" w:rsidR="00A77B3E" w:rsidRDefault="00B16CCF">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EAD00C"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3C3B25" w14:textId="77777777" w:rsidR="00A77B3E" w:rsidRDefault="00B16CCF">
            <w:pPr>
              <w:spacing w:before="5pt"/>
              <w:jc w:val="end"/>
              <w:rPr>
                <w:color w:val="000000"/>
                <w:sz w:val="20"/>
              </w:rPr>
            </w:pPr>
            <w:r>
              <w:rPr>
                <w:color w:val="000000"/>
                <w:sz w:val="20"/>
              </w:rPr>
              <w:t>10,00</w:t>
            </w:r>
          </w:p>
        </w:tc>
      </w:tr>
      <w:tr w:rsidR="00823317" w14:paraId="5FC39E7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530EB3" w14:textId="77777777" w:rsidR="00A77B3E" w:rsidRDefault="00B16CCF">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67D00D" w14:textId="77777777" w:rsidR="00A77B3E" w:rsidRDefault="00B16CCF">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A57990"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353FF0"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E29DA0" w14:textId="77777777" w:rsidR="00A77B3E" w:rsidRDefault="00B16CCF">
            <w:pPr>
              <w:spacing w:before="5pt"/>
              <w:rPr>
                <w:color w:val="000000"/>
                <w:sz w:val="20"/>
              </w:rPr>
            </w:pPr>
            <w:r>
              <w:rPr>
                <w:color w:val="000000"/>
                <w:sz w:val="20"/>
              </w:rPr>
              <w:t>RCO126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C5C8E2" w14:textId="77777777" w:rsidR="00A77B3E" w:rsidRDefault="00B16CCF">
            <w:pPr>
              <w:spacing w:before="5pt"/>
              <w:rPr>
                <w:color w:val="000000"/>
                <w:sz w:val="20"/>
              </w:rPr>
            </w:pPr>
            <w:r>
              <w:rPr>
                <w:color w:val="000000"/>
                <w:sz w:val="20"/>
              </w:rPr>
              <w:t>Podjetja, povezana predvsem s produktivnimi naložbami v s čistimi in z viri gospodarnimi tehnologijami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B86410" w14:textId="77777777" w:rsidR="00A77B3E" w:rsidRDefault="00B16CCF">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E38B1B"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5C8E16" w14:textId="77777777" w:rsidR="00A77B3E" w:rsidRDefault="00B16CCF">
            <w:pPr>
              <w:spacing w:before="5pt"/>
              <w:jc w:val="end"/>
              <w:rPr>
                <w:color w:val="000000"/>
                <w:sz w:val="20"/>
              </w:rPr>
            </w:pPr>
            <w:r>
              <w:rPr>
                <w:color w:val="000000"/>
                <w:sz w:val="20"/>
              </w:rPr>
              <w:t>10,00</w:t>
            </w:r>
          </w:p>
        </w:tc>
      </w:tr>
      <w:tr w:rsidR="00823317" w14:paraId="7832A6D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A2DEBE" w14:textId="77777777" w:rsidR="00A77B3E" w:rsidRDefault="00B16CCF">
            <w:pPr>
              <w:spacing w:before="5pt"/>
              <w:rPr>
                <w:color w:val="000000"/>
                <w:sz w:val="20"/>
              </w:rPr>
            </w:pPr>
            <w:r>
              <w:rPr>
                <w:color w:val="000000"/>
                <w:sz w:val="20"/>
              </w:rPr>
              <w:lastRenderedPageBreak/>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4822F8" w14:textId="77777777" w:rsidR="00A77B3E" w:rsidRDefault="00B16CCF">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727F59"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8C71E4"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FA1BA3" w14:textId="77777777" w:rsidR="00A77B3E" w:rsidRDefault="00B16CCF">
            <w:pPr>
              <w:spacing w:before="5pt"/>
              <w:rPr>
                <w:color w:val="000000"/>
                <w:sz w:val="20"/>
              </w:rPr>
            </w:pPr>
            <w:r>
              <w:rPr>
                <w:color w:val="000000"/>
                <w:sz w:val="20"/>
              </w:rPr>
              <w:t>RCO127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02ED97" w14:textId="77777777" w:rsidR="00A77B3E" w:rsidRDefault="00B16CCF">
            <w:pPr>
              <w:spacing w:before="5pt"/>
              <w:rPr>
                <w:color w:val="000000"/>
                <w:sz w:val="20"/>
              </w:rPr>
            </w:pPr>
            <w:r>
              <w:rPr>
                <w:color w:val="000000"/>
                <w:sz w:val="20"/>
              </w:rPr>
              <w:t>Podjetja, povezana predvsem s produktivnimi naložbami v biotehnologijo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61AE98" w14:textId="77777777" w:rsidR="00A77B3E" w:rsidRDefault="00B16CCF">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73D6E8"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086C61" w14:textId="77777777" w:rsidR="00A77B3E" w:rsidRDefault="00B16CCF">
            <w:pPr>
              <w:spacing w:before="5pt"/>
              <w:jc w:val="end"/>
              <w:rPr>
                <w:color w:val="000000"/>
                <w:sz w:val="20"/>
              </w:rPr>
            </w:pPr>
            <w:r>
              <w:rPr>
                <w:color w:val="000000"/>
                <w:sz w:val="20"/>
              </w:rPr>
              <w:t>8,00</w:t>
            </w:r>
          </w:p>
        </w:tc>
      </w:tr>
    </w:tbl>
    <w:p w14:paraId="4A38867D" w14:textId="77777777" w:rsidR="00A77B3E" w:rsidRDefault="00A77B3E">
      <w:pPr>
        <w:spacing w:before="5pt"/>
        <w:rPr>
          <w:color w:val="000000"/>
          <w:sz w:val="20"/>
        </w:rPr>
      </w:pPr>
    </w:p>
    <w:p w14:paraId="758C3C5A" w14:textId="77777777" w:rsidR="00A77B3E" w:rsidRDefault="00B16CCF">
      <w:pPr>
        <w:spacing w:before="5pt"/>
        <w:rPr>
          <w:color w:val="000000"/>
          <w:sz w:val="0"/>
        </w:rPr>
      </w:pPr>
      <w:r>
        <w:rPr>
          <w:color w:val="000000"/>
        </w:rPr>
        <w:t>Sklic: člen 22(3)(d)(ii) uredbe o skupnih določbah</w:t>
      </w:r>
    </w:p>
    <w:p w14:paraId="1FF44BD2" w14:textId="77777777" w:rsidR="00A77B3E" w:rsidRDefault="00B16CCF">
      <w:pPr>
        <w:pStyle w:val="Naslov5"/>
        <w:spacing w:before="5pt" w:after="0pt"/>
        <w:rPr>
          <w:b w:val="0"/>
          <w:i w:val="0"/>
          <w:color w:val="000000"/>
          <w:sz w:val="24"/>
        </w:rPr>
      </w:pPr>
      <w:bookmarkStart w:id="102" w:name="_Toc256000863"/>
      <w:r>
        <w:rPr>
          <w:b w:val="0"/>
          <w:i w:val="0"/>
          <w:color w:val="000000"/>
          <w:sz w:val="24"/>
        </w:rPr>
        <w:t>Tabela 3: Kazalniki rezultatov</w:t>
      </w:r>
      <w:bookmarkEnd w:id="102"/>
    </w:p>
    <w:p w14:paraId="7A0D8C5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96"/>
        <w:gridCol w:w="1288"/>
        <w:gridCol w:w="859"/>
        <w:gridCol w:w="1335"/>
        <w:gridCol w:w="1550"/>
        <w:gridCol w:w="1657"/>
        <w:gridCol w:w="1058"/>
        <w:gridCol w:w="1366"/>
        <w:gridCol w:w="1442"/>
        <w:gridCol w:w="905"/>
        <w:gridCol w:w="1197"/>
        <w:gridCol w:w="1119"/>
      </w:tblGrid>
      <w:tr w:rsidR="00823317" w14:paraId="21D4D5C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4CD78EF"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A563EF"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F78C16"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C5EDAD"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3BDCD7"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93F987"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D86638"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DD63255" w14:textId="77777777" w:rsidR="00A77B3E" w:rsidRDefault="00B16CCF">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55C55D" w14:textId="77777777" w:rsidR="00A77B3E" w:rsidRDefault="00B16CCF">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815C7F" w14:textId="77777777" w:rsidR="00A77B3E" w:rsidRDefault="00B16CCF">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C65A91" w14:textId="77777777" w:rsidR="00A77B3E" w:rsidRDefault="00B16CCF">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8D2BC3" w14:textId="77777777" w:rsidR="00A77B3E" w:rsidRDefault="00B16CCF">
            <w:pPr>
              <w:spacing w:before="5pt"/>
              <w:jc w:val="center"/>
              <w:rPr>
                <w:color w:val="000000"/>
                <w:sz w:val="20"/>
              </w:rPr>
            </w:pPr>
            <w:r>
              <w:rPr>
                <w:color w:val="000000"/>
                <w:sz w:val="20"/>
              </w:rPr>
              <w:t>Opombe</w:t>
            </w:r>
          </w:p>
        </w:tc>
      </w:tr>
      <w:tr w:rsidR="00823317" w14:paraId="38EDB44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1AB39F" w14:textId="77777777" w:rsidR="00A77B3E" w:rsidRDefault="00B16CCF">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69C3AA" w14:textId="77777777" w:rsidR="00A77B3E" w:rsidRDefault="00B16CCF">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840F9F"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582FD0"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2F0B5E" w14:textId="77777777" w:rsidR="00A77B3E" w:rsidRDefault="00B16CCF">
            <w:pPr>
              <w:spacing w:before="5pt"/>
              <w:rPr>
                <w:color w:val="000000"/>
                <w:sz w:val="20"/>
              </w:rPr>
            </w:pPr>
            <w:r>
              <w:rPr>
                <w:color w:val="000000"/>
                <w:sz w:val="20"/>
              </w:rPr>
              <w:t>RCR03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D3CF98" w14:textId="77777777" w:rsidR="00A77B3E" w:rsidRDefault="00B16CCF">
            <w:pPr>
              <w:spacing w:before="5pt"/>
              <w:rPr>
                <w:color w:val="000000"/>
                <w:sz w:val="20"/>
              </w:rPr>
            </w:pPr>
            <w:r>
              <w:rPr>
                <w:color w:val="000000"/>
                <w:sz w:val="20"/>
              </w:rPr>
              <w:t>Mala in srednja podjetja (MSP), ki uvajajo inovacije pri proizvodih ali procesih</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CFC7C5" w14:textId="77777777" w:rsidR="00A77B3E" w:rsidRDefault="00B16CCF">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2FAA55"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A64995" w14:textId="77777777" w:rsidR="00A77B3E" w:rsidRDefault="00B16CCF">
            <w:pPr>
              <w:spacing w:before="5pt"/>
              <w:jc w:val="center"/>
              <w:rPr>
                <w:color w:val="000000"/>
                <w:sz w:val="20"/>
              </w:rPr>
            </w:pPr>
            <w:r>
              <w:rPr>
                <w:color w:val="000000"/>
                <w:sz w:val="20"/>
              </w:rPr>
              <w:t>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61B6A3" w14:textId="77777777" w:rsidR="00A77B3E" w:rsidRDefault="00B16CCF">
            <w:pPr>
              <w:spacing w:before="5pt"/>
              <w:jc w:val="end"/>
              <w:rPr>
                <w:color w:val="000000"/>
                <w:sz w:val="20"/>
              </w:rPr>
            </w:pPr>
            <w:r>
              <w:rPr>
                <w:color w:val="000000"/>
                <w:sz w:val="20"/>
              </w:rPr>
              <w:t>12,00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A87F6E" w14:textId="77777777" w:rsidR="00A77B3E" w:rsidRDefault="00B16CCF">
            <w:pPr>
              <w:spacing w:before="5pt"/>
              <w:rPr>
                <w:color w:val="000000"/>
                <w:sz w:val="20"/>
              </w:rPr>
            </w:pPr>
            <w:r>
              <w:rPr>
                <w:color w:val="000000"/>
                <w:sz w:val="20"/>
              </w:rPr>
              <w:t>MGTŠ</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2D6E50" w14:textId="77777777" w:rsidR="00A77B3E" w:rsidRDefault="00A77B3E">
            <w:pPr>
              <w:spacing w:before="5pt"/>
              <w:rPr>
                <w:color w:val="000000"/>
                <w:sz w:val="20"/>
              </w:rPr>
            </w:pPr>
          </w:p>
        </w:tc>
      </w:tr>
      <w:tr w:rsidR="00823317" w14:paraId="26E51B7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28D624" w14:textId="77777777" w:rsidR="00A77B3E" w:rsidRDefault="00B16CCF">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ABE338" w14:textId="77777777" w:rsidR="00A77B3E" w:rsidRDefault="00B16CCF">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38A167"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94BFE3"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924EA5" w14:textId="77777777" w:rsidR="00A77B3E" w:rsidRDefault="00B16CCF">
            <w:pPr>
              <w:spacing w:before="5pt"/>
              <w:rPr>
                <w:color w:val="000000"/>
                <w:sz w:val="20"/>
              </w:rPr>
            </w:pPr>
            <w:r>
              <w:rPr>
                <w:color w:val="000000"/>
                <w:sz w:val="20"/>
              </w:rPr>
              <w:t>RCR102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DFC810" w14:textId="77777777" w:rsidR="00A77B3E" w:rsidRDefault="00B16CCF">
            <w:pPr>
              <w:spacing w:before="5pt"/>
              <w:rPr>
                <w:color w:val="000000"/>
                <w:sz w:val="20"/>
              </w:rPr>
            </w:pPr>
            <w:r>
              <w:rPr>
                <w:color w:val="000000"/>
                <w:sz w:val="20"/>
              </w:rPr>
              <w:t>Raziskovalna delovna mesta, ustvarjena v subjektih, ki so prejeli podporo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0AE986" w14:textId="77777777" w:rsidR="00A77B3E" w:rsidRDefault="00B16CCF">
            <w:pPr>
              <w:spacing w:before="5pt"/>
              <w:rPr>
                <w:color w:val="000000"/>
                <w:sz w:val="20"/>
              </w:rPr>
            </w:pPr>
            <w:r>
              <w:rPr>
                <w:color w:val="000000"/>
                <w:sz w:val="20"/>
              </w:rPr>
              <w:t>letni EPDČ</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ADA01C"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E41144" w14:textId="77777777" w:rsidR="00A77B3E" w:rsidRDefault="00B16CCF">
            <w:pPr>
              <w:spacing w:before="5pt"/>
              <w:jc w:val="center"/>
              <w:rPr>
                <w:color w:val="000000"/>
                <w:sz w:val="20"/>
              </w:rPr>
            </w:pPr>
            <w:r>
              <w:rPr>
                <w:color w:val="000000"/>
                <w:sz w:val="20"/>
              </w:rPr>
              <w:t>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770EEE" w14:textId="77777777" w:rsidR="00A77B3E" w:rsidRDefault="00B16CCF">
            <w:pPr>
              <w:spacing w:before="5pt"/>
              <w:jc w:val="end"/>
              <w:rPr>
                <w:color w:val="000000"/>
                <w:sz w:val="20"/>
              </w:rPr>
            </w:pPr>
            <w:r>
              <w:rPr>
                <w:color w:val="000000"/>
                <w:sz w:val="20"/>
              </w:rPr>
              <w:t>6,00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84A742" w14:textId="77777777" w:rsidR="00A77B3E" w:rsidRDefault="00B16CCF">
            <w:pPr>
              <w:spacing w:before="5pt"/>
              <w:rPr>
                <w:color w:val="000000"/>
                <w:sz w:val="20"/>
              </w:rPr>
            </w:pPr>
            <w:r>
              <w:rPr>
                <w:color w:val="000000"/>
                <w:sz w:val="20"/>
              </w:rPr>
              <w:t>MVZI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119745" w14:textId="77777777" w:rsidR="00A77B3E" w:rsidRDefault="00A77B3E">
            <w:pPr>
              <w:spacing w:before="5pt"/>
              <w:rPr>
                <w:color w:val="000000"/>
                <w:sz w:val="20"/>
              </w:rPr>
            </w:pPr>
          </w:p>
        </w:tc>
      </w:tr>
      <w:tr w:rsidR="00823317" w14:paraId="6913F6A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5C7A21" w14:textId="77777777" w:rsidR="00A77B3E" w:rsidRDefault="00B16CCF">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C61728" w14:textId="77777777" w:rsidR="00A77B3E" w:rsidRDefault="00B16CCF">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734B32"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18AC23"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906E90" w14:textId="77777777" w:rsidR="00A77B3E" w:rsidRDefault="00B16CCF">
            <w:pPr>
              <w:spacing w:before="5pt"/>
              <w:rPr>
                <w:color w:val="000000"/>
                <w:sz w:val="20"/>
              </w:rPr>
            </w:pPr>
            <w:r>
              <w:rPr>
                <w:color w:val="000000"/>
                <w:sz w:val="20"/>
              </w:rPr>
              <w:t>RCR03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EE7ED3" w14:textId="77777777" w:rsidR="00A77B3E" w:rsidRDefault="00B16CCF">
            <w:pPr>
              <w:spacing w:before="5pt"/>
              <w:rPr>
                <w:color w:val="000000"/>
                <w:sz w:val="20"/>
              </w:rPr>
            </w:pPr>
            <w:r>
              <w:rPr>
                <w:color w:val="000000"/>
                <w:sz w:val="20"/>
              </w:rPr>
              <w:t>Mala in srednja podjetja (MSP), ki uvajajo inovacije pri proizvodih ali procesih</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844FE0" w14:textId="77777777" w:rsidR="00A77B3E" w:rsidRDefault="00B16CCF">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F91B70"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9E9A70" w14:textId="77777777" w:rsidR="00A77B3E" w:rsidRDefault="00B16CCF">
            <w:pPr>
              <w:spacing w:before="5pt"/>
              <w:jc w:val="center"/>
              <w:rPr>
                <w:color w:val="000000"/>
                <w:sz w:val="20"/>
              </w:rPr>
            </w:pPr>
            <w:r>
              <w:rPr>
                <w:color w:val="000000"/>
                <w:sz w:val="20"/>
              </w:rPr>
              <w:t>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97932E" w14:textId="77777777" w:rsidR="00A77B3E" w:rsidRDefault="00B16CCF">
            <w:pPr>
              <w:spacing w:before="5pt"/>
              <w:jc w:val="end"/>
              <w:rPr>
                <w:color w:val="000000"/>
                <w:sz w:val="20"/>
              </w:rPr>
            </w:pPr>
            <w:r>
              <w:rPr>
                <w:color w:val="000000"/>
                <w:sz w:val="20"/>
              </w:rPr>
              <w:t>39,00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F6130A" w14:textId="77777777" w:rsidR="00A77B3E" w:rsidRDefault="00B16CCF">
            <w:pPr>
              <w:spacing w:before="5pt"/>
              <w:rPr>
                <w:color w:val="000000"/>
                <w:sz w:val="20"/>
              </w:rPr>
            </w:pPr>
            <w:r>
              <w:rPr>
                <w:color w:val="000000"/>
                <w:sz w:val="20"/>
              </w:rPr>
              <w:t>MGTŠ</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4563D7" w14:textId="77777777" w:rsidR="00A77B3E" w:rsidRDefault="00A77B3E">
            <w:pPr>
              <w:spacing w:before="5pt"/>
              <w:rPr>
                <w:color w:val="000000"/>
                <w:sz w:val="20"/>
              </w:rPr>
            </w:pPr>
          </w:p>
        </w:tc>
      </w:tr>
      <w:tr w:rsidR="00823317" w14:paraId="3D96F94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EA9D24" w14:textId="77777777" w:rsidR="00A77B3E" w:rsidRDefault="00B16CCF">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9B4F8F" w14:textId="77777777" w:rsidR="00A77B3E" w:rsidRDefault="00B16CCF">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4806DB"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3BB43B"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7E2FDF" w14:textId="77777777" w:rsidR="00A77B3E" w:rsidRDefault="00B16CCF">
            <w:pPr>
              <w:spacing w:before="5pt"/>
              <w:rPr>
                <w:color w:val="000000"/>
                <w:sz w:val="20"/>
              </w:rPr>
            </w:pPr>
            <w:r>
              <w:rPr>
                <w:color w:val="000000"/>
                <w:sz w:val="20"/>
              </w:rPr>
              <w:t>RCR102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FF6257" w14:textId="77777777" w:rsidR="00A77B3E" w:rsidRDefault="00B16CCF">
            <w:pPr>
              <w:spacing w:before="5pt"/>
              <w:rPr>
                <w:color w:val="000000"/>
                <w:sz w:val="20"/>
              </w:rPr>
            </w:pPr>
            <w:r>
              <w:rPr>
                <w:color w:val="000000"/>
                <w:sz w:val="20"/>
              </w:rPr>
              <w:t>Raziskovalna delovna mesta, ustvarjena v subjektih, ki so prejeli podporo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6C85C3" w14:textId="77777777" w:rsidR="00A77B3E" w:rsidRDefault="00B16CCF">
            <w:pPr>
              <w:spacing w:before="5pt"/>
              <w:rPr>
                <w:color w:val="000000"/>
                <w:sz w:val="20"/>
              </w:rPr>
            </w:pPr>
            <w:r>
              <w:rPr>
                <w:color w:val="000000"/>
                <w:sz w:val="20"/>
              </w:rPr>
              <w:t>letni EPDČ</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5461BA"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361F3F" w14:textId="77777777" w:rsidR="00A77B3E" w:rsidRDefault="00B16CCF">
            <w:pPr>
              <w:spacing w:before="5pt"/>
              <w:jc w:val="center"/>
              <w:rPr>
                <w:color w:val="000000"/>
                <w:sz w:val="20"/>
              </w:rPr>
            </w:pPr>
            <w:r>
              <w:rPr>
                <w:color w:val="000000"/>
                <w:sz w:val="20"/>
              </w:rPr>
              <w:t>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598555" w14:textId="77777777" w:rsidR="00A77B3E" w:rsidRDefault="00B16CCF">
            <w:pPr>
              <w:spacing w:before="5pt"/>
              <w:jc w:val="end"/>
              <w:rPr>
                <w:color w:val="000000"/>
                <w:sz w:val="20"/>
              </w:rPr>
            </w:pPr>
            <w:r>
              <w:rPr>
                <w:color w:val="000000"/>
                <w:sz w:val="20"/>
              </w:rPr>
              <w:t>8,00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5CF8BB" w14:textId="77777777" w:rsidR="00A77B3E" w:rsidRDefault="00B16CCF">
            <w:pPr>
              <w:spacing w:before="5pt"/>
              <w:rPr>
                <w:color w:val="000000"/>
                <w:sz w:val="20"/>
              </w:rPr>
            </w:pPr>
            <w:r>
              <w:rPr>
                <w:color w:val="000000"/>
                <w:sz w:val="20"/>
              </w:rPr>
              <w:t>MVZI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BED250" w14:textId="77777777" w:rsidR="00A77B3E" w:rsidRDefault="00A77B3E">
            <w:pPr>
              <w:spacing w:before="5pt"/>
              <w:rPr>
                <w:color w:val="000000"/>
                <w:sz w:val="20"/>
              </w:rPr>
            </w:pPr>
          </w:p>
        </w:tc>
      </w:tr>
    </w:tbl>
    <w:p w14:paraId="63E57400" w14:textId="77777777" w:rsidR="00A77B3E" w:rsidRDefault="00A77B3E">
      <w:pPr>
        <w:spacing w:before="5pt"/>
        <w:rPr>
          <w:color w:val="000000"/>
          <w:sz w:val="20"/>
        </w:rPr>
      </w:pPr>
    </w:p>
    <w:p w14:paraId="74A01D15" w14:textId="77777777" w:rsidR="00A77B3E" w:rsidRDefault="00B16CCF">
      <w:pPr>
        <w:pStyle w:val="Naslov4"/>
        <w:spacing w:before="5pt" w:after="0pt"/>
        <w:rPr>
          <w:b w:val="0"/>
          <w:color w:val="000000"/>
          <w:sz w:val="24"/>
        </w:rPr>
      </w:pPr>
      <w:bookmarkStart w:id="103" w:name="_Toc256000864"/>
      <w:r>
        <w:rPr>
          <w:b w:val="0"/>
          <w:color w:val="000000"/>
          <w:sz w:val="24"/>
        </w:rPr>
        <w:t>2.1.1.1.3. Okvirna razčlenitev načrtovanih sredstev (EU) glede na vrsto ukrepa</w:t>
      </w:r>
      <w:bookmarkEnd w:id="103"/>
    </w:p>
    <w:p w14:paraId="3D889CD9" w14:textId="77777777" w:rsidR="00A77B3E" w:rsidRDefault="00A77B3E">
      <w:pPr>
        <w:spacing w:before="5pt"/>
        <w:rPr>
          <w:color w:val="000000"/>
          <w:sz w:val="0"/>
        </w:rPr>
      </w:pPr>
    </w:p>
    <w:p w14:paraId="3CF6122A" w14:textId="77777777" w:rsidR="00A77B3E" w:rsidRDefault="00B16CCF">
      <w:pPr>
        <w:spacing w:before="5pt"/>
        <w:rPr>
          <w:color w:val="000000"/>
          <w:sz w:val="0"/>
        </w:rPr>
      </w:pPr>
      <w:r>
        <w:rPr>
          <w:color w:val="000000"/>
        </w:rPr>
        <w:t>Sklic: člen 22(3)(d)(viii) uredbe o skupnih določbah</w:t>
      </w:r>
    </w:p>
    <w:p w14:paraId="4723AD39" w14:textId="77777777" w:rsidR="00A77B3E" w:rsidRDefault="00B16CCF">
      <w:pPr>
        <w:pStyle w:val="Naslov5"/>
        <w:spacing w:before="5pt" w:after="0pt"/>
        <w:rPr>
          <w:b w:val="0"/>
          <w:i w:val="0"/>
          <w:color w:val="000000"/>
          <w:sz w:val="24"/>
        </w:rPr>
      </w:pPr>
      <w:bookmarkStart w:id="104" w:name="_Toc256000865"/>
      <w:r>
        <w:rPr>
          <w:b w:val="0"/>
          <w:i w:val="0"/>
          <w:color w:val="000000"/>
          <w:sz w:val="24"/>
        </w:rPr>
        <w:t>Tabela 4: Razsežnost 1 – področje ukrepanja</w:t>
      </w:r>
      <w:bookmarkEnd w:id="104"/>
    </w:p>
    <w:p w14:paraId="3EB946F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261"/>
        <w:gridCol w:w="2086"/>
        <w:gridCol w:w="1515"/>
        <w:gridCol w:w="2162"/>
        <w:gridCol w:w="4078"/>
        <w:gridCol w:w="3070"/>
      </w:tblGrid>
      <w:tr w:rsidR="00823317" w14:paraId="4CD78A4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4E5253C" w14:textId="77777777" w:rsidR="00A77B3E" w:rsidRDefault="00B16CCF">
            <w:pPr>
              <w:spacing w:before="5pt"/>
              <w:jc w:val="center"/>
              <w:rPr>
                <w:color w:val="000000"/>
                <w:sz w:val="20"/>
              </w:rPr>
            </w:pPr>
            <w:r>
              <w:rPr>
                <w:color w:val="000000"/>
                <w:sz w:val="20"/>
              </w:rPr>
              <w:lastRenderedPageBreak/>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D25A05"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1D448E2"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FCE27D"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89ADD2"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DE5E60" w14:textId="77777777" w:rsidR="00A77B3E" w:rsidRDefault="00B16CCF">
            <w:pPr>
              <w:spacing w:before="5pt"/>
              <w:jc w:val="center"/>
              <w:rPr>
                <w:color w:val="000000"/>
                <w:sz w:val="20"/>
              </w:rPr>
            </w:pPr>
            <w:r>
              <w:rPr>
                <w:color w:val="000000"/>
                <w:sz w:val="20"/>
              </w:rPr>
              <w:t>Znesek (v EUR)</w:t>
            </w:r>
          </w:p>
        </w:tc>
      </w:tr>
      <w:tr w:rsidR="00823317" w14:paraId="14FB26F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E093F2" w14:textId="77777777" w:rsidR="00A77B3E" w:rsidRDefault="00B16CCF">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986FB2" w14:textId="77777777" w:rsidR="00A77B3E" w:rsidRDefault="00B16CCF">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01F620"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4C0A23"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2D9265" w14:textId="77777777" w:rsidR="00A77B3E" w:rsidRDefault="00B16CCF">
            <w:pPr>
              <w:spacing w:before="5pt"/>
              <w:rPr>
                <w:color w:val="000000"/>
                <w:sz w:val="20"/>
              </w:rPr>
            </w:pPr>
            <w:r>
              <w:rPr>
                <w:color w:val="000000"/>
                <w:sz w:val="20"/>
              </w:rPr>
              <w:t>004. Naložbe v osnovna sredstva, vključno v raziskovalno infrastrukturo, v javnih raziskovalnih središčih in visokem šolstvu, ki so neposredno povezane z raziskovalnimi in inovacijskimi dejavnostmi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55F093" w14:textId="77777777" w:rsidR="00A77B3E" w:rsidRDefault="00B16CCF">
            <w:pPr>
              <w:spacing w:before="5pt"/>
              <w:jc w:val="end"/>
              <w:rPr>
                <w:color w:val="000000"/>
                <w:sz w:val="20"/>
              </w:rPr>
            </w:pPr>
            <w:r>
              <w:rPr>
                <w:color w:val="000000"/>
                <w:sz w:val="20"/>
              </w:rPr>
              <w:t>17.050.386,00</w:t>
            </w:r>
          </w:p>
        </w:tc>
      </w:tr>
      <w:tr w:rsidR="00823317" w14:paraId="11358B9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12E3C5" w14:textId="77777777" w:rsidR="00A77B3E" w:rsidRDefault="00B16CCF">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B8B0B8" w14:textId="77777777" w:rsidR="00A77B3E" w:rsidRDefault="00B16CCF">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604682"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7DB487"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838DF0" w14:textId="77777777" w:rsidR="00A77B3E" w:rsidRDefault="00B16CCF">
            <w:pPr>
              <w:spacing w:before="5pt"/>
              <w:rPr>
                <w:color w:val="000000"/>
                <w:sz w:val="20"/>
              </w:rPr>
            </w:pPr>
            <w:r>
              <w:rPr>
                <w:color w:val="000000"/>
                <w:sz w:val="20"/>
              </w:rPr>
              <w:t>010. Raziskovalne in inovacijske dejavnosti v MSP, vključno z mreženjem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E90370" w14:textId="77777777" w:rsidR="00A77B3E" w:rsidRDefault="00B16CCF">
            <w:pPr>
              <w:spacing w:before="5pt"/>
              <w:jc w:val="end"/>
              <w:rPr>
                <w:color w:val="000000"/>
                <w:sz w:val="20"/>
              </w:rPr>
            </w:pPr>
            <w:r>
              <w:rPr>
                <w:color w:val="000000"/>
                <w:sz w:val="20"/>
              </w:rPr>
              <w:t>13.790.000,00</w:t>
            </w:r>
          </w:p>
        </w:tc>
      </w:tr>
      <w:tr w:rsidR="00823317" w14:paraId="2A4762F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3930FE" w14:textId="77777777" w:rsidR="00A77B3E" w:rsidRDefault="00B16CCF">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1953E6" w14:textId="77777777" w:rsidR="00A77B3E" w:rsidRDefault="00B16CCF">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B446F0"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1261B9"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3BBC6A" w14:textId="77777777" w:rsidR="00A77B3E" w:rsidRDefault="00B16CCF">
            <w:pPr>
              <w:spacing w:before="5pt"/>
              <w:rPr>
                <w:color w:val="000000"/>
                <w:sz w:val="20"/>
              </w:rPr>
            </w:pPr>
            <w:r>
              <w:rPr>
                <w:color w:val="000000"/>
                <w:sz w:val="20"/>
              </w:rPr>
              <w:t xml:space="preserve">011. Raziskovalne in inovacijske dejavnosti v velikih podjetjih, vključno z mreženjem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B80FEA" w14:textId="77777777" w:rsidR="00A77B3E" w:rsidRDefault="00B16CCF">
            <w:pPr>
              <w:spacing w:before="5pt"/>
              <w:jc w:val="end"/>
              <w:rPr>
                <w:color w:val="000000"/>
                <w:sz w:val="20"/>
              </w:rPr>
            </w:pPr>
            <w:r>
              <w:rPr>
                <w:color w:val="000000"/>
                <w:sz w:val="20"/>
              </w:rPr>
              <w:t>6.740.000,00</w:t>
            </w:r>
          </w:p>
        </w:tc>
      </w:tr>
      <w:tr w:rsidR="00823317" w14:paraId="756AC5F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AB96B7" w14:textId="77777777" w:rsidR="00A77B3E" w:rsidRDefault="00B16CCF">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C191D1" w14:textId="77777777" w:rsidR="00A77B3E" w:rsidRDefault="00B16CCF">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03E6A0"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B370F4"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00F88A" w14:textId="77777777" w:rsidR="00A77B3E" w:rsidRDefault="00B16CCF">
            <w:pPr>
              <w:spacing w:before="5pt"/>
              <w:rPr>
                <w:color w:val="000000"/>
                <w:sz w:val="20"/>
              </w:rPr>
            </w:pPr>
            <w:r>
              <w:rPr>
                <w:color w:val="000000"/>
                <w:sz w:val="20"/>
              </w:rPr>
              <w:t>012. Raziskovalne in inovacijske dejavnosti v javnih raziskovalnih središčih, visokem šolstvu in kompetenčnih središčih, vključno z mreženjem (industrijske raziskave, eksperimentalni razvoj, študije izvedljivosti)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4B8CF1" w14:textId="77777777" w:rsidR="00A77B3E" w:rsidRDefault="00B16CCF">
            <w:pPr>
              <w:spacing w:before="5pt"/>
              <w:jc w:val="end"/>
              <w:rPr>
                <w:color w:val="000000"/>
                <w:sz w:val="20"/>
              </w:rPr>
            </w:pPr>
            <w:r>
              <w:rPr>
                <w:color w:val="000000"/>
                <w:sz w:val="20"/>
              </w:rPr>
              <w:t>1.500.000,00</w:t>
            </w:r>
          </w:p>
        </w:tc>
      </w:tr>
      <w:tr w:rsidR="00823317" w14:paraId="7BF85AC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39EC27" w14:textId="77777777" w:rsidR="00A77B3E" w:rsidRDefault="00B16CCF">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255008" w14:textId="77777777" w:rsidR="00A77B3E" w:rsidRDefault="00B16CCF">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7C4821"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E7F254"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486045" w14:textId="77777777" w:rsidR="00A77B3E" w:rsidRDefault="00B16CCF">
            <w:pPr>
              <w:spacing w:before="5pt"/>
              <w:rPr>
                <w:color w:val="000000"/>
                <w:sz w:val="20"/>
              </w:rPr>
            </w:pPr>
            <w:r>
              <w:rPr>
                <w:color w:val="000000"/>
                <w:sz w:val="20"/>
              </w:rPr>
              <w:t>188. Produktivne naložbe v velika podjetja, povezana predvsem s čistimi in z viri gospodarnimi tehnologijami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A23C84" w14:textId="77777777" w:rsidR="00A77B3E" w:rsidRDefault="00B16CCF">
            <w:pPr>
              <w:spacing w:before="5pt"/>
              <w:jc w:val="end"/>
              <w:rPr>
                <w:color w:val="000000"/>
                <w:sz w:val="20"/>
              </w:rPr>
            </w:pPr>
            <w:r>
              <w:rPr>
                <w:color w:val="000000"/>
                <w:sz w:val="20"/>
              </w:rPr>
              <w:t>1.380.000,00</w:t>
            </w:r>
          </w:p>
        </w:tc>
      </w:tr>
      <w:tr w:rsidR="00823317" w14:paraId="5007431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BEB745" w14:textId="77777777" w:rsidR="00A77B3E" w:rsidRDefault="00B16CCF">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899009" w14:textId="77777777" w:rsidR="00A77B3E" w:rsidRDefault="00B16CCF">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676511"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9D05B2"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F06806" w14:textId="77777777" w:rsidR="00A77B3E" w:rsidRDefault="00B16CCF">
            <w:pPr>
              <w:spacing w:before="5pt"/>
              <w:rPr>
                <w:color w:val="000000"/>
                <w:sz w:val="20"/>
              </w:rPr>
            </w:pPr>
            <w:r>
              <w:rPr>
                <w:color w:val="000000"/>
                <w:sz w:val="20"/>
              </w:rPr>
              <w:t>189. Produktivne naložbe v MSP, povezana predvsem s čistimi in z viri gospodarnimi tehnologijami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D394FC" w14:textId="77777777" w:rsidR="00A77B3E" w:rsidRDefault="00B16CCF">
            <w:pPr>
              <w:spacing w:before="5pt"/>
              <w:jc w:val="end"/>
              <w:rPr>
                <w:color w:val="000000"/>
                <w:sz w:val="20"/>
              </w:rPr>
            </w:pPr>
            <w:r>
              <w:rPr>
                <w:color w:val="000000"/>
                <w:sz w:val="20"/>
              </w:rPr>
              <w:t>2.760.000,00</w:t>
            </w:r>
          </w:p>
        </w:tc>
      </w:tr>
      <w:tr w:rsidR="00823317" w14:paraId="0E79CF6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A698E3" w14:textId="77777777" w:rsidR="00A77B3E" w:rsidRDefault="00B16CCF">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440A3E" w14:textId="77777777" w:rsidR="00A77B3E" w:rsidRDefault="00B16CCF">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49B4D4"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AB0DB9"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3A2A7A" w14:textId="77777777" w:rsidR="00A77B3E" w:rsidRDefault="00B16CCF">
            <w:pPr>
              <w:spacing w:before="5pt"/>
              <w:rPr>
                <w:color w:val="000000"/>
                <w:sz w:val="20"/>
              </w:rPr>
            </w:pPr>
            <w:r>
              <w:rPr>
                <w:color w:val="000000"/>
                <w:sz w:val="20"/>
              </w:rPr>
              <w:t>190. Produktivne naložbe v velika podjetja, povezana predvsem z biotehnologijami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7C73F8" w14:textId="77777777" w:rsidR="00A77B3E" w:rsidRDefault="00B16CCF">
            <w:pPr>
              <w:spacing w:before="5pt"/>
              <w:jc w:val="end"/>
              <w:rPr>
                <w:color w:val="000000"/>
                <w:sz w:val="20"/>
              </w:rPr>
            </w:pPr>
            <w:r>
              <w:rPr>
                <w:color w:val="000000"/>
                <w:sz w:val="20"/>
              </w:rPr>
              <w:t>310.000,00</w:t>
            </w:r>
          </w:p>
        </w:tc>
      </w:tr>
      <w:tr w:rsidR="00823317" w14:paraId="7FCD6B0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177CBC" w14:textId="77777777" w:rsidR="00A77B3E" w:rsidRDefault="00B16CCF">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1926F8" w14:textId="77777777" w:rsidR="00A77B3E" w:rsidRDefault="00B16CCF">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F8B683"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7E7ED4"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D4708C" w14:textId="77777777" w:rsidR="00A77B3E" w:rsidRDefault="00B16CCF">
            <w:pPr>
              <w:spacing w:before="5pt"/>
              <w:rPr>
                <w:color w:val="000000"/>
                <w:sz w:val="20"/>
              </w:rPr>
            </w:pPr>
            <w:r>
              <w:rPr>
                <w:color w:val="000000"/>
                <w:sz w:val="20"/>
              </w:rPr>
              <w:t>191. Produktivne naložbe v MSP, povezana predvsem z biotehnologijami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EE7A0F" w14:textId="77777777" w:rsidR="00A77B3E" w:rsidRDefault="00B16CCF">
            <w:pPr>
              <w:spacing w:before="5pt"/>
              <w:jc w:val="end"/>
              <w:rPr>
                <w:color w:val="000000"/>
                <w:sz w:val="20"/>
              </w:rPr>
            </w:pPr>
            <w:r>
              <w:rPr>
                <w:color w:val="000000"/>
                <w:sz w:val="20"/>
              </w:rPr>
              <w:t>610.000,00</w:t>
            </w:r>
          </w:p>
        </w:tc>
      </w:tr>
      <w:tr w:rsidR="00823317" w14:paraId="201D0C9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9127F2" w14:textId="77777777" w:rsidR="00A77B3E" w:rsidRDefault="00B16CCF">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B62E62" w14:textId="77777777" w:rsidR="00A77B3E" w:rsidRDefault="00B16CCF">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1E134F"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D78FE5"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B827FE" w14:textId="77777777" w:rsidR="00A77B3E" w:rsidRDefault="00B16CCF">
            <w:pPr>
              <w:spacing w:before="5pt"/>
              <w:rPr>
                <w:color w:val="000000"/>
                <w:sz w:val="20"/>
              </w:rPr>
            </w:pPr>
            <w:r>
              <w:rPr>
                <w:color w:val="000000"/>
                <w:sz w:val="20"/>
              </w:rPr>
              <w:t>192. Produktivne naložbe v velika podjetja, povezana predvsem z digitalnimi tehnologijami in globokotehnološkimi inovacijami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E33960" w14:textId="77777777" w:rsidR="00A77B3E" w:rsidRDefault="00B16CCF">
            <w:pPr>
              <w:spacing w:before="5pt"/>
              <w:jc w:val="end"/>
              <w:rPr>
                <w:color w:val="000000"/>
                <w:sz w:val="20"/>
              </w:rPr>
            </w:pPr>
            <w:r>
              <w:rPr>
                <w:color w:val="000000"/>
                <w:sz w:val="20"/>
              </w:rPr>
              <w:t>340.000,00</w:t>
            </w:r>
          </w:p>
        </w:tc>
      </w:tr>
      <w:tr w:rsidR="00823317" w14:paraId="5D686F2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79BCBA" w14:textId="77777777" w:rsidR="00A77B3E" w:rsidRDefault="00B16CCF">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49EF4D" w14:textId="77777777" w:rsidR="00A77B3E" w:rsidRDefault="00B16CCF">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6E64F9"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244BA6"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76D2B5" w14:textId="77777777" w:rsidR="00A77B3E" w:rsidRDefault="00B16CCF">
            <w:pPr>
              <w:spacing w:before="5pt"/>
              <w:rPr>
                <w:color w:val="000000"/>
                <w:sz w:val="20"/>
              </w:rPr>
            </w:pPr>
            <w:r>
              <w:rPr>
                <w:color w:val="000000"/>
                <w:sz w:val="20"/>
              </w:rPr>
              <w:t>193. Produktivne naložbe v MSP, povezana predvsem z digitalnimi tehnologijami in globokotehnološkimi inovacijami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7E3FF5" w14:textId="77777777" w:rsidR="00A77B3E" w:rsidRDefault="00B16CCF">
            <w:pPr>
              <w:spacing w:before="5pt"/>
              <w:jc w:val="end"/>
              <w:rPr>
                <w:color w:val="000000"/>
                <w:sz w:val="20"/>
              </w:rPr>
            </w:pPr>
            <w:r>
              <w:rPr>
                <w:color w:val="000000"/>
                <w:sz w:val="20"/>
              </w:rPr>
              <w:t>720.861,05</w:t>
            </w:r>
          </w:p>
        </w:tc>
      </w:tr>
      <w:tr w:rsidR="00823317" w14:paraId="6D77FE9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7D4F44" w14:textId="77777777" w:rsidR="00A77B3E" w:rsidRDefault="00B16CCF">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568F3E" w14:textId="77777777" w:rsidR="00A77B3E" w:rsidRDefault="00B16CCF">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C1DF18"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985D95"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4AEA01" w14:textId="77777777" w:rsidR="00A77B3E" w:rsidRDefault="00B16CCF">
            <w:pPr>
              <w:spacing w:before="5pt"/>
              <w:rPr>
                <w:color w:val="000000"/>
                <w:sz w:val="20"/>
              </w:rPr>
            </w:pPr>
            <w:r>
              <w:rPr>
                <w:color w:val="000000"/>
                <w:sz w:val="20"/>
              </w:rPr>
              <w:t xml:space="preserve">004. Naložbe v osnovna sredstva, vključno v raziskovalno infrastrukturo, v javnih raziskovalnih središčih in visokem šolstvu, ki so </w:t>
            </w:r>
            <w:r>
              <w:rPr>
                <w:color w:val="000000"/>
                <w:sz w:val="20"/>
              </w:rPr>
              <w:lastRenderedPageBreak/>
              <w:t>neposredno povezane z raziskovalnimi in inovacijskimi dejavnostmi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001024" w14:textId="77777777" w:rsidR="00A77B3E" w:rsidRDefault="00B16CCF">
            <w:pPr>
              <w:spacing w:before="5pt"/>
              <w:jc w:val="end"/>
              <w:rPr>
                <w:color w:val="000000"/>
                <w:sz w:val="20"/>
              </w:rPr>
            </w:pPr>
            <w:r>
              <w:rPr>
                <w:color w:val="000000"/>
                <w:sz w:val="20"/>
              </w:rPr>
              <w:lastRenderedPageBreak/>
              <w:t>19.300.000,00</w:t>
            </w:r>
          </w:p>
        </w:tc>
      </w:tr>
      <w:tr w:rsidR="00823317" w14:paraId="0E8AC17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6E7B3D" w14:textId="77777777" w:rsidR="00A77B3E" w:rsidRDefault="00B16CCF">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7A9639" w14:textId="77777777" w:rsidR="00A77B3E" w:rsidRDefault="00B16CCF">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E1D1FD"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41A31E"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1B5EF6" w14:textId="77777777" w:rsidR="00A77B3E" w:rsidRDefault="00B16CCF">
            <w:pPr>
              <w:spacing w:before="5pt"/>
              <w:rPr>
                <w:color w:val="000000"/>
                <w:sz w:val="20"/>
              </w:rPr>
            </w:pPr>
            <w:r>
              <w:rPr>
                <w:color w:val="000000"/>
                <w:sz w:val="20"/>
              </w:rPr>
              <w:t>010. Raziskovalne in inovacijske dejavnosti v MSP, vključno z mreženjem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16CB87" w14:textId="77777777" w:rsidR="00A77B3E" w:rsidRDefault="00B16CCF">
            <w:pPr>
              <w:spacing w:before="5pt"/>
              <w:jc w:val="end"/>
              <w:rPr>
                <w:color w:val="000000"/>
                <w:sz w:val="20"/>
              </w:rPr>
            </w:pPr>
            <w:r>
              <w:rPr>
                <w:color w:val="000000"/>
                <w:sz w:val="20"/>
              </w:rPr>
              <w:t>43.130.000,00</w:t>
            </w:r>
          </w:p>
        </w:tc>
      </w:tr>
      <w:tr w:rsidR="00823317" w14:paraId="3DF72FF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2BDA9C" w14:textId="77777777" w:rsidR="00A77B3E" w:rsidRDefault="00B16CCF">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6E90F7" w14:textId="77777777" w:rsidR="00A77B3E" w:rsidRDefault="00B16CCF">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BC2061"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33227A"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BE51C1" w14:textId="77777777" w:rsidR="00A77B3E" w:rsidRDefault="00B16CCF">
            <w:pPr>
              <w:spacing w:before="5pt"/>
              <w:rPr>
                <w:color w:val="000000"/>
                <w:sz w:val="20"/>
              </w:rPr>
            </w:pPr>
            <w:r>
              <w:rPr>
                <w:color w:val="000000"/>
                <w:sz w:val="20"/>
              </w:rPr>
              <w:t xml:space="preserve">011. Raziskovalne in inovacijske dejavnosti v velikih podjetjih, vključno z mreženjem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530BC3" w14:textId="77777777" w:rsidR="00A77B3E" w:rsidRDefault="00B16CCF">
            <w:pPr>
              <w:spacing w:before="5pt"/>
              <w:jc w:val="end"/>
              <w:rPr>
                <w:color w:val="000000"/>
                <w:sz w:val="20"/>
              </w:rPr>
            </w:pPr>
            <w:r>
              <w:rPr>
                <w:color w:val="000000"/>
                <w:sz w:val="20"/>
              </w:rPr>
              <w:t>21.070.000,00</w:t>
            </w:r>
          </w:p>
        </w:tc>
      </w:tr>
      <w:tr w:rsidR="00823317" w14:paraId="0D3A773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F75DA2" w14:textId="77777777" w:rsidR="00A77B3E" w:rsidRDefault="00B16CCF">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D00053" w14:textId="77777777" w:rsidR="00A77B3E" w:rsidRDefault="00B16CCF">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A915EC"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BAA0D4"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B8C84B" w14:textId="77777777" w:rsidR="00A77B3E" w:rsidRDefault="00B16CCF">
            <w:pPr>
              <w:spacing w:before="5pt"/>
              <w:rPr>
                <w:color w:val="000000"/>
                <w:sz w:val="20"/>
              </w:rPr>
            </w:pPr>
            <w:r>
              <w:rPr>
                <w:color w:val="000000"/>
                <w:sz w:val="20"/>
              </w:rPr>
              <w:t>012. Raziskovalne in inovacijske dejavnosti v javnih raziskovalnih središčih, visokem šolstvu in kompetenčnih središčih, vključno z mreženjem (industrijske raziskave, eksperimentalni razvoj, študije izvedljivosti)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E89F78" w14:textId="77777777" w:rsidR="00A77B3E" w:rsidRDefault="00B16CCF">
            <w:pPr>
              <w:spacing w:before="5pt"/>
              <w:jc w:val="end"/>
              <w:rPr>
                <w:color w:val="000000"/>
                <w:sz w:val="20"/>
              </w:rPr>
            </w:pPr>
            <w:r>
              <w:rPr>
                <w:color w:val="000000"/>
                <w:sz w:val="20"/>
              </w:rPr>
              <w:t>5.649.614,00</w:t>
            </w:r>
          </w:p>
        </w:tc>
      </w:tr>
      <w:tr w:rsidR="00823317" w14:paraId="229B2AE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FD454A" w14:textId="77777777" w:rsidR="00A77B3E" w:rsidRDefault="00B16CCF">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57F177" w14:textId="77777777" w:rsidR="00A77B3E" w:rsidRDefault="00B16CCF">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D723F2"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8AB9DB"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08D038" w14:textId="77777777" w:rsidR="00A77B3E" w:rsidRDefault="00B16CCF">
            <w:pPr>
              <w:spacing w:before="5pt"/>
              <w:rPr>
                <w:color w:val="000000"/>
                <w:sz w:val="20"/>
              </w:rPr>
            </w:pPr>
            <w:r>
              <w:rPr>
                <w:color w:val="000000"/>
                <w:sz w:val="20"/>
              </w:rPr>
              <w:t>188. Produktivne naložbe v velika podjetja, povezana predvsem s čistimi in z viri gospodarnimi tehnologijami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28ADAA" w14:textId="77777777" w:rsidR="00A77B3E" w:rsidRDefault="00B16CCF">
            <w:pPr>
              <w:spacing w:before="5pt"/>
              <w:jc w:val="end"/>
              <w:rPr>
                <w:color w:val="000000"/>
                <w:sz w:val="20"/>
              </w:rPr>
            </w:pPr>
            <w:r>
              <w:rPr>
                <w:color w:val="000000"/>
                <w:sz w:val="20"/>
              </w:rPr>
              <w:t>4.310.000,00</w:t>
            </w:r>
          </w:p>
        </w:tc>
      </w:tr>
      <w:tr w:rsidR="00823317" w14:paraId="25D1D3E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C89E3B" w14:textId="77777777" w:rsidR="00A77B3E" w:rsidRDefault="00B16CCF">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6B0284" w14:textId="77777777" w:rsidR="00A77B3E" w:rsidRDefault="00B16CCF">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4C6DEC"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21ED32"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9577AD" w14:textId="77777777" w:rsidR="00A77B3E" w:rsidRDefault="00B16CCF">
            <w:pPr>
              <w:spacing w:before="5pt"/>
              <w:rPr>
                <w:color w:val="000000"/>
                <w:sz w:val="20"/>
              </w:rPr>
            </w:pPr>
            <w:r>
              <w:rPr>
                <w:color w:val="000000"/>
                <w:sz w:val="20"/>
              </w:rPr>
              <w:t>189. Produktivne naložbe v MSP, povezana predvsem s čistimi in z viri gospodarnimi tehnologijami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1CD987" w14:textId="77777777" w:rsidR="00A77B3E" w:rsidRDefault="00B16CCF">
            <w:pPr>
              <w:spacing w:before="5pt"/>
              <w:jc w:val="end"/>
              <w:rPr>
                <w:color w:val="000000"/>
                <w:sz w:val="20"/>
              </w:rPr>
            </w:pPr>
            <w:r>
              <w:rPr>
                <w:color w:val="000000"/>
                <w:sz w:val="20"/>
              </w:rPr>
              <w:t>8.620.000,00</w:t>
            </w:r>
          </w:p>
        </w:tc>
      </w:tr>
      <w:tr w:rsidR="00823317" w14:paraId="7564307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BC1AAA" w14:textId="77777777" w:rsidR="00A77B3E" w:rsidRDefault="00B16CCF">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57D75B" w14:textId="77777777" w:rsidR="00A77B3E" w:rsidRDefault="00B16CCF">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ED919B"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F7AF17"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04DFA6" w14:textId="77777777" w:rsidR="00A77B3E" w:rsidRDefault="00B16CCF">
            <w:pPr>
              <w:spacing w:before="5pt"/>
              <w:rPr>
                <w:color w:val="000000"/>
                <w:sz w:val="20"/>
              </w:rPr>
            </w:pPr>
            <w:r>
              <w:rPr>
                <w:color w:val="000000"/>
                <w:sz w:val="20"/>
              </w:rPr>
              <w:t>190. Produktivne naložbe v velika podjetja, povezana predvsem z biotehnologijami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049210" w14:textId="77777777" w:rsidR="00A77B3E" w:rsidRDefault="00B16CCF">
            <w:pPr>
              <w:spacing w:before="5pt"/>
              <w:jc w:val="end"/>
              <w:rPr>
                <w:color w:val="000000"/>
                <w:sz w:val="20"/>
              </w:rPr>
            </w:pPr>
            <w:r>
              <w:rPr>
                <w:color w:val="000000"/>
                <w:sz w:val="20"/>
              </w:rPr>
              <w:t>960.000,00</w:t>
            </w:r>
          </w:p>
        </w:tc>
      </w:tr>
      <w:tr w:rsidR="00823317" w14:paraId="0C9E50C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A488CC" w14:textId="77777777" w:rsidR="00A77B3E" w:rsidRDefault="00B16CCF">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20B0E3" w14:textId="77777777" w:rsidR="00A77B3E" w:rsidRDefault="00B16CCF">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2E9F7A"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A8C8D7"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2D9874" w14:textId="77777777" w:rsidR="00A77B3E" w:rsidRDefault="00B16CCF">
            <w:pPr>
              <w:spacing w:before="5pt"/>
              <w:rPr>
                <w:color w:val="000000"/>
                <w:sz w:val="20"/>
              </w:rPr>
            </w:pPr>
            <w:r>
              <w:rPr>
                <w:color w:val="000000"/>
                <w:sz w:val="20"/>
              </w:rPr>
              <w:t>191. Produktivne naložbe v MSP, povezana predvsem z biotehnologijami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3E6464" w14:textId="77777777" w:rsidR="00A77B3E" w:rsidRDefault="00B16CCF">
            <w:pPr>
              <w:spacing w:before="5pt"/>
              <w:jc w:val="end"/>
              <w:rPr>
                <w:color w:val="000000"/>
                <w:sz w:val="20"/>
              </w:rPr>
            </w:pPr>
            <w:r>
              <w:rPr>
                <w:color w:val="000000"/>
                <w:sz w:val="20"/>
              </w:rPr>
              <w:t>1.910.000,00</w:t>
            </w:r>
          </w:p>
        </w:tc>
      </w:tr>
      <w:tr w:rsidR="00823317" w14:paraId="211F47C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8CE2D7" w14:textId="77777777" w:rsidR="00A77B3E" w:rsidRDefault="00B16CCF">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E72D12" w14:textId="77777777" w:rsidR="00A77B3E" w:rsidRDefault="00B16CCF">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B8D2A5"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75EC3E"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F4DA5D" w14:textId="77777777" w:rsidR="00A77B3E" w:rsidRDefault="00B16CCF">
            <w:pPr>
              <w:spacing w:before="5pt"/>
              <w:rPr>
                <w:color w:val="000000"/>
                <w:sz w:val="20"/>
              </w:rPr>
            </w:pPr>
            <w:r>
              <w:rPr>
                <w:color w:val="000000"/>
                <w:sz w:val="20"/>
              </w:rPr>
              <w:t>192. Produktivne naložbe v velika podjetja, povezana predvsem z digitalnimi tehnologijami in globokotehnološkimi inovacijami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6A2BCE" w14:textId="77777777" w:rsidR="00A77B3E" w:rsidRDefault="00B16CCF">
            <w:pPr>
              <w:spacing w:before="5pt"/>
              <w:jc w:val="end"/>
              <w:rPr>
                <w:color w:val="000000"/>
                <w:sz w:val="20"/>
              </w:rPr>
            </w:pPr>
            <w:r>
              <w:rPr>
                <w:color w:val="000000"/>
                <w:sz w:val="20"/>
              </w:rPr>
              <w:t>1.080.000,00</w:t>
            </w:r>
          </w:p>
        </w:tc>
      </w:tr>
      <w:tr w:rsidR="00823317" w14:paraId="20158DE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11F4F0" w14:textId="77777777" w:rsidR="00A77B3E" w:rsidRDefault="00B16CCF">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EE6BE2" w14:textId="77777777" w:rsidR="00A77B3E" w:rsidRDefault="00B16CCF">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ADAEFF"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1F23B5"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A9C400" w14:textId="77777777" w:rsidR="00A77B3E" w:rsidRDefault="00B16CCF">
            <w:pPr>
              <w:spacing w:before="5pt"/>
              <w:rPr>
                <w:color w:val="000000"/>
                <w:sz w:val="20"/>
              </w:rPr>
            </w:pPr>
            <w:r>
              <w:rPr>
                <w:color w:val="000000"/>
                <w:sz w:val="20"/>
              </w:rPr>
              <w:t>193. Produktivne naložbe v MSP, povezana predvsem z digitalnimi tehnologijami in globokotehnološkimi inovacijami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D10765" w14:textId="77777777" w:rsidR="00A77B3E" w:rsidRDefault="00B16CCF">
            <w:pPr>
              <w:spacing w:before="5pt"/>
              <w:jc w:val="end"/>
              <w:rPr>
                <w:color w:val="000000"/>
                <w:sz w:val="20"/>
              </w:rPr>
            </w:pPr>
            <w:r>
              <w:rPr>
                <w:color w:val="000000"/>
                <w:sz w:val="20"/>
              </w:rPr>
              <w:t>2.269.140,83</w:t>
            </w:r>
          </w:p>
        </w:tc>
      </w:tr>
      <w:tr w:rsidR="00823317" w14:paraId="028A30B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F19315" w14:textId="77777777" w:rsidR="00A77B3E" w:rsidRDefault="00B16CCF">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A4875C" w14:textId="77777777" w:rsidR="00A77B3E" w:rsidRDefault="00B16CCF">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E9C2A3"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DCEED6"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C358E3"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35F1CD" w14:textId="77777777" w:rsidR="00A77B3E" w:rsidRDefault="00B16CCF">
            <w:pPr>
              <w:spacing w:before="5pt"/>
              <w:jc w:val="end"/>
              <w:rPr>
                <w:color w:val="000000"/>
                <w:sz w:val="20"/>
              </w:rPr>
            </w:pPr>
            <w:r>
              <w:rPr>
                <w:color w:val="000000"/>
                <w:sz w:val="20"/>
              </w:rPr>
              <w:t>153.500.001,88</w:t>
            </w:r>
          </w:p>
        </w:tc>
      </w:tr>
    </w:tbl>
    <w:p w14:paraId="0A7AF3CF" w14:textId="77777777" w:rsidR="00A77B3E" w:rsidRDefault="00A77B3E">
      <w:pPr>
        <w:spacing w:before="5pt"/>
        <w:rPr>
          <w:color w:val="000000"/>
          <w:sz w:val="20"/>
        </w:rPr>
      </w:pPr>
    </w:p>
    <w:p w14:paraId="29E80932" w14:textId="77777777" w:rsidR="00A77B3E" w:rsidRDefault="00B16CCF">
      <w:pPr>
        <w:pStyle w:val="Naslov5"/>
        <w:spacing w:before="5pt" w:after="0pt"/>
        <w:rPr>
          <w:b w:val="0"/>
          <w:i w:val="0"/>
          <w:color w:val="000000"/>
          <w:sz w:val="24"/>
        </w:rPr>
      </w:pPr>
      <w:bookmarkStart w:id="105" w:name="_Toc256000866"/>
      <w:r>
        <w:rPr>
          <w:b w:val="0"/>
          <w:i w:val="0"/>
          <w:color w:val="000000"/>
          <w:sz w:val="24"/>
        </w:rPr>
        <w:t>Tabela 5: Razsežnost 2 – oblika financiranja</w:t>
      </w:r>
      <w:bookmarkEnd w:id="105"/>
    </w:p>
    <w:p w14:paraId="45B5881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49"/>
        <w:gridCol w:w="2353"/>
        <w:gridCol w:w="1708"/>
        <w:gridCol w:w="2439"/>
        <w:gridCol w:w="2661"/>
        <w:gridCol w:w="3462"/>
      </w:tblGrid>
      <w:tr w:rsidR="00823317" w14:paraId="2A8168E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32A924"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8FB6E1"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677F53"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8C65B9"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C274A7D"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6186E9" w14:textId="77777777" w:rsidR="00A77B3E" w:rsidRDefault="00B16CCF">
            <w:pPr>
              <w:spacing w:before="5pt"/>
              <w:jc w:val="center"/>
              <w:rPr>
                <w:color w:val="000000"/>
                <w:sz w:val="20"/>
              </w:rPr>
            </w:pPr>
            <w:r>
              <w:rPr>
                <w:color w:val="000000"/>
                <w:sz w:val="20"/>
              </w:rPr>
              <w:t>Znesek (v EUR)</w:t>
            </w:r>
          </w:p>
        </w:tc>
      </w:tr>
      <w:tr w:rsidR="00823317" w14:paraId="5B0C5F6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A1E146" w14:textId="77777777" w:rsidR="00A77B3E" w:rsidRDefault="00B16CCF">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4C0A3A" w14:textId="77777777" w:rsidR="00A77B3E" w:rsidRDefault="00B16CCF">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313E11"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26FAB3"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6C8DC7" w14:textId="77777777" w:rsidR="00A77B3E" w:rsidRDefault="00B16CCF">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87E296" w14:textId="77777777" w:rsidR="00A77B3E" w:rsidRDefault="00B16CCF">
            <w:pPr>
              <w:spacing w:before="5pt"/>
              <w:jc w:val="end"/>
              <w:rPr>
                <w:color w:val="000000"/>
                <w:sz w:val="20"/>
              </w:rPr>
            </w:pPr>
            <w:r>
              <w:rPr>
                <w:color w:val="000000"/>
                <w:sz w:val="20"/>
              </w:rPr>
              <w:t>45.201.247,05</w:t>
            </w:r>
          </w:p>
        </w:tc>
      </w:tr>
      <w:tr w:rsidR="00823317" w14:paraId="165209A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B57E4A" w14:textId="77777777" w:rsidR="00A77B3E" w:rsidRDefault="00B16CCF">
            <w:pPr>
              <w:spacing w:before="5pt"/>
              <w:rPr>
                <w:color w:val="000000"/>
                <w:sz w:val="20"/>
              </w:rPr>
            </w:pPr>
            <w:r>
              <w:rPr>
                <w:color w:val="000000"/>
                <w:sz w:val="20"/>
              </w:rPr>
              <w:lastRenderedPageBreak/>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BA9E5F" w14:textId="77777777" w:rsidR="00A77B3E" w:rsidRDefault="00B16CCF">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5A72E9"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F72AAA"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2C8351" w14:textId="77777777" w:rsidR="00A77B3E" w:rsidRDefault="00B16CCF">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B67FD0" w14:textId="77777777" w:rsidR="00A77B3E" w:rsidRDefault="00B16CCF">
            <w:pPr>
              <w:spacing w:before="5pt"/>
              <w:jc w:val="end"/>
              <w:rPr>
                <w:color w:val="000000"/>
                <w:sz w:val="20"/>
              </w:rPr>
            </w:pPr>
            <w:r>
              <w:rPr>
                <w:color w:val="000000"/>
                <w:sz w:val="20"/>
              </w:rPr>
              <w:t>108.298.754,83</w:t>
            </w:r>
          </w:p>
        </w:tc>
      </w:tr>
      <w:tr w:rsidR="00823317" w14:paraId="048A546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4A3E1D" w14:textId="77777777" w:rsidR="00A77B3E" w:rsidRDefault="00B16CCF">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3DB994" w14:textId="77777777" w:rsidR="00A77B3E" w:rsidRDefault="00B16CCF">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050A7A"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6FCE80"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51D8B9"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F3EAFB" w14:textId="77777777" w:rsidR="00A77B3E" w:rsidRDefault="00B16CCF">
            <w:pPr>
              <w:spacing w:before="5pt"/>
              <w:jc w:val="end"/>
              <w:rPr>
                <w:color w:val="000000"/>
                <w:sz w:val="20"/>
              </w:rPr>
            </w:pPr>
            <w:r>
              <w:rPr>
                <w:color w:val="000000"/>
                <w:sz w:val="20"/>
              </w:rPr>
              <w:t>153.500.001,88</w:t>
            </w:r>
          </w:p>
        </w:tc>
      </w:tr>
    </w:tbl>
    <w:p w14:paraId="49D40C17" w14:textId="77777777" w:rsidR="00A77B3E" w:rsidRDefault="00A77B3E">
      <w:pPr>
        <w:spacing w:before="5pt"/>
        <w:rPr>
          <w:color w:val="000000"/>
          <w:sz w:val="20"/>
        </w:rPr>
      </w:pPr>
    </w:p>
    <w:p w14:paraId="66E0BC0C" w14:textId="77777777" w:rsidR="00A77B3E" w:rsidRDefault="00B16CCF">
      <w:pPr>
        <w:pStyle w:val="Naslov5"/>
        <w:spacing w:before="5pt" w:after="0pt"/>
        <w:rPr>
          <w:b w:val="0"/>
          <w:i w:val="0"/>
          <w:color w:val="000000"/>
          <w:sz w:val="24"/>
        </w:rPr>
      </w:pPr>
      <w:bookmarkStart w:id="106" w:name="_Toc256000867"/>
      <w:r>
        <w:rPr>
          <w:b w:val="0"/>
          <w:i w:val="0"/>
          <w:color w:val="000000"/>
          <w:sz w:val="24"/>
        </w:rPr>
        <w:t>Tabela 6: Razsežnost 3 – mehanizem za ozemeljsko izvrševanje in ozemeljski pristop</w:t>
      </w:r>
      <w:bookmarkEnd w:id="106"/>
    </w:p>
    <w:p w14:paraId="569B159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85"/>
        <w:gridCol w:w="2293"/>
        <w:gridCol w:w="1665"/>
        <w:gridCol w:w="2377"/>
        <w:gridCol w:w="2978"/>
        <w:gridCol w:w="3374"/>
      </w:tblGrid>
      <w:tr w:rsidR="00823317" w14:paraId="6ECA9C4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972329"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2C9A4F"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28AE4E"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B3A581"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E0FE0F"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7F6821" w14:textId="77777777" w:rsidR="00A77B3E" w:rsidRDefault="00B16CCF">
            <w:pPr>
              <w:spacing w:before="5pt"/>
              <w:jc w:val="center"/>
              <w:rPr>
                <w:color w:val="000000"/>
                <w:sz w:val="20"/>
              </w:rPr>
            </w:pPr>
            <w:r>
              <w:rPr>
                <w:color w:val="000000"/>
                <w:sz w:val="20"/>
              </w:rPr>
              <w:t>Znesek (v EUR)</w:t>
            </w:r>
          </w:p>
        </w:tc>
      </w:tr>
      <w:tr w:rsidR="00823317" w14:paraId="4876A10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DACF12" w14:textId="77777777" w:rsidR="00A77B3E" w:rsidRDefault="00B16CCF">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46E00B" w14:textId="77777777" w:rsidR="00A77B3E" w:rsidRDefault="00B16CCF">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0E059A"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F9A54F"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47A2A9" w14:textId="77777777" w:rsidR="00A77B3E" w:rsidRDefault="00B16CCF">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382881" w14:textId="77777777" w:rsidR="00A77B3E" w:rsidRDefault="00B16CCF">
            <w:pPr>
              <w:spacing w:before="5pt"/>
              <w:jc w:val="end"/>
              <w:rPr>
                <w:color w:val="000000"/>
                <w:sz w:val="20"/>
              </w:rPr>
            </w:pPr>
            <w:r>
              <w:rPr>
                <w:color w:val="000000"/>
                <w:sz w:val="20"/>
              </w:rPr>
              <w:t>45.201.247,05</w:t>
            </w:r>
          </w:p>
        </w:tc>
      </w:tr>
      <w:tr w:rsidR="00823317" w14:paraId="5F5C7F6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0D2E71" w14:textId="77777777" w:rsidR="00A77B3E" w:rsidRDefault="00B16CCF">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BB59CD" w14:textId="77777777" w:rsidR="00A77B3E" w:rsidRDefault="00B16CCF">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70E284"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AEC203"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55C1AF" w14:textId="77777777" w:rsidR="00A77B3E" w:rsidRDefault="00B16CCF">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F43330" w14:textId="77777777" w:rsidR="00A77B3E" w:rsidRDefault="00B16CCF">
            <w:pPr>
              <w:spacing w:before="5pt"/>
              <w:jc w:val="end"/>
              <w:rPr>
                <w:color w:val="000000"/>
                <w:sz w:val="20"/>
              </w:rPr>
            </w:pPr>
            <w:r>
              <w:rPr>
                <w:color w:val="000000"/>
                <w:sz w:val="20"/>
              </w:rPr>
              <w:t>108.298.754,83</w:t>
            </w:r>
          </w:p>
        </w:tc>
      </w:tr>
      <w:tr w:rsidR="00823317" w14:paraId="635EB4F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90200D" w14:textId="77777777" w:rsidR="00A77B3E" w:rsidRDefault="00B16CCF">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2A952D" w14:textId="77777777" w:rsidR="00A77B3E" w:rsidRDefault="00B16CCF">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A99BF7"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D12A8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5A1234"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792A76" w14:textId="77777777" w:rsidR="00A77B3E" w:rsidRDefault="00B16CCF">
            <w:pPr>
              <w:spacing w:before="5pt"/>
              <w:jc w:val="end"/>
              <w:rPr>
                <w:color w:val="000000"/>
                <w:sz w:val="20"/>
              </w:rPr>
            </w:pPr>
            <w:r>
              <w:rPr>
                <w:color w:val="000000"/>
                <w:sz w:val="20"/>
              </w:rPr>
              <w:t>153.500.001,88</w:t>
            </w:r>
          </w:p>
        </w:tc>
      </w:tr>
    </w:tbl>
    <w:p w14:paraId="4351B8EE" w14:textId="77777777" w:rsidR="00A77B3E" w:rsidRDefault="00A77B3E">
      <w:pPr>
        <w:spacing w:before="5pt"/>
        <w:rPr>
          <w:color w:val="000000"/>
          <w:sz w:val="20"/>
        </w:rPr>
      </w:pPr>
    </w:p>
    <w:p w14:paraId="313061B2" w14:textId="77777777" w:rsidR="00A77B3E" w:rsidRDefault="00B16CCF">
      <w:pPr>
        <w:pStyle w:val="Naslov5"/>
        <w:spacing w:before="5pt" w:after="0pt"/>
        <w:rPr>
          <w:b w:val="0"/>
          <w:i w:val="0"/>
          <w:color w:val="000000"/>
          <w:sz w:val="24"/>
        </w:rPr>
      </w:pPr>
      <w:bookmarkStart w:id="107" w:name="_Toc256000868"/>
      <w:r>
        <w:rPr>
          <w:b w:val="0"/>
          <w:i w:val="0"/>
          <w:color w:val="000000"/>
          <w:sz w:val="24"/>
        </w:rPr>
        <w:t>Tabela 7: Razsežnost 6 – sekundarna področja ESS+</w:t>
      </w:r>
      <w:bookmarkEnd w:id="107"/>
    </w:p>
    <w:p w14:paraId="2820BE5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117"/>
        <w:gridCol w:w="2877"/>
        <w:gridCol w:w="1780"/>
        <w:gridCol w:w="2982"/>
        <w:gridCol w:w="2259"/>
        <w:gridCol w:w="2157"/>
      </w:tblGrid>
      <w:tr w:rsidR="00823317" w14:paraId="72ADE29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32A676"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128BFB4"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4F3722"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102C58F"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261A6E4"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4C3C30" w14:textId="77777777" w:rsidR="00A77B3E" w:rsidRDefault="00B16CCF">
            <w:pPr>
              <w:spacing w:before="5pt"/>
              <w:jc w:val="center"/>
              <w:rPr>
                <w:color w:val="000000"/>
                <w:sz w:val="20"/>
              </w:rPr>
            </w:pPr>
            <w:r>
              <w:rPr>
                <w:color w:val="000000"/>
                <w:sz w:val="20"/>
              </w:rPr>
              <w:t>Znesek (v EUR)</w:t>
            </w:r>
          </w:p>
        </w:tc>
      </w:tr>
    </w:tbl>
    <w:p w14:paraId="13DA9CF1" w14:textId="77777777" w:rsidR="00A77B3E" w:rsidRDefault="00A77B3E">
      <w:pPr>
        <w:spacing w:before="5pt"/>
        <w:rPr>
          <w:color w:val="000000"/>
          <w:sz w:val="20"/>
        </w:rPr>
      </w:pPr>
    </w:p>
    <w:p w14:paraId="44C3742F" w14:textId="77777777" w:rsidR="00A77B3E" w:rsidRDefault="00B16CCF">
      <w:pPr>
        <w:pStyle w:val="Naslov5"/>
        <w:spacing w:before="5pt" w:after="0pt"/>
        <w:rPr>
          <w:b w:val="0"/>
          <w:i w:val="0"/>
          <w:color w:val="000000"/>
          <w:sz w:val="24"/>
        </w:rPr>
      </w:pPr>
      <w:bookmarkStart w:id="108" w:name="_Toc256000869"/>
      <w:r>
        <w:rPr>
          <w:b w:val="0"/>
          <w:i w:val="0"/>
          <w:color w:val="000000"/>
          <w:sz w:val="24"/>
        </w:rPr>
        <w:t>Tabela 8: Razsežnost 7 – razsežnost enakosti spolov v okviru ESS+*, ESRR, Kohezijskega sklada in SPP</w:t>
      </w:r>
      <w:bookmarkEnd w:id="108"/>
    </w:p>
    <w:p w14:paraId="194D167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68"/>
        <w:gridCol w:w="2369"/>
        <w:gridCol w:w="1721"/>
        <w:gridCol w:w="2457"/>
        <w:gridCol w:w="2569"/>
        <w:gridCol w:w="3488"/>
      </w:tblGrid>
      <w:tr w:rsidR="00823317" w14:paraId="341A418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D641346"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442CCF"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977ECDF"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C70186"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925BB5"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D4E321" w14:textId="77777777" w:rsidR="00A77B3E" w:rsidRDefault="00B16CCF">
            <w:pPr>
              <w:spacing w:before="5pt"/>
              <w:jc w:val="center"/>
              <w:rPr>
                <w:color w:val="000000"/>
                <w:sz w:val="20"/>
              </w:rPr>
            </w:pPr>
            <w:r>
              <w:rPr>
                <w:color w:val="000000"/>
                <w:sz w:val="20"/>
              </w:rPr>
              <w:t>Znesek (v EUR)</w:t>
            </w:r>
          </w:p>
        </w:tc>
      </w:tr>
      <w:tr w:rsidR="00823317" w14:paraId="1CAF78F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51B2E2" w14:textId="77777777" w:rsidR="00A77B3E" w:rsidRDefault="00B16CCF">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48812F" w14:textId="77777777" w:rsidR="00A77B3E" w:rsidRDefault="00B16CCF">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90D64C"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79DC80"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0D11DC" w14:textId="77777777" w:rsidR="00A77B3E" w:rsidRDefault="00B16CCF">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730C67" w14:textId="77777777" w:rsidR="00A77B3E" w:rsidRDefault="00B16CCF">
            <w:pPr>
              <w:spacing w:before="5pt"/>
              <w:jc w:val="end"/>
              <w:rPr>
                <w:color w:val="000000"/>
                <w:sz w:val="20"/>
              </w:rPr>
            </w:pPr>
            <w:r>
              <w:rPr>
                <w:color w:val="000000"/>
                <w:sz w:val="20"/>
              </w:rPr>
              <w:t>45.201.247,05</w:t>
            </w:r>
          </w:p>
        </w:tc>
      </w:tr>
      <w:tr w:rsidR="00823317" w14:paraId="5227E44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C0D315" w14:textId="77777777" w:rsidR="00A77B3E" w:rsidRDefault="00B16CCF">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6E9251" w14:textId="77777777" w:rsidR="00A77B3E" w:rsidRDefault="00B16CCF">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EFDE0E"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269481"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1BF566" w14:textId="77777777" w:rsidR="00A77B3E" w:rsidRDefault="00B16CCF">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A23067" w14:textId="77777777" w:rsidR="00A77B3E" w:rsidRDefault="00B16CCF">
            <w:pPr>
              <w:spacing w:before="5pt"/>
              <w:jc w:val="end"/>
              <w:rPr>
                <w:color w:val="000000"/>
                <w:sz w:val="20"/>
              </w:rPr>
            </w:pPr>
            <w:r>
              <w:rPr>
                <w:color w:val="000000"/>
                <w:sz w:val="20"/>
              </w:rPr>
              <w:t>108.298.754,83</w:t>
            </w:r>
          </w:p>
        </w:tc>
      </w:tr>
      <w:tr w:rsidR="00823317" w14:paraId="57E4880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6CE07D" w14:textId="77777777" w:rsidR="00A77B3E" w:rsidRDefault="00B16CCF">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ED08CE" w14:textId="77777777" w:rsidR="00A77B3E" w:rsidRDefault="00B16CCF">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77A82C"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7B51AA"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F8AAA5"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B74525" w14:textId="77777777" w:rsidR="00A77B3E" w:rsidRDefault="00B16CCF">
            <w:pPr>
              <w:spacing w:before="5pt"/>
              <w:jc w:val="end"/>
              <w:rPr>
                <w:color w:val="000000"/>
                <w:sz w:val="20"/>
              </w:rPr>
            </w:pPr>
            <w:r>
              <w:rPr>
                <w:color w:val="000000"/>
                <w:sz w:val="20"/>
              </w:rPr>
              <w:t>153.500.001,88</w:t>
            </w:r>
          </w:p>
        </w:tc>
      </w:tr>
    </w:tbl>
    <w:p w14:paraId="7543BB2D" w14:textId="77777777" w:rsidR="00A77B3E" w:rsidRDefault="00B16CCF">
      <w:pPr>
        <w:spacing w:before="5pt"/>
        <w:rPr>
          <w:color w:val="000000"/>
          <w:sz w:val="20"/>
        </w:rPr>
      </w:pPr>
      <w:r>
        <w:rPr>
          <w:color w:val="000000"/>
          <w:sz w:val="20"/>
        </w:rPr>
        <w:t>* Načeloma 40 % za ESS+ prispeva k spremljanju enakosti spolov. 100 % se uporabi, kadar se država članica odloči za uporabo člena 6 uredbe o ESS+.</w:t>
      </w:r>
    </w:p>
    <w:p w14:paraId="42709B7E" w14:textId="77777777" w:rsidR="00A77B3E" w:rsidRDefault="00B16CCF">
      <w:pPr>
        <w:pStyle w:val="Naslov3"/>
        <w:spacing w:before="5pt" w:after="0pt"/>
        <w:rPr>
          <w:rFonts w:ascii="Times New Roman" w:hAnsi="Times New Roman" w:cs="Times New Roman"/>
          <w:b w:val="0"/>
          <w:color w:val="000000"/>
          <w:sz w:val="24"/>
        </w:rPr>
      </w:pPr>
      <w:r>
        <w:rPr>
          <w:rFonts w:ascii="Times New Roman" w:hAnsi="Times New Roman" w:cs="Times New Roman"/>
          <w:b w:val="0"/>
          <w:color w:val="000000"/>
          <w:sz w:val="24"/>
        </w:rPr>
        <w:br w:type="page"/>
      </w:r>
      <w:bookmarkStart w:id="109" w:name="_Toc256000870"/>
      <w:r>
        <w:rPr>
          <w:rFonts w:ascii="Times New Roman" w:hAnsi="Times New Roman" w:cs="Times New Roman"/>
          <w:b w:val="0"/>
          <w:color w:val="000000"/>
          <w:sz w:val="24"/>
        </w:rPr>
        <w:lastRenderedPageBreak/>
        <w:t>2.1.1. Prednostna naloga: 3. Zelena preobrazba za podnebno nevtralnost</w:t>
      </w:r>
      <w:bookmarkEnd w:id="109"/>
      <w:r>
        <w:rPr>
          <w:rFonts w:ascii="Times New Roman" w:hAnsi="Times New Roman" w:cs="Times New Roman"/>
          <w:b w:val="0"/>
          <w:color w:val="000000"/>
          <w:sz w:val="24"/>
        </w:rPr>
        <w:t xml:space="preserve">  </w:t>
      </w:r>
    </w:p>
    <w:p w14:paraId="750A0B35" w14:textId="77777777" w:rsidR="00A77B3E" w:rsidRDefault="00A77B3E">
      <w:pPr>
        <w:spacing w:before="5pt"/>
        <w:rPr>
          <w:color w:val="000000"/>
          <w:sz w:val="0"/>
        </w:rPr>
      </w:pPr>
    </w:p>
    <w:p w14:paraId="1D5CF9AD" w14:textId="77777777" w:rsidR="00A77B3E" w:rsidRDefault="00B16CCF">
      <w:pPr>
        <w:pStyle w:val="Naslov4"/>
        <w:spacing w:before="5pt" w:after="0pt"/>
        <w:rPr>
          <w:b w:val="0"/>
          <w:color w:val="000000"/>
          <w:sz w:val="24"/>
        </w:rPr>
      </w:pPr>
      <w:bookmarkStart w:id="110" w:name="_Toc256000871"/>
      <w:r>
        <w:rPr>
          <w:b w:val="0"/>
          <w:color w:val="000000"/>
          <w:sz w:val="24"/>
        </w:rPr>
        <w:t>2.1.1.1. Specifični cilj: RSO2.1. Spodbujanje energijske učinkovitosti in zmanjševanje emisij toplogrednih plinov (ESRR)</w:t>
      </w:r>
      <w:bookmarkEnd w:id="110"/>
    </w:p>
    <w:p w14:paraId="12E31A6C" w14:textId="77777777" w:rsidR="00A77B3E" w:rsidRDefault="00A77B3E">
      <w:pPr>
        <w:spacing w:before="5pt"/>
        <w:rPr>
          <w:color w:val="000000"/>
          <w:sz w:val="0"/>
        </w:rPr>
      </w:pPr>
    </w:p>
    <w:p w14:paraId="2D795A08" w14:textId="77777777" w:rsidR="00A77B3E" w:rsidRDefault="00B16CCF">
      <w:pPr>
        <w:pStyle w:val="Naslov4"/>
        <w:spacing w:before="5pt" w:after="0pt"/>
        <w:rPr>
          <w:b w:val="0"/>
          <w:color w:val="000000"/>
          <w:sz w:val="24"/>
        </w:rPr>
      </w:pPr>
      <w:bookmarkStart w:id="111" w:name="_Toc256000872"/>
      <w:r>
        <w:rPr>
          <w:b w:val="0"/>
          <w:color w:val="000000"/>
          <w:sz w:val="24"/>
        </w:rPr>
        <w:t>2.1.1.1.1. Ukrepi skladov</w:t>
      </w:r>
      <w:bookmarkEnd w:id="111"/>
    </w:p>
    <w:p w14:paraId="237FB29C" w14:textId="77777777" w:rsidR="00A77B3E" w:rsidRDefault="00A77B3E">
      <w:pPr>
        <w:spacing w:before="5pt"/>
        <w:rPr>
          <w:color w:val="000000"/>
          <w:sz w:val="0"/>
        </w:rPr>
      </w:pPr>
    </w:p>
    <w:p w14:paraId="74F3CC02" w14:textId="77777777" w:rsidR="00A77B3E" w:rsidRDefault="00B16CCF">
      <w:pPr>
        <w:spacing w:before="5pt"/>
        <w:rPr>
          <w:color w:val="000000"/>
          <w:sz w:val="0"/>
        </w:rPr>
      </w:pPr>
      <w:r>
        <w:rPr>
          <w:color w:val="000000"/>
        </w:rPr>
        <w:t>Sklic: člen 22(3)(d)(i), (iii), (iv), (v), (vi) in (vii) uredbe o skupnih določbah</w:t>
      </w:r>
    </w:p>
    <w:p w14:paraId="47E6518D" w14:textId="77777777" w:rsidR="00A77B3E" w:rsidRDefault="00B16CCF">
      <w:pPr>
        <w:pStyle w:val="Naslov5"/>
        <w:spacing w:before="5pt" w:after="0pt"/>
        <w:rPr>
          <w:b w:val="0"/>
          <w:i w:val="0"/>
          <w:color w:val="000000"/>
          <w:sz w:val="24"/>
        </w:rPr>
      </w:pPr>
      <w:bookmarkStart w:id="112" w:name="_Toc256000873"/>
      <w:r>
        <w:rPr>
          <w:b w:val="0"/>
          <w:i w:val="0"/>
          <w:color w:val="000000"/>
          <w:sz w:val="24"/>
        </w:rPr>
        <w:t>Povezane vrste ukrepov – člen 22(3)(d)(i) uredbe o skupnih določbah in člen 6 uredbe o ESS+:</w:t>
      </w:r>
      <w:bookmarkEnd w:id="112"/>
    </w:p>
    <w:p w14:paraId="69D36C8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4E419C7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F877B9" w14:textId="77777777" w:rsidR="00A77B3E" w:rsidRDefault="00A77B3E">
            <w:pPr>
              <w:spacing w:before="5pt"/>
              <w:rPr>
                <w:color w:val="000000"/>
                <w:sz w:val="0"/>
              </w:rPr>
            </w:pPr>
          </w:p>
          <w:p w14:paraId="4D15E2E0" w14:textId="77777777" w:rsidR="00A77B3E" w:rsidRDefault="00B16CCF">
            <w:pPr>
              <w:spacing w:before="5pt"/>
              <w:rPr>
                <w:color w:val="000000"/>
              </w:rPr>
            </w:pPr>
            <w:r>
              <w:rPr>
                <w:color w:val="000000"/>
              </w:rPr>
              <w:t>Skladno s 5. členom Direktive 2012/27/EU o energetski učinkovitosti, bo Slovenija v obdobju od 2021 do 2030 morala energetsko prenoviti skoraj 26 mio m2 površin stavb oz. 1,3-1,7 mio m2 letno, od tega dobro tretjino v standardu skoraj nič-energijskih stavb, ter v skladu z DSEPS zagotoviti zmanjšanje emisij TGP v stavbah za vsaj 70 % do leta 2030 glede na leto 2005. Slovenija bo navedeno lahko dosegla z znatnim izboljšanjem energetske učinkovitosti in povečanjem izkoriščanja OVE v stavbah. V okviru zasledovanja cilja izboljšanja energetske učinkovitosti bo poseben poudarek namenjen gospodarstvu. Z namenom doseganja navedenih ciljev na področju spodbujanja energetske učinkovitosti ter zahtev evropskih direktiv, bodo vlaganja usmerjena v:</w:t>
            </w:r>
          </w:p>
          <w:p w14:paraId="5BAD9027" w14:textId="77777777" w:rsidR="00A77B3E" w:rsidRDefault="00B16CCF">
            <w:pPr>
              <w:spacing w:before="5pt"/>
              <w:rPr>
                <w:color w:val="000000"/>
              </w:rPr>
            </w:pPr>
            <w:r>
              <w:rPr>
                <w:color w:val="000000"/>
              </w:rPr>
              <w:t xml:space="preserve">• </w:t>
            </w:r>
            <w:r>
              <w:rPr>
                <w:i/>
                <w:iCs/>
                <w:color w:val="000000"/>
              </w:rPr>
              <w:t>ukrepe energetskih prenov stavb (tudi javnih) z upoštevanjem trajnostne gradnje ter naprednim upravljanjem sistemov v in na stavbah (tudi javnih): v</w:t>
            </w:r>
            <w:r>
              <w:rPr>
                <w:color w:val="000000"/>
              </w:rPr>
              <w:t>laganja v energetsko prenovo stavb se bodo izvajala skladno z DSEPS, podpore pa bodo usmerjene tudi k ukrepom za izboljšanje upravljanja z energijo. Pri izvedbi ukrepov bomo upoštevali omilitvene ukrepe in usmeritve za varstvo okolja iz posodobljenega NEPN 2024 [1] ter smiselno prilagojene omilitvene ukrepe na področju stavb kulturne dediščine. V okviru NOO se je osredotočalo primarno na obnovo in nadgradnjo posameznih stavbnih sistemov v stavbah, ki so v epidemiji covid-19 najbolj rizične za širjenje virusa, saj opravljajo nujne upravne in druge družbeno pomembne funkcije za zagotavljanje nemotenega dela državne uprave in opravljanje nujnih storitev za prebivalstvo. Poleg energetske obnove se je v manjšem delu predvidelo tudi druge oblike obnove, npr. protipotresna sanacija. Financiranje iz EKP bo naslavljalo preostale stavbe, ki niso bile zajete v NOO, so pa nujno potrebne prenove zaradi svoje slabe energetske učinkovitosti. Z ukrepi bomo prispevali k cilju Slovenije povečanja energetske učinkovitosti do leta 2030 za vsaj 35 %, tj. da ob sistematičnem izvajanju sprejetih politik in ukrepov končna raba energije leta 2030 ne bo presegla 54,9 TWh (4.717 ktoe). V skladu z navedenim je na tem področju predviden naslednji podukrep:</w:t>
            </w:r>
          </w:p>
          <w:p w14:paraId="2C800DC6" w14:textId="77777777" w:rsidR="00A77B3E" w:rsidRDefault="00B16CCF">
            <w:pPr>
              <w:numPr>
                <w:ilvl w:val="0"/>
                <w:numId w:val="17"/>
              </w:numPr>
              <w:spacing w:before="5pt"/>
              <w:rPr>
                <w:color w:val="000000"/>
              </w:rPr>
            </w:pPr>
            <w:r>
              <w:rPr>
                <w:color w:val="000000"/>
              </w:rPr>
              <w:t>Postopna celovita energetska prenova stavb v gospodarstvu (za poslovne subjekte, pravne ali fizične osebe, ki opravljajo gospodrsko dejavnost, ne glede na njihovo obliko, razen njihovih podružnic v tujini in ki so hkrati lastniki ali solastniki stavb na/v katerih se izvajajo ukrepi) pri čemer bodo predmet financiranja komplementarni ukrepi obnovljivih virov energije, ki prispevajo k ciljem učinkovite rabe energije. Te stavbe predstavljajo velik tehnični potencial za celovito energetsko prenovo, kar bi pripomoglo k doseganju zastavljenih ciljev na področju energetske učinkovitosti ter na področju rabe obnovljivih virov v skladu s posodobljenim NEPN 2024 [1] in DSEPS 2050. Učinkovita raba energije (v nadaljevanju: URE) in izraba OVE majhnim in srednje velikim podjetjem omogočata predvsem zmanjšanje stroškov za energijo in s tem izboljšanje poslovanja. Zaradi omejene velikosti ta podjetja običajno nimajo dovolj kadra in znanja in ne prepoznajo priložnosti, ki jih prinašajo ukrepi URE in OVE. Za to ciljno skupino stavb je smiselno oblikovati poseben ukrep, ki bo pospešil ter pomagal odpraviti ovire, da se delež prenove stavb poslovnih subjektov poveča.</w:t>
            </w:r>
          </w:p>
          <w:p w14:paraId="479D2418" w14:textId="77777777" w:rsidR="00A77B3E" w:rsidRDefault="00B16CCF">
            <w:pPr>
              <w:spacing w:before="5pt"/>
              <w:rPr>
                <w:color w:val="000000"/>
              </w:rPr>
            </w:pPr>
            <w:r>
              <w:rPr>
                <w:color w:val="000000"/>
              </w:rPr>
              <w:t xml:space="preserve">• </w:t>
            </w:r>
            <w:r>
              <w:rPr>
                <w:i/>
                <w:iCs/>
                <w:color w:val="000000"/>
              </w:rPr>
              <w:t xml:space="preserve">ukrepe ozaveščanja socialno ranljivih skupin in omogočanja njihovega dostopa do nepovratnih sredstev ter zmanjšanja energetske revščine: </w:t>
            </w:r>
            <w:r>
              <w:rPr>
                <w:color w:val="000000"/>
              </w:rPr>
              <w:t>z ukrepom se želi</w:t>
            </w:r>
            <w:r>
              <w:rPr>
                <w:i/>
                <w:iCs/>
                <w:color w:val="000000"/>
              </w:rPr>
              <w:t xml:space="preserve"> </w:t>
            </w:r>
            <w:r>
              <w:rPr>
                <w:color w:val="000000"/>
              </w:rPr>
              <w:t xml:space="preserve">prispevati k zmanjšanju energetske revščine in izboljšanju zdravja ter kvalitete življenja ljudi, ki jih prizadene energetska revščina. Načrtuje se nadgradnja instrumenta za URE v gospodinjstvih za ranljive skupine prebivalstva. V finančni perspektivi za obdobje 2014-2020 je že bilo namenjeno 5 </w:t>
            </w:r>
            <w:r>
              <w:rPr>
                <w:color w:val="000000"/>
              </w:rPr>
              <w:lastRenderedPageBreak/>
              <w:t>milijonov evrov za reševanje energetske revščine s subvencioniranjem ukrepov URE. Izkušnje na osnovi izvedenih ukrepov iz obdobja 2014-2020 bodo predvsem pripomogle pri identificiranju ustreznih najbolj ranljivih deležnikov, kakor tudi pri oblikovanju ustreznih upravičenih stroškov energetske učinkovitosti. Prav tako so se izkazali tudi večji izzivi na področju komuniciranja z prejemniki oz. upravičenci teh ukrepov, saj so to v velikem deležu slabo pismeni ljudje, ki imajo večje težave že s samo pripravo vloge. Ukrepi na tem področju bodo zato namenjeni tako naložbam kot tudi svetovanju in ukrepom za spremembe vedenjskih navad. Svetovanje in druga izvedbena pomoč bodo namenjeni odpravi ovir, s katerimi se sooča ta ciljna skupina (dostop do informacij, veščine za izvedbo ukrepov ipd.), in se bodo kar najbolj naslonili na izkušnje pri nudenju pomoči tej ciljni skupini na drugih področjih.</w:t>
            </w:r>
          </w:p>
          <w:p w14:paraId="727E8B47" w14:textId="77777777" w:rsidR="00A77B3E" w:rsidRDefault="00B16CCF">
            <w:pPr>
              <w:spacing w:before="5pt"/>
              <w:rPr>
                <w:color w:val="000000"/>
              </w:rPr>
            </w:pPr>
            <w:r>
              <w:rPr>
                <w:color w:val="000000"/>
              </w:rPr>
              <w:t>Za namen razvoja obstoječih in spodbujanja nastanka novih izvajalcev energetskega pogodbeništva oziroma podjetij za energetske storitve (ESCO MSP) se predvideva proučitev možnosti oblikovanja pilotnega produkta finančnega instrumenta za krepitev ESCO MSP kot na primer z zagotovitvijo garancij (prek garancijskih shem) in/ali s krepitvijo kapitala ESCO MSP prek (navideznega) lastniškega financiranja in/ali z izdajo zelenih obveznic ter z morebitnimi drugimi produkti.</w:t>
            </w:r>
          </w:p>
          <w:p w14:paraId="7BB20578" w14:textId="77777777" w:rsidR="00A77B3E" w:rsidRDefault="00B16CCF">
            <w:pPr>
              <w:spacing w:before="5pt"/>
              <w:rPr>
                <w:color w:val="000000"/>
              </w:rPr>
            </w:pPr>
            <w:r>
              <w:rPr>
                <w:color w:val="000000"/>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Noben izmed predvidenih ukrepov v okviru tega SC nima bistvenega škodljivega vpliva na katerega koli od šestih okoljskih ciljev ob upoštevanju tehničnih meril, navedenih v Prilogi: DNSH.</w:t>
            </w:r>
          </w:p>
          <w:p w14:paraId="7788D556" w14:textId="77777777" w:rsidR="00A77B3E" w:rsidRDefault="00B16CCF">
            <w:pPr>
              <w:spacing w:before="5pt"/>
              <w:rPr>
                <w:color w:val="000000"/>
              </w:rPr>
            </w:pPr>
            <w:r>
              <w:rPr>
                <w:color w:val="000000"/>
              </w:rPr>
              <w:t>[1]https://www.energetika-portal.si/fileadmin/dokumenti/publikacije/nepn/dokumenti/nepn2024_final_dec2024.pdf</w:t>
            </w:r>
          </w:p>
          <w:p w14:paraId="576D311D" w14:textId="77777777" w:rsidR="00A77B3E" w:rsidRDefault="00A77B3E">
            <w:pPr>
              <w:spacing w:before="5pt"/>
              <w:rPr>
                <w:color w:val="000000"/>
                <w:sz w:val="6"/>
              </w:rPr>
            </w:pPr>
          </w:p>
          <w:p w14:paraId="1301FC88" w14:textId="77777777" w:rsidR="00A77B3E" w:rsidRDefault="00A77B3E">
            <w:pPr>
              <w:spacing w:before="5pt"/>
              <w:rPr>
                <w:color w:val="000000"/>
                <w:sz w:val="6"/>
              </w:rPr>
            </w:pPr>
          </w:p>
        </w:tc>
      </w:tr>
    </w:tbl>
    <w:p w14:paraId="461C3767" w14:textId="77777777" w:rsidR="00A77B3E" w:rsidRDefault="00A77B3E">
      <w:pPr>
        <w:spacing w:before="5pt"/>
        <w:rPr>
          <w:color w:val="000000"/>
        </w:rPr>
      </w:pPr>
    </w:p>
    <w:p w14:paraId="438650C5" w14:textId="77777777" w:rsidR="00A77B3E" w:rsidRDefault="00B16CCF">
      <w:pPr>
        <w:pStyle w:val="Naslov5"/>
        <w:spacing w:before="5pt" w:after="0pt"/>
        <w:rPr>
          <w:b w:val="0"/>
          <w:i w:val="0"/>
          <w:color w:val="000000"/>
          <w:sz w:val="24"/>
        </w:rPr>
      </w:pPr>
      <w:bookmarkStart w:id="113" w:name="_Toc256000874"/>
      <w:r>
        <w:rPr>
          <w:b w:val="0"/>
          <w:i w:val="0"/>
          <w:color w:val="000000"/>
          <w:sz w:val="24"/>
        </w:rPr>
        <w:t>Glavne ciljne skupine – člen 22(3)(d)(iii) uredbe o skupnih določbah:</w:t>
      </w:r>
      <w:bookmarkEnd w:id="113"/>
    </w:p>
    <w:p w14:paraId="12D5740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7D40D2D8"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D1F270" w14:textId="77777777" w:rsidR="00A77B3E" w:rsidRDefault="00A77B3E">
            <w:pPr>
              <w:spacing w:before="5pt"/>
              <w:rPr>
                <w:color w:val="000000"/>
                <w:sz w:val="0"/>
              </w:rPr>
            </w:pPr>
          </w:p>
          <w:p w14:paraId="0E4E72C1" w14:textId="77777777" w:rsidR="00A77B3E" w:rsidRDefault="00B16CCF">
            <w:pPr>
              <w:spacing w:before="5pt"/>
              <w:rPr>
                <w:color w:val="000000"/>
              </w:rPr>
            </w:pPr>
            <w:r>
              <w:rPr>
                <w:color w:val="000000"/>
              </w:rPr>
              <w:t xml:space="preserve">Ciljne skupine: podjetja, javni sektor, lokalne skupnosti, gospodinjstva, gospodinjstva z nizkimi prihodki, izvajalci pogodbenega zagotavljanja prihrankov, poslovni subjekti (pravne ali fizične osebe, ki opravljajo gospodarsko dejavnost ne glede na njihovo obliko, razen njihovih podružnic v tujini in ki so hkrati lastniki ali solastniki stavb v/na katerih se izvajajo ukrepi. </w:t>
            </w:r>
          </w:p>
          <w:p w14:paraId="72951533" w14:textId="77777777" w:rsidR="00A77B3E" w:rsidRDefault="00B16CCF">
            <w:pPr>
              <w:spacing w:before="5pt"/>
              <w:rPr>
                <w:color w:val="000000"/>
              </w:rPr>
            </w:pPr>
            <w:r>
              <w:rPr>
                <w:color w:val="000000"/>
              </w:rPr>
              <w:t>Upravičenci: podjetja, državna uprava, javni sektor, lokalne skupnosti, nevladne organizacije (prednost bodo imele organizacije, ki imajo dostop do oseb z nizkimi prihodki), zadruge (npr. stanovanjske), zbornice.</w:t>
            </w:r>
          </w:p>
          <w:p w14:paraId="5C5B437B" w14:textId="77777777" w:rsidR="00A77B3E" w:rsidRDefault="00A77B3E">
            <w:pPr>
              <w:spacing w:before="5pt"/>
              <w:rPr>
                <w:color w:val="000000"/>
                <w:sz w:val="6"/>
              </w:rPr>
            </w:pPr>
          </w:p>
          <w:p w14:paraId="3438AC90" w14:textId="77777777" w:rsidR="00A77B3E" w:rsidRDefault="00A77B3E">
            <w:pPr>
              <w:spacing w:before="5pt"/>
              <w:rPr>
                <w:color w:val="000000"/>
                <w:sz w:val="6"/>
              </w:rPr>
            </w:pPr>
          </w:p>
        </w:tc>
      </w:tr>
    </w:tbl>
    <w:p w14:paraId="3AE5B410" w14:textId="77777777" w:rsidR="00A77B3E" w:rsidRDefault="00A77B3E">
      <w:pPr>
        <w:spacing w:before="5pt"/>
        <w:rPr>
          <w:color w:val="000000"/>
        </w:rPr>
      </w:pPr>
    </w:p>
    <w:p w14:paraId="19398C94" w14:textId="77777777" w:rsidR="00A77B3E" w:rsidRDefault="00B16CCF">
      <w:pPr>
        <w:pStyle w:val="Naslov5"/>
        <w:spacing w:before="5pt" w:after="0pt"/>
        <w:rPr>
          <w:b w:val="0"/>
          <w:i w:val="0"/>
          <w:color w:val="000000"/>
          <w:sz w:val="24"/>
        </w:rPr>
      </w:pPr>
      <w:bookmarkStart w:id="114" w:name="_Toc256000875"/>
      <w:r>
        <w:rPr>
          <w:b w:val="0"/>
          <w:i w:val="0"/>
          <w:color w:val="000000"/>
          <w:sz w:val="24"/>
        </w:rPr>
        <w:t>Ukrepi za zaščito enakosti, vključenosti in nediskriminacije – člen 22(3)(d)(iv) uredbe o skupnih določbah in člen 6 uredbe o ESS+</w:t>
      </w:r>
      <w:bookmarkEnd w:id="114"/>
    </w:p>
    <w:p w14:paraId="4FD2B72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3BAA1EB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C9EFAB" w14:textId="77777777" w:rsidR="00A77B3E" w:rsidRDefault="00A77B3E">
            <w:pPr>
              <w:spacing w:before="5pt"/>
              <w:rPr>
                <w:color w:val="000000"/>
                <w:sz w:val="0"/>
              </w:rPr>
            </w:pPr>
          </w:p>
          <w:p w14:paraId="1AFC676A" w14:textId="77777777" w:rsidR="00A77B3E" w:rsidRDefault="00B16CCF">
            <w:pPr>
              <w:spacing w:before="5pt"/>
              <w:rPr>
                <w:color w:val="000000"/>
              </w:rPr>
            </w:pPr>
            <w:r>
              <w:rPr>
                <w:color w:val="000000"/>
              </w:rPr>
              <w:t xml:space="preserve">Pri načrtovanju, izvedbi in spremljanju ukrepov bodo spoštovana načela enakosti spolov, enakih možnosti in nediskriminacije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w:t>
            </w:r>
            <w:r>
              <w:rPr>
                <w:color w:val="000000"/>
              </w:rPr>
              <w:lastRenderedPageBreak/>
              <w:t xml:space="preserve">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 </w:t>
            </w:r>
          </w:p>
          <w:p w14:paraId="6017FD63" w14:textId="77777777" w:rsidR="00A77B3E" w:rsidRDefault="00A77B3E">
            <w:pPr>
              <w:spacing w:before="5pt"/>
              <w:rPr>
                <w:color w:val="000000"/>
              </w:rPr>
            </w:pPr>
          </w:p>
          <w:p w14:paraId="13609B6E" w14:textId="77777777" w:rsidR="00A77B3E" w:rsidRDefault="00B16CCF">
            <w:pPr>
              <w:spacing w:before="5pt"/>
              <w:rPr>
                <w:color w:val="000000"/>
              </w:rPr>
            </w:pPr>
            <w:r>
              <w:rPr>
                <w:color w:val="000000"/>
              </w:rPr>
              <w:t>Dodatno bodo pri izvajanju gradbenih ukrepov objekti izpolnjevali tehnične zahteve, s katerimi se prilagodijo tako, da so nediskriminatorni do vseh oblik začasne ali trajne invalidnosti in so prilagojeni ranljivim skupinam prebivalstva. Ukrep ozaveščanja socialno ranljivih skupin in omogočanja njihovega dostopa do nepovratnih sredstev ter zmanjšanja energetske revščine pa je po sami vsebini namenjen zmanjševanju socialne revščine in s tem socialnemu vključevanju najbolj ranljivih skupin.</w:t>
            </w:r>
          </w:p>
          <w:p w14:paraId="7C3783FA" w14:textId="77777777" w:rsidR="00A77B3E" w:rsidRDefault="00A77B3E">
            <w:pPr>
              <w:spacing w:before="5pt"/>
              <w:rPr>
                <w:color w:val="000000"/>
                <w:sz w:val="6"/>
              </w:rPr>
            </w:pPr>
          </w:p>
          <w:p w14:paraId="78CF16C9" w14:textId="77777777" w:rsidR="00A77B3E" w:rsidRDefault="00A77B3E">
            <w:pPr>
              <w:spacing w:before="5pt"/>
              <w:rPr>
                <w:color w:val="000000"/>
                <w:sz w:val="6"/>
              </w:rPr>
            </w:pPr>
          </w:p>
        </w:tc>
      </w:tr>
    </w:tbl>
    <w:p w14:paraId="086962DF" w14:textId="77777777" w:rsidR="00A77B3E" w:rsidRDefault="00A77B3E">
      <w:pPr>
        <w:spacing w:before="5pt"/>
        <w:rPr>
          <w:color w:val="000000"/>
        </w:rPr>
      </w:pPr>
    </w:p>
    <w:p w14:paraId="4E02B950" w14:textId="77777777" w:rsidR="00A77B3E" w:rsidRDefault="00B16CCF">
      <w:pPr>
        <w:pStyle w:val="Naslov5"/>
        <w:spacing w:before="5pt" w:after="0pt"/>
        <w:rPr>
          <w:b w:val="0"/>
          <w:i w:val="0"/>
          <w:color w:val="000000"/>
          <w:sz w:val="24"/>
        </w:rPr>
      </w:pPr>
      <w:bookmarkStart w:id="115" w:name="_Toc256000876"/>
      <w:r>
        <w:rPr>
          <w:b w:val="0"/>
          <w:i w:val="0"/>
          <w:color w:val="000000"/>
          <w:sz w:val="24"/>
        </w:rPr>
        <w:t>Navedba specifičnih ciljnih ozemelj, vključno z načrtovano uporabo teritorialnih orodij – člen 22(3)(d)(v) uredbe o skupnih določbah</w:t>
      </w:r>
      <w:bookmarkEnd w:id="115"/>
    </w:p>
    <w:p w14:paraId="598C03A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2D18480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753CD0" w14:textId="77777777" w:rsidR="00A77B3E" w:rsidRDefault="00A77B3E">
            <w:pPr>
              <w:spacing w:before="5pt"/>
              <w:rPr>
                <w:color w:val="000000"/>
                <w:sz w:val="0"/>
              </w:rPr>
            </w:pPr>
          </w:p>
          <w:p w14:paraId="0BAAF047" w14:textId="77777777" w:rsidR="00A77B3E" w:rsidRDefault="00B16CCF">
            <w:pPr>
              <w:spacing w:before="5pt"/>
              <w:rPr>
                <w:color w:val="000000"/>
              </w:rPr>
            </w:pPr>
            <w:r>
              <w:rPr>
                <w:color w:val="000000"/>
              </w:rPr>
              <w:t>V okviru navedenega specifičnega cilja ni predvidena uporaba teritorialnih orodij.</w:t>
            </w:r>
          </w:p>
          <w:p w14:paraId="37D078E2" w14:textId="77777777" w:rsidR="00A77B3E" w:rsidRDefault="00A77B3E">
            <w:pPr>
              <w:spacing w:before="5pt"/>
              <w:rPr>
                <w:color w:val="000000"/>
                <w:sz w:val="6"/>
              </w:rPr>
            </w:pPr>
          </w:p>
          <w:p w14:paraId="53BA4C91" w14:textId="77777777" w:rsidR="00A77B3E" w:rsidRDefault="00A77B3E">
            <w:pPr>
              <w:spacing w:before="5pt"/>
              <w:rPr>
                <w:color w:val="000000"/>
                <w:sz w:val="6"/>
              </w:rPr>
            </w:pPr>
          </w:p>
        </w:tc>
      </w:tr>
    </w:tbl>
    <w:p w14:paraId="1790A105" w14:textId="77777777" w:rsidR="00A77B3E" w:rsidRDefault="00A77B3E">
      <w:pPr>
        <w:spacing w:before="5pt"/>
        <w:rPr>
          <w:color w:val="000000"/>
        </w:rPr>
      </w:pPr>
    </w:p>
    <w:p w14:paraId="227DFA2F" w14:textId="77777777" w:rsidR="00A77B3E" w:rsidRDefault="00B16CCF">
      <w:pPr>
        <w:pStyle w:val="Naslov5"/>
        <w:spacing w:before="5pt" w:after="0pt"/>
        <w:rPr>
          <w:b w:val="0"/>
          <w:i w:val="0"/>
          <w:color w:val="000000"/>
          <w:sz w:val="24"/>
        </w:rPr>
      </w:pPr>
      <w:bookmarkStart w:id="116" w:name="_Toc256000877"/>
      <w:r>
        <w:rPr>
          <w:b w:val="0"/>
          <w:i w:val="0"/>
          <w:color w:val="000000"/>
          <w:sz w:val="24"/>
        </w:rPr>
        <w:t>Medregionalni, čezmejni in transnacionalni ukrepi – člen 22(3)(d)(vi) uredbe o skupnih določbah</w:t>
      </w:r>
      <w:bookmarkEnd w:id="116"/>
    </w:p>
    <w:p w14:paraId="55F3ADD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712E6B20"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613055" w14:textId="77777777" w:rsidR="00A77B3E" w:rsidRDefault="00A77B3E">
            <w:pPr>
              <w:spacing w:before="5pt"/>
              <w:rPr>
                <w:color w:val="000000"/>
                <w:sz w:val="0"/>
              </w:rPr>
            </w:pPr>
          </w:p>
          <w:p w14:paraId="2B87DFD5" w14:textId="77777777" w:rsidR="00A77B3E" w:rsidRDefault="00B16CCF">
            <w:pPr>
              <w:spacing w:before="5pt"/>
              <w:rPr>
                <w:color w:val="000000"/>
              </w:rPr>
            </w:pPr>
            <w:r>
              <w:rPr>
                <w:color w:val="000000"/>
              </w:rPr>
              <w:t>V okviru predmetnega specifičnega cilja ni načrtovana izvedba medregionalnih, čezmejnih in transnacionalnih ukrepov, saj gre za ukrepe spodbujanja energetske učinkovitosti in zmanjšanja emisij toplogrednih plinov, ki so namenjeni prvenstveno ciljnim skupinam na območju Slovenije.</w:t>
            </w:r>
          </w:p>
          <w:p w14:paraId="16A2B5A4" w14:textId="77777777" w:rsidR="00A77B3E" w:rsidRDefault="00A77B3E">
            <w:pPr>
              <w:spacing w:before="5pt"/>
              <w:rPr>
                <w:color w:val="000000"/>
                <w:sz w:val="6"/>
              </w:rPr>
            </w:pPr>
          </w:p>
          <w:p w14:paraId="7B1F0C79" w14:textId="77777777" w:rsidR="00A77B3E" w:rsidRDefault="00A77B3E">
            <w:pPr>
              <w:spacing w:before="5pt"/>
              <w:rPr>
                <w:color w:val="000000"/>
                <w:sz w:val="6"/>
              </w:rPr>
            </w:pPr>
          </w:p>
        </w:tc>
      </w:tr>
    </w:tbl>
    <w:p w14:paraId="1CD09D7E" w14:textId="77777777" w:rsidR="00A77B3E" w:rsidRDefault="00A77B3E">
      <w:pPr>
        <w:spacing w:before="5pt"/>
        <w:rPr>
          <w:color w:val="000000"/>
        </w:rPr>
      </w:pPr>
    </w:p>
    <w:p w14:paraId="0A36AFC9" w14:textId="77777777" w:rsidR="00A77B3E" w:rsidRDefault="00B16CCF">
      <w:pPr>
        <w:pStyle w:val="Naslov5"/>
        <w:spacing w:before="5pt" w:after="0pt"/>
        <w:rPr>
          <w:b w:val="0"/>
          <w:i w:val="0"/>
          <w:color w:val="000000"/>
          <w:sz w:val="24"/>
        </w:rPr>
      </w:pPr>
      <w:bookmarkStart w:id="117" w:name="_Toc256000878"/>
      <w:r>
        <w:rPr>
          <w:b w:val="0"/>
          <w:i w:val="0"/>
          <w:color w:val="000000"/>
          <w:sz w:val="24"/>
        </w:rPr>
        <w:t>Načrtovana uporaba finančnih instrumentov – člen 22(3)(d)(vii) uredbe o skupnih določbah</w:t>
      </w:r>
      <w:bookmarkEnd w:id="117"/>
    </w:p>
    <w:p w14:paraId="6F0270A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417A9A4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A8D78A" w14:textId="77777777" w:rsidR="00A77B3E" w:rsidRDefault="00A77B3E">
            <w:pPr>
              <w:spacing w:before="5pt"/>
              <w:rPr>
                <w:color w:val="000000"/>
                <w:sz w:val="0"/>
              </w:rPr>
            </w:pPr>
          </w:p>
          <w:p w14:paraId="2761A260" w14:textId="77777777" w:rsidR="00A77B3E" w:rsidRDefault="00B16CCF">
            <w:pPr>
              <w:spacing w:before="5pt"/>
              <w:rPr>
                <w:color w:val="000000"/>
              </w:rPr>
            </w:pPr>
            <w:r>
              <w:rPr>
                <w:color w:val="000000"/>
              </w:rPr>
              <w:t>V Predhodni oceni potreb trga in vrzeli financiranja na trgu za izvajanje finančnih instrumentov v programskem obdobju 2021-2027 (julij 2022) je bilo ugotovljeno, da je vrzel pri doseganju ciljev posodobljenega NEPN 2024 [1] in drugih ključnih strateških dokumentov na področju investicij v energetsko učinkovitost dovolj velika, da je uporaba finančnih instrumentov (v nadaljevanju: FI) smiselna. Uporaba FI je predvidena pri energetski prenovi stavb poslovnih subjektov.</w:t>
            </w:r>
          </w:p>
          <w:p w14:paraId="679EFD29" w14:textId="77777777" w:rsidR="00A77B3E" w:rsidRDefault="00B16CCF">
            <w:pPr>
              <w:spacing w:before="5pt"/>
              <w:rPr>
                <w:color w:val="000000"/>
              </w:rPr>
            </w:pPr>
            <w:r>
              <w:rPr>
                <w:color w:val="000000"/>
              </w:rPr>
              <w:t>Za preostale ciljne skupine se bo nepovratna podpora iz EU skladov dopolnjevala s podporo iz nacionalnih sredstev oblikovanih FI.</w:t>
            </w:r>
          </w:p>
          <w:p w14:paraId="59630840" w14:textId="77777777" w:rsidR="00A77B3E" w:rsidRDefault="00B16CCF">
            <w:pPr>
              <w:spacing w:before="5pt"/>
              <w:rPr>
                <w:color w:val="000000"/>
              </w:rPr>
            </w:pPr>
            <w:r>
              <w:rPr>
                <w:color w:val="000000"/>
              </w:rPr>
              <w:lastRenderedPageBreak/>
              <w:t>[1] https://www.energetika-portal.si/fileadmin/dokumenti/publikacije/nepn/dokumenti/nepn2024_final_dec2024.pdf</w:t>
            </w:r>
          </w:p>
          <w:p w14:paraId="474070D7" w14:textId="77777777" w:rsidR="00A77B3E" w:rsidRDefault="00A77B3E">
            <w:pPr>
              <w:spacing w:before="5pt"/>
              <w:rPr>
                <w:color w:val="000000"/>
                <w:sz w:val="6"/>
              </w:rPr>
            </w:pPr>
          </w:p>
          <w:p w14:paraId="0E35D009" w14:textId="77777777" w:rsidR="00A77B3E" w:rsidRDefault="00A77B3E">
            <w:pPr>
              <w:spacing w:before="5pt"/>
              <w:rPr>
                <w:color w:val="000000"/>
                <w:sz w:val="6"/>
              </w:rPr>
            </w:pPr>
          </w:p>
        </w:tc>
      </w:tr>
    </w:tbl>
    <w:p w14:paraId="177D4154" w14:textId="77777777" w:rsidR="00A77B3E" w:rsidRDefault="00A77B3E">
      <w:pPr>
        <w:spacing w:before="5pt"/>
        <w:rPr>
          <w:color w:val="000000"/>
        </w:rPr>
      </w:pPr>
    </w:p>
    <w:p w14:paraId="3B3FFB73" w14:textId="77777777" w:rsidR="00A77B3E" w:rsidRDefault="00B16CCF">
      <w:pPr>
        <w:pStyle w:val="Naslov4"/>
        <w:spacing w:before="5pt" w:after="0pt"/>
        <w:rPr>
          <w:b w:val="0"/>
          <w:color w:val="000000"/>
          <w:sz w:val="24"/>
        </w:rPr>
      </w:pPr>
      <w:bookmarkStart w:id="118" w:name="_Toc256000879"/>
      <w:r>
        <w:rPr>
          <w:b w:val="0"/>
          <w:color w:val="000000"/>
          <w:sz w:val="24"/>
        </w:rPr>
        <w:t>2.1.1.1.2. Kazalniki</w:t>
      </w:r>
      <w:bookmarkEnd w:id="118"/>
    </w:p>
    <w:p w14:paraId="209E2CA4" w14:textId="77777777" w:rsidR="00A77B3E" w:rsidRDefault="00A77B3E">
      <w:pPr>
        <w:spacing w:before="5pt"/>
        <w:rPr>
          <w:color w:val="000000"/>
          <w:sz w:val="0"/>
        </w:rPr>
      </w:pPr>
    </w:p>
    <w:p w14:paraId="6F235C74" w14:textId="77777777" w:rsidR="00A77B3E" w:rsidRDefault="00B16CCF">
      <w:pPr>
        <w:spacing w:before="5pt"/>
        <w:rPr>
          <w:color w:val="000000"/>
          <w:sz w:val="0"/>
        </w:rPr>
      </w:pPr>
      <w:r>
        <w:rPr>
          <w:color w:val="000000"/>
        </w:rPr>
        <w:t>Sklic: člen 22(3)(d)(ii) uredbe o skupnih določbah in člen 8 uredbe o ESRR in Kohezijskem skladu</w:t>
      </w:r>
    </w:p>
    <w:p w14:paraId="3A9EB5EB" w14:textId="77777777" w:rsidR="00A77B3E" w:rsidRDefault="00B16CCF">
      <w:pPr>
        <w:pStyle w:val="Naslov5"/>
        <w:spacing w:before="5pt" w:after="0pt"/>
        <w:rPr>
          <w:b w:val="0"/>
          <w:i w:val="0"/>
          <w:color w:val="000000"/>
          <w:sz w:val="24"/>
        </w:rPr>
      </w:pPr>
      <w:bookmarkStart w:id="119" w:name="_Toc256000880"/>
      <w:r>
        <w:rPr>
          <w:b w:val="0"/>
          <w:i w:val="0"/>
          <w:color w:val="000000"/>
          <w:sz w:val="24"/>
        </w:rPr>
        <w:t>Tabela 2: Kazalniki učinka</w:t>
      </w:r>
      <w:bookmarkEnd w:id="119"/>
    </w:p>
    <w:p w14:paraId="75B5C1D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782"/>
        <w:gridCol w:w="1644"/>
        <w:gridCol w:w="1096"/>
        <w:gridCol w:w="1704"/>
        <w:gridCol w:w="1977"/>
        <w:gridCol w:w="2233"/>
        <w:gridCol w:w="1880"/>
        <w:gridCol w:w="1232"/>
        <w:gridCol w:w="1624"/>
      </w:tblGrid>
      <w:tr w:rsidR="00823317" w14:paraId="394259D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DB8F7B"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1C4B1B"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A7A3A74"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21407E"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CB3FF22"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4FA1A1"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F87500"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AD8732" w14:textId="77777777" w:rsidR="00A77B3E" w:rsidRDefault="00B16CCF">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286F4A" w14:textId="77777777" w:rsidR="00A77B3E" w:rsidRDefault="00B16CCF">
            <w:pPr>
              <w:spacing w:before="5pt"/>
              <w:jc w:val="center"/>
              <w:rPr>
                <w:color w:val="000000"/>
                <w:sz w:val="20"/>
              </w:rPr>
            </w:pPr>
            <w:r>
              <w:rPr>
                <w:color w:val="000000"/>
                <w:sz w:val="20"/>
              </w:rPr>
              <w:t>Cilj (2029)</w:t>
            </w:r>
          </w:p>
        </w:tc>
      </w:tr>
      <w:tr w:rsidR="00823317" w14:paraId="4CC797A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7CDBBA"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0653DF" w14:textId="77777777" w:rsidR="00A77B3E" w:rsidRDefault="00B16CCF">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CC8209"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A535A9"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087C8B" w14:textId="77777777" w:rsidR="00A77B3E" w:rsidRDefault="00B16CCF">
            <w:pPr>
              <w:spacing w:before="5pt"/>
              <w:rPr>
                <w:color w:val="000000"/>
                <w:sz w:val="20"/>
              </w:rPr>
            </w:pPr>
            <w:r>
              <w:rPr>
                <w:color w:val="000000"/>
                <w:sz w:val="20"/>
              </w:rPr>
              <w:t>RCO18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9ECCC4" w14:textId="77777777" w:rsidR="00A77B3E" w:rsidRDefault="00B16CCF">
            <w:pPr>
              <w:spacing w:before="5pt"/>
              <w:rPr>
                <w:color w:val="000000"/>
                <w:sz w:val="20"/>
              </w:rPr>
            </w:pPr>
            <w:r>
              <w:rPr>
                <w:color w:val="000000"/>
                <w:sz w:val="20"/>
              </w:rPr>
              <w:t>Stanovanja z boljšo energijsko učinkovitostjo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22672C" w14:textId="77777777" w:rsidR="00A77B3E" w:rsidRDefault="00B16CCF">
            <w:pPr>
              <w:spacing w:before="5pt"/>
              <w:rPr>
                <w:color w:val="000000"/>
                <w:sz w:val="20"/>
              </w:rPr>
            </w:pPr>
            <w:r>
              <w:rPr>
                <w:color w:val="000000"/>
                <w:sz w:val="20"/>
              </w:rPr>
              <w:t>stanovanja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DCF972"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5A6AFF" w14:textId="77777777" w:rsidR="00A77B3E" w:rsidRDefault="00B16CCF">
            <w:pPr>
              <w:spacing w:before="5pt"/>
              <w:jc w:val="end"/>
              <w:rPr>
                <w:color w:val="000000"/>
                <w:sz w:val="20"/>
              </w:rPr>
            </w:pPr>
            <w:r>
              <w:rPr>
                <w:color w:val="000000"/>
                <w:sz w:val="20"/>
              </w:rPr>
              <w:t>476,00</w:t>
            </w:r>
          </w:p>
        </w:tc>
      </w:tr>
      <w:tr w:rsidR="00823317" w14:paraId="09CF2A4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117B12"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AB2B1E" w14:textId="77777777" w:rsidR="00A77B3E" w:rsidRDefault="00B16CCF">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A205FA"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CC06C2"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2C307F" w14:textId="77777777" w:rsidR="00A77B3E" w:rsidRDefault="00B16CCF">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4D40D1" w14:textId="77777777" w:rsidR="00A77B3E" w:rsidRDefault="00B16CCF">
            <w:pPr>
              <w:spacing w:before="5pt"/>
              <w:rPr>
                <w:color w:val="000000"/>
                <w:sz w:val="20"/>
              </w:rPr>
            </w:pPr>
            <w:r>
              <w:rPr>
                <w:color w:val="000000"/>
                <w:sz w:val="20"/>
              </w:rPr>
              <w:t>Zasebne stavbe z boljšo energetsko učinkovitostjo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BC731C" w14:textId="77777777" w:rsidR="00A77B3E" w:rsidRDefault="00B16CCF">
            <w:pPr>
              <w:spacing w:before="5pt"/>
              <w:rPr>
                <w:color w:val="000000"/>
                <w:sz w:val="20"/>
              </w:rPr>
            </w:pPr>
            <w:r>
              <w:rPr>
                <w:color w:val="000000"/>
                <w:sz w:val="20"/>
              </w:rPr>
              <w:t>skupna prenovljena neto tlorisna površina stavb (m2)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98C333"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85670D" w14:textId="77777777" w:rsidR="00A77B3E" w:rsidRDefault="00B16CCF">
            <w:pPr>
              <w:spacing w:before="5pt"/>
              <w:jc w:val="end"/>
              <w:rPr>
                <w:color w:val="000000"/>
                <w:sz w:val="20"/>
              </w:rPr>
            </w:pPr>
            <w:r>
              <w:rPr>
                <w:color w:val="000000"/>
                <w:sz w:val="20"/>
              </w:rPr>
              <w:t>14.205,00</w:t>
            </w:r>
          </w:p>
        </w:tc>
      </w:tr>
      <w:tr w:rsidR="00823317" w14:paraId="6AD0571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9697DF"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4D464B" w14:textId="77777777" w:rsidR="00A77B3E" w:rsidRDefault="00B16CCF">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8E5D86"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A6B2F3"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2BE2E0" w14:textId="77777777" w:rsidR="00A77B3E" w:rsidRDefault="00B16CCF">
            <w:pPr>
              <w:spacing w:before="5pt"/>
              <w:rPr>
                <w:color w:val="000000"/>
                <w:sz w:val="20"/>
              </w:rPr>
            </w:pPr>
            <w:r>
              <w:rPr>
                <w:color w:val="000000"/>
                <w:sz w:val="20"/>
              </w:rPr>
              <w:t>RCO18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AB99F9" w14:textId="77777777" w:rsidR="00A77B3E" w:rsidRDefault="00B16CCF">
            <w:pPr>
              <w:spacing w:before="5pt"/>
              <w:rPr>
                <w:color w:val="000000"/>
                <w:sz w:val="20"/>
              </w:rPr>
            </w:pPr>
            <w:r>
              <w:rPr>
                <w:color w:val="000000"/>
                <w:sz w:val="20"/>
              </w:rPr>
              <w:t>Stanovanja z boljšo energijsko učinkovitostjo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3E9CD5" w14:textId="77777777" w:rsidR="00A77B3E" w:rsidRDefault="00B16CCF">
            <w:pPr>
              <w:spacing w:before="5pt"/>
              <w:rPr>
                <w:color w:val="000000"/>
                <w:sz w:val="20"/>
              </w:rPr>
            </w:pPr>
            <w:r>
              <w:rPr>
                <w:color w:val="000000"/>
                <w:sz w:val="20"/>
              </w:rPr>
              <w:t>stanovanja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1353C6"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81ACD5" w14:textId="77777777" w:rsidR="00A77B3E" w:rsidRDefault="00B16CCF">
            <w:pPr>
              <w:spacing w:before="5pt"/>
              <w:jc w:val="end"/>
              <w:rPr>
                <w:color w:val="000000"/>
                <w:sz w:val="20"/>
              </w:rPr>
            </w:pPr>
            <w:r>
              <w:rPr>
                <w:color w:val="000000"/>
                <w:sz w:val="20"/>
              </w:rPr>
              <w:t>1.092,00</w:t>
            </w:r>
          </w:p>
        </w:tc>
      </w:tr>
      <w:tr w:rsidR="00823317" w14:paraId="78AB048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AA2D40"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96E210" w14:textId="77777777" w:rsidR="00A77B3E" w:rsidRDefault="00B16CCF">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6B7CA5"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999119"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6026AD" w14:textId="77777777" w:rsidR="00A77B3E" w:rsidRDefault="00B16CCF">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B89656" w14:textId="77777777" w:rsidR="00A77B3E" w:rsidRDefault="00B16CCF">
            <w:pPr>
              <w:spacing w:before="5pt"/>
              <w:rPr>
                <w:color w:val="000000"/>
                <w:sz w:val="20"/>
              </w:rPr>
            </w:pPr>
            <w:r>
              <w:rPr>
                <w:color w:val="000000"/>
                <w:sz w:val="20"/>
              </w:rPr>
              <w:t>Zasebne stavbe z boljšo energetsko učinkovitostjo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6C32C4" w14:textId="77777777" w:rsidR="00A77B3E" w:rsidRDefault="00B16CCF">
            <w:pPr>
              <w:spacing w:before="5pt"/>
              <w:rPr>
                <w:color w:val="000000"/>
                <w:sz w:val="20"/>
              </w:rPr>
            </w:pPr>
            <w:r>
              <w:rPr>
                <w:color w:val="000000"/>
                <w:sz w:val="20"/>
              </w:rPr>
              <w:t>skupna prenovljena neto tlorisna površina stavb (m2)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E454A9"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908780" w14:textId="77777777" w:rsidR="00A77B3E" w:rsidRDefault="00B16CCF">
            <w:pPr>
              <w:spacing w:before="5pt"/>
              <w:jc w:val="end"/>
              <w:rPr>
                <w:color w:val="000000"/>
                <w:sz w:val="20"/>
              </w:rPr>
            </w:pPr>
            <w:r>
              <w:rPr>
                <w:color w:val="000000"/>
                <w:sz w:val="20"/>
              </w:rPr>
              <w:t>26.738,00</w:t>
            </w:r>
          </w:p>
        </w:tc>
      </w:tr>
    </w:tbl>
    <w:p w14:paraId="53D89BE2" w14:textId="77777777" w:rsidR="00A77B3E" w:rsidRDefault="00A77B3E">
      <w:pPr>
        <w:spacing w:before="5pt"/>
        <w:rPr>
          <w:color w:val="000000"/>
          <w:sz w:val="20"/>
        </w:rPr>
      </w:pPr>
    </w:p>
    <w:p w14:paraId="37E110D5" w14:textId="77777777" w:rsidR="00A77B3E" w:rsidRDefault="00B16CCF">
      <w:pPr>
        <w:spacing w:before="5pt"/>
        <w:rPr>
          <w:color w:val="000000"/>
          <w:sz w:val="0"/>
        </w:rPr>
      </w:pPr>
      <w:r>
        <w:rPr>
          <w:color w:val="000000"/>
        </w:rPr>
        <w:t>Sklic: člen 22(3)(d)(ii) uredbe o skupnih določbah</w:t>
      </w:r>
    </w:p>
    <w:p w14:paraId="504F8C27" w14:textId="77777777" w:rsidR="00A77B3E" w:rsidRDefault="00B16CCF">
      <w:pPr>
        <w:pStyle w:val="Naslov5"/>
        <w:spacing w:before="5pt" w:after="0pt"/>
        <w:rPr>
          <w:b w:val="0"/>
          <w:i w:val="0"/>
          <w:color w:val="000000"/>
          <w:sz w:val="24"/>
        </w:rPr>
      </w:pPr>
      <w:bookmarkStart w:id="120" w:name="_Toc256000881"/>
      <w:r>
        <w:rPr>
          <w:b w:val="0"/>
          <w:i w:val="0"/>
          <w:color w:val="000000"/>
          <w:sz w:val="24"/>
        </w:rPr>
        <w:t>Tabela 3: Kazalniki rezultatov</w:t>
      </w:r>
      <w:bookmarkEnd w:id="120"/>
    </w:p>
    <w:p w14:paraId="16C086A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05"/>
        <w:gridCol w:w="1204"/>
        <w:gridCol w:w="803"/>
        <w:gridCol w:w="1248"/>
        <w:gridCol w:w="1449"/>
        <w:gridCol w:w="1478"/>
        <w:gridCol w:w="1348"/>
        <w:gridCol w:w="1319"/>
        <w:gridCol w:w="1348"/>
        <w:gridCol w:w="1319"/>
        <w:gridCol w:w="1305"/>
        <w:gridCol w:w="1046"/>
      </w:tblGrid>
      <w:tr w:rsidR="00823317" w14:paraId="7DEFF1A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FB0112"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64FD29"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50DDD9"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5B7A0B"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65B1EB"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674782"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2F167A"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7E0E67" w14:textId="77777777" w:rsidR="00A77B3E" w:rsidRDefault="00B16CCF">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FB5537" w14:textId="77777777" w:rsidR="00A77B3E" w:rsidRDefault="00B16CCF">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0109FB" w14:textId="77777777" w:rsidR="00A77B3E" w:rsidRDefault="00B16CCF">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E8A459" w14:textId="77777777" w:rsidR="00A77B3E" w:rsidRDefault="00B16CCF">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F5ACB8" w14:textId="77777777" w:rsidR="00A77B3E" w:rsidRDefault="00B16CCF">
            <w:pPr>
              <w:spacing w:before="5pt"/>
              <w:jc w:val="center"/>
              <w:rPr>
                <w:color w:val="000000"/>
                <w:sz w:val="20"/>
              </w:rPr>
            </w:pPr>
            <w:r>
              <w:rPr>
                <w:color w:val="000000"/>
                <w:sz w:val="20"/>
              </w:rPr>
              <w:t>Opombe</w:t>
            </w:r>
          </w:p>
        </w:tc>
      </w:tr>
      <w:tr w:rsidR="00823317" w14:paraId="13BE395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15D3D3"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6C4F25" w14:textId="77777777" w:rsidR="00A77B3E" w:rsidRDefault="00B16CCF">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252445"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ED3F23"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9BF3E8" w14:textId="77777777" w:rsidR="00A77B3E" w:rsidRDefault="00B16CCF">
            <w:pPr>
              <w:spacing w:before="5pt"/>
              <w:rPr>
                <w:color w:val="000000"/>
                <w:sz w:val="20"/>
              </w:rPr>
            </w:pPr>
            <w:r>
              <w:rPr>
                <w:color w:val="000000"/>
                <w:sz w:val="20"/>
              </w:rPr>
              <w:t>RCR26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E91573" w14:textId="77777777" w:rsidR="00A77B3E" w:rsidRDefault="00B16CCF">
            <w:pPr>
              <w:spacing w:before="5pt"/>
              <w:rPr>
                <w:color w:val="000000"/>
                <w:sz w:val="20"/>
              </w:rPr>
            </w:pPr>
            <w:r>
              <w:rPr>
                <w:color w:val="000000"/>
                <w:sz w:val="20"/>
              </w:rPr>
              <w:t>Letna poraba primarne energije (od tega: stanovanja, javne zgradbe, podjetja, drugo)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E8B485" w14:textId="77777777" w:rsidR="00A77B3E" w:rsidRDefault="00B16CCF">
            <w:pPr>
              <w:spacing w:before="5pt"/>
              <w:rPr>
                <w:color w:val="000000"/>
                <w:sz w:val="20"/>
              </w:rPr>
            </w:pPr>
            <w:r>
              <w:rPr>
                <w:color w:val="000000"/>
                <w:sz w:val="20"/>
              </w:rPr>
              <w:t>MWh/leto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6220B1" w14:textId="77777777" w:rsidR="00A77B3E" w:rsidRDefault="00B16CCF">
            <w:pPr>
              <w:spacing w:before="5pt"/>
              <w:jc w:val="end"/>
              <w:rPr>
                <w:color w:val="000000"/>
                <w:sz w:val="20"/>
              </w:rPr>
            </w:pPr>
            <w:r>
              <w:rPr>
                <w:color w:val="000000"/>
                <w:sz w:val="20"/>
              </w:rPr>
              <w:t>3.361,00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8CFFFE" w14:textId="77777777" w:rsidR="00A77B3E" w:rsidRDefault="00B16CCF">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457702" w14:textId="77777777" w:rsidR="00A77B3E" w:rsidRDefault="00B16CCF">
            <w:pPr>
              <w:spacing w:before="5pt"/>
              <w:jc w:val="end"/>
              <w:rPr>
                <w:color w:val="000000"/>
                <w:sz w:val="20"/>
              </w:rPr>
            </w:pPr>
            <w:r>
              <w:rPr>
                <w:color w:val="000000"/>
                <w:sz w:val="20"/>
              </w:rPr>
              <w:t>2.080,00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F3695C" w14:textId="77777777" w:rsidR="00A77B3E" w:rsidRDefault="00B16CCF">
            <w:pPr>
              <w:spacing w:before="5pt"/>
              <w:rPr>
                <w:color w:val="000000"/>
                <w:sz w:val="20"/>
              </w:rPr>
            </w:pPr>
            <w:r>
              <w:rPr>
                <w:color w:val="000000"/>
                <w:sz w:val="20"/>
              </w:rPr>
              <w:t>MOPE, ministrstva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1DBBE6" w14:textId="77777777" w:rsidR="00A77B3E" w:rsidRDefault="00A77B3E">
            <w:pPr>
              <w:spacing w:before="5pt"/>
              <w:rPr>
                <w:color w:val="000000"/>
                <w:sz w:val="20"/>
              </w:rPr>
            </w:pPr>
          </w:p>
        </w:tc>
      </w:tr>
      <w:tr w:rsidR="00823317" w14:paraId="1B54332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AB0086" w14:textId="77777777" w:rsidR="00A77B3E" w:rsidRDefault="00B16CCF">
            <w:pPr>
              <w:spacing w:before="5pt"/>
              <w:rPr>
                <w:color w:val="000000"/>
                <w:sz w:val="20"/>
              </w:rPr>
            </w:pPr>
            <w:r>
              <w:rPr>
                <w:color w:val="000000"/>
                <w:sz w:val="20"/>
              </w:rPr>
              <w:lastRenderedPageBreak/>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3FCB74" w14:textId="77777777" w:rsidR="00A77B3E" w:rsidRDefault="00B16CCF">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6CF283"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A06F79"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E12D61" w14:textId="77777777" w:rsidR="00A77B3E" w:rsidRDefault="00B16CCF">
            <w:pPr>
              <w:spacing w:before="5pt"/>
              <w:rPr>
                <w:color w:val="000000"/>
                <w:sz w:val="20"/>
              </w:rPr>
            </w:pPr>
            <w:r>
              <w:rPr>
                <w:color w:val="000000"/>
                <w:sz w:val="20"/>
              </w:rPr>
              <w:t>RCR29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96B375" w14:textId="77777777" w:rsidR="00A77B3E" w:rsidRDefault="00B16CCF">
            <w:pPr>
              <w:spacing w:before="5pt"/>
              <w:rPr>
                <w:color w:val="000000"/>
                <w:sz w:val="20"/>
              </w:rPr>
            </w:pPr>
            <w:r>
              <w:rPr>
                <w:color w:val="000000"/>
                <w:sz w:val="20"/>
              </w:rPr>
              <w:t>Ocenjene emisije toplogrednih plinov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6F8BCF" w14:textId="77777777" w:rsidR="00A77B3E" w:rsidRDefault="00B16CCF">
            <w:pPr>
              <w:spacing w:before="5pt"/>
              <w:rPr>
                <w:color w:val="000000"/>
                <w:sz w:val="20"/>
              </w:rPr>
            </w:pPr>
            <w:r>
              <w:rPr>
                <w:color w:val="000000"/>
                <w:sz w:val="20"/>
              </w:rPr>
              <w:t>tone ekvivalenta CO2/leto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536B3B" w14:textId="77777777" w:rsidR="00A77B3E" w:rsidRDefault="00B16CCF">
            <w:pPr>
              <w:spacing w:before="5pt"/>
              <w:jc w:val="end"/>
              <w:rPr>
                <w:color w:val="000000"/>
                <w:sz w:val="20"/>
              </w:rPr>
            </w:pPr>
            <w:r>
              <w:rPr>
                <w:color w:val="000000"/>
                <w:sz w:val="20"/>
              </w:rPr>
              <w:t>83.024,00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45609F" w14:textId="77777777" w:rsidR="00A77B3E" w:rsidRDefault="00B16CCF">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98715A" w14:textId="77777777" w:rsidR="00A77B3E" w:rsidRDefault="00B16CCF">
            <w:pPr>
              <w:spacing w:before="5pt"/>
              <w:jc w:val="end"/>
              <w:rPr>
                <w:color w:val="000000"/>
                <w:sz w:val="20"/>
              </w:rPr>
            </w:pPr>
            <w:r>
              <w:rPr>
                <w:color w:val="000000"/>
                <w:sz w:val="20"/>
              </w:rPr>
              <w:t>82.771,00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416F5F" w14:textId="77777777" w:rsidR="00A77B3E" w:rsidRDefault="00B16CCF">
            <w:pPr>
              <w:spacing w:before="5pt"/>
              <w:rPr>
                <w:color w:val="000000"/>
                <w:sz w:val="20"/>
              </w:rPr>
            </w:pPr>
            <w:r>
              <w:rPr>
                <w:color w:val="000000"/>
                <w:sz w:val="20"/>
              </w:rPr>
              <w:t>MOPE, ministrstva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5A7C03" w14:textId="77777777" w:rsidR="00A77B3E" w:rsidRDefault="00A77B3E">
            <w:pPr>
              <w:spacing w:before="5pt"/>
              <w:rPr>
                <w:color w:val="000000"/>
                <w:sz w:val="20"/>
              </w:rPr>
            </w:pPr>
          </w:p>
        </w:tc>
      </w:tr>
      <w:tr w:rsidR="00823317" w14:paraId="68DA879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3BB551"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A79CD8" w14:textId="77777777" w:rsidR="00A77B3E" w:rsidRDefault="00B16CCF">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39020E"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10A908"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31587E" w14:textId="77777777" w:rsidR="00A77B3E" w:rsidRDefault="00B16CCF">
            <w:pPr>
              <w:spacing w:before="5pt"/>
              <w:rPr>
                <w:color w:val="000000"/>
                <w:sz w:val="20"/>
              </w:rPr>
            </w:pPr>
            <w:r>
              <w:rPr>
                <w:color w:val="000000"/>
                <w:sz w:val="20"/>
              </w:rPr>
              <w:t>RCR26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1CC9A4" w14:textId="77777777" w:rsidR="00A77B3E" w:rsidRDefault="00B16CCF">
            <w:pPr>
              <w:spacing w:before="5pt"/>
              <w:rPr>
                <w:color w:val="000000"/>
                <w:sz w:val="20"/>
              </w:rPr>
            </w:pPr>
            <w:r>
              <w:rPr>
                <w:color w:val="000000"/>
                <w:sz w:val="20"/>
              </w:rPr>
              <w:t>Letna poraba primarne energije (od tega: stanovanja, javne zgradbe, podjetja, drugo)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7079C2" w14:textId="77777777" w:rsidR="00A77B3E" w:rsidRDefault="00B16CCF">
            <w:pPr>
              <w:spacing w:before="5pt"/>
              <w:rPr>
                <w:color w:val="000000"/>
                <w:sz w:val="20"/>
              </w:rPr>
            </w:pPr>
            <w:r>
              <w:rPr>
                <w:color w:val="000000"/>
                <w:sz w:val="20"/>
              </w:rPr>
              <w:t>MWh/leto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FBF7DF" w14:textId="77777777" w:rsidR="00A77B3E" w:rsidRDefault="00B16CCF">
            <w:pPr>
              <w:spacing w:before="5pt"/>
              <w:jc w:val="end"/>
              <w:rPr>
                <w:color w:val="000000"/>
                <w:sz w:val="20"/>
              </w:rPr>
            </w:pPr>
            <w:r>
              <w:rPr>
                <w:color w:val="000000"/>
                <w:sz w:val="20"/>
              </w:rPr>
              <w:t>13.443,00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60EB2B" w14:textId="77777777" w:rsidR="00A77B3E" w:rsidRDefault="00B16CCF">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2AC38F" w14:textId="77777777" w:rsidR="00A77B3E" w:rsidRDefault="00B16CCF">
            <w:pPr>
              <w:spacing w:before="5pt"/>
              <w:jc w:val="end"/>
              <w:rPr>
                <w:color w:val="000000"/>
                <w:sz w:val="20"/>
              </w:rPr>
            </w:pPr>
            <w:r>
              <w:rPr>
                <w:color w:val="000000"/>
                <w:sz w:val="20"/>
              </w:rPr>
              <w:t>11.032,00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9D375D" w14:textId="77777777" w:rsidR="00A77B3E" w:rsidRDefault="00B16CCF">
            <w:pPr>
              <w:spacing w:before="5pt"/>
              <w:rPr>
                <w:color w:val="000000"/>
                <w:sz w:val="20"/>
              </w:rPr>
            </w:pPr>
            <w:r>
              <w:rPr>
                <w:color w:val="000000"/>
                <w:sz w:val="20"/>
              </w:rPr>
              <w:t>MOPE, ministrstva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61D2A2" w14:textId="77777777" w:rsidR="00A77B3E" w:rsidRDefault="00A77B3E">
            <w:pPr>
              <w:spacing w:before="5pt"/>
              <w:rPr>
                <w:color w:val="000000"/>
                <w:sz w:val="20"/>
              </w:rPr>
            </w:pPr>
          </w:p>
        </w:tc>
      </w:tr>
      <w:tr w:rsidR="00823317" w14:paraId="492AC0B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91680E"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51A8A5" w14:textId="77777777" w:rsidR="00A77B3E" w:rsidRDefault="00B16CCF">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BF8753"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B75CA2"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6998C0" w14:textId="77777777" w:rsidR="00A77B3E" w:rsidRDefault="00B16CCF">
            <w:pPr>
              <w:spacing w:before="5pt"/>
              <w:rPr>
                <w:color w:val="000000"/>
                <w:sz w:val="20"/>
              </w:rPr>
            </w:pPr>
            <w:r>
              <w:rPr>
                <w:color w:val="000000"/>
                <w:sz w:val="20"/>
              </w:rPr>
              <w:t>RCR29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15FF26" w14:textId="77777777" w:rsidR="00A77B3E" w:rsidRDefault="00B16CCF">
            <w:pPr>
              <w:spacing w:before="5pt"/>
              <w:rPr>
                <w:color w:val="000000"/>
                <w:sz w:val="20"/>
              </w:rPr>
            </w:pPr>
            <w:r>
              <w:rPr>
                <w:color w:val="000000"/>
                <w:sz w:val="20"/>
              </w:rPr>
              <w:t>Ocenjene emisije toplogrednih plinov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EA4952" w14:textId="77777777" w:rsidR="00A77B3E" w:rsidRDefault="00B16CCF">
            <w:pPr>
              <w:spacing w:before="5pt"/>
              <w:rPr>
                <w:color w:val="000000"/>
                <w:sz w:val="20"/>
              </w:rPr>
            </w:pPr>
            <w:r>
              <w:rPr>
                <w:color w:val="000000"/>
                <w:sz w:val="20"/>
              </w:rPr>
              <w:t>tone ekvivalenta CO2/leto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0B93A5" w14:textId="77777777" w:rsidR="00A77B3E" w:rsidRDefault="00B16CCF">
            <w:pPr>
              <w:spacing w:before="5pt"/>
              <w:jc w:val="end"/>
              <w:rPr>
                <w:color w:val="000000"/>
                <w:sz w:val="20"/>
              </w:rPr>
            </w:pPr>
            <w:r>
              <w:rPr>
                <w:color w:val="000000"/>
                <w:sz w:val="20"/>
              </w:rPr>
              <w:t>332.097,00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2C1E60" w14:textId="77777777" w:rsidR="00A77B3E" w:rsidRDefault="00B16CCF">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95FF0D" w14:textId="77777777" w:rsidR="00A77B3E" w:rsidRDefault="00B16CCF">
            <w:pPr>
              <w:spacing w:before="5pt"/>
              <w:jc w:val="end"/>
              <w:rPr>
                <w:color w:val="000000"/>
                <w:sz w:val="20"/>
              </w:rPr>
            </w:pPr>
            <w:r>
              <w:rPr>
                <w:color w:val="000000"/>
                <w:sz w:val="20"/>
              </w:rPr>
              <w:t>331.621,00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6655B5" w14:textId="77777777" w:rsidR="00A77B3E" w:rsidRDefault="00B16CCF">
            <w:pPr>
              <w:spacing w:before="5pt"/>
              <w:rPr>
                <w:color w:val="000000"/>
                <w:sz w:val="20"/>
              </w:rPr>
            </w:pPr>
            <w:r>
              <w:rPr>
                <w:color w:val="000000"/>
                <w:sz w:val="20"/>
              </w:rPr>
              <w:t>MOPE, ministrstva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F3059B" w14:textId="77777777" w:rsidR="00A77B3E" w:rsidRDefault="00A77B3E">
            <w:pPr>
              <w:spacing w:before="5pt"/>
              <w:rPr>
                <w:color w:val="000000"/>
                <w:sz w:val="20"/>
              </w:rPr>
            </w:pPr>
          </w:p>
        </w:tc>
      </w:tr>
    </w:tbl>
    <w:p w14:paraId="0830B355" w14:textId="77777777" w:rsidR="00A77B3E" w:rsidRDefault="00A77B3E">
      <w:pPr>
        <w:spacing w:before="5pt"/>
        <w:rPr>
          <w:color w:val="000000"/>
          <w:sz w:val="20"/>
        </w:rPr>
      </w:pPr>
    </w:p>
    <w:p w14:paraId="4F5C7ED9" w14:textId="77777777" w:rsidR="00A77B3E" w:rsidRDefault="00B16CCF">
      <w:pPr>
        <w:pStyle w:val="Naslov4"/>
        <w:spacing w:before="5pt" w:after="0pt"/>
        <w:rPr>
          <w:b w:val="0"/>
          <w:color w:val="000000"/>
          <w:sz w:val="24"/>
        </w:rPr>
      </w:pPr>
      <w:bookmarkStart w:id="121" w:name="_Toc256000882"/>
      <w:r>
        <w:rPr>
          <w:b w:val="0"/>
          <w:color w:val="000000"/>
          <w:sz w:val="24"/>
        </w:rPr>
        <w:t>2.1.1.1.3. Okvirna razčlenitev načrtovanih sredstev (EU) glede na vrsto ukrepa</w:t>
      </w:r>
      <w:bookmarkEnd w:id="121"/>
    </w:p>
    <w:p w14:paraId="2A7B22CD" w14:textId="77777777" w:rsidR="00A77B3E" w:rsidRDefault="00A77B3E">
      <w:pPr>
        <w:spacing w:before="5pt"/>
        <w:rPr>
          <w:color w:val="000000"/>
          <w:sz w:val="0"/>
        </w:rPr>
      </w:pPr>
    </w:p>
    <w:p w14:paraId="50F2CF63" w14:textId="77777777" w:rsidR="00A77B3E" w:rsidRDefault="00B16CCF">
      <w:pPr>
        <w:spacing w:before="5pt"/>
        <w:rPr>
          <w:color w:val="000000"/>
          <w:sz w:val="0"/>
        </w:rPr>
      </w:pPr>
      <w:r>
        <w:rPr>
          <w:color w:val="000000"/>
        </w:rPr>
        <w:t>Sklic: člen 22(3)(d)(viii) uredbe o skupnih določbah</w:t>
      </w:r>
    </w:p>
    <w:p w14:paraId="0E0AFCA8" w14:textId="77777777" w:rsidR="00A77B3E" w:rsidRDefault="00B16CCF">
      <w:pPr>
        <w:pStyle w:val="Naslov5"/>
        <w:spacing w:before="5pt" w:after="0pt"/>
        <w:rPr>
          <w:b w:val="0"/>
          <w:i w:val="0"/>
          <w:color w:val="000000"/>
          <w:sz w:val="24"/>
        </w:rPr>
      </w:pPr>
      <w:bookmarkStart w:id="122" w:name="_Toc256000883"/>
      <w:r>
        <w:rPr>
          <w:b w:val="0"/>
          <w:i w:val="0"/>
          <w:color w:val="000000"/>
          <w:sz w:val="24"/>
        </w:rPr>
        <w:t>Tabela 4: Razsežnost 1 – področje ukrepanja</w:t>
      </w:r>
      <w:bookmarkEnd w:id="122"/>
    </w:p>
    <w:p w14:paraId="568B7DE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72"/>
        <w:gridCol w:w="2281"/>
        <w:gridCol w:w="1656"/>
        <w:gridCol w:w="2364"/>
        <w:gridCol w:w="3288"/>
        <w:gridCol w:w="3111"/>
      </w:tblGrid>
      <w:tr w:rsidR="00823317" w14:paraId="0157522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696AE5"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36AF94"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FA992E"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D36070"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2783BA"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F544A5" w14:textId="77777777" w:rsidR="00A77B3E" w:rsidRDefault="00B16CCF">
            <w:pPr>
              <w:spacing w:before="5pt"/>
              <w:jc w:val="center"/>
              <w:rPr>
                <w:color w:val="000000"/>
                <w:sz w:val="20"/>
              </w:rPr>
            </w:pPr>
            <w:r>
              <w:rPr>
                <w:color w:val="000000"/>
                <w:sz w:val="20"/>
              </w:rPr>
              <w:t>Znesek (v EUR)</w:t>
            </w:r>
          </w:p>
        </w:tc>
      </w:tr>
      <w:tr w:rsidR="00823317" w14:paraId="7F7DFB6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F6437C"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87A5D2" w14:textId="77777777" w:rsidR="00A77B3E" w:rsidRDefault="00B16CCF">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F129FD"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E4B604"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276887" w14:textId="77777777" w:rsidR="00A77B3E" w:rsidRDefault="00B16CCF">
            <w:pPr>
              <w:spacing w:before="5pt"/>
              <w:rPr>
                <w:color w:val="000000"/>
                <w:sz w:val="20"/>
              </w:rPr>
            </w:pPr>
            <w:r>
              <w:rPr>
                <w:color w:val="000000"/>
                <w:sz w:val="20"/>
              </w:rPr>
              <w:t>040. Energijska učinkovitost in predstavitveni projekti v MSP ali velikih podjetjih ter podporni ukrepi v skladu z merili za energijsko učinkovitost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E20246" w14:textId="77777777" w:rsidR="00A77B3E" w:rsidRDefault="00B16CCF">
            <w:pPr>
              <w:spacing w:before="5pt"/>
              <w:jc w:val="end"/>
              <w:rPr>
                <w:color w:val="000000"/>
                <w:sz w:val="20"/>
              </w:rPr>
            </w:pPr>
            <w:r>
              <w:rPr>
                <w:color w:val="000000"/>
                <w:sz w:val="20"/>
              </w:rPr>
              <w:t>3.000.000,00</w:t>
            </w:r>
          </w:p>
        </w:tc>
      </w:tr>
      <w:tr w:rsidR="00823317" w14:paraId="5FA58B7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21FB81"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BA451F" w14:textId="77777777" w:rsidR="00A77B3E" w:rsidRDefault="00B16CCF">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FABE7C"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6A5736"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A0AD5A" w14:textId="77777777" w:rsidR="00A77B3E" w:rsidRDefault="00B16CCF">
            <w:pPr>
              <w:spacing w:before="5pt"/>
              <w:rPr>
                <w:color w:val="000000"/>
                <w:sz w:val="20"/>
              </w:rPr>
            </w:pPr>
            <w:r>
              <w:rPr>
                <w:color w:val="000000"/>
                <w:sz w:val="20"/>
              </w:rPr>
              <w:t>041. Prenova obstoječega stanovanjskega fonda za večjo energijsko učinkovitost, predstavitveni projekti in podporni ukrepi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271D8E" w14:textId="77777777" w:rsidR="00A77B3E" w:rsidRDefault="00B16CCF">
            <w:pPr>
              <w:spacing w:before="5pt"/>
              <w:jc w:val="end"/>
              <w:rPr>
                <w:color w:val="000000"/>
                <w:sz w:val="20"/>
              </w:rPr>
            </w:pPr>
            <w:r>
              <w:rPr>
                <w:color w:val="000000"/>
                <w:sz w:val="20"/>
              </w:rPr>
              <w:t>4.000.000,00</w:t>
            </w:r>
          </w:p>
        </w:tc>
      </w:tr>
      <w:tr w:rsidR="00823317" w14:paraId="6554D21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E4BEAE"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74009D" w14:textId="77777777" w:rsidR="00A77B3E" w:rsidRDefault="00B16CCF">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4853FC"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CAD94A"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FED78E" w14:textId="77777777" w:rsidR="00A77B3E" w:rsidRDefault="00B16CCF">
            <w:pPr>
              <w:spacing w:before="5pt"/>
              <w:rPr>
                <w:color w:val="000000"/>
                <w:sz w:val="20"/>
              </w:rPr>
            </w:pPr>
            <w:r>
              <w:rPr>
                <w:color w:val="000000"/>
                <w:sz w:val="20"/>
              </w:rPr>
              <w:t>040. Energijska učinkovitost in predstavitveni projekti v MSP ali velikih podjetjih ter podporni ukrepi v skladu z merili za energijsko učinkovitost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A03D19" w14:textId="77777777" w:rsidR="00A77B3E" w:rsidRDefault="00B16CCF">
            <w:pPr>
              <w:spacing w:before="5pt"/>
              <w:jc w:val="end"/>
              <w:rPr>
                <w:color w:val="000000"/>
                <w:sz w:val="20"/>
              </w:rPr>
            </w:pPr>
            <w:r>
              <w:rPr>
                <w:color w:val="000000"/>
                <w:sz w:val="20"/>
              </w:rPr>
              <w:t>12.000.000,00</w:t>
            </w:r>
          </w:p>
        </w:tc>
      </w:tr>
      <w:tr w:rsidR="00823317" w14:paraId="588EBF8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0D308D" w14:textId="77777777" w:rsidR="00A77B3E" w:rsidRDefault="00B16CCF">
            <w:pPr>
              <w:spacing w:before="5pt"/>
              <w:rPr>
                <w:color w:val="000000"/>
                <w:sz w:val="20"/>
              </w:rPr>
            </w:pPr>
            <w:r>
              <w:rPr>
                <w:color w:val="000000"/>
                <w:sz w:val="20"/>
              </w:rPr>
              <w:lastRenderedPageBreak/>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0C436D" w14:textId="77777777" w:rsidR="00A77B3E" w:rsidRDefault="00B16CCF">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837AE7"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0EB347"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008FF2" w14:textId="77777777" w:rsidR="00A77B3E" w:rsidRDefault="00B16CCF">
            <w:pPr>
              <w:spacing w:before="5pt"/>
              <w:rPr>
                <w:color w:val="000000"/>
                <w:sz w:val="20"/>
              </w:rPr>
            </w:pPr>
            <w:r>
              <w:rPr>
                <w:color w:val="000000"/>
                <w:sz w:val="20"/>
              </w:rPr>
              <w:t>041. Prenova obstoječega stanovanjskega fonda za večjo energijsko učinkovitost, predstavitveni projekti in podporni ukrepi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9F18FF" w14:textId="77777777" w:rsidR="00A77B3E" w:rsidRDefault="00B16CCF">
            <w:pPr>
              <w:spacing w:before="5pt"/>
              <w:jc w:val="end"/>
              <w:rPr>
                <w:color w:val="000000"/>
                <w:sz w:val="20"/>
              </w:rPr>
            </w:pPr>
            <w:r>
              <w:rPr>
                <w:color w:val="000000"/>
                <w:sz w:val="20"/>
              </w:rPr>
              <w:t>19.500.000,00</w:t>
            </w:r>
          </w:p>
        </w:tc>
      </w:tr>
      <w:tr w:rsidR="00823317" w14:paraId="20C8E28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57B161"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3CCDAC" w14:textId="77777777" w:rsidR="00A77B3E" w:rsidRDefault="00B16CCF">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AB2E02"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10B335"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B7BFB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437413" w14:textId="77777777" w:rsidR="00A77B3E" w:rsidRDefault="00B16CCF">
            <w:pPr>
              <w:spacing w:before="5pt"/>
              <w:jc w:val="end"/>
              <w:rPr>
                <w:color w:val="000000"/>
                <w:sz w:val="20"/>
              </w:rPr>
            </w:pPr>
            <w:r>
              <w:rPr>
                <w:color w:val="000000"/>
                <w:sz w:val="20"/>
              </w:rPr>
              <w:t>38.500.000,00</w:t>
            </w:r>
          </w:p>
        </w:tc>
      </w:tr>
    </w:tbl>
    <w:p w14:paraId="55A65464" w14:textId="77777777" w:rsidR="00A77B3E" w:rsidRDefault="00A77B3E">
      <w:pPr>
        <w:spacing w:before="5pt"/>
        <w:rPr>
          <w:color w:val="000000"/>
          <w:sz w:val="20"/>
        </w:rPr>
      </w:pPr>
    </w:p>
    <w:p w14:paraId="69005EE3" w14:textId="77777777" w:rsidR="00A77B3E" w:rsidRDefault="00B16CCF">
      <w:pPr>
        <w:pStyle w:val="Naslov5"/>
        <w:spacing w:before="5pt" w:after="0pt"/>
        <w:rPr>
          <w:b w:val="0"/>
          <w:i w:val="0"/>
          <w:color w:val="000000"/>
          <w:sz w:val="24"/>
        </w:rPr>
      </w:pPr>
      <w:bookmarkStart w:id="123" w:name="_Toc256000884"/>
      <w:r>
        <w:rPr>
          <w:b w:val="0"/>
          <w:i w:val="0"/>
          <w:color w:val="000000"/>
          <w:sz w:val="24"/>
        </w:rPr>
        <w:t>Tabela 5: Razsežnost 2 – oblika financiranja</w:t>
      </w:r>
      <w:bookmarkEnd w:id="123"/>
    </w:p>
    <w:p w14:paraId="4E450D2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16"/>
        <w:gridCol w:w="2322"/>
        <w:gridCol w:w="1686"/>
        <w:gridCol w:w="2407"/>
        <w:gridCol w:w="3073"/>
        <w:gridCol w:w="3168"/>
      </w:tblGrid>
      <w:tr w:rsidR="00823317" w14:paraId="5399C70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A1626BF"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D95337"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5A390E"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4B79EB"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91102E"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267D18" w14:textId="77777777" w:rsidR="00A77B3E" w:rsidRDefault="00B16CCF">
            <w:pPr>
              <w:spacing w:before="5pt"/>
              <w:jc w:val="center"/>
              <w:rPr>
                <w:color w:val="000000"/>
                <w:sz w:val="20"/>
              </w:rPr>
            </w:pPr>
            <w:r>
              <w:rPr>
                <w:color w:val="000000"/>
                <w:sz w:val="20"/>
              </w:rPr>
              <w:t>Znesek (v EUR)</w:t>
            </w:r>
          </w:p>
        </w:tc>
      </w:tr>
      <w:tr w:rsidR="00823317" w14:paraId="08093C3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75320E"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0E2D1D" w14:textId="77777777" w:rsidR="00A77B3E" w:rsidRDefault="00B16CCF">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E565D6"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809457"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C7A007" w14:textId="77777777" w:rsidR="00A77B3E" w:rsidRDefault="00B16CCF">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52FEE4" w14:textId="77777777" w:rsidR="00A77B3E" w:rsidRDefault="00B16CCF">
            <w:pPr>
              <w:spacing w:before="5pt"/>
              <w:jc w:val="end"/>
              <w:rPr>
                <w:color w:val="000000"/>
                <w:sz w:val="20"/>
              </w:rPr>
            </w:pPr>
            <w:r>
              <w:rPr>
                <w:color w:val="000000"/>
                <w:sz w:val="20"/>
              </w:rPr>
              <w:t>4.000.000,00</w:t>
            </w:r>
          </w:p>
        </w:tc>
      </w:tr>
      <w:tr w:rsidR="00823317" w14:paraId="026CB44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578CC0"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BF973C" w14:textId="77777777" w:rsidR="00A77B3E" w:rsidRDefault="00B16CCF">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19D1CE"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92B317"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ED385F" w14:textId="77777777" w:rsidR="00A77B3E" w:rsidRDefault="00B16CCF">
            <w:pPr>
              <w:spacing w:before="5pt"/>
              <w:rPr>
                <w:color w:val="000000"/>
                <w:sz w:val="20"/>
              </w:rPr>
            </w:pPr>
            <w:r>
              <w:rPr>
                <w:color w:val="000000"/>
                <w:sz w:val="20"/>
              </w:rPr>
              <w:t xml:space="preserve">03. Podpora prek finančnih instrumentov: posojila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986522" w14:textId="77777777" w:rsidR="00A77B3E" w:rsidRDefault="00B16CCF">
            <w:pPr>
              <w:spacing w:before="5pt"/>
              <w:jc w:val="end"/>
              <w:rPr>
                <w:color w:val="000000"/>
                <w:sz w:val="20"/>
              </w:rPr>
            </w:pPr>
            <w:r>
              <w:rPr>
                <w:color w:val="000000"/>
                <w:sz w:val="20"/>
              </w:rPr>
              <w:t>2.000.000,00</w:t>
            </w:r>
          </w:p>
        </w:tc>
      </w:tr>
      <w:tr w:rsidR="00823317" w14:paraId="2E1ACC1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4CC2FD"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E12A6B" w14:textId="77777777" w:rsidR="00A77B3E" w:rsidRDefault="00B16CCF">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2538CA"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008921"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99989E" w14:textId="77777777" w:rsidR="00A77B3E" w:rsidRDefault="00B16CCF">
            <w:pPr>
              <w:spacing w:before="5pt"/>
              <w:rPr>
                <w:color w:val="000000"/>
                <w:sz w:val="20"/>
              </w:rPr>
            </w:pPr>
            <w:r>
              <w:rPr>
                <w:color w:val="000000"/>
                <w:sz w:val="20"/>
              </w:rPr>
              <w:t>05. Podpora prek finančnih instrumentov: nepovratna sredstva v okviru operacije finančnega instrumenta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80D93E" w14:textId="77777777" w:rsidR="00A77B3E" w:rsidRDefault="00B16CCF">
            <w:pPr>
              <w:spacing w:before="5pt"/>
              <w:jc w:val="end"/>
              <w:rPr>
                <w:color w:val="000000"/>
                <w:sz w:val="20"/>
              </w:rPr>
            </w:pPr>
            <w:r>
              <w:rPr>
                <w:color w:val="000000"/>
                <w:sz w:val="20"/>
              </w:rPr>
              <w:t>1.000.000,00</w:t>
            </w:r>
          </w:p>
        </w:tc>
      </w:tr>
      <w:tr w:rsidR="00823317" w14:paraId="5DE4C15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150492"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5D29EF" w14:textId="77777777" w:rsidR="00A77B3E" w:rsidRDefault="00B16CCF">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1E87F1"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522BC1"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6540B0" w14:textId="77777777" w:rsidR="00A77B3E" w:rsidRDefault="00B16CCF">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6F74E8" w14:textId="77777777" w:rsidR="00A77B3E" w:rsidRDefault="00B16CCF">
            <w:pPr>
              <w:spacing w:before="5pt"/>
              <w:jc w:val="end"/>
              <w:rPr>
                <w:color w:val="000000"/>
                <w:sz w:val="20"/>
              </w:rPr>
            </w:pPr>
            <w:r>
              <w:rPr>
                <w:color w:val="000000"/>
                <w:sz w:val="20"/>
              </w:rPr>
              <w:t>19.500.000,00</w:t>
            </w:r>
          </w:p>
        </w:tc>
      </w:tr>
      <w:tr w:rsidR="00823317" w14:paraId="3D7EE9B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DB323A"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22B74F" w14:textId="77777777" w:rsidR="00A77B3E" w:rsidRDefault="00B16CCF">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DF1C2E"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48D951"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C5D2A4" w14:textId="77777777" w:rsidR="00A77B3E" w:rsidRDefault="00B16CCF">
            <w:pPr>
              <w:spacing w:before="5pt"/>
              <w:rPr>
                <w:color w:val="000000"/>
                <w:sz w:val="20"/>
              </w:rPr>
            </w:pPr>
            <w:r>
              <w:rPr>
                <w:color w:val="000000"/>
                <w:sz w:val="20"/>
              </w:rPr>
              <w:t xml:space="preserve">03. Podpora prek finančnih instrumentov: posojila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2EABBA" w14:textId="77777777" w:rsidR="00A77B3E" w:rsidRDefault="00B16CCF">
            <w:pPr>
              <w:spacing w:before="5pt"/>
              <w:jc w:val="end"/>
              <w:rPr>
                <w:color w:val="000000"/>
                <w:sz w:val="20"/>
              </w:rPr>
            </w:pPr>
            <w:r>
              <w:rPr>
                <w:color w:val="000000"/>
                <w:sz w:val="20"/>
              </w:rPr>
              <w:t>8.000.000,00</w:t>
            </w:r>
          </w:p>
        </w:tc>
      </w:tr>
      <w:tr w:rsidR="00823317" w14:paraId="40F1BE7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D90817"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1848CD" w14:textId="77777777" w:rsidR="00A77B3E" w:rsidRDefault="00B16CCF">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ADB045"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503210"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9D7857" w14:textId="77777777" w:rsidR="00A77B3E" w:rsidRDefault="00B16CCF">
            <w:pPr>
              <w:spacing w:before="5pt"/>
              <w:rPr>
                <w:color w:val="000000"/>
                <w:sz w:val="20"/>
              </w:rPr>
            </w:pPr>
            <w:r>
              <w:rPr>
                <w:color w:val="000000"/>
                <w:sz w:val="20"/>
              </w:rPr>
              <w:t>05. Podpora prek finančnih instrumentov: nepovratna sredstva v okviru operacije finančnega instrumenta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1E6410" w14:textId="77777777" w:rsidR="00A77B3E" w:rsidRDefault="00B16CCF">
            <w:pPr>
              <w:spacing w:before="5pt"/>
              <w:jc w:val="end"/>
              <w:rPr>
                <w:color w:val="000000"/>
                <w:sz w:val="20"/>
              </w:rPr>
            </w:pPr>
            <w:r>
              <w:rPr>
                <w:color w:val="000000"/>
                <w:sz w:val="20"/>
              </w:rPr>
              <w:t>4.000.000,00</w:t>
            </w:r>
          </w:p>
        </w:tc>
      </w:tr>
      <w:tr w:rsidR="00823317" w14:paraId="2EF2068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2395A6"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30B54F" w14:textId="77777777" w:rsidR="00A77B3E" w:rsidRDefault="00B16CCF">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A84D6D"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AF0B24"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4B34E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3A4190" w14:textId="77777777" w:rsidR="00A77B3E" w:rsidRDefault="00B16CCF">
            <w:pPr>
              <w:spacing w:before="5pt"/>
              <w:jc w:val="end"/>
              <w:rPr>
                <w:color w:val="000000"/>
                <w:sz w:val="20"/>
              </w:rPr>
            </w:pPr>
            <w:r>
              <w:rPr>
                <w:color w:val="000000"/>
                <w:sz w:val="20"/>
              </w:rPr>
              <w:t>38.500.000,00</w:t>
            </w:r>
          </w:p>
        </w:tc>
      </w:tr>
    </w:tbl>
    <w:p w14:paraId="15F070DC" w14:textId="77777777" w:rsidR="00A77B3E" w:rsidRDefault="00A77B3E">
      <w:pPr>
        <w:spacing w:before="5pt"/>
        <w:rPr>
          <w:color w:val="000000"/>
          <w:sz w:val="20"/>
        </w:rPr>
      </w:pPr>
    </w:p>
    <w:p w14:paraId="44267446" w14:textId="77777777" w:rsidR="00A77B3E" w:rsidRDefault="00B16CCF">
      <w:pPr>
        <w:pStyle w:val="Naslov5"/>
        <w:spacing w:before="5pt" w:after="0pt"/>
        <w:rPr>
          <w:b w:val="0"/>
          <w:i w:val="0"/>
          <w:color w:val="000000"/>
          <w:sz w:val="24"/>
        </w:rPr>
      </w:pPr>
      <w:bookmarkStart w:id="124" w:name="_Toc256000885"/>
      <w:r>
        <w:rPr>
          <w:b w:val="0"/>
          <w:i w:val="0"/>
          <w:color w:val="000000"/>
          <w:sz w:val="24"/>
        </w:rPr>
        <w:t>Tabela 6: Razsežnost 3 – mehanizem za ozemeljsko izvrševanje in ozemeljski pristop</w:t>
      </w:r>
      <w:bookmarkEnd w:id="124"/>
    </w:p>
    <w:p w14:paraId="12477EC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26"/>
        <w:gridCol w:w="2331"/>
        <w:gridCol w:w="1692"/>
        <w:gridCol w:w="2416"/>
        <w:gridCol w:w="3027"/>
        <w:gridCol w:w="3180"/>
      </w:tblGrid>
      <w:tr w:rsidR="00823317" w14:paraId="3CC5283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D7F1A9"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65EB7EA"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C24579"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F03F60"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BC08A2"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A428FD" w14:textId="77777777" w:rsidR="00A77B3E" w:rsidRDefault="00B16CCF">
            <w:pPr>
              <w:spacing w:before="5pt"/>
              <w:jc w:val="center"/>
              <w:rPr>
                <w:color w:val="000000"/>
                <w:sz w:val="20"/>
              </w:rPr>
            </w:pPr>
            <w:r>
              <w:rPr>
                <w:color w:val="000000"/>
                <w:sz w:val="20"/>
              </w:rPr>
              <w:t>Znesek (v EUR)</w:t>
            </w:r>
          </w:p>
        </w:tc>
      </w:tr>
      <w:tr w:rsidR="00823317" w14:paraId="40A721C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A553B8"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89B673" w14:textId="77777777" w:rsidR="00A77B3E" w:rsidRDefault="00B16CCF">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29364F"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15816A"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129E25" w14:textId="77777777" w:rsidR="00A77B3E" w:rsidRDefault="00B16CCF">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49B4BA" w14:textId="77777777" w:rsidR="00A77B3E" w:rsidRDefault="00B16CCF">
            <w:pPr>
              <w:spacing w:before="5pt"/>
              <w:jc w:val="end"/>
              <w:rPr>
                <w:color w:val="000000"/>
                <w:sz w:val="20"/>
              </w:rPr>
            </w:pPr>
            <w:r>
              <w:rPr>
                <w:color w:val="000000"/>
                <w:sz w:val="20"/>
              </w:rPr>
              <w:t>7.000.000,00</w:t>
            </w:r>
          </w:p>
        </w:tc>
      </w:tr>
      <w:tr w:rsidR="00823317" w14:paraId="475ECC0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C6CF50"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0C26F9" w14:textId="77777777" w:rsidR="00A77B3E" w:rsidRDefault="00B16CCF">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40026A"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A95BF8"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3A3386" w14:textId="77777777" w:rsidR="00A77B3E" w:rsidRDefault="00B16CCF">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D7943C" w14:textId="77777777" w:rsidR="00A77B3E" w:rsidRDefault="00B16CCF">
            <w:pPr>
              <w:spacing w:before="5pt"/>
              <w:jc w:val="end"/>
              <w:rPr>
                <w:color w:val="000000"/>
                <w:sz w:val="20"/>
              </w:rPr>
            </w:pPr>
            <w:r>
              <w:rPr>
                <w:color w:val="000000"/>
                <w:sz w:val="20"/>
              </w:rPr>
              <w:t>31.500.000,00</w:t>
            </w:r>
          </w:p>
        </w:tc>
      </w:tr>
      <w:tr w:rsidR="00823317" w14:paraId="37DD5B4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C67A6B" w14:textId="77777777" w:rsidR="00A77B3E" w:rsidRDefault="00B16CCF">
            <w:pPr>
              <w:spacing w:before="5pt"/>
              <w:rPr>
                <w:color w:val="000000"/>
                <w:sz w:val="20"/>
              </w:rPr>
            </w:pPr>
            <w:r>
              <w:rPr>
                <w:color w:val="000000"/>
                <w:sz w:val="20"/>
              </w:rPr>
              <w:lastRenderedPageBreak/>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532C18" w14:textId="77777777" w:rsidR="00A77B3E" w:rsidRDefault="00B16CCF">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CF6AA9"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3BBC59"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B56BD6"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F6D1DA" w14:textId="77777777" w:rsidR="00A77B3E" w:rsidRDefault="00B16CCF">
            <w:pPr>
              <w:spacing w:before="5pt"/>
              <w:jc w:val="end"/>
              <w:rPr>
                <w:color w:val="000000"/>
                <w:sz w:val="20"/>
              </w:rPr>
            </w:pPr>
            <w:r>
              <w:rPr>
                <w:color w:val="000000"/>
                <w:sz w:val="20"/>
              </w:rPr>
              <w:t>38.500.000,00</w:t>
            </w:r>
          </w:p>
        </w:tc>
      </w:tr>
    </w:tbl>
    <w:p w14:paraId="4202BC42" w14:textId="77777777" w:rsidR="00A77B3E" w:rsidRDefault="00A77B3E">
      <w:pPr>
        <w:spacing w:before="5pt"/>
        <w:rPr>
          <w:color w:val="000000"/>
          <w:sz w:val="20"/>
        </w:rPr>
      </w:pPr>
    </w:p>
    <w:p w14:paraId="7DFCFC2D" w14:textId="77777777" w:rsidR="00A77B3E" w:rsidRDefault="00B16CCF">
      <w:pPr>
        <w:pStyle w:val="Naslov5"/>
        <w:spacing w:before="5pt" w:after="0pt"/>
        <w:rPr>
          <w:b w:val="0"/>
          <w:i w:val="0"/>
          <w:color w:val="000000"/>
          <w:sz w:val="24"/>
        </w:rPr>
      </w:pPr>
      <w:bookmarkStart w:id="125" w:name="_Toc256000886"/>
      <w:r>
        <w:rPr>
          <w:b w:val="0"/>
          <w:i w:val="0"/>
          <w:color w:val="000000"/>
          <w:sz w:val="24"/>
        </w:rPr>
        <w:t>Tabela 7: Razsežnost 6 – sekundarna področja ESS+</w:t>
      </w:r>
      <w:bookmarkEnd w:id="125"/>
    </w:p>
    <w:p w14:paraId="6D63402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117"/>
        <w:gridCol w:w="2877"/>
        <w:gridCol w:w="1780"/>
        <w:gridCol w:w="2982"/>
        <w:gridCol w:w="2259"/>
        <w:gridCol w:w="2157"/>
      </w:tblGrid>
      <w:tr w:rsidR="00823317" w14:paraId="597A2C9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3A046E0"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6CBAFDC"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262C0A"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674606A"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A381BF"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B561EA" w14:textId="77777777" w:rsidR="00A77B3E" w:rsidRDefault="00B16CCF">
            <w:pPr>
              <w:spacing w:before="5pt"/>
              <w:jc w:val="center"/>
              <w:rPr>
                <w:color w:val="000000"/>
                <w:sz w:val="20"/>
              </w:rPr>
            </w:pPr>
            <w:r>
              <w:rPr>
                <w:color w:val="000000"/>
                <w:sz w:val="20"/>
              </w:rPr>
              <w:t>Znesek (v EUR)</w:t>
            </w:r>
          </w:p>
        </w:tc>
      </w:tr>
    </w:tbl>
    <w:p w14:paraId="3F0C995B" w14:textId="77777777" w:rsidR="00A77B3E" w:rsidRDefault="00A77B3E">
      <w:pPr>
        <w:spacing w:before="5pt"/>
        <w:rPr>
          <w:color w:val="000000"/>
          <w:sz w:val="20"/>
        </w:rPr>
      </w:pPr>
    </w:p>
    <w:p w14:paraId="61641A5D" w14:textId="77777777" w:rsidR="00A77B3E" w:rsidRDefault="00B16CCF">
      <w:pPr>
        <w:pStyle w:val="Naslov5"/>
        <w:spacing w:before="5pt" w:after="0pt"/>
        <w:rPr>
          <w:b w:val="0"/>
          <w:i w:val="0"/>
          <w:color w:val="000000"/>
          <w:sz w:val="24"/>
        </w:rPr>
      </w:pPr>
      <w:bookmarkStart w:id="126" w:name="_Toc256000887"/>
      <w:r>
        <w:rPr>
          <w:b w:val="0"/>
          <w:i w:val="0"/>
          <w:color w:val="000000"/>
          <w:sz w:val="24"/>
        </w:rPr>
        <w:t>Tabela 8: Razsežnost 7 – razsežnost enakosti spolov v okviru ESS+*, ESRR, Kohezijskega sklada in SPP</w:t>
      </w:r>
      <w:bookmarkEnd w:id="126"/>
    </w:p>
    <w:p w14:paraId="5854479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13"/>
        <w:gridCol w:w="2411"/>
        <w:gridCol w:w="1750"/>
        <w:gridCol w:w="2498"/>
        <w:gridCol w:w="2612"/>
        <w:gridCol w:w="3288"/>
      </w:tblGrid>
      <w:tr w:rsidR="00823317" w14:paraId="710B853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4C261B"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5EAC01"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F9862C"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9CF75E"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CA7928"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96F396" w14:textId="77777777" w:rsidR="00A77B3E" w:rsidRDefault="00B16CCF">
            <w:pPr>
              <w:spacing w:before="5pt"/>
              <w:jc w:val="center"/>
              <w:rPr>
                <w:color w:val="000000"/>
                <w:sz w:val="20"/>
              </w:rPr>
            </w:pPr>
            <w:r>
              <w:rPr>
                <w:color w:val="000000"/>
                <w:sz w:val="20"/>
              </w:rPr>
              <w:t>Znesek (v EUR)</w:t>
            </w:r>
          </w:p>
        </w:tc>
      </w:tr>
      <w:tr w:rsidR="00823317" w14:paraId="45A924F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02E3B3"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E63DF2" w14:textId="77777777" w:rsidR="00A77B3E" w:rsidRDefault="00B16CCF">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E32050"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5B8E20"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686580" w14:textId="77777777" w:rsidR="00A77B3E" w:rsidRDefault="00B16CCF">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0AAD5A" w14:textId="77777777" w:rsidR="00A77B3E" w:rsidRDefault="00B16CCF">
            <w:pPr>
              <w:spacing w:before="5pt"/>
              <w:jc w:val="end"/>
              <w:rPr>
                <w:color w:val="000000"/>
                <w:sz w:val="20"/>
              </w:rPr>
            </w:pPr>
            <w:r>
              <w:rPr>
                <w:color w:val="000000"/>
                <w:sz w:val="20"/>
              </w:rPr>
              <w:t>7.000.000,00</w:t>
            </w:r>
          </w:p>
        </w:tc>
      </w:tr>
      <w:tr w:rsidR="00823317" w14:paraId="245CFC5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FC1EAE"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31B1DB" w14:textId="77777777" w:rsidR="00A77B3E" w:rsidRDefault="00B16CCF">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8104B0"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9D9D84"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B0B907" w14:textId="77777777" w:rsidR="00A77B3E" w:rsidRDefault="00B16CCF">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B726ED" w14:textId="77777777" w:rsidR="00A77B3E" w:rsidRDefault="00B16CCF">
            <w:pPr>
              <w:spacing w:before="5pt"/>
              <w:jc w:val="end"/>
              <w:rPr>
                <w:color w:val="000000"/>
                <w:sz w:val="20"/>
              </w:rPr>
            </w:pPr>
            <w:r>
              <w:rPr>
                <w:color w:val="000000"/>
                <w:sz w:val="20"/>
              </w:rPr>
              <w:t>31.500.000,00</w:t>
            </w:r>
          </w:p>
        </w:tc>
      </w:tr>
      <w:tr w:rsidR="00823317" w14:paraId="4E41E9E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4A19FC"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D393BE" w14:textId="77777777" w:rsidR="00A77B3E" w:rsidRDefault="00B16CCF">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D7A689"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1C8653"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59EC9B"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D6B09B" w14:textId="77777777" w:rsidR="00A77B3E" w:rsidRDefault="00B16CCF">
            <w:pPr>
              <w:spacing w:before="5pt"/>
              <w:jc w:val="end"/>
              <w:rPr>
                <w:color w:val="000000"/>
                <w:sz w:val="20"/>
              </w:rPr>
            </w:pPr>
            <w:r>
              <w:rPr>
                <w:color w:val="000000"/>
                <w:sz w:val="20"/>
              </w:rPr>
              <w:t>38.500.000,00</w:t>
            </w:r>
          </w:p>
        </w:tc>
      </w:tr>
    </w:tbl>
    <w:p w14:paraId="51B7E4BD" w14:textId="77777777" w:rsidR="00A77B3E" w:rsidRDefault="00B16CCF">
      <w:pPr>
        <w:spacing w:before="5pt"/>
        <w:rPr>
          <w:color w:val="000000"/>
          <w:sz w:val="20"/>
        </w:rPr>
      </w:pPr>
      <w:r>
        <w:rPr>
          <w:color w:val="000000"/>
          <w:sz w:val="20"/>
        </w:rPr>
        <w:t>* Načeloma 40 % za ESS+ prispeva k spremljanju enakosti spolov. 100 % se uporabi, kadar se država članica odloči za uporabo člena 6 uredbe o ESS+.</w:t>
      </w:r>
    </w:p>
    <w:p w14:paraId="16CF16FB" w14:textId="77777777" w:rsidR="00A77B3E" w:rsidRDefault="00B16CCF">
      <w:pPr>
        <w:pStyle w:val="Naslov4"/>
        <w:spacing w:before="5pt" w:after="0pt"/>
        <w:rPr>
          <w:b w:val="0"/>
          <w:color w:val="000000"/>
          <w:sz w:val="24"/>
        </w:rPr>
      </w:pPr>
      <w:r>
        <w:rPr>
          <w:b w:val="0"/>
          <w:color w:val="000000"/>
          <w:sz w:val="24"/>
        </w:rPr>
        <w:br w:type="page"/>
      </w:r>
      <w:bookmarkStart w:id="127" w:name="_Toc256000888"/>
      <w:r>
        <w:rPr>
          <w:b w:val="0"/>
          <w:color w:val="000000"/>
          <w:sz w:val="24"/>
        </w:rPr>
        <w:lastRenderedPageBreak/>
        <w:t>2.1.1.1. Specifični cilj: RSO2.2. Spodbujanje energije iz obnovljivih virov v skladu z Direktivo (EU) 2018/2001 o spodbujanju uporabe energije iz obnovljivih virov [1], vključno s trajnostnimi merili, določenimi v Direktivi (ESRR)</w:t>
      </w:r>
      <w:bookmarkEnd w:id="127"/>
    </w:p>
    <w:p w14:paraId="21B15960" w14:textId="77777777" w:rsidR="00A77B3E" w:rsidRDefault="00A77B3E">
      <w:pPr>
        <w:spacing w:before="5pt"/>
        <w:rPr>
          <w:color w:val="000000"/>
          <w:sz w:val="0"/>
        </w:rPr>
      </w:pPr>
    </w:p>
    <w:p w14:paraId="2BBE8893" w14:textId="77777777" w:rsidR="00A77B3E" w:rsidRDefault="00B16CCF">
      <w:pPr>
        <w:pStyle w:val="Naslov4"/>
        <w:spacing w:before="5pt" w:after="0pt"/>
        <w:rPr>
          <w:b w:val="0"/>
          <w:color w:val="000000"/>
          <w:sz w:val="24"/>
        </w:rPr>
      </w:pPr>
      <w:bookmarkStart w:id="128" w:name="_Toc256000889"/>
      <w:r>
        <w:rPr>
          <w:b w:val="0"/>
          <w:color w:val="000000"/>
          <w:sz w:val="24"/>
        </w:rPr>
        <w:t>2.1.1.1.1. Ukrepi skladov</w:t>
      </w:r>
      <w:bookmarkEnd w:id="128"/>
    </w:p>
    <w:p w14:paraId="478A3AEE" w14:textId="77777777" w:rsidR="00A77B3E" w:rsidRDefault="00A77B3E">
      <w:pPr>
        <w:spacing w:before="5pt"/>
        <w:rPr>
          <w:color w:val="000000"/>
          <w:sz w:val="0"/>
        </w:rPr>
      </w:pPr>
    </w:p>
    <w:p w14:paraId="1D0399E6" w14:textId="77777777" w:rsidR="00A77B3E" w:rsidRDefault="00B16CCF">
      <w:pPr>
        <w:spacing w:before="5pt"/>
        <w:rPr>
          <w:color w:val="000000"/>
          <w:sz w:val="0"/>
        </w:rPr>
      </w:pPr>
      <w:r>
        <w:rPr>
          <w:color w:val="000000"/>
        </w:rPr>
        <w:t>Sklic: člen 22(3)(d)(i), (iii), (iv), (v), (vi) in (vii) uredbe o skupnih določbah</w:t>
      </w:r>
    </w:p>
    <w:p w14:paraId="2E33D370" w14:textId="77777777" w:rsidR="00A77B3E" w:rsidRDefault="00B16CCF">
      <w:pPr>
        <w:pStyle w:val="Naslov5"/>
        <w:spacing w:before="5pt" w:after="0pt"/>
        <w:rPr>
          <w:b w:val="0"/>
          <w:i w:val="0"/>
          <w:color w:val="000000"/>
          <w:sz w:val="24"/>
        </w:rPr>
      </w:pPr>
      <w:bookmarkStart w:id="129" w:name="_Toc256000890"/>
      <w:r>
        <w:rPr>
          <w:b w:val="0"/>
          <w:i w:val="0"/>
          <w:color w:val="000000"/>
          <w:sz w:val="24"/>
        </w:rPr>
        <w:t>Povezane vrste ukrepov – člen 22(3)(d)(i) uredbe o skupnih določbah in člen 6 uredbe o ESS+:</w:t>
      </w:r>
      <w:bookmarkEnd w:id="129"/>
    </w:p>
    <w:p w14:paraId="1543431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1654F932"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715CD6" w14:textId="77777777" w:rsidR="00A77B3E" w:rsidRDefault="00A77B3E">
            <w:pPr>
              <w:spacing w:before="5pt"/>
              <w:rPr>
                <w:color w:val="000000"/>
                <w:sz w:val="0"/>
              </w:rPr>
            </w:pPr>
          </w:p>
          <w:p w14:paraId="28036046" w14:textId="77777777" w:rsidR="00A77B3E" w:rsidRDefault="00B16CCF">
            <w:pPr>
              <w:spacing w:before="5pt"/>
              <w:rPr>
                <w:color w:val="000000"/>
              </w:rPr>
            </w:pPr>
            <w:r>
              <w:rPr>
                <w:color w:val="000000"/>
              </w:rPr>
              <w:t>Za doseganje ciljev SRS 2030 in posodobljenega NEPN 2024 [1] mora Slovenija spodbuditi vlaganja na področju rabe OVE. Spodbujanje pridobivanja energije iz OVE v skladu z Direktivo (EU) 2018/2001 o spodbujanju uporabe energije iz obnovljivih virov, vključno s trajnostnimi merili, je namreč eden ključnih korakov k podnebno nevtralni Sloveniji do leta 2050, zato se bo v okviru tega specifičnega cilja pospešilo vlaganja v naslednje ključne ukrepe:</w:t>
            </w:r>
          </w:p>
          <w:p w14:paraId="249131CD" w14:textId="77777777" w:rsidR="00A77B3E" w:rsidRDefault="00B16CCF">
            <w:pPr>
              <w:spacing w:before="5pt"/>
              <w:rPr>
                <w:color w:val="000000"/>
              </w:rPr>
            </w:pPr>
            <w:r>
              <w:rPr>
                <w:color w:val="000000"/>
              </w:rPr>
              <w:t>•</w:t>
            </w:r>
            <w:r>
              <w:rPr>
                <w:i/>
                <w:iCs/>
                <w:color w:val="000000"/>
              </w:rPr>
              <w:t xml:space="preserve">spodbujanje proizvodnje električne energije iz OVE, </w:t>
            </w:r>
            <w:r>
              <w:rPr>
                <w:color w:val="000000"/>
              </w:rPr>
              <w:t>in sicer:</w:t>
            </w:r>
          </w:p>
          <w:p w14:paraId="71304D2D" w14:textId="77777777" w:rsidR="00A77B3E" w:rsidRDefault="00B16CCF">
            <w:pPr>
              <w:numPr>
                <w:ilvl w:val="0"/>
                <w:numId w:val="18"/>
              </w:numPr>
              <w:spacing w:before="5pt"/>
              <w:rPr>
                <w:color w:val="000000"/>
              </w:rPr>
            </w:pPr>
            <w:r>
              <w:rPr>
                <w:color w:val="000000"/>
              </w:rPr>
              <w:t>potencial proizvodnje električne energije iz vetrnih elektrarnah (VE) je ocenjen na najmanj 415 MW. Ne glede na ovire, ki spremljajo postavitev vetrnih elektrarn, bomo v Sloveniji vlagali tudi na področju izrabe VE. V kolikor bo izkazana potreba, se bo v okviru ukrepa financiralo tudi predpogoje za izvedbo naložb OVE v vetrne elektrarne, kar vključuje predvsem analize in financiranje drugih sistemskih rešitev za optimalnejšo uvajanje vetrnih elektrarn ter financiranje strokovnih podlag in monitoringa okoljskih dejavnikov (kvalifikacijskih) vrst in habitatnih tipov, ocene hrupa pri stavbah z varovanimi prostori z modeliranjem širjenja hrupa v infrazvočnem in slišnem spektru (vključno z nizkimi frekvencami) glede na lokalno razgibanost terena in posebnosti meteoroloških dejavnikov),</w:t>
            </w:r>
          </w:p>
          <w:p w14:paraId="650DB107" w14:textId="77777777" w:rsidR="00A77B3E" w:rsidRDefault="00B16CCF">
            <w:pPr>
              <w:numPr>
                <w:ilvl w:val="0"/>
                <w:numId w:val="18"/>
              </w:numPr>
              <w:spacing w:before="5pt"/>
              <w:rPr>
                <w:color w:val="000000"/>
              </w:rPr>
            </w:pPr>
            <w:r>
              <w:rPr>
                <w:color w:val="000000"/>
              </w:rPr>
              <w:t>proizvodnja električne energije v sončnih elektrarnah (SE) predstavlja največji razvojni in okoljsko sprejemljiv potencial za povečanje proizvodnje električne energije iz OVE v Sloveniji. Z vidika trajnostne rabe prostora je prihodnji razvoj prednostno usmerjen v integracijo SE v objekte in površine, ki jih kot prednostne opredeljuje nacionalna zakonodaja in strateški dokumenti (npr. ZUNPEOVE in pripadajoči podzakonski akti). Samo na objektih je tehnični potencial proizvodnje elektrike glede na razpoložljive površine ocenjen na več kot 20 TWh. Zaradi geografske lege in podnebnih značilnosti Slovenije potencial za proizvodnjo električne energije v sončnih elektrarnah ni opredeljen geografsko temveč na podlagi razpoložljivih stavbnih značilnosti ter njihove povezave z energetsko infrastrukturo. Največji potencial je tako opredeljen v okolici urbanih središč (vključuje tudi samooskrbo v gospodinjstvih). Poleg tega je previdena spodbuda vgradnje srednjih in večjih sončnih elektrarn v okviru urbanih središč na industrijskih lokacijah ter degradiranih območjih.</w:t>
            </w:r>
          </w:p>
          <w:p w14:paraId="594D5925" w14:textId="77777777" w:rsidR="00A77B3E" w:rsidRDefault="00B16CCF">
            <w:pPr>
              <w:spacing w:before="5pt"/>
              <w:rPr>
                <w:color w:val="000000"/>
              </w:rPr>
            </w:pPr>
            <w:r>
              <w:rPr>
                <w:color w:val="000000"/>
              </w:rPr>
              <w:t>V okviru ukrepa bodo podprte tudi naložbe v hranilnike električne energije, pridobljene iz OVE, zlasti za shranjevanje presežno proizvedene energije. Na ta način se lahko tudi zmanjšajo investicijski stroški prehoda v podnebno nevtralno družbo.</w:t>
            </w:r>
          </w:p>
          <w:p w14:paraId="0761C719" w14:textId="77777777" w:rsidR="00A77B3E" w:rsidRDefault="00B16CCF">
            <w:pPr>
              <w:spacing w:before="5pt"/>
              <w:rPr>
                <w:color w:val="000000"/>
              </w:rPr>
            </w:pPr>
            <w:r>
              <w:rPr>
                <w:color w:val="000000"/>
              </w:rPr>
              <w:t>Vlaganja v VE in SE bomo usmerili na področja, ki jih bodo kot potencialno zanimiva in okoljsko sprejemljiva prepoznali pripravljavci študije »Facilitating Renewable Energy Deployment In Electricity Sector Of Slovenia« (Request For Service REFORM/SC2021/091[2]). Ob tem bomo pri umeščanju v prostor upoštevali tudi morebitna priporočila te študije in izvedli javni posvet. Deležnike bomo spodbudili k izvajanju monitoringa vpliva na naravo, še posebej vpliva vetrnih elektrarn na ptice, z namenom zbiranja pomembnih znanstvenih podatkov;</w:t>
            </w:r>
          </w:p>
          <w:p w14:paraId="4D1FB7B7" w14:textId="77777777" w:rsidR="00A77B3E" w:rsidRDefault="00B16CCF">
            <w:pPr>
              <w:spacing w:before="5pt"/>
              <w:rPr>
                <w:color w:val="000000"/>
              </w:rPr>
            </w:pPr>
            <w:r>
              <w:rPr>
                <w:color w:val="000000"/>
              </w:rPr>
              <w:t>•</w:t>
            </w:r>
            <w:r>
              <w:rPr>
                <w:i/>
                <w:iCs/>
                <w:color w:val="000000"/>
              </w:rPr>
              <w:t xml:space="preserve">spodbujanje novih in prestrukturiranje obstoječih daljinskih sistemov na OVE (ogrevanje in hlajenje): </w:t>
            </w:r>
            <w:r>
              <w:rPr>
                <w:color w:val="000000"/>
              </w:rPr>
              <w:t xml:space="preserve">predvideno je nadaljevanje obstoječih instrumentov spodbujanja razvoja sistemov daljinskega ogrevanja (v nadaljevanju: DO) in/ali hlajenja na OVE in odvečno toploto. Predvidene so naložbe v spodbujanje </w:t>
            </w:r>
            <w:r>
              <w:rPr>
                <w:color w:val="000000"/>
              </w:rPr>
              <w:lastRenderedPageBreak/>
              <w:t>energije iz obnovljivih virov in soproizvodnje z visokim izkoristkom, skladno z 41. členom Uredbe 651/2014 in/ali možnost sofinanciranja naložb v energijsko učinkovito daljinsko ogrevanje in/ali hlajenje, skladno s 46. členom Uredbe 651/2014. Finančne spodbude so predvidene za izgradnjo novih trajnostnih sistemov DO, ki bodo učinkoviti in konkurenčni oziroma prestrukturiranje obstoječih sistemov DO . Pri tem bo pomembno spodbujanje soproizvodnje toplote in električne energije v sistemih DO ter povezovanje sektorjev (hranilniki energije, »power2heat« idr.).</w:t>
            </w:r>
          </w:p>
          <w:p w14:paraId="54D7B2B5" w14:textId="77777777" w:rsidR="00A77B3E" w:rsidRDefault="00B16CCF">
            <w:pPr>
              <w:spacing w:before="5pt"/>
              <w:rPr>
                <w:color w:val="000000"/>
              </w:rPr>
            </w:pPr>
            <w:r>
              <w:rPr>
                <w:color w:val="000000"/>
              </w:rPr>
              <w:t>Ukrep se osredotoča na podporo projektom vgradnje generatorjev toplote, ki uporabljajo OVE in povečujejo delež OVE v sistemih daljinskega ogrevanja (toplotnih črpalk (TČ) za proizvodnjo toplote, sončnih sprejemnikov (SSE) za proizvodnjo toplote, kotlov na lesno biomaso (KNLB)) in izgradnjo postrojenj za soproizvodnjo toplote in električne energije iz obnovljivih virov energije (SPTE) iz OVE ter izkoriščanjem odpadne toplote, v obstoječih sistemih daljinskega ogrevanja. Poleg tega bodo podprte tudi naložbe v hranilnike toplote v sistemih daljinskega ogrevanja. Na ta način se lahko tudi zmanjšajo investicijski stroški prehoda v podnebno nevtralno družbo.</w:t>
            </w:r>
          </w:p>
          <w:p w14:paraId="71EFB1AD" w14:textId="77777777" w:rsidR="00A77B3E" w:rsidRDefault="00B16CCF">
            <w:pPr>
              <w:spacing w:before="5pt"/>
              <w:rPr>
                <w:color w:val="000000"/>
              </w:rPr>
            </w:pPr>
            <w:r>
              <w:rPr>
                <w:color w:val="000000"/>
              </w:rPr>
              <w:t>V Sloveniji, kjer gozd in les predstavljata izjemen razvojni potencial želimo še nadalje krepiti verigo vrednosti gozd – les. Pri tem ima pomembno vlogo tudi energetska izraba odpadne lesne biomase[3], ki nastaja v industrijskih procesih in/ali sanaciji gozdov. Uvajanje modernih tehnoloških rešitev za izgradnjo novih in prestrukturiranje obstoječih sistemov daljinskega ogrevanja in hlajenja, kjer je energent lesna biomasa, tako predstavlja pomemben most pri izboljševanju konkurenčnosti lesno predelovalne verige, dobremu stanju gozda in doseganju ciljev OVE. Zato bomo s tem ukrepom podpirali tudi uvajanje najnaprednejših tehnoloških rešitev za izrabo (odpadne) biomase, pri katerih je mogoče kombinirati pridobivanje električne in toplotne energije in ki so zasnovane tako, da prispevajo tudi k izboljševanju kakovosti zraka. Pri rabi biomase se smiselno upoštevajo trajnostni kriteriji, kot jih predpisuje Direktiva EU o spodbujanju uporabe energije iz obnovljivih virov ter smiselno upošteva, kjer je to relevantno, načelo kaskadne rabe. Podpora bo namenjena tudi/predvsem vzpostavitvi večjih sistemov, ki imajo boljše izkoristke, tudi na račun boljšega izkoriščanja odvečne toplote.</w:t>
            </w:r>
          </w:p>
          <w:p w14:paraId="13803795" w14:textId="77777777" w:rsidR="00A77B3E" w:rsidRDefault="00B16CCF">
            <w:pPr>
              <w:spacing w:before="5pt"/>
              <w:rPr>
                <w:color w:val="000000"/>
              </w:rPr>
            </w:pPr>
            <w:r>
              <w:rPr>
                <w:color w:val="000000"/>
              </w:rPr>
              <w:t>Prestrukturiranje obstoječih sistemov daljinskega ogrevanja se je delno podprlo tudi s sredstvi NOO, vendar večina predvidenih projektov, ki bi jih bilo potrebno izvesti na obstoječih daljinskih sistemih ogrevanja in hlajenja za potrebe doseganja nacionalnih ciljev na področju OVE v sektorju ogrevanja in hlajenja, kot jih določa posodobljen NEPN 2024, niso izvedljivi v okviru časovnice, kot jih zastavlja NOO (tj. do sredine 2026). Za te projekte je primerno, da se financirajo s sredstvi EKP. Ker se bodo projekti v okviru NOO in EKP izvajali in bodo podprti v različnih časovnih obdobjih, ni tveganj za dvojno financiranje. Razmejitev med obema podporama bo določena že na ravni posameznega javnega razpisa.</w:t>
            </w:r>
          </w:p>
          <w:p w14:paraId="38E0FAD0" w14:textId="77777777" w:rsidR="00A77B3E" w:rsidRDefault="00B16CCF">
            <w:pPr>
              <w:spacing w:before="5pt"/>
              <w:rPr>
                <w:color w:val="000000"/>
              </w:rPr>
            </w:pPr>
            <w:r>
              <w:rPr>
                <w:color w:val="000000"/>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Noben izmed predvidenih ukrepov tega specifičnega cilja nima bistvenega škodljivega vpliva na katerega koli od šestih okoljskih ciljev ob upoštevanju tehničnih meril, navedenih v Prilogi: DNSH.</w:t>
            </w:r>
          </w:p>
          <w:p w14:paraId="2A02D36F" w14:textId="77777777" w:rsidR="00A77B3E" w:rsidRDefault="00A77B3E">
            <w:pPr>
              <w:spacing w:before="5pt"/>
              <w:rPr>
                <w:color w:val="000000"/>
              </w:rPr>
            </w:pPr>
          </w:p>
          <w:p w14:paraId="497602F2" w14:textId="77777777" w:rsidR="00A77B3E" w:rsidRDefault="00B16CCF">
            <w:pPr>
              <w:spacing w:before="5pt"/>
              <w:rPr>
                <w:color w:val="000000"/>
              </w:rPr>
            </w:pPr>
            <w:r>
              <w:rPr>
                <w:color w:val="000000"/>
              </w:rPr>
              <w:t>[1] https://www.energetika-portal.si/fileadmin/dokumenti/publikacije/nepn/dokumenti/nepn2024_final_dec2024.pdf</w:t>
            </w:r>
          </w:p>
          <w:p w14:paraId="4F5BCB8A" w14:textId="77777777" w:rsidR="00A77B3E" w:rsidRDefault="00B16CCF">
            <w:pPr>
              <w:spacing w:before="5pt"/>
              <w:rPr>
                <w:color w:val="000000"/>
              </w:rPr>
            </w:pPr>
            <w:r>
              <w:rPr>
                <w:color w:val="000000"/>
              </w:rPr>
              <w:t>[2]V kolikor študija ne bo pripravljena pravočasno, se za operacije, ki se bodo pričele izvajati pred pripravo študije, navedeno vodilno načelo ne bo upoštevalo.</w:t>
            </w:r>
          </w:p>
          <w:p w14:paraId="0F9C4DDE" w14:textId="77777777" w:rsidR="00A77B3E" w:rsidRDefault="00B16CCF">
            <w:pPr>
              <w:spacing w:before="5pt"/>
              <w:rPr>
                <w:color w:val="000000"/>
              </w:rPr>
            </w:pPr>
            <w:r>
              <w:rPr>
                <w:color w:val="000000"/>
              </w:rPr>
              <w:t>[3]Les, ki ni primeren za industrijsko predelavo, in odsluženi les.</w:t>
            </w:r>
          </w:p>
          <w:p w14:paraId="7A64043A" w14:textId="77777777" w:rsidR="00A77B3E" w:rsidRDefault="00A77B3E">
            <w:pPr>
              <w:spacing w:before="5pt"/>
              <w:rPr>
                <w:color w:val="000000"/>
                <w:sz w:val="6"/>
              </w:rPr>
            </w:pPr>
          </w:p>
          <w:p w14:paraId="6A032951" w14:textId="77777777" w:rsidR="00A77B3E" w:rsidRDefault="00A77B3E">
            <w:pPr>
              <w:spacing w:before="5pt"/>
              <w:rPr>
                <w:color w:val="000000"/>
                <w:sz w:val="6"/>
              </w:rPr>
            </w:pPr>
          </w:p>
        </w:tc>
      </w:tr>
    </w:tbl>
    <w:p w14:paraId="54E8B4CD" w14:textId="77777777" w:rsidR="00A77B3E" w:rsidRDefault="00A77B3E">
      <w:pPr>
        <w:spacing w:before="5pt"/>
        <w:rPr>
          <w:color w:val="000000"/>
        </w:rPr>
      </w:pPr>
    </w:p>
    <w:p w14:paraId="7E6CFACE" w14:textId="77777777" w:rsidR="00A77B3E" w:rsidRDefault="00B16CCF">
      <w:pPr>
        <w:pStyle w:val="Naslov5"/>
        <w:spacing w:before="5pt" w:after="0pt"/>
        <w:rPr>
          <w:b w:val="0"/>
          <w:i w:val="0"/>
          <w:color w:val="000000"/>
          <w:sz w:val="24"/>
        </w:rPr>
      </w:pPr>
      <w:bookmarkStart w:id="130" w:name="_Toc256000891"/>
      <w:r>
        <w:rPr>
          <w:b w:val="0"/>
          <w:i w:val="0"/>
          <w:color w:val="000000"/>
          <w:sz w:val="24"/>
        </w:rPr>
        <w:lastRenderedPageBreak/>
        <w:t>Glavne ciljne skupine – člen 22(3)(d)(iii) uredbe o skupnih določbah:</w:t>
      </w:r>
      <w:bookmarkEnd w:id="130"/>
    </w:p>
    <w:p w14:paraId="35DEA4F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6170D91E"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6BD347" w14:textId="77777777" w:rsidR="00A77B3E" w:rsidRDefault="00A77B3E">
            <w:pPr>
              <w:spacing w:before="5pt"/>
              <w:rPr>
                <w:color w:val="000000"/>
                <w:sz w:val="0"/>
              </w:rPr>
            </w:pPr>
          </w:p>
          <w:p w14:paraId="78951711" w14:textId="77777777" w:rsidR="00A77B3E" w:rsidRDefault="00B16CCF">
            <w:pPr>
              <w:spacing w:before="5pt"/>
              <w:rPr>
                <w:color w:val="000000"/>
              </w:rPr>
            </w:pPr>
            <w:r>
              <w:rPr>
                <w:color w:val="000000"/>
              </w:rPr>
              <w:t>Ciljne skupine: podjetja, javni sektor, lokalne skupnosti, zadruge, zavodi.</w:t>
            </w:r>
          </w:p>
          <w:p w14:paraId="0AA2E3EF" w14:textId="77777777" w:rsidR="00A77B3E" w:rsidRDefault="00A77B3E">
            <w:pPr>
              <w:spacing w:before="5pt"/>
              <w:rPr>
                <w:color w:val="000000"/>
              </w:rPr>
            </w:pPr>
          </w:p>
          <w:p w14:paraId="260F0BF0" w14:textId="77777777" w:rsidR="00A77B3E" w:rsidRDefault="00B16CCF">
            <w:pPr>
              <w:spacing w:before="5pt"/>
              <w:rPr>
                <w:color w:val="000000"/>
              </w:rPr>
            </w:pPr>
            <w:r>
              <w:rPr>
                <w:color w:val="000000"/>
              </w:rPr>
              <w:t>Upravičenci: podjetja, javni sektor, lokalne skupnosti, zavodi, zadruge, zbornice.</w:t>
            </w:r>
          </w:p>
          <w:p w14:paraId="2A49ADF0" w14:textId="77777777" w:rsidR="00A77B3E" w:rsidRDefault="00A77B3E">
            <w:pPr>
              <w:spacing w:before="5pt"/>
              <w:rPr>
                <w:color w:val="000000"/>
                <w:sz w:val="6"/>
              </w:rPr>
            </w:pPr>
          </w:p>
          <w:p w14:paraId="67A2890E" w14:textId="77777777" w:rsidR="00A77B3E" w:rsidRDefault="00A77B3E">
            <w:pPr>
              <w:spacing w:before="5pt"/>
              <w:rPr>
                <w:color w:val="000000"/>
                <w:sz w:val="6"/>
              </w:rPr>
            </w:pPr>
          </w:p>
        </w:tc>
      </w:tr>
    </w:tbl>
    <w:p w14:paraId="4146377A" w14:textId="77777777" w:rsidR="00A77B3E" w:rsidRDefault="00A77B3E">
      <w:pPr>
        <w:spacing w:before="5pt"/>
        <w:rPr>
          <w:color w:val="000000"/>
        </w:rPr>
      </w:pPr>
    </w:p>
    <w:p w14:paraId="3DCB2C85" w14:textId="77777777" w:rsidR="00A77B3E" w:rsidRDefault="00B16CCF">
      <w:pPr>
        <w:pStyle w:val="Naslov5"/>
        <w:spacing w:before="5pt" w:after="0pt"/>
        <w:rPr>
          <w:b w:val="0"/>
          <w:i w:val="0"/>
          <w:color w:val="000000"/>
          <w:sz w:val="24"/>
        </w:rPr>
      </w:pPr>
      <w:bookmarkStart w:id="131" w:name="_Toc256000892"/>
      <w:r>
        <w:rPr>
          <w:b w:val="0"/>
          <w:i w:val="0"/>
          <w:color w:val="000000"/>
          <w:sz w:val="24"/>
        </w:rPr>
        <w:t>Ukrepi za zaščito enakosti, vključenosti in nediskriminacije – člen 22(3)(d)(iv) uredbe o skupnih določbah in člen 6 uredbe o ESS+</w:t>
      </w:r>
      <w:bookmarkEnd w:id="131"/>
    </w:p>
    <w:p w14:paraId="3677C50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1E4510EA"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CF82A7" w14:textId="77777777" w:rsidR="00A77B3E" w:rsidRDefault="00A77B3E">
            <w:pPr>
              <w:spacing w:before="5pt"/>
              <w:rPr>
                <w:color w:val="000000"/>
                <w:sz w:val="0"/>
              </w:rPr>
            </w:pPr>
          </w:p>
          <w:p w14:paraId="52D40EF8" w14:textId="77777777" w:rsidR="00A77B3E" w:rsidRDefault="00B16CCF">
            <w:pPr>
              <w:spacing w:before="5pt"/>
              <w:rPr>
                <w:color w:val="000000"/>
              </w:rPr>
            </w:pPr>
            <w:r>
              <w:rPr>
                <w:color w:val="000000"/>
              </w:rPr>
              <w:t xml:space="preserve">Pri načrtovanju, izvedbi in spremljanju ukrepov bodo spoštovana načela enakosti spolov, enakih možnosti in nediskriminacije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 </w:t>
            </w:r>
          </w:p>
          <w:p w14:paraId="2C4F12D1" w14:textId="77777777" w:rsidR="00A77B3E" w:rsidRDefault="00A77B3E">
            <w:pPr>
              <w:spacing w:before="5pt"/>
              <w:rPr>
                <w:color w:val="000000"/>
                <w:sz w:val="6"/>
              </w:rPr>
            </w:pPr>
          </w:p>
          <w:p w14:paraId="7091A3C8" w14:textId="77777777" w:rsidR="00A77B3E" w:rsidRDefault="00A77B3E">
            <w:pPr>
              <w:spacing w:before="5pt"/>
              <w:rPr>
                <w:color w:val="000000"/>
                <w:sz w:val="6"/>
              </w:rPr>
            </w:pPr>
          </w:p>
        </w:tc>
      </w:tr>
    </w:tbl>
    <w:p w14:paraId="5AA6B227" w14:textId="77777777" w:rsidR="00A77B3E" w:rsidRDefault="00A77B3E">
      <w:pPr>
        <w:spacing w:before="5pt"/>
        <w:rPr>
          <w:color w:val="000000"/>
        </w:rPr>
      </w:pPr>
    </w:p>
    <w:p w14:paraId="480D7781" w14:textId="77777777" w:rsidR="00A77B3E" w:rsidRDefault="00B16CCF">
      <w:pPr>
        <w:pStyle w:val="Naslov5"/>
        <w:spacing w:before="5pt" w:after="0pt"/>
        <w:rPr>
          <w:b w:val="0"/>
          <w:i w:val="0"/>
          <w:color w:val="000000"/>
          <w:sz w:val="24"/>
        </w:rPr>
      </w:pPr>
      <w:bookmarkStart w:id="132" w:name="_Toc256000893"/>
      <w:r>
        <w:rPr>
          <w:b w:val="0"/>
          <w:i w:val="0"/>
          <w:color w:val="000000"/>
          <w:sz w:val="24"/>
        </w:rPr>
        <w:t>Navedba specifičnih ciljnih ozemelj, vključno z načrtovano uporabo teritorialnih orodij – člen 22(3)(d)(v) uredbe o skupnih določbah</w:t>
      </w:r>
      <w:bookmarkEnd w:id="132"/>
    </w:p>
    <w:p w14:paraId="47AE7AF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67AC1D20"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AF1252" w14:textId="77777777" w:rsidR="00A77B3E" w:rsidRDefault="00A77B3E">
            <w:pPr>
              <w:spacing w:before="5pt"/>
              <w:rPr>
                <w:color w:val="000000"/>
                <w:sz w:val="0"/>
              </w:rPr>
            </w:pPr>
          </w:p>
          <w:p w14:paraId="565E920E" w14:textId="77777777" w:rsidR="00A77B3E" w:rsidRDefault="00B16CCF">
            <w:pPr>
              <w:spacing w:before="5pt"/>
              <w:rPr>
                <w:color w:val="000000"/>
              </w:rPr>
            </w:pPr>
            <w:r>
              <w:rPr>
                <w:color w:val="000000"/>
              </w:rPr>
              <w:t>V okviru specifičnega cilja ni predvideva uporaba teritorialnih orodij.</w:t>
            </w:r>
          </w:p>
          <w:p w14:paraId="0515FAC2" w14:textId="77777777" w:rsidR="00A77B3E" w:rsidRDefault="00A77B3E">
            <w:pPr>
              <w:spacing w:before="5pt"/>
              <w:rPr>
                <w:color w:val="000000"/>
                <w:sz w:val="6"/>
              </w:rPr>
            </w:pPr>
          </w:p>
          <w:p w14:paraId="37418585" w14:textId="77777777" w:rsidR="00A77B3E" w:rsidRDefault="00A77B3E">
            <w:pPr>
              <w:spacing w:before="5pt"/>
              <w:rPr>
                <w:color w:val="000000"/>
                <w:sz w:val="6"/>
              </w:rPr>
            </w:pPr>
          </w:p>
        </w:tc>
      </w:tr>
    </w:tbl>
    <w:p w14:paraId="50E63E59" w14:textId="77777777" w:rsidR="00A77B3E" w:rsidRDefault="00A77B3E">
      <w:pPr>
        <w:spacing w:before="5pt"/>
        <w:rPr>
          <w:color w:val="000000"/>
        </w:rPr>
      </w:pPr>
    </w:p>
    <w:p w14:paraId="2BF2C17D" w14:textId="77777777" w:rsidR="00A77B3E" w:rsidRDefault="00B16CCF">
      <w:pPr>
        <w:pStyle w:val="Naslov5"/>
        <w:spacing w:before="5pt" w:after="0pt"/>
        <w:rPr>
          <w:b w:val="0"/>
          <w:i w:val="0"/>
          <w:color w:val="000000"/>
          <w:sz w:val="24"/>
        </w:rPr>
      </w:pPr>
      <w:bookmarkStart w:id="133" w:name="_Toc256000894"/>
      <w:r>
        <w:rPr>
          <w:b w:val="0"/>
          <w:i w:val="0"/>
          <w:color w:val="000000"/>
          <w:sz w:val="24"/>
        </w:rPr>
        <w:t>Medregionalni, čezmejni in transnacionalni ukrepi – člen 22(3)(d)(vi) uredbe o skupnih določbah</w:t>
      </w:r>
      <w:bookmarkEnd w:id="133"/>
    </w:p>
    <w:p w14:paraId="1AF5942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78A9A99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4086E9" w14:textId="77777777" w:rsidR="00A77B3E" w:rsidRDefault="00A77B3E">
            <w:pPr>
              <w:spacing w:before="5pt"/>
              <w:rPr>
                <w:color w:val="000000"/>
                <w:sz w:val="0"/>
              </w:rPr>
            </w:pPr>
          </w:p>
          <w:p w14:paraId="78847913" w14:textId="77777777" w:rsidR="00A77B3E" w:rsidRDefault="00B16CCF">
            <w:pPr>
              <w:spacing w:before="5pt"/>
              <w:rPr>
                <w:color w:val="000000"/>
              </w:rPr>
            </w:pPr>
            <w:r>
              <w:rPr>
                <w:color w:val="000000"/>
              </w:rPr>
              <w:t>V okviru predmetnega specifičnega cilja ni načrtovana izvedba medregionalnih, čezmejnih in transnacionalnih ukrepov, saj gre za ukrepe spodbujanja energije iz obnovljivih virov, ki so namenjeni prvenstveno ciljnim skupinam na območju Slovenije.</w:t>
            </w:r>
          </w:p>
          <w:p w14:paraId="0D25C557" w14:textId="77777777" w:rsidR="00A77B3E" w:rsidRDefault="00A77B3E">
            <w:pPr>
              <w:spacing w:before="5pt"/>
              <w:rPr>
                <w:color w:val="000000"/>
                <w:sz w:val="6"/>
              </w:rPr>
            </w:pPr>
          </w:p>
          <w:p w14:paraId="7D1062C2" w14:textId="77777777" w:rsidR="00A77B3E" w:rsidRDefault="00A77B3E">
            <w:pPr>
              <w:spacing w:before="5pt"/>
              <w:rPr>
                <w:color w:val="000000"/>
                <w:sz w:val="6"/>
              </w:rPr>
            </w:pPr>
          </w:p>
        </w:tc>
      </w:tr>
    </w:tbl>
    <w:p w14:paraId="1FDC8656" w14:textId="77777777" w:rsidR="00A77B3E" w:rsidRDefault="00A77B3E">
      <w:pPr>
        <w:spacing w:before="5pt"/>
        <w:rPr>
          <w:color w:val="000000"/>
        </w:rPr>
      </w:pPr>
    </w:p>
    <w:p w14:paraId="6A1A61CA" w14:textId="77777777" w:rsidR="00A77B3E" w:rsidRDefault="00B16CCF">
      <w:pPr>
        <w:pStyle w:val="Naslov5"/>
        <w:spacing w:before="5pt" w:after="0pt"/>
        <w:rPr>
          <w:b w:val="0"/>
          <w:i w:val="0"/>
          <w:color w:val="000000"/>
          <w:sz w:val="24"/>
        </w:rPr>
      </w:pPr>
      <w:bookmarkStart w:id="134" w:name="_Toc256000895"/>
      <w:r>
        <w:rPr>
          <w:b w:val="0"/>
          <w:i w:val="0"/>
          <w:color w:val="000000"/>
          <w:sz w:val="24"/>
        </w:rPr>
        <w:t>Načrtovana uporaba finančnih instrumentov – člen 22(3)(d)(vii) uredbe o skupnih določbah</w:t>
      </w:r>
      <w:bookmarkEnd w:id="134"/>
    </w:p>
    <w:p w14:paraId="1126665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3F447A2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30D6EC" w14:textId="77777777" w:rsidR="00A77B3E" w:rsidRDefault="00A77B3E">
            <w:pPr>
              <w:spacing w:before="5pt"/>
              <w:rPr>
                <w:color w:val="000000"/>
                <w:sz w:val="0"/>
              </w:rPr>
            </w:pPr>
          </w:p>
          <w:p w14:paraId="31B1E1DE" w14:textId="77777777" w:rsidR="00A77B3E" w:rsidRDefault="00B16CCF">
            <w:pPr>
              <w:spacing w:before="5pt"/>
              <w:rPr>
                <w:color w:val="000000"/>
              </w:rPr>
            </w:pPr>
            <w:r>
              <w:rPr>
                <w:color w:val="000000"/>
              </w:rPr>
              <w:t xml:space="preserve">Predvidena je uporaba nepovratnih virov. Uporaba finančnih instrumentov namreč v okviru tega specifičnega cilja v skladu z izsledki analize Predhodnih ocen potreb trga in vrzeli financiranja na trgu za izvajanje finančnih instrumentov v programskem obdobju 2021-2027 (julij 2022) ni predvidena. Pri uporabi nepovratnih sredstev bo določena ustrezno znižana stopnja sofinanciranja, ki bo upoštevala prihranke v ekonomski dobi investicije oziroma skladno s pravili državnih pomoči. </w:t>
            </w:r>
          </w:p>
          <w:p w14:paraId="1032DC17" w14:textId="77777777" w:rsidR="00A77B3E" w:rsidRDefault="00A77B3E">
            <w:pPr>
              <w:spacing w:before="5pt"/>
              <w:rPr>
                <w:color w:val="000000"/>
                <w:sz w:val="6"/>
              </w:rPr>
            </w:pPr>
          </w:p>
          <w:p w14:paraId="0A321B0D" w14:textId="77777777" w:rsidR="00A77B3E" w:rsidRDefault="00A77B3E">
            <w:pPr>
              <w:spacing w:before="5pt"/>
              <w:rPr>
                <w:color w:val="000000"/>
                <w:sz w:val="6"/>
              </w:rPr>
            </w:pPr>
          </w:p>
        </w:tc>
      </w:tr>
    </w:tbl>
    <w:p w14:paraId="410EAEAA" w14:textId="77777777" w:rsidR="00A77B3E" w:rsidRDefault="00A77B3E">
      <w:pPr>
        <w:spacing w:before="5pt"/>
        <w:rPr>
          <w:color w:val="000000"/>
        </w:rPr>
      </w:pPr>
    </w:p>
    <w:p w14:paraId="6B4F85B3" w14:textId="77777777" w:rsidR="00A77B3E" w:rsidRDefault="00B16CCF">
      <w:pPr>
        <w:pStyle w:val="Naslov4"/>
        <w:spacing w:before="5pt" w:after="0pt"/>
        <w:rPr>
          <w:b w:val="0"/>
          <w:color w:val="000000"/>
          <w:sz w:val="24"/>
        </w:rPr>
      </w:pPr>
      <w:bookmarkStart w:id="135" w:name="_Toc256000896"/>
      <w:r>
        <w:rPr>
          <w:b w:val="0"/>
          <w:color w:val="000000"/>
          <w:sz w:val="24"/>
        </w:rPr>
        <w:t>2.1.1.1.2. Kazalniki</w:t>
      </w:r>
      <w:bookmarkEnd w:id="135"/>
    </w:p>
    <w:p w14:paraId="64C90AFA" w14:textId="77777777" w:rsidR="00A77B3E" w:rsidRDefault="00A77B3E">
      <w:pPr>
        <w:spacing w:before="5pt"/>
        <w:rPr>
          <w:color w:val="000000"/>
          <w:sz w:val="0"/>
        </w:rPr>
      </w:pPr>
    </w:p>
    <w:p w14:paraId="0FB708D7" w14:textId="77777777" w:rsidR="00A77B3E" w:rsidRDefault="00B16CCF">
      <w:pPr>
        <w:spacing w:before="5pt"/>
        <w:rPr>
          <w:color w:val="000000"/>
          <w:sz w:val="0"/>
        </w:rPr>
      </w:pPr>
      <w:r>
        <w:rPr>
          <w:color w:val="000000"/>
        </w:rPr>
        <w:t>Sklic: člen 22(3)(d)(ii) uredbe o skupnih določbah in člen 8 uredbe o ESRR in Kohezijskem skladu</w:t>
      </w:r>
    </w:p>
    <w:p w14:paraId="7BDAE8C8" w14:textId="77777777" w:rsidR="00A77B3E" w:rsidRDefault="00B16CCF">
      <w:pPr>
        <w:pStyle w:val="Naslov5"/>
        <w:spacing w:before="5pt" w:after="0pt"/>
        <w:rPr>
          <w:b w:val="0"/>
          <w:i w:val="0"/>
          <w:color w:val="000000"/>
          <w:sz w:val="24"/>
        </w:rPr>
      </w:pPr>
      <w:bookmarkStart w:id="136" w:name="_Toc256000897"/>
      <w:r>
        <w:rPr>
          <w:b w:val="0"/>
          <w:i w:val="0"/>
          <w:color w:val="000000"/>
          <w:sz w:val="24"/>
        </w:rPr>
        <w:t>Tabela 2: Kazalniki učinka</w:t>
      </w:r>
      <w:bookmarkEnd w:id="136"/>
    </w:p>
    <w:p w14:paraId="1821483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963"/>
        <w:gridCol w:w="1811"/>
        <w:gridCol w:w="1208"/>
        <w:gridCol w:w="1877"/>
        <w:gridCol w:w="2179"/>
        <w:gridCol w:w="2072"/>
        <w:gridCol w:w="1401"/>
        <w:gridCol w:w="1358"/>
        <w:gridCol w:w="1303"/>
      </w:tblGrid>
      <w:tr w:rsidR="00823317" w14:paraId="459F4F6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DBBCFE"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EE4EC4"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507DA9"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F188AB"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1504E0"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468EFD8"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C635F0"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103DC8" w14:textId="77777777" w:rsidR="00A77B3E" w:rsidRDefault="00B16CCF">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1F1CC3" w14:textId="77777777" w:rsidR="00A77B3E" w:rsidRDefault="00B16CCF">
            <w:pPr>
              <w:spacing w:before="5pt"/>
              <w:jc w:val="center"/>
              <w:rPr>
                <w:color w:val="000000"/>
                <w:sz w:val="20"/>
              </w:rPr>
            </w:pPr>
            <w:r>
              <w:rPr>
                <w:color w:val="000000"/>
                <w:sz w:val="20"/>
              </w:rPr>
              <w:t>Cilj (2029)</w:t>
            </w:r>
          </w:p>
        </w:tc>
      </w:tr>
      <w:tr w:rsidR="00823317" w14:paraId="1A354B8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B56E32"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5136DA" w14:textId="77777777" w:rsidR="00A77B3E" w:rsidRDefault="00B16CCF">
            <w:pPr>
              <w:spacing w:before="5pt"/>
              <w:rPr>
                <w:color w:val="000000"/>
                <w:sz w:val="20"/>
              </w:rPr>
            </w:pPr>
            <w:r>
              <w:rPr>
                <w:color w:val="000000"/>
                <w:sz w:val="20"/>
              </w:rPr>
              <w:t>RSO2.2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B21600"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02B871"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6ABAF7" w14:textId="77777777" w:rsidR="00A77B3E" w:rsidRDefault="00B16CCF">
            <w:pPr>
              <w:spacing w:before="5pt"/>
              <w:rPr>
                <w:color w:val="000000"/>
                <w:sz w:val="20"/>
              </w:rPr>
            </w:pPr>
            <w:r>
              <w:rPr>
                <w:color w:val="000000"/>
                <w:sz w:val="20"/>
              </w:rPr>
              <w:t>RCO22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936F7E" w14:textId="77777777" w:rsidR="00A77B3E" w:rsidRDefault="00B16CCF">
            <w:pPr>
              <w:spacing w:before="5pt"/>
              <w:rPr>
                <w:color w:val="000000"/>
                <w:sz w:val="20"/>
              </w:rPr>
            </w:pPr>
            <w:r>
              <w:rPr>
                <w:color w:val="000000"/>
                <w:sz w:val="20"/>
              </w:rPr>
              <w:t>Dodatna proizvodna zmogljivost za energijo iz obnovljivih virov (od tega: električna energija, toplotna energija)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2925D7" w14:textId="77777777" w:rsidR="00A77B3E" w:rsidRDefault="00B16CCF">
            <w:pPr>
              <w:spacing w:before="5pt"/>
              <w:rPr>
                <w:color w:val="000000"/>
                <w:sz w:val="20"/>
              </w:rPr>
            </w:pPr>
            <w:r>
              <w:rPr>
                <w:color w:val="000000"/>
                <w:sz w:val="20"/>
              </w:rPr>
              <w:t>MW</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9D869E" w14:textId="77777777" w:rsidR="00A77B3E" w:rsidRDefault="00B16CCF">
            <w:pPr>
              <w:spacing w:before="5pt"/>
              <w:jc w:val="end"/>
              <w:rPr>
                <w:color w:val="000000"/>
                <w:sz w:val="20"/>
              </w:rPr>
            </w:pPr>
            <w:r>
              <w:rPr>
                <w:color w:val="000000"/>
                <w:sz w:val="20"/>
              </w:rPr>
              <w:t>2,00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422940" w14:textId="77777777" w:rsidR="00A77B3E" w:rsidRDefault="00B16CCF">
            <w:pPr>
              <w:spacing w:before="5pt"/>
              <w:jc w:val="end"/>
              <w:rPr>
                <w:color w:val="000000"/>
                <w:sz w:val="20"/>
              </w:rPr>
            </w:pPr>
            <w:r>
              <w:rPr>
                <w:color w:val="000000"/>
                <w:sz w:val="20"/>
              </w:rPr>
              <w:t>29,38</w:t>
            </w:r>
          </w:p>
        </w:tc>
      </w:tr>
      <w:tr w:rsidR="00823317" w14:paraId="349B696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9F3444"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A4CD59" w14:textId="77777777" w:rsidR="00A77B3E" w:rsidRDefault="00B16CCF">
            <w:pPr>
              <w:spacing w:before="5pt"/>
              <w:rPr>
                <w:color w:val="000000"/>
                <w:sz w:val="20"/>
              </w:rPr>
            </w:pPr>
            <w:r>
              <w:rPr>
                <w:color w:val="000000"/>
                <w:sz w:val="20"/>
              </w:rPr>
              <w:t>RSO2.2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66B576"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4C3972"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44B27D" w14:textId="77777777" w:rsidR="00A77B3E" w:rsidRDefault="00B16CCF">
            <w:pPr>
              <w:spacing w:before="5pt"/>
              <w:rPr>
                <w:color w:val="000000"/>
                <w:sz w:val="20"/>
              </w:rPr>
            </w:pPr>
            <w:r>
              <w:rPr>
                <w:color w:val="000000"/>
                <w:sz w:val="20"/>
              </w:rPr>
              <w:t>RCO22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804AB6" w14:textId="77777777" w:rsidR="00A77B3E" w:rsidRDefault="00B16CCF">
            <w:pPr>
              <w:spacing w:before="5pt"/>
              <w:rPr>
                <w:color w:val="000000"/>
                <w:sz w:val="20"/>
              </w:rPr>
            </w:pPr>
            <w:r>
              <w:rPr>
                <w:color w:val="000000"/>
                <w:sz w:val="20"/>
              </w:rPr>
              <w:t>Dodatna proizvodna zmogljivost za energijo iz obnovljivih virov (od tega: električna energija, toplotna energija)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BF1822" w14:textId="77777777" w:rsidR="00A77B3E" w:rsidRDefault="00B16CCF">
            <w:pPr>
              <w:spacing w:before="5pt"/>
              <w:rPr>
                <w:color w:val="000000"/>
                <w:sz w:val="20"/>
              </w:rPr>
            </w:pPr>
            <w:r>
              <w:rPr>
                <w:color w:val="000000"/>
                <w:sz w:val="20"/>
              </w:rPr>
              <w:t>MW</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0DBF65" w14:textId="77777777" w:rsidR="00A77B3E" w:rsidRDefault="00B16CCF">
            <w:pPr>
              <w:spacing w:before="5pt"/>
              <w:jc w:val="end"/>
              <w:rPr>
                <w:color w:val="000000"/>
                <w:sz w:val="20"/>
              </w:rPr>
            </w:pPr>
            <w:r>
              <w:rPr>
                <w:color w:val="000000"/>
                <w:sz w:val="20"/>
              </w:rPr>
              <w:t>15,00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7466E0" w14:textId="77777777" w:rsidR="00A77B3E" w:rsidRDefault="00B16CCF">
            <w:pPr>
              <w:spacing w:before="5pt"/>
              <w:jc w:val="end"/>
              <w:rPr>
                <w:color w:val="000000"/>
                <w:sz w:val="20"/>
              </w:rPr>
            </w:pPr>
            <w:r>
              <w:rPr>
                <w:color w:val="000000"/>
                <w:sz w:val="20"/>
              </w:rPr>
              <w:t>180,30</w:t>
            </w:r>
          </w:p>
        </w:tc>
      </w:tr>
    </w:tbl>
    <w:p w14:paraId="49277FF1" w14:textId="77777777" w:rsidR="00A77B3E" w:rsidRDefault="00A77B3E">
      <w:pPr>
        <w:spacing w:before="5pt"/>
        <w:rPr>
          <w:color w:val="000000"/>
          <w:sz w:val="20"/>
        </w:rPr>
      </w:pPr>
    </w:p>
    <w:p w14:paraId="0B640D22" w14:textId="77777777" w:rsidR="00A77B3E" w:rsidRDefault="00B16CCF">
      <w:pPr>
        <w:spacing w:before="5pt"/>
        <w:rPr>
          <w:color w:val="000000"/>
          <w:sz w:val="0"/>
        </w:rPr>
      </w:pPr>
      <w:r>
        <w:rPr>
          <w:color w:val="000000"/>
        </w:rPr>
        <w:t>Sklic: člen 22(3)(d)(ii) uredbe o skupnih določbah</w:t>
      </w:r>
    </w:p>
    <w:p w14:paraId="185876E5" w14:textId="77777777" w:rsidR="00A77B3E" w:rsidRDefault="00B16CCF">
      <w:pPr>
        <w:pStyle w:val="Naslov5"/>
        <w:spacing w:before="5pt" w:after="0pt"/>
        <w:rPr>
          <w:b w:val="0"/>
          <w:i w:val="0"/>
          <w:color w:val="000000"/>
          <w:sz w:val="24"/>
        </w:rPr>
      </w:pPr>
      <w:bookmarkStart w:id="137" w:name="_Toc256000898"/>
      <w:r>
        <w:rPr>
          <w:b w:val="0"/>
          <w:i w:val="0"/>
          <w:color w:val="000000"/>
          <w:sz w:val="24"/>
        </w:rPr>
        <w:t>Tabela 3: Kazalniki rezultatov</w:t>
      </w:r>
      <w:bookmarkEnd w:id="137"/>
    </w:p>
    <w:p w14:paraId="14D5E2B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26"/>
        <w:gridCol w:w="1222"/>
        <w:gridCol w:w="815"/>
        <w:gridCol w:w="1267"/>
        <w:gridCol w:w="1471"/>
        <w:gridCol w:w="1413"/>
        <w:gridCol w:w="1238"/>
        <w:gridCol w:w="1296"/>
        <w:gridCol w:w="1368"/>
        <w:gridCol w:w="1339"/>
        <w:gridCol w:w="1355"/>
        <w:gridCol w:w="1062"/>
      </w:tblGrid>
      <w:tr w:rsidR="00823317" w14:paraId="6AA5CC9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686BA9"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F72E06"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1AD914B"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ABC07C"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0457DF"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ABE565"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8C364D"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20BDCF3" w14:textId="77777777" w:rsidR="00A77B3E" w:rsidRDefault="00B16CCF">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2819DE" w14:textId="77777777" w:rsidR="00A77B3E" w:rsidRDefault="00B16CCF">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7506FA" w14:textId="77777777" w:rsidR="00A77B3E" w:rsidRDefault="00B16CCF">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99A0E7" w14:textId="77777777" w:rsidR="00A77B3E" w:rsidRDefault="00B16CCF">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BE8FF7" w14:textId="77777777" w:rsidR="00A77B3E" w:rsidRDefault="00B16CCF">
            <w:pPr>
              <w:spacing w:before="5pt"/>
              <w:jc w:val="center"/>
              <w:rPr>
                <w:color w:val="000000"/>
                <w:sz w:val="20"/>
              </w:rPr>
            </w:pPr>
            <w:r>
              <w:rPr>
                <w:color w:val="000000"/>
                <w:sz w:val="20"/>
              </w:rPr>
              <w:t>Opombe</w:t>
            </w:r>
          </w:p>
        </w:tc>
      </w:tr>
      <w:tr w:rsidR="00823317" w14:paraId="0E0B28B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A6E990" w14:textId="77777777" w:rsidR="00A77B3E" w:rsidRDefault="00B16CCF">
            <w:pPr>
              <w:spacing w:before="5pt"/>
              <w:rPr>
                <w:color w:val="000000"/>
                <w:sz w:val="20"/>
              </w:rPr>
            </w:pPr>
            <w:r>
              <w:rPr>
                <w:color w:val="000000"/>
                <w:sz w:val="20"/>
              </w:rPr>
              <w:lastRenderedPageBreak/>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5B2D4E" w14:textId="77777777" w:rsidR="00A77B3E" w:rsidRDefault="00B16CCF">
            <w:pPr>
              <w:spacing w:before="5pt"/>
              <w:rPr>
                <w:color w:val="000000"/>
                <w:sz w:val="20"/>
              </w:rPr>
            </w:pPr>
            <w:r>
              <w:rPr>
                <w:color w:val="000000"/>
                <w:sz w:val="20"/>
              </w:rPr>
              <w:t>RSO2.2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E5C3B5"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91BD57"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196A21" w14:textId="77777777" w:rsidR="00A77B3E" w:rsidRDefault="00B16CCF">
            <w:pPr>
              <w:spacing w:before="5pt"/>
              <w:rPr>
                <w:color w:val="000000"/>
                <w:sz w:val="20"/>
              </w:rPr>
            </w:pPr>
            <w:r>
              <w:rPr>
                <w:color w:val="000000"/>
                <w:sz w:val="20"/>
              </w:rPr>
              <w:t>RCR31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093E52" w14:textId="77777777" w:rsidR="00A77B3E" w:rsidRDefault="00B16CCF">
            <w:pPr>
              <w:spacing w:before="5pt"/>
              <w:rPr>
                <w:color w:val="000000"/>
                <w:sz w:val="20"/>
              </w:rPr>
            </w:pPr>
            <w:r>
              <w:rPr>
                <w:color w:val="000000"/>
                <w:sz w:val="20"/>
              </w:rPr>
              <w:t>Skupna proizvodnja energije iz obnovljivih virov (od tega: električna energija, toplotna energija)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A88A75" w14:textId="77777777" w:rsidR="00A77B3E" w:rsidRDefault="00B16CCF">
            <w:pPr>
              <w:spacing w:before="5pt"/>
              <w:rPr>
                <w:color w:val="000000"/>
                <w:sz w:val="20"/>
              </w:rPr>
            </w:pPr>
            <w:r>
              <w:rPr>
                <w:color w:val="000000"/>
                <w:sz w:val="20"/>
              </w:rPr>
              <w:t>MWh/leto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D48CF7"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3086C5" w14:textId="77777777" w:rsidR="00A77B3E" w:rsidRDefault="00B16CCF">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AEFF66" w14:textId="77777777" w:rsidR="00A77B3E" w:rsidRDefault="00B16CCF">
            <w:pPr>
              <w:spacing w:before="5pt"/>
              <w:jc w:val="end"/>
              <w:rPr>
                <w:color w:val="000000"/>
                <w:sz w:val="20"/>
              </w:rPr>
            </w:pPr>
            <w:r>
              <w:rPr>
                <w:color w:val="000000"/>
                <w:sz w:val="20"/>
              </w:rPr>
              <w:t>29.380,00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8898A3" w14:textId="77777777" w:rsidR="00A77B3E" w:rsidRDefault="00B16CCF">
            <w:pPr>
              <w:spacing w:before="5pt"/>
              <w:rPr>
                <w:color w:val="000000"/>
                <w:sz w:val="20"/>
              </w:rPr>
            </w:pPr>
            <w:r>
              <w:rPr>
                <w:color w:val="000000"/>
                <w:sz w:val="20"/>
              </w:rPr>
              <w:t>Ministrstva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5481F9" w14:textId="77777777" w:rsidR="00A77B3E" w:rsidRDefault="00A77B3E">
            <w:pPr>
              <w:spacing w:before="5pt"/>
              <w:rPr>
                <w:color w:val="000000"/>
                <w:sz w:val="20"/>
              </w:rPr>
            </w:pPr>
          </w:p>
        </w:tc>
      </w:tr>
      <w:tr w:rsidR="00823317" w14:paraId="1D6F7E7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25C69A"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40DEC9" w14:textId="77777777" w:rsidR="00A77B3E" w:rsidRDefault="00B16CCF">
            <w:pPr>
              <w:spacing w:before="5pt"/>
              <w:rPr>
                <w:color w:val="000000"/>
                <w:sz w:val="20"/>
              </w:rPr>
            </w:pPr>
            <w:r>
              <w:rPr>
                <w:color w:val="000000"/>
                <w:sz w:val="20"/>
              </w:rPr>
              <w:t>RSO2.2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AF7A86"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FC0E51"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BE16A3" w14:textId="77777777" w:rsidR="00A77B3E" w:rsidRDefault="00B16CCF">
            <w:pPr>
              <w:spacing w:before="5pt"/>
              <w:rPr>
                <w:color w:val="000000"/>
                <w:sz w:val="20"/>
              </w:rPr>
            </w:pPr>
            <w:r>
              <w:rPr>
                <w:color w:val="000000"/>
                <w:sz w:val="20"/>
              </w:rPr>
              <w:t>RCR31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77438E" w14:textId="77777777" w:rsidR="00A77B3E" w:rsidRDefault="00B16CCF">
            <w:pPr>
              <w:spacing w:before="5pt"/>
              <w:rPr>
                <w:color w:val="000000"/>
                <w:sz w:val="20"/>
              </w:rPr>
            </w:pPr>
            <w:r>
              <w:rPr>
                <w:color w:val="000000"/>
                <w:sz w:val="20"/>
              </w:rPr>
              <w:t>Skupna proizvodnja energije iz obnovljivih virov (od tega: električna energija, toplotna energija)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677E57" w14:textId="77777777" w:rsidR="00A77B3E" w:rsidRDefault="00B16CCF">
            <w:pPr>
              <w:spacing w:before="5pt"/>
              <w:rPr>
                <w:color w:val="000000"/>
                <w:sz w:val="20"/>
              </w:rPr>
            </w:pPr>
            <w:r>
              <w:rPr>
                <w:color w:val="000000"/>
                <w:sz w:val="20"/>
              </w:rPr>
              <w:t>MWh/leto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66D50E"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0840E5" w14:textId="77777777" w:rsidR="00A77B3E" w:rsidRDefault="00B16CCF">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AE5D9F" w14:textId="77777777" w:rsidR="00A77B3E" w:rsidRDefault="00B16CCF">
            <w:pPr>
              <w:spacing w:before="5pt"/>
              <w:jc w:val="end"/>
              <w:rPr>
                <w:color w:val="000000"/>
                <w:sz w:val="20"/>
              </w:rPr>
            </w:pPr>
            <w:r>
              <w:rPr>
                <w:color w:val="000000"/>
                <w:sz w:val="20"/>
              </w:rPr>
              <w:t>180.300,00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4A5ABA" w14:textId="77777777" w:rsidR="00A77B3E" w:rsidRDefault="00B16CCF">
            <w:pPr>
              <w:spacing w:before="5pt"/>
              <w:rPr>
                <w:color w:val="000000"/>
                <w:sz w:val="20"/>
              </w:rPr>
            </w:pPr>
            <w:r>
              <w:rPr>
                <w:color w:val="000000"/>
                <w:sz w:val="20"/>
              </w:rPr>
              <w:t>Ministrstva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8773BA" w14:textId="77777777" w:rsidR="00A77B3E" w:rsidRDefault="00A77B3E">
            <w:pPr>
              <w:spacing w:before="5pt"/>
              <w:rPr>
                <w:color w:val="000000"/>
                <w:sz w:val="20"/>
              </w:rPr>
            </w:pPr>
          </w:p>
        </w:tc>
      </w:tr>
    </w:tbl>
    <w:p w14:paraId="5953512D" w14:textId="77777777" w:rsidR="00A77B3E" w:rsidRDefault="00A77B3E">
      <w:pPr>
        <w:spacing w:before="5pt"/>
        <w:rPr>
          <w:color w:val="000000"/>
          <w:sz w:val="20"/>
        </w:rPr>
      </w:pPr>
    </w:p>
    <w:p w14:paraId="6C5E2328" w14:textId="77777777" w:rsidR="00A77B3E" w:rsidRDefault="00B16CCF">
      <w:pPr>
        <w:pStyle w:val="Naslov4"/>
        <w:spacing w:before="5pt" w:after="0pt"/>
        <w:rPr>
          <w:b w:val="0"/>
          <w:color w:val="000000"/>
          <w:sz w:val="24"/>
        </w:rPr>
      </w:pPr>
      <w:bookmarkStart w:id="138" w:name="_Toc256000899"/>
      <w:r>
        <w:rPr>
          <w:b w:val="0"/>
          <w:color w:val="000000"/>
          <w:sz w:val="24"/>
        </w:rPr>
        <w:t>2.1.1.1.3. Okvirna razčlenitev načrtovanih sredstev (EU) glede na vrsto ukrepa</w:t>
      </w:r>
      <w:bookmarkEnd w:id="138"/>
    </w:p>
    <w:p w14:paraId="7277A060" w14:textId="77777777" w:rsidR="00A77B3E" w:rsidRDefault="00A77B3E">
      <w:pPr>
        <w:spacing w:before="5pt"/>
        <w:rPr>
          <w:color w:val="000000"/>
          <w:sz w:val="0"/>
        </w:rPr>
      </w:pPr>
    </w:p>
    <w:p w14:paraId="725083F9" w14:textId="77777777" w:rsidR="00A77B3E" w:rsidRDefault="00B16CCF">
      <w:pPr>
        <w:spacing w:before="5pt"/>
        <w:rPr>
          <w:color w:val="000000"/>
          <w:sz w:val="0"/>
        </w:rPr>
      </w:pPr>
      <w:r>
        <w:rPr>
          <w:color w:val="000000"/>
        </w:rPr>
        <w:t>Sklic: člen 22(3)(d)(viii) uredbe o skupnih določbah</w:t>
      </w:r>
    </w:p>
    <w:p w14:paraId="15E3E677" w14:textId="77777777" w:rsidR="00A77B3E" w:rsidRDefault="00B16CCF">
      <w:pPr>
        <w:pStyle w:val="Naslov5"/>
        <w:spacing w:before="5pt" w:after="0pt"/>
        <w:rPr>
          <w:b w:val="0"/>
          <w:i w:val="0"/>
          <w:color w:val="000000"/>
          <w:sz w:val="24"/>
        </w:rPr>
      </w:pPr>
      <w:bookmarkStart w:id="139" w:name="_Toc256000900"/>
      <w:r>
        <w:rPr>
          <w:b w:val="0"/>
          <w:i w:val="0"/>
          <w:color w:val="000000"/>
          <w:sz w:val="24"/>
        </w:rPr>
        <w:t>Tabela 4: Razsežnost 1 – področje ukrepanja</w:t>
      </w:r>
      <w:bookmarkEnd w:id="139"/>
    </w:p>
    <w:p w14:paraId="630D123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08"/>
        <w:gridCol w:w="2314"/>
        <w:gridCol w:w="1680"/>
        <w:gridCol w:w="2398"/>
        <w:gridCol w:w="3116"/>
        <w:gridCol w:w="3156"/>
      </w:tblGrid>
      <w:tr w:rsidR="00823317" w14:paraId="321EC7C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807730"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69308C"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7848F8"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943153"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353843"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9BC2687" w14:textId="77777777" w:rsidR="00A77B3E" w:rsidRDefault="00B16CCF">
            <w:pPr>
              <w:spacing w:before="5pt"/>
              <w:jc w:val="center"/>
              <w:rPr>
                <w:color w:val="000000"/>
                <w:sz w:val="20"/>
              </w:rPr>
            </w:pPr>
            <w:r>
              <w:rPr>
                <w:color w:val="000000"/>
                <w:sz w:val="20"/>
              </w:rPr>
              <w:t>Znesek (v EUR)</w:t>
            </w:r>
          </w:p>
        </w:tc>
      </w:tr>
      <w:tr w:rsidR="00823317" w14:paraId="7D5201C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E23896"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A1CDE6" w14:textId="77777777" w:rsidR="00A77B3E" w:rsidRDefault="00B16CCF">
            <w:pPr>
              <w:spacing w:before="5pt"/>
              <w:rPr>
                <w:color w:val="000000"/>
                <w:sz w:val="20"/>
              </w:rPr>
            </w:pPr>
            <w:r>
              <w:rPr>
                <w:color w:val="000000"/>
                <w:sz w:val="20"/>
              </w:rPr>
              <w:t>RSO2.2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64D09C"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A3EBA2"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935C1A" w14:textId="77777777" w:rsidR="00A77B3E" w:rsidRDefault="00B16CCF">
            <w:pPr>
              <w:spacing w:before="5pt"/>
              <w:rPr>
                <w:color w:val="000000"/>
                <w:sz w:val="20"/>
              </w:rPr>
            </w:pPr>
            <w:r>
              <w:rPr>
                <w:color w:val="000000"/>
                <w:sz w:val="20"/>
              </w:rPr>
              <w:t>047. Energija iz obnovljivih virov: veter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411868" w14:textId="77777777" w:rsidR="00A77B3E" w:rsidRDefault="00B16CCF">
            <w:pPr>
              <w:spacing w:before="5pt"/>
              <w:jc w:val="end"/>
              <w:rPr>
                <w:color w:val="000000"/>
                <w:sz w:val="20"/>
              </w:rPr>
            </w:pPr>
            <w:r>
              <w:rPr>
                <w:color w:val="000000"/>
                <w:sz w:val="20"/>
              </w:rPr>
              <w:t>504.792,00</w:t>
            </w:r>
          </w:p>
        </w:tc>
      </w:tr>
      <w:tr w:rsidR="00823317" w14:paraId="78E1A32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1B31BE"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502902" w14:textId="77777777" w:rsidR="00A77B3E" w:rsidRDefault="00B16CCF">
            <w:pPr>
              <w:spacing w:before="5pt"/>
              <w:rPr>
                <w:color w:val="000000"/>
                <w:sz w:val="20"/>
              </w:rPr>
            </w:pPr>
            <w:r>
              <w:rPr>
                <w:color w:val="000000"/>
                <w:sz w:val="20"/>
              </w:rPr>
              <w:t>RSO2.2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41E32F"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B5310F"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27BBA8" w14:textId="77777777" w:rsidR="00A77B3E" w:rsidRDefault="00B16CCF">
            <w:pPr>
              <w:spacing w:before="5pt"/>
              <w:rPr>
                <w:color w:val="000000"/>
                <w:sz w:val="20"/>
              </w:rPr>
            </w:pPr>
            <w:r>
              <w:rPr>
                <w:color w:val="000000"/>
                <w:sz w:val="20"/>
              </w:rPr>
              <w:t>048. Energija iz obnovljivih virov: sonce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56E024" w14:textId="77777777" w:rsidR="00A77B3E" w:rsidRDefault="00B16CCF">
            <w:pPr>
              <w:spacing w:before="5pt"/>
              <w:jc w:val="end"/>
              <w:rPr>
                <w:color w:val="000000"/>
                <w:sz w:val="20"/>
              </w:rPr>
            </w:pPr>
            <w:r>
              <w:rPr>
                <w:color w:val="000000"/>
                <w:sz w:val="20"/>
              </w:rPr>
              <w:t>7.983.821,00</w:t>
            </w:r>
          </w:p>
        </w:tc>
      </w:tr>
      <w:tr w:rsidR="00823317" w14:paraId="2DC280B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3E47AD"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50663B" w14:textId="77777777" w:rsidR="00A77B3E" w:rsidRDefault="00B16CCF">
            <w:pPr>
              <w:spacing w:before="5pt"/>
              <w:rPr>
                <w:color w:val="000000"/>
                <w:sz w:val="20"/>
              </w:rPr>
            </w:pPr>
            <w:r>
              <w:rPr>
                <w:color w:val="000000"/>
                <w:sz w:val="20"/>
              </w:rPr>
              <w:t>RSO2.2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6EA99F"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6E0E78"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2DFAC1" w14:textId="77777777" w:rsidR="00A77B3E" w:rsidRDefault="00B16CCF">
            <w:pPr>
              <w:spacing w:before="5pt"/>
              <w:rPr>
                <w:color w:val="000000"/>
                <w:sz w:val="20"/>
              </w:rPr>
            </w:pPr>
            <w:r>
              <w:rPr>
                <w:color w:val="000000"/>
                <w:sz w:val="20"/>
              </w:rPr>
              <w:t>047. Energija iz obnovljivih virov: veter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F9A883" w14:textId="77777777" w:rsidR="00A77B3E" w:rsidRDefault="00B16CCF">
            <w:pPr>
              <w:spacing w:before="5pt"/>
              <w:jc w:val="end"/>
              <w:rPr>
                <w:color w:val="000000"/>
                <w:sz w:val="20"/>
              </w:rPr>
            </w:pPr>
            <w:r>
              <w:rPr>
                <w:color w:val="000000"/>
                <w:sz w:val="20"/>
              </w:rPr>
              <w:t>28.920.000,00</w:t>
            </w:r>
          </w:p>
        </w:tc>
      </w:tr>
      <w:tr w:rsidR="00823317" w14:paraId="683F963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D1694B"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C1102E" w14:textId="77777777" w:rsidR="00A77B3E" w:rsidRDefault="00B16CCF">
            <w:pPr>
              <w:spacing w:before="5pt"/>
              <w:rPr>
                <w:color w:val="000000"/>
                <w:sz w:val="20"/>
              </w:rPr>
            </w:pPr>
            <w:r>
              <w:rPr>
                <w:color w:val="000000"/>
                <w:sz w:val="20"/>
              </w:rPr>
              <w:t>RSO2.2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967573"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249438"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570136" w14:textId="77777777" w:rsidR="00A77B3E" w:rsidRDefault="00B16CCF">
            <w:pPr>
              <w:spacing w:before="5pt"/>
              <w:rPr>
                <w:color w:val="000000"/>
                <w:sz w:val="20"/>
              </w:rPr>
            </w:pPr>
            <w:r>
              <w:rPr>
                <w:color w:val="000000"/>
                <w:sz w:val="20"/>
              </w:rPr>
              <w:t>048. Energija iz obnovljivih virov: sonce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D6386D" w14:textId="77777777" w:rsidR="00A77B3E" w:rsidRDefault="00B16CCF">
            <w:pPr>
              <w:spacing w:before="5pt"/>
              <w:jc w:val="end"/>
              <w:rPr>
                <w:color w:val="000000"/>
                <w:sz w:val="20"/>
              </w:rPr>
            </w:pPr>
            <w:r>
              <w:rPr>
                <w:color w:val="000000"/>
                <w:sz w:val="20"/>
              </w:rPr>
              <w:t>31.242.343,00</w:t>
            </w:r>
          </w:p>
        </w:tc>
      </w:tr>
      <w:tr w:rsidR="00823317" w14:paraId="6D01EB7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71EBE1"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731046" w14:textId="77777777" w:rsidR="00A77B3E" w:rsidRDefault="00B16CCF">
            <w:pPr>
              <w:spacing w:before="5pt"/>
              <w:rPr>
                <w:color w:val="000000"/>
                <w:sz w:val="20"/>
              </w:rPr>
            </w:pPr>
            <w:r>
              <w:rPr>
                <w:color w:val="000000"/>
                <w:sz w:val="20"/>
              </w:rPr>
              <w:t>RSO2.2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4418BB"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75ACD5"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741443" w14:textId="77777777" w:rsidR="00A77B3E" w:rsidRDefault="00B16CCF">
            <w:pPr>
              <w:spacing w:before="5pt"/>
              <w:rPr>
                <w:color w:val="000000"/>
                <w:sz w:val="20"/>
              </w:rPr>
            </w:pPr>
            <w:r>
              <w:rPr>
                <w:color w:val="000000"/>
                <w:sz w:val="20"/>
              </w:rPr>
              <w:t xml:space="preserve">055. Visoko učinkovita soproizvodnja toplote in električne energije, daljinsko ogrevanje in </w:t>
            </w:r>
            <w:r>
              <w:rPr>
                <w:color w:val="000000"/>
                <w:sz w:val="20"/>
              </w:rPr>
              <w:lastRenderedPageBreak/>
              <w:t>hlajenje z nizkimi emisijami v življenjskem ciklu</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3A209C" w14:textId="77777777" w:rsidR="00A77B3E" w:rsidRDefault="00B16CCF">
            <w:pPr>
              <w:spacing w:before="5pt"/>
              <w:jc w:val="end"/>
              <w:rPr>
                <w:color w:val="000000"/>
                <w:sz w:val="20"/>
              </w:rPr>
            </w:pPr>
            <w:r>
              <w:rPr>
                <w:color w:val="000000"/>
                <w:sz w:val="20"/>
              </w:rPr>
              <w:lastRenderedPageBreak/>
              <w:t>12.869.771,00</w:t>
            </w:r>
          </w:p>
        </w:tc>
      </w:tr>
      <w:tr w:rsidR="00823317" w14:paraId="647D072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B24808"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825005" w14:textId="77777777" w:rsidR="00A77B3E" w:rsidRDefault="00B16CCF">
            <w:pPr>
              <w:spacing w:before="5pt"/>
              <w:rPr>
                <w:color w:val="000000"/>
                <w:sz w:val="20"/>
              </w:rPr>
            </w:pPr>
            <w:r>
              <w:rPr>
                <w:color w:val="000000"/>
                <w:sz w:val="20"/>
              </w:rPr>
              <w:t>RSO2.2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44A610"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A369EA"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22EF07"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38C225" w14:textId="77777777" w:rsidR="00A77B3E" w:rsidRDefault="00B16CCF">
            <w:pPr>
              <w:spacing w:before="5pt"/>
              <w:jc w:val="end"/>
              <w:rPr>
                <w:color w:val="000000"/>
                <w:sz w:val="20"/>
              </w:rPr>
            </w:pPr>
            <w:r>
              <w:rPr>
                <w:color w:val="000000"/>
                <w:sz w:val="20"/>
              </w:rPr>
              <w:t>81.520.727,00</w:t>
            </w:r>
          </w:p>
        </w:tc>
      </w:tr>
    </w:tbl>
    <w:p w14:paraId="2B87DA07" w14:textId="77777777" w:rsidR="00A77B3E" w:rsidRDefault="00A77B3E">
      <w:pPr>
        <w:spacing w:before="5pt"/>
        <w:rPr>
          <w:color w:val="000000"/>
          <w:sz w:val="20"/>
        </w:rPr>
      </w:pPr>
    </w:p>
    <w:p w14:paraId="15C4123E" w14:textId="77777777" w:rsidR="00A77B3E" w:rsidRDefault="00B16CCF">
      <w:pPr>
        <w:pStyle w:val="Naslov5"/>
        <w:spacing w:before="5pt" w:after="0pt"/>
        <w:rPr>
          <w:b w:val="0"/>
          <w:i w:val="0"/>
          <w:color w:val="000000"/>
          <w:sz w:val="24"/>
        </w:rPr>
      </w:pPr>
      <w:bookmarkStart w:id="140" w:name="_Toc256000901"/>
      <w:r>
        <w:rPr>
          <w:b w:val="0"/>
          <w:i w:val="0"/>
          <w:color w:val="000000"/>
          <w:sz w:val="24"/>
        </w:rPr>
        <w:t>Tabela 5: Razsežnost 2 – oblika financiranja</w:t>
      </w:r>
      <w:bookmarkEnd w:id="140"/>
    </w:p>
    <w:p w14:paraId="1DFC83E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93"/>
        <w:gridCol w:w="2392"/>
        <w:gridCol w:w="1737"/>
        <w:gridCol w:w="2480"/>
        <w:gridCol w:w="2706"/>
        <w:gridCol w:w="3264"/>
      </w:tblGrid>
      <w:tr w:rsidR="00823317" w14:paraId="2A82DD6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5C20C8"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6294E4"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F6A89A"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AED125"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9A50EE"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1FA829" w14:textId="77777777" w:rsidR="00A77B3E" w:rsidRDefault="00B16CCF">
            <w:pPr>
              <w:spacing w:before="5pt"/>
              <w:jc w:val="center"/>
              <w:rPr>
                <w:color w:val="000000"/>
                <w:sz w:val="20"/>
              </w:rPr>
            </w:pPr>
            <w:r>
              <w:rPr>
                <w:color w:val="000000"/>
                <w:sz w:val="20"/>
              </w:rPr>
              <w:t>Znesek (v EUR)</w:t>
            </w:r>
          </w:p>
        </w:tc>
      </w:tr>
      <w:tr w:rsidR="00823317" w14:paraId="6C97B8A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73735A"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1D4ED6" w14:textId="77777777" w:rsidR="00A77B3E" w:rsidRDefault="00B16CCF">
            <w:pPr>
              <w:spacing w:before="5pt"/>
              <w:rPr>
                <w:color w:val="000000"/>
                <w:sz w:val="20"/>
              </w:rPr>
            </w:pPr>
            <w:r>
              <w:rPr>
                <w:color w:val="000000"/>
                <w:sz w:val="20"/>
              </w:rPr>
              <w:t>RSO2.2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664D6B"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B4EE5F"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296697" w14:textId="77777777" w:rsidR="00A77B3E" w:rsidRDefault="00B16CCF">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516B8C" w14:textId="77777777" w:rsidR="00A77B3E" w:rsidRDefault="00B16CCF">
            <w:pPr>
              <w:spacing w:before="5pt"/>
              <w:jc w:val="end"/>
              <w:rPr>
                <w:color w:val="000000"/>
                <w:sz w:val="20"/>
              </w:rPr>
            </w:pPr>
            <w:r>
              <w:rPr>
                <w:color w:val="000000"/>
                <w:sz w:val="20"/>
              </w:rPr>
              <w:t>8.488.613,00</w:t>
            </w:r>
          </w:p>
        </w:tc>
      </w:tr>
      <w:tr w:rsidR="00823317" w14:paraId="7160BD0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93632B"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501834" w14:textId="77777777" w:rsidR="00A77B3E" w:rsidRDefault="00B16CCF">
            <w:pPr>
              <w:spacing w:before="5pt"/>
              <w:rPr>
                <w:color w:val="000000"/>
                <w:sz w:val="20"/>
              </w:rPr>
            </w:pPr>
            <w:r>
              <w:rPr>
                <w:color w:val="000000"/>
                <w:sz w:val="20"/>
              </w:rPr>
              <w:t>RSO2.2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BD437A"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D28F31"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CC058C" w14:textId="77777777" w:rsidR="00A77B3E" w:rsidRDefault="00B16CCF">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FD8EEC" w14:textId="77777777" w:rsidR="00A77B3E" w:rsidRDefault="00B16CCF">
            <w:pPr>
              <w:spacing w:before="5pt"/>
              <w:jc w:val="end"/>
              <w:rPr>
                <w:color w:val="000000"/>
                <w:sz w:val="20"/>
              </w:rPr>
            </w:pPr>
            <w:r>
              <w:rPr>
                <w:color w:val="000000"/>
                <w:sz w:val="20"/>
              </w:rPr>
              <w:t>73.032.114,00</w:t>
            </w:r>
          </w:p>
        </w:tc>
      </w:tr>
      <w:tr w:rsidR="00823317" w14:paraId="56AF627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400EA8"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7F1287" w14:textId="77777777" w:rsidR="00A77B3E" w:rsidRDefault="00B16CCF">
            <w:pPr>
              <w:spacing w:before="5pt"/>
              <w:rPr>
                <w:color w:val="000000"/>
                <w:sz w:val="20"/>
              </w:rPr>
            </w:pPr>
            <w:r>
              <w:rPr>
                <w:color w:val="000000"/>
                <w:sz w:val="20"/>
              </w:rPr>
              <w:t>RSO2.2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F6BA88"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5EC60E"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E0C7F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6480D6" w14:textId="77777777" w:rsidR="00A77B3E" w:rsidRDefault="00B16CCF">
            <w:pPr>
              <w:spacing w:before="5pt"/>
              <w:jc w:val="end"/>
              <w:rPr>
                <w:color w:val="000000"/>
                <w:sz w:val="20"/>
              </w:rPr>
            </w:pPr>
            <w:r>
              <w:rPr>
                <w:color w:val="000000"/>
                <w:sz w:val="20"/>
              </w:rPr>
              <w:t>81.520.727,00</w:t>
            </w:r>
          </w:p>
        </w:tc>
      </w:tr>
    </w:tbl>
    <w:p w14:paraId="21605495" w14:textId="77777777" w:rsidR="00A77B3E" w:rsidRDefault="00A77B3E">
      <w:pPr>
        <w:spacing w:before="5pt"/>
        <w:rPr>
          <w:color w:val="000000"/>
          <w:sz w:val="20"/>
        </w:rPr>
      </w:pPr>
    </w:p>
    <w:p w14:paraId="07998F34" w14:textId="77777777" w:rsidR="00A77B3E" w:rsidRDefault="00B16CCF">
      <w:pPr>
        <w:pStyle w:val="Naslov5"/>
        <w:spacing w:before="5pt" w:after="0pt"/>
        <w:rPr>
          <w:b w:val="0"/>
          <w:i w:val="0"/>
          <w:color w:val="000000"/>
          <w:sz w:val="24"/>
        </w:rPr>
      </w:pPr>
      <w:bookmarkStart w:id="141" w:name="_Toc256000902"/>
      <w:r>
        <w:rPr>
          <w:b w:val="0"/>
          <w:i w:val="0"/>
          <w:color w:val="000000"/>
          <w:sz w:val="24"/>
        </w:rPr>
        <w:t>Tabela 6: Razsežnost 3 – mehanizem za ozemeljsko izvrševanje in ozemeljski pristop</w:t>
      </w:r>
      <w:bookmarkEnd w:id="141"/>
    </w:p>
    <w:p w14:paraId="291784C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26"/>
        <w:gridCol w:w="2331"/>
        <w:gridCol w:w="1692"/>
        <w:gridCol w:w="2416"/>
        <w:gridCol w:w="3027"/>
        <w:gridCol w:w="3180"/>
      </w:tblGrid>
      <w:tr w:rsidR="00823317" w14:paraId="22B74F1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64D7354"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44E175C"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E306F4"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8E9302"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AAAA1CC"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0DE282" w14:textId="77777777" w:rsidR="00A77B3E" w:rsidRDefault="00B16CCF">
            <w:pPr>
              <w:spacing w:before="5pt"/>
              <w:jc w:val="center"/>
              <w:rPr>
                <w:color w:val="000000"/>
                <w:sz w:val="20"/>
              </w:rPr>
            </w:pPr>
            <w:r>
              <w:rPr>
                <w:color w:val="000000"/>
                <w:sz w:val="20"/>
              </w:rPr>
              <w:t>Znesek (v EUR)</w:t>
            </w:r>
          </w:p>
        </w:tc>
      </w:tr>
      <w:tr w:rsidR="00823317" w14:paraId="69DEC95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614811"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16AEE8" w14:textId="77777777" w:rsidR="00A77B3E" w:rsidRDefault="00B16CCF">
            <w:pPr>
              <w:spacing w:before="5pt"/>
              <w:rPr>
                <w:color w:val="000000"/>
                <w:sz w:val="20"/>
              </w:rPr>
            </w:pPr>
            <w:r>
              <w:rPr>
                <w:color w:val="000000"/>
                <w:sz w:val="20"/>
              </w:rPr>
              <w:t>RSO2.2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40E881"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2457C2"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477E7A" w14:textId="77777777" w:rsidR="00A77B3E" w:rsidRDefault="00B16CCF">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CBCF5C" w14:textId="77777777" w:rsidR="00A77B3E" w:rsidRDefault="00B16CCF">
            <w:pPr>
              <w:spacing w:before="5pt"/>
              <w:jc w:val="end"/>
              <w:rPr>
                <w:color w:val="000000"/>
                <w:sz w:val="20"/>
              </w:rPr>
            </w:pPr>
            <w:r>
              <w:rPr>
                <w:color w:val="000000"/>
                <w:sz w:val="20"/>
              </w:rPr>
              <w:t>8.488.613,00</w:t>
            </w:r>
          </w:p>
        </w:tc>
      </w:tr>
      <w:tr w:rsidR="00823317" w14:paraId="3B53FED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E03042"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A8194A" w14:textId="77777777" w:rsidR="00A77B3E" w:rsidRDefault="00B16CCF">
            <w:pPr>
              <w:spacing w:before="5pt"/>
              <w:rPr>
                <w:color w:val="000000"/>
                <w:sz w:val="20"/>
              </w:rPr>
            </w:pPr>
            <w:r>
              <w:rPr>
                <w:color w:val="000000"/>
                <w:sz w:val="20"/>
              </w:rPr>
              <w:t>RSO2.2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DEE009"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457CED"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D69121" w14:textId="77777777" w:rsidR="00A77B3E" w:rsidRDefault="00B16CCF">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8A4A60" w14:textId="77777777" w:rsidR="00A77B3E" w:rsidRDefault="00B16CCF">
            <w:pPr>
              <w:spacing w:before="5pt"/>
              <w:jc w:val="end"/>
              <w:rPr>
                <w:color w:val="000000"/>
                <w:sz w:val="20"/>
              </w:rPr>
            </w:pPr>
            <w:r>
              <w:rPr>
                <w:color w:val="000000"/>
                <w:sz w:val="20"/>
              </w:rPr>
              <w:t>73.032.114,00</w:t>
            </w:r>
          </w:p>
        </w:tc>
      </w:tr>
      <w:tr w:rsidR="00823317" w14:paraId="3E17674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657B1E"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30FA06" w14:textId="77777777" w:rsidR="00A77B3E" w:rsidRDefault="00B16CCF">
            <w:pPr>
              <w:spacing w:before="5pt"/>
              <w:rPr>
                <w:color w:val="000000"/>
                <w:sz w:val="20"/>
              </w:rPr>
            </w:pPr>
            <w:r>
              <w:rPr>
                <w:color w:val="000000"/>
                <w:sz w:val="20"/>
              </w:rPr>
              <w:t>RSO2.2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F4A700"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B7775A"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6A950F"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E5205D" w14:textId="77777777" w:rsidR="00A77B3E" w:rsidRDefault="00B16CCF">
            <w:pPr>
              <w:spacing w:before="5pt"/>
              <w:jc w:val="end"/>
              <w:rPr>
                <w:color w:val="000000"/>
                <w:sz w:val="20"/>
              </w:rPr>
            </w:pPr>
            <w:r>
              <w:rPr>
                <w:color w:val="000000"/>
                <w:sz w:val="20"/>
              </w:rPr>
              <w:t>81.520.727,00</w:t>
            </w:r>
          </w:p>
        </w:tc>
      </w:tr>
    </w:tbl>
    <w:p w14:paraId="22E2D4CF" w14:textId="77777777" w:rsidR="00A77B3E" w:rsidRDefault="00A77B3E">
      <w:pPr>
        <w:spacing w:before="5pt"/>
        <w:rPr>
          <w:color w:val="000000"/>
          <w:sz w:val="20"/>
        </w:rPr>
      </w:pPr>
    </w:p>
    <w:p w14:paraId="730AC8E3" w14:textId="77777777" w:rsidR="00A77B3E" w:rsidRDefault="00B16CCF">
      <w:pPr>
        <w:pStyle w:val="Naslov5"/>
        <w:spacing w:before="5pt" w:after="0pt"/>
        <w:rPr>
          <w:b w:val="0"/>
          <w:i w:val="0"/>
          <w:color w:val="000000"/>
          <w:sz w:val="24"/>
        </w:rPr>
      </w:pPr>
      <w:bookmarkStart w:id="142" w:name="_Toc256000903"/>
      <w:r>
        <w:rPr>
          <w:b w:val="0"/>
          <w:i w:val="0"/>
          <w:color w:val="000000"/>
          <w:sz w:val="24"/>
        </w:rPr>
        <w:t>Tabela 7: Razsežnost 6 – sekundarna področja ESS+</w:t>
      </w:r>
      <w:bookmarkEnd w:id="142"/>
    </w:p>
    <w:p w14:paraId="7FC9957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117"/>
        <w:gridCol w:w="2877"/>
        <w:gridCol w:w="1780"/>
        <w:gridCol w:w="2982"/>
        <w:gridCol w:w="2259"/>
        <w:gridCol w:w="2157"/>
      </w:tblGrid>
      <w:tr w:rsidR="00823317" w14:paraId="2F67709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76D5F5"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FB03FA"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D45DEC"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23E0E0"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76EFC7"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D98F9E" w14:textId="77777777" w:rsidR="00A77B3E" w:rsidRDefault="00B16CCF">
            <w:pPr>
              <w:spacing w:before="5pt"/>
              <w:jc w:val="center"/>
              <w:rPr>
                <w:color w:val="000000"/>
                <w:sz w:val="20"/>
              </w:rPr>
            </w:pPr>
            <w:r>
              <w:rPr>
                <w:color w:val="000000"/>
                <w:sz w:val="20"/>
              </w:rPr>
              <w:t>Znesek (v EUR)</w:t>
            </w:r>
          </w:p>
        </w:tc>
      </w:tr>
    </w:tbl>
    <w:p w14:paraId="2E567884" w14:textId="77777777" w:rsidR="00A77B3E" w:rsidRDefault="00A77B3E">
      <w:pPr>
        <w:spacing w:before="5pt"/>
        <w:rPr>
          <w:color w:val="000000"/>
          <w:sz w:val="20"/>
        </w:rPr>
      </w:pPr>
    </w:p>
    <w:p w14:paraId="465A33DF" w14:textId="77777777" w:rsidR="00A77B3E" w:rsidRDefault="00B16CCF">
      <w:pPr>
        <w:pStyle w:val="Naslov5"/>
        <w:spacing w:before="5pt" w:after="0pt"/>
        <w:rPr>
          <w:b w:val="0"/>
          <w:i w:val="0"/>
          <w:color w:val="000000"/>
          <w:sz w:val="24"/>
        </w:rPr>
      </w:pPr>
      <w:bookmarkStart w:id="143" w:name="_Toc256000904"/>
      <w:r>
        <w:rPr>
          <w:b w:val="0"/>
          <w:i w:val="0"/>
          <w:color w:val="000000"/>
          <w:sz w:val="24"/>
        </w:rPr>
        <w:t>Tabela 8: Razsežnost 7 – razsežnost enakosti spolov v okviru ESS+*, ESRR, Kohezijskega sklada in SPP</w:t>
      </w:r>
      <w:bookmarkEnd w:id="143"/>
    </w:p>
    <w:p w14:paraId="0D84DCA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13"/>
        <w:gridCol w:w="2411"/>
        <w:gridCol w:w="1750"/>
        <w:gridCol w:w="2498"/>
        <w:gridCol w:w="2612"/>
        <w:gridCol w:w="3288"/>
      </w:tblGrid>
      <w:tr w:rsidR="00823317" w14:paraId="63BAE4F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D111EE6"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DB348C"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7BB446"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BFE454"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A750F2"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D91301" w14:textId="77777777" w:rsidR="00A77B3E" w:rsidRDefault="00B16CCF">
            <w:pPr>
              <w:spacing w:before="5pt"/>
              <w:jc w:val="center"/>
              <w:rPr>
                <w:color w:val="000000"/>
                <w:sz w:val="20"/>
              </w:rPr>
            </w:pPr>
            <w:r>
              <w:rPr>
                <w:color w:val="000000"/>
                <w:sz w:val="20"/>
              </w:rPr>
              <w:t>Znesek (v EUR)</w:t>
            </w:r>
          </w:p>
        </w:tc>
      </w:tr>
      <w:tr w:rsidR="00823317" w14:paraId="57C7ECF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EE4B72"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D10FFC" w14:textId="77777777" w:rsidR="00A77B3E" w:rsidRDefault="00B16CCF">
            <w:pPr>
              <w:spacing w:before="5pt"/>
              <w:rPr>
                <w:color w:val="000000"/>
                <w:sz w:val="20"/>
              </w:rPr>
            </w:pPr>
            <w:r>
              <w:rPr>
                <w:color w:val="000000"/>
                <w:sz w:val="20"/>
              </w:rPr>
              <w:t>RSO2.2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5EF988"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97BF14"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8A58F4" w14:textId="77777777" w:rsidR="00A77B3E" w:rsidRDefault="00B16CCF">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8357B0" w14:textId="77777777" w:rsidR="00A77B3E" w:rsidRDefault="00B16CCF">
            <w:pPr>
              <w:spacing w:before="5pt"/>
              <w:jc w:val="end"/>
              <w:rPr>
                <w:color w:val="000000"/>
                <w:sz w:val="20"/>
              </w:rPr>
            </w:pPr>
            <w:r>
              <w:rPr>
                <w:color w:val="000000"/>
                <w:sz w:val="20"/>
              </w:rPr>
              <w:t>8.488.613,00</w:t>
            </w:r>
          </w:p>
        </w:tc>
      </w:tr>
      <w:tr w:rsidR="00823317" w14:paraId="2F4538E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DB1E32"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2222CF" w14:textId="77777777" w:rsidR="00A77B3E" w:rsidRDefault="00B16CCF">
            <w:pPr>
              <w:spacing w:before="5pt"/>
              <w:rPr>
                <w:color w:val="000000"/>
                <w:sz w:val="20"/>
              </w:rPr>
            </w:pPr>
            <w:r>
              <w:rPr>
                <w:color w:val="000000"/>
                <w:sz w:val="20"/>
              </w:rPr>
              <w:t>RSO2.2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9E0CFC"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64D259"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E68004" w14:textId="77777777" w:rsidR="00A77B3E" w:rsidRDefault="00B16CCF">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C9F193" w14:textId="77777777" w:rsidR="00A77B3E" w:rsidRDefault="00B16CCF">
            <w:pPr>
              <w:spacing w:before="5pt"/>
              <w:jc w:val="end"/>
              <w:rPr>
                <w:color w:val="000000"/>
                <w:sz w:val="20"/>
              </w:rPr>
            </w:pPr>
            <w:r>
              <w:rPr>
                <w:color w:val="000000"/>
                <w:sz w:val="20"/>
              </w:rPr>
              <w:t>73.032.114,00</w:t>
            </w:r>
          </w:p>
        </w:tc>
      </w:tr>
      <w:tr w:rsidR="00823317" w14:paraId="7114290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A46E47"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275F66" w14:textId="77777777" w:rsidR="00A77B3E" w:rsidRDefault="00B16CCF">
            <w:pPr>
              <w:spacing w:before="5pt"/>
              <w:rPr>
                <w:color w:val="000000"/>
                <w:sz w:val="20"/>
              </w:rPr>
            </w:pPr>
            <w:r>
              <w:rPr>
                <w:color w:val="000000"/>
                <w:sz w:val="20"/>
              </w:rPr>
              <w:t>RSO2.2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83C272"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C74296"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527704"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ACBE7B" w14:textId="77777777" w:rsidR="00A77B3E" w:rsidRDefault="00B16CCF">
            <w:pPr>
              <w:spacing w:before="5pt"/>
              <w:jc w:val="end"/>
              <w:rPr>
                <w:color w:val="000000"/>
                <w:sz w:val="20"/>
              </w:rPr>
            </w:pPr>
            <w:r>
              <w:rPr>
                <w:color w:val="000000"/>
                <w:sz w:val="20"/>
              </w:rPr>
              <w:t>81.520.727,00</w:t>
            </w:r>
          </w:p>
        </w:tc>
      </w:tr>
    </w:tbl>
    <w:p w14:paraId="2D77FD04" w14:textId="77777777" w:rsidR="00A77B3E" w:rsidRDefault="00B16CCF">
      <w:pPr>
        <w:spacing w:before="5pt"/>
        <w:rPr>
          <w:color w:val="000000"/>
          <w:sz w:val="20"/>
        </w:rPr>
      </w:pPr>
      <w:r>
        <w:rPr>
          <w:color w:val="000000"/>
          <w:sz w:val="20"/>
        </w:rPr>
        <w:lastRenderedPageBreak/>
        <w:t>* Načeloma 40 % za ESS+ prispeva k spremljanju enakosti spolov. 100 % se uporabi, kadar se država članica odloči za uporabo člena 6 uredbe o ESS+.</w:t>
      </w:r>
    </w:p>
    <w:p w14:paraId="6F3250E7" w14:textId="77777777" w:rsidR="00A77B3E" w:rsidRDefault="00B16CCF">
      <w:pPr>
        <w:pStyle w:val="Naslov4"/>
        <w:spacing w:before="5pt" w:after="0pt"/>
        <w:rPr>
          <w:b w:val="0"/>
          <w:color w:val="000000"/>
          <w:sz w:val="24"/>
        </w:rPr>
      </w:pPr>
      <w:r>
        <w:rPr>
          <w:b w:val="0"/>
          <w:color w:val="000000"/>
          <w:sz w:val="24"/>
        </w:rPr>
        <w:br w:type="page"/>
      </w:r>
      <w:bookmarkStart w:id="144" w:name="_Toc256000905"/>
      <w:r>
        <w:rPr>
          <w:b w:val="0"/>
          <w:color w:val="000000"/>
          <w:sz w:val="24"/>
        </w:rPr>
        <w:lastRenderedPageBreak/>
        <w:t>2.1.1.1. Specifični cilj: RSO2.4. Spodbujanje prilagajanja podnebnim spremembam in preprečevanja tveganja nesreč ter odpornosti, ob upoštevanju ekosistemskih pristopov (ESRR)</w:t>
      </w:r>
      <w:bookmarkEnd w:id="144"/>
    </w:p>
    <w:p w14:paraId="78568E93" w14:textId="77777777" w:rsidR="00A77B3E" w:rsidRDefault="00A77B3E">
      <w:pPr>
        <w:spacing w:before="5pt"/>
        <w:rPr>
          <w:color w:val="000000"/>
          <w:sz w:val="0"/>
        </w:rPr>
      </w:pPr>
    </w:p>
    <w:p w14:paraId="2BA88388" w14:textId="77777777" w:rsidR="00A77B3E" w:rsidRDefault="00B16CCF">
      <w:pPr>
        <w:pStyle w:val="Naslov4"/>
        <w:spacing w:before="5pt" w:after="0pt"/>
        <w:rPr>
          <w:b w:val="0"/>
          <w:color w:val="000000"/>
          <w:sz w:val="24"/>
        </w:rPr>
      </w:pPr>
      <w:bookmarkStart w:id="145" w:name="_Toc256000906"/>
      <w:r>
        <w:rPr>
          <w:b w:val="0"/>
          <w:color w:val="000000"/>
          <w:sz w:val="24"/>
        </w:rPr>
        <w:t>2.1.1.1.1. Ukrepi skladov</w:t>
      </w:r>
      <w:bookmarkEnd w:id="145"/>
    </w:p>
    <w:p w14:paraId="7ACAC20F" w14:textId="77777777" w:rsidR="00A77B3E" w:rsidRDefault="00A77B3E">
      <w:pPr>
        <w:spacing w:before="5pt"/>
        <w:rPr>
          <w:color w:val="000000"/>
          <w:sz w:val="0"/>
        </w:rPr>
      </w:pPr>
    </w:p>
    <w:p w14:paraId="4F83A87E" w14:textId="77777777" w:rsidR="00A77B3E" w:rsidRDefault="00B16CCF">
      <w:pPr>
        <w:spacing w:before="5pt"/>
        <w:rPr>
          <w:color w:val="000000"/>
          <w:sz w:val="0"/>
        </w:rPr>
      </w:pPr>
      <w:r>
        <w:rPr>
          <w:color w:val="000000"/>
        </w:rPr>
        <w:t>Sklic: člen 22(3)(d)(i), (iii), (iv), (v), (vi) in (vii) uredbe o skupnih določbah</w:t>
      </w:r>
    </w:p>
    <w:p w14:paraId="08E3CB1C" w14:textId="77777777" w:rsidR="00A77B3E" w:rsidRDefault="00B16CCF">
      <w:pPr>
        <w:pStyle w:val="Naslov5"/>
        <w:spacing w:before="5pt" w:after="0pt"/>
        <w:rPr>
          <w:b w:val="0"/>
          <w:i w:val="0"/>
          <w:color w:val="000000"/>
          <w:sz w:val="24"/>
        </w:rPr>
      </w:pPr>
      <w:bookmarkStart w:id="146" w:name="_Toc256000907"/>
      <w:r>
        <w:rPr>
          <w:b w:val="0"/>
          <w:i w:val="0"/>
          <w:color w:val="000000"/>
          <w:sz w:val="24"/>
        </w:rPr>
        <w:t>Povezane vrste ukrepov – člen 22(3)(d)(i) uredbe o skupnih določbah in člen 6 uredbe o ESS+:</w:t>
      </w:r>
      <w:bookmarkEnd w:id="146"/>
    </w:p>
    <w:p w14:paraId="25F3A2C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66A9AB6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B86937" w14:textId="77777777" w:rsidR="00A77B3E" w:rsidRDefault="00A77B3E">
            <w:pPr>
              <w:spacing w:before="5pt"/>
              <w:rPr>
                <w:color w:val="000000"/>
                <w:sz w:val="0"/>
              </w:rPr>
            </w:pPr>
          </w:p>
          <w:p w14:paraId="53A909F1" w14:textId="77777777" w:rsidR="00A77B3E" w:rsidRDefault="00B16CCF">
            <w:pPr>
              <w:spacing w:before="5pt"/>
              <w:rPr>
                <w:color w:val="000000"/>
              </w:rPr>
            </w:pPr>
            <w:r>
              <w:rPr>
                <w:color w:val="000000"/>
              </w:rPr>
              <w:t>Naraščanje trenda podnebno pogojenih nesreč, tako po pogostosti, intenzivnosti, kot tudi obsegu povzročene škode, je na ozemlju Slovenije po napovedih strokovnjakov pričakovano tudi v prihodnje. Navkljub preventivnemu delovanju teh nesreč ne moremo v celoti preprečiti ali napovedati, zato se moramo nanje dobro pripraviti z ustreznimi preventivnimi gradbenimi in negradbenimi ukrepi ter okrepiti pripravljenost in se pravočasno ter ustrezno odzvati v primeru njihovega pojava. Osredotočili se bomo na podnebno pogojene nesreče, ki predstavljajo pomembno tveganje[1], in sicer poplave, požari v naravnem okolju, žled z ujmami, ter izvedli naslednje ukrepe:</w:t>
            </w:r>
          </w:p>
          <w:p w14:paraId="16EF4DC7" w14:textId="77777777" w:rsidR="00A77B3E" w:rsidRDefault="00A77B3E">
            <w:pPr>
              <w:spacing w:before="5pt"/>
              <w:rPr>
                <w:color w:val="000000"/>
              </w:rPr>
            </w:pPr>
          </w:p>
          <w:p w14:paraId="75877BFE" w14:textId="77777777" w:rsidR="00A77B3E" w:rsidRDefault="00B16CCF">
            <w:pPr>
              <w:numPr>
                <w:ilvl w:val="0"/>
                <w:numId w:val="19"/>
              </w:numPr>
              <w:spacing w:before="5pt"/>
              <w:rPr>
                <w:color w:val="000000"/>
              </w:rPr>
            </w:pPr>
            <w:r>
              <w:rPr>
                <w:i/>
                <w:iCs/>
                <w:color w:val="000000"/>
              </w:rPr>
              <w:t>zmanjšanje poplavne ogroženosti na območjih pomembnega vpliva poplav, ki izkazujejo najvišjo stopnjo pripravljenosti za izvedbo</w:t>
            </w:r>
            <w:r>
              <w:rPr>
                <w:color w:val="000000"/>
              </w:rPr>
              <w:t>: v skladu z Direktivo 2007/60/ES Evropskega parlamenta in Sveta z dne 23. oktobra 2007 o oceni in obvladovanju poplavne ogroženosti je Slovenija naslovila poplavno ogroženost s Predhodno oceno poplavne ogroženosti (2011) ter Načrtom zmanjševanja poplavne ogroženosti (julij 2017) (v nadaljevanju: NZPO) in posodobljenim Načrtom zmanjševanja poplavne ogroženosti, ki je v pripravi. Leta 2019 je Slovenija sprejela posodobljeno Predhodno oceno poplavne ogroženosti[2]. V Sloveniji je bilo tako prepoznanih 86 območij pomembnega vpliva poplav (v nadaljevanju: OPVP).V septembru 2024 je Slovenija v javno obravnavo posredovala posodobljen predlog Predhodne ocene poplavne ogroženosti 2024[4] s posodobljenim naborom območij pomembnega vpliva poplav, ki sledi preveritvam vpliva podnebnih sprememb, poplavnemu dogodku v avgustu 2023 in podrobnejšemu evidentiranju škodnega potenciala. Posamezni ukrepi se bodo izvajali tako, da bodo usklajeni z NZPO[3], da bodo načrtovani z ekosistemskimi pristopi, ki bodo kar najbolje upoštevali hkratno ohranjanje dobrega stanja voda. Tako kot v obdobju 2014-2020 se bodo v okviru evropske kohezijske politike izvajali večji ukrepi (hidrotehnični, ekosistemski in negradbeni), ki bodo najbolj prispevali k zmanjšanju poplavne ogroženosti na OPVP in drugih vodotokov, ki so za Slovenijo izjemnega pomena. Smiselno se bodo ti ukrepi komplementarno dopolnjevali z izvedbo manjših ukrepov v okviru NOO in nacionalnih virov. Ukrepi bodo upoštevali vse potrebne omilitvene ukrepe za ohranjanje dobrega stanja voda, za varstvo okolja ter za zaščito razlivnih površin s prilagajanjem rabe tal, upoštevaje usmeritve NZPO in Načrta upravljanja voda. V okviru negradbenih ukrepov se bo pripravila tudi dokumentacija za pripravo projektov za zmanjšanje poplavne ogroženosti, s pripadajočimi podlagami in pridobivanjem pravice graditi za njihovo bodočo gradbeno izvedbo. Pri načrtovanju se že na nivoju hidrološko hidravličnih študij in analiz v območju Natura 2000 upošteva cilje PUN in določila, ki izhajajo iz načrtov upravljanja zavarovanih območij oz. določila iz aktov njihovega zavarovanja. V okviru podprtih naložb za gradbene protipoplavne ukrepe se iščejo na naravi temelječe rešitve, del sredstev pa bo namenjen izvajanju ekosistemskih ukrepov, predvsem prednostno v območjih Nature 2000 (renaturacije vodotokov, zaščita razlivnih površin s prilagajanjem rabe tal itd.).</w:t>
            </w:r>
          </w:p>
          <w:p w14:paraId="69ACC205" w14:textId="77777777" w:rsidR="00A77B3E" w:rsidRDefault="00A77B3E">
            <w:pPr>
              <w:spacing w:before="5pt"/>
              <w:rPr>
                <w:color w:val="000000"/>
              </w:rPr>
            </w:pPr>
          </w:p>
          <w:p w14:paraId="239C38AC" w14:textId="77777777" w:rsidR="00A77B3E" w:rsidRDefault="00B16CCF">
            <w:pPr>
              <w:spacing w:before="5pt"/>
              <w:rPr>
                <w:color w:val="000000"/>
              </w:rPr>
            </w:pPr>
            <w:r>
              <w:rPr>
                <w:color w:val="000000"/>
              </w:rPr>
              <w:lastRenderedPageBreak/>
              <w:t>Na podlagi izkušenj iz EKP v obdobju 2007-2013 in 2014-2020 bo posebna pozornost namenjena vidiku pripravljenosti projektov za zagotovitev njihove kakovostne izvedbe brez bistvenih zamud. Glede na razpoložljiva sredstva in stopnjo pripravljenosti projektov, se bo s sredstvi ESRR v obdobju 2021-2027 podprl projekt za zmanjšanje poplavne ogroženosti na porečju:</w:t>
            </w:r>
          </w:p>
          <w:p w14:paraId="3B36E5D1" w14:textId="77777777" w:rsidR="00A77B3E" w:rsidRDefault="00B16CCF">
            <w:pPr>
              <w:spacing w:before="5pt"/>
              <w:rPr>
                <w:color w:val="000000"/>
              </w:rPr>
            </w:pPr>
            <w:r>
              <w:rPr>
                <w:color w:val="000000"/>
              </w:rPr>
              <w:t>- Savinje: nadaljevanje projekta zagotovitve poplavne varnosti na porečju Savinje. Obseg naložbe in natančni ukrepi bodo določeni na podlagi rezultatov Celovite hidrološko hidravlične študije celotnega porečja Savinje, v kateri bodo upoštevani tudi že izvedeni protipoplavni ukrepi v porečju Savinje v obdobju 2007-2013 in analize poplavnega dogodka avgusta 2023.</w:t>
            </w:r>
          </w:p>
          <w:p w14:paraId="441B59C5" w14:textId="77777777" w:rsidR="00A77B3E" w:rsidRDefault="00B16CCF">
            <w:pPr>
              <w:spacing w:before="5pt"/>
              <w:rPr>
                <w:color w:val="000000"/>
              </w:rPr>
            </w:pPr>
            <w:r>
              <w:rPr>
                <w:color w:val="000000"/>
              </w:rPr>
              <w:t>- Drave: nadaljevanje projektov zagotavljanja poplavne varnosti na porečju Drave, izvedenih v obdobjih 2007-2013 ter 2014-2020, ki vključujejo nadgradnjo ukrepov zaradi poplavnega dogodka v avgustu 2023 in, kjer je mogoče, upoštevanju na naravi temelječih rešitvah.</w:t>
            </w:r>
          </w:p>
          <w:p w14:paraId="684FA20C" w14:textId="77777777" w:rsidR="00A77B3E" w:rsidRDefault="00B16CCF">
            <w:pPr>
              <w:spacing w:before="5pt"/>
              <w:rPr>
                <w:color w:val="000000"/>
              </w:rPr>
            </w:pPr>
            <w:r>
              <w:rPr>
                <w:color w:val="000000"/>
              </w:rPr>
              <w:t>V kolikor zaradi časovnih omejitev navedeni projekt ne bo realiziral celotnih razpoložljivih nepovratnih sredstev v načrtovanem obsegu perspektive, se bodo iz teh sredstev lahko financirali še projekti na drugih porečjih na območjih OPVP.</w:t>
            </w:r>
          </w:p>
          <w:p w14:paraId="52088B23" w14:textId="77777777" w:rsidR="00A77B3E" w:rsidRDefault="00B16CCF">
            <w:pPr>
              <w:spacing w:before="5pt"/>
              <w:rPr>
                <w:color w:val="000000"/>
              </w:rPr>
            </w:pPr>
            <w:r>
              <w:rPr>
                <w:color w:val="000000"/>
              </w:rPr>
              <w:t>·</w:t>
            </w:r>
            <w:r>
              <w:rPr>
                <w:i/>
                <w:iCs/>
                <w:color w:val="000000"/>
              </w:rPr>
              <w:t xml:space="preserve">ukrepi za odziv na podnebno pogojene nesreče: </w:t>
            </w:r>
            <w:r>
              <w:rPr>
                <w:color w:val="000000"/>
              </w:rPr>
              <w:t>cilj ukrepa je zagotoviti pogoje za učinkovit, pravočasen in varen odziv v primeru podnebno pogojenih nesreč, ki jih predstavljajo ustrezna oprema, dobra usposobljenost in infrastruktura, ki podpira delovanje enot za odziv na podnebno pogojene nesreče. Ukrepi bodo skladni z Državno oceno tveganj za nesreče, verzija 3.0, posodobljeno v letu 2023) in predstavljajo najvišje oz. visoko tveganje, hkrati pa so pogoji za odziv nanje nezadostno zagotovljeni ter nadgrajujejo izvedene ukrepe v EKP 2014-2020.</w:t>
            </w:r>
          </w:p>
          <w:p w14:paraId="2CCEA352" w14:textId="77777777" w:rsidR="00A77B3E" w:rsidRDefault="00B16CCF">
            <w:pPr>
              <w:spacing w:before="5pt"/>
              <w:rPr>
                <w:color w:val="000000"/>
              </w:rPr>
            </w:pPr>
            <w:r>
              <w:rPr>
                <w:color w:val="000000"/>
              </w:rPr>
              <w:t>Z zagotovitvijo ustreznih centrov za spremljanje, načrtovanje in odzivanje sil zaščite in reševanja bo vzpostavljen sistem programov usposabljanj in njihova izvedba slovenskih in tujih kandidatov. Predvidena je vzpostavitev:</w:t>
            </w:r>
          </w:p>
          <w:p w14:paraId="0E5C3FF5" w14:textId="77777777" w:rsidR="00A77B3E" w:rsidRDefault="00B16CCF">
            <w:pPr>
              <w:numPr>
                <w:ilvl w:val="0"/>
                <w:numId w:val="20"/>
              </w:numPr>
              <w:spacing w:before="5pt"/>
              <w:rPr>
                <w:color w:val="000000"/>
              </w:rPr>
            </w:pPr>
            <w:r>
              <w:rPr>
                <w:color w:val="000000"/>
              </w:rPr>
              <w:t>podcentra za protipoplavno zaščito v SV Sloveniji.</w:t>
            </w:r>
          </w:p>
          <w:p w14:paraId="040E5234" w14:textId="77777777" w:rsidR="00A77B3E" w:rsidRDefault="00B16CCF">
            <w:pPr>
              <w:spacing w:before="5pt"/>
              <w:rPr>
                <w:color w:val="000000"/>
              </w:rPr>
            </w:pPr>
            <w:r>
              <w:rPr>
                <w:color w:val="000000"/>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Noben izmed predvidenih ukrepov po svoji naravi nima bistvenega škodljivega vpliva na katerega koli od šestih okoljskih ciljev ob upoštevanju tehničnih meril, navedenih v Prilogi: DNSH.</w:t>
            </w:r>
          </w:p>
          <w:p w14:paraId="34745135" w14:textId="77777777" w:rsidR="00A77B3E" w:rsidRDefault="00A77B3E">
            <w:pPr>
              <w:spacing w:before="5pt"/>
              <w:rPr>
                <w:color w:val="000000"/>
              </w:rPr>
            </w:pPr>
          </w:p>
          <w:p w14:paraId="6D5C408F" w14:textId="77777777" w:rsidR="00A77B3E" w:rsidRDefault="00B16CCF">
            <w:pPr>
              <w:spacing w:before="5pt"/>
              <w:rPr>
                <w:color w:val="000000"/>
              </w:rPr>
            </w:pPr>
            <w:r>
              <w:rPr>
                <w:color w:val="000000"/>
              </w:rPr>
              <w:t>[1] Skladno z Državno oceno tveganj za nesreče (št. 84000-3/2018/3 z dne 6. 12. 2018,pososdobljeno 84000-2/2023/6 z dne 21. 12. 2023), ocenami stanja naravnega okolja, preteklimi izkušnjami naravnih nesreč, analizami stanja in prognozami naraščanja podnebno pogojenih nesreč v naslednjih desetletjih.</w:t>
            </w:r>
          </w:p>
          <w:p w14:paraId="072593C8" w14:textId="77777777" w:rsidR="00A77B3E" w:rsidRDefault="00B16CCF">
            <w:pPr>
              <w:spacing w:before="5pt"/>
              <w:rPr>
                <w:color w:val="000000"/>
              </w:rPr>
            </w:pPr>
            <w:r>
              <w:rPr>
                <w:color w:val="000000"/>
              </w:rPr>
              <w:t>[2] Dostopno na: https://www.gov.si/assets/ministrstva/MOP/Dokumenti/Voda/NZPO/e56d7a6180/predhodna_ocena_poplavne_ogrozenosti_2019.pdf.</w:t>
            </w:r>
          </w:p>
          <w:p w14:paraId="47A30D70" w14:textId="77777777" w:rsidR="00A77B3E" w:rsidRDefault="00B16CCF">
            <w:pPr>
              <w:spacing w:before="5pt"/>
              <w:rPr>
                <w:color w:val="000000"/>
              </w:rPr>
            </w:pPr>
            <w:r>
              <w:rPr>
                <w:color w:val="000000"/>
              </w:rPr>
              <w:t>[3] Sprejet Načrt zmanjšanja poplavne ogroženosti 2023-2027 (NZPO SI II) št. 3550-2/2023/5 z dne 30.3.2023 dostopno na: https://www.gov.si/teme/nacrt-zmanjsevanja-poplavne-ogrozenosti/</w:t>
            </w:r>
          </w:p>
          <w:p w14:paraId="55475ADA" w14:textId="77777777" w:rsidR="00A77B3E" w:rsidRDefault="00B16CCF">
            <w:pPr>
              <w:spacing w:before="5pt"/>
              <w:rPr>
                <w:color w:val="000000"/>
              </w:rPr>
            </w:pPr>
            <w:r>
              <w:rPr>
                <w:color w:val="000000"/>
              </w:rPr>
              <w:t>[4] Predlog Predhodne ocene poplavne ogroženosti 2024, dostopno na: https://www.gov.si/novice/2024-09-17-predhodna-ocena-poplavne-ogrozenosti-slovenije-in-nova-dolocitev-obmocij-pomembnega-vpliva-poplav/</w:t>
            </w:r>
          </w:p>
          <w:p w14:paraId="2D753CE1" w14:textId="77777777" w:rsidR="00A77B3E" w:rsidRDefault="00A77B3E">
            <w:pPr>
              <w:spacing w:before="5pt"/>
              <w:rPr>
                <w:color w:val="000000"/>
                <w:sz w:val="6"/>
              </w:rPr>
            </w:pPr>
          </w:p>
          <w:p w14:paraId="05AD5BDC" w14:textId="77777777" w:rsidR="00A77B3E" w:rsidRDefault="00A77B3E">
            <w:pPr>
              <w:spacing w:before="5pt"/>
              <w:rPr>
                <w:color w:val="000000"/>
                <w:sz w:val="6"/>
              </w:rPr>
            </w:pPr>
          </w:p>
        </w:tc>
      </w:tr>
    </w:tbl>
    <w:p w14:paraId="1621C698" w14:textId="77777777" w:rsidR="00A77B3E" w:rsidRDefault="00A77B3E">
      <w:pPr>
        <w:spacing w:before="5pt"/>
        <w:rPr>
          <w:color w:val="000000"/>
        </w:rPr>
      </w:pPr>
    </w:p>
    <w:p w14:paraId="28CC7AD4" w14:textId="77777777" w:rsidR="00A77B3E" w:rsidRDefault="00B16CCF">
      <w:pPr>
        <w:pStyle w:val="Naslov5"/>
        <w:spacing w:before="5pt" w:after="0pt"/>
        <w:rPr>
          <w:b w:val="0"/>
          <w:i w:val="0"/>
          <w:color w:val="000000"/>
          <w:sz w:val="24"/>
        </w:rPr>
      </w:pPr>
      <w:bookmarkStart w:id="147" w:name="_Toc256000908"/>
      <w:r>
        <w:rPr>
          <w:b w:val="0"/>
          <w:i w:val="0"/>
          <w:color w:val="000000"/>
          <w:sz w:val="24"/>
        </w:rPr>
        <w:lastRenderedPageBreak/>
        <w:t>Glavne ciljne skupine – člen 22(3)(d)(iii) uredbe o skupnih določbah:</w:t>
      </w:r>
      <w:bookmarkEnd w:id="147"/>
    </w:p>
    <w:p w14:paraId="4790E70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0AA20773"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FC442D" w14:textId="77777777" w:rsidR="00A77B3E" w:rsidRDefault="00A77B3E">
            <w:pPr>
              <w:spacing w:before="5pt"/>
              <w:rPr>
                <w:color w:val="000000"/>
                <w:sz w:val="0"/>
              </w:rPr>
            </w:pPr>
          </w:p>
          <w:p w14:paraId="14D02826" w14:textId="77777777" w:rsidR="00A77B3E" w:rsidRDefault="00B16CCF">
            <w:pPr>
              <w:spacing w:before="5pt"/>
              <w:rPr>
                <w:color w:val="000000"/>
              </w:rPr>
            </w:pPr>
            <w:r>
              <w:rPr>
                <w:color w:val="000000"/>
              </w:rPr>
              <w:t>Ciljne skupine: prebivalstvo in lokalne skupnosti.</w:t>
            </w:r>
          </w:p>
          <w:p w14:paraId="10A0FD51" w14:textId="77777777" w:rsidR="00A77B3E" w:rsidRDefault="00A77B3E">
            <w:pPr>
              <w:spacing w:before="5pt"/>
              <w:rPr>
                <w:color w:val="000000"/>
              </w:rPr>
            </w:pPr>
          </w:p>
          <w:p w14:paraId="0B22D928" w14:textId="77777777" w:rsidR="00A77B3E" w:rsidRDefault="00B16CCF">
            <w:pPr>
              <w:spacing w:before="5pt"/>
              <w:rPr>
                <w:color w:val="000000"/>
              </w:rPr>
            </w:pPr>
            <w:r>
              <w:rPr>
                <w:color w:val="000000"/>
              </w:rPr>
              <w:t>Upravičenci: Direkcija Republike Slovenije za vode, Uprava RS za zaščito in reševanje.</w:t>
            </w:r>
          </w:p>
          <w:p w14:paraId="52F18702" w14:textId="77777777" w:rsidR="00A77B3E" w:rsidRDefault="00A77B3E">
            <w:pPr>
              <w:spacing w:before="5pt"/>
              <w:rPr>
                <w:color w:val="000000"/>
                <w:sz w:val="6"/>
              </w:rPr>
            </w:pPr>
          </w:p>
          <w:p w14:paraId="16D52967" w14:textId="77777777" w:rsidR="00A77B3E" w:rsidRDefault="00A77B3E">
            <w:pPr>
              <w:spacing w:before="5pt"/>
              <w:rPr>
                <w:color w:val="000000"/>
                <w:sz w:val="6"/>
              </w:rPr>
            </w:pPr>
          </w:p>
        </w:tc>
      </w:tr>
    </w:tbl>
    <w:p w14:paraId="05046EA5" w14:textId="77777777" w:rsidR="00A77B3E" w:rsidRDefault="00A77B3E">
      <w:pPr>
        <w:spacing w:before="5pt"/>
        <w:rPr>
          <w:color w:val="000000"/>
        </w:rPr>
      </w:pPr>
    </w:p>
    <w:p w14:paraId="16155555" w14:textId="77777777" w:rsidR="00A77B3E" w:rsidRDefault="00B16CCF">
      <w:pPr>
        <w:pStyle w:val="Naslov5"/>
        <w:spacing w:before="5pt" w:after="0pt"/>
        <w:rPr>
          <w:b w:val="0"/>
          <w:i w:val="0"/>
          <w:color w:val="000000"/>
          <w:sz w:val="24"/>
        </w:rPr>
      </w:pPr>
      <w:bookmarkStart w:id="148" w:name="_Toc256000909"/>
      <w:r>
        <w:rPr>
          <w:b w:val="0"/>
          <w:i w:val="0"/>
          <w:color w:val="000000"/>
          <w:sz w:val="24"/>
        </w:rPr>
        <w:t>Ukrepi za zaščito enakosti, vključenosti in nediskriminacije – člen 22(3)(d)(iv) uredbe o skupnih določbah in člen 6 uredbe o ESS+</w:t>
      </w:r>
      <w:bookmarkEnd w:id="148"/>
    </w:p>
    <w:p w14:paraId="4B7769D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7E5AD0B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24D771" w14:textId="77777777" w:rsidR="00A77B3E" w:rsidRDefault="00A77B3E">
            <w:pPr>
              <w:spacing w:before="5pt"/>
              <w:rPr>
                <w:color w:val="000000"/>
                <w:sz w:val="0"/>
              </w:rPr>
            </w:pPr>
          </w:p>
          <w:p w14:paraId="0369DE93" w14:textId="77777777" w:rsidR="00A77B3E" w:rsidRDefault="00B16CCF">
            <w:pPr>
              <w:spacing w:before="5pt"/>
              <w:rPr>
                <w:color w:val="000000"/>
              </w:rPr>
            </w:pPr>
            <w:r>
              <w:rPr>
                <w:color w:val="000000"/>
              </w:rPr>
              <w:t>Pri načrtovanju, izvedbi in spremljanju ukrepov bodo spoštovana načela enakosti spolov, enakih možnosti in nediskriminacije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w:t>
            </w:r>
          </w:p>
          <w:p w14:paraId="0F8C5CAF" w14:textId="77777777" w:rsidR="00A77B3E" w:rsidRDefault="00A77B3E">
            <w:pPr>
              <w:spacing w:before="5pt"/>
              <w:rPr>
                <w:color w:val="000000"/>
              </w:rPr>
            </w:pPr>
          </w:p>
          <w:p w14:paraId="16CC70A8" w14:textId="77777777" w:rsidR="00A77B3E" w:rsidRDefault="00B16CCF">
            <w:pPr>
              <w:spacing w:before="5pt"/>
              <w:rPr>
                <w:color w:val="000000"/>
              </w:rPr>
            </w:pPr>
            <w:r>
              <w:rPr>
                <w:color w:val="000000"/>
              </w:rPr>
              <w:t>Dodatno bodo pri izvajanju gradbenih ukrepov objekti izpolnjevali tehnične zahteve, s katerimi se prilagodijo tako, da so nediskriminatorni do vseh oblik začasne ali trajne invalidnosti in so prilagojeni ranljivim skupinam prebivalstva.</w:t>
            </w:r>
          </w:p>
          <w:p w14:paraId="3C0A90A8" w14:textId="77777777" w:rsidR="00A77B3E" w:rsidRDefault="00A77B3E">
            <w:pPr>
              <w:spacing w:before="5pt"/>
              <w:rPr>
                <w:color w:val="000000"/>
                <w:sz w:val="6"/>
              </w:rPr>
            </w:pPr>
          </w:p>
          <w:p w14:paraId="7C5C5CA3" w14:textId="77777777" w:rsidR="00A77B3E" w:rsidRDefault="00A77B3E">
            <w:pPr>
              <w:spacing w:before="5pt"/>
              <w:rPr>
                <w:color w:val="000000"/>
                <w:sz w:val="6"/>
              </w:rPr>
            </w:pPr>
          </w:p>
        </w:tc>
      </w:tr>
    </w:tbl>
    <w:p w14:paraId="7D063E9E" w14:textId="77777777" w:rsidR="00A77B3E" w:rsidRDefault="00A77B3E">
      <w:pPr>
        <w:spacing w:before="5pt"/>
        <w:rPr>
          <w:color w:val="000000"/>
        </w:rPr>
      </w:pPr>
    </w:p>
    <w:p w14:paraId="739D2583" w14:textId="77777777" w:rsidR="00A77B3E" w:rsidRDefault="00B16CCF">
      <w:pPr>
        <w:pStyle w:val="Naslov5"/>
        <w:spacing w:before="5pt" w:after="0pt"/>
        <w:rPr>
          <w:b w:val="0"/>
          <w:i w:val="0"/>
          <w:color w:val="000000"/>
          <w:sz w:val="24"/>
        </w:rPr>
      </w:pPr>
      <w:bookmarkStart w:id="149" w:name="_Toc256000910"/>
      <w:r>
        <w:rPr>
          <w:b w:val="0"/>
          <w:i w:val="0"/>
          <w:color w:val="000000"/>
          <w:sz w:val="24"/>
        </w:rPr>
        <w:t>Navedba specifičnih ciljnih ozemelj, vključno z načrtovano uporabo teritorialnih orodij – člen 22(3)(d)(v) uredbe o skupnih določbah</w:t>
      </w:r>
      <w:bookmarkEnd w:id="149"/>
    </w:p>
    <w:p w14:paraId="6EB5050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26327FBA"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8DDF4A" w14:textId="77777777" w:rsidR="00A77B3E" w:rsidRDefault="00A77B3E">
            <w:pPr>
              <w:spacing w:before="5pt"/>
              <w:rPr>
                <w:color w:val="000000"/>
                <w:sz w:val="0"/>
              </w:rPr>
            </w:pPr>
          </w:p>
          <w:p w14:paraId="2ABBF153" w14:textId="77777777" w:rsidR="00A77B3E" w:rsidRDefault="00B16CCF">
            <w:pPr>
              <w:spacing w:before="5pt"/>
              <w:rPr>
                <w:color w:val="000000"/>
              </w:rPr>
            </w:pPr>
            <w:r>
              <w:rPr>
                <w:color w:val="000000"/>
              </w:rPr>
              <w:t>V okviru specifičnega cilja uporaba teritorialnih pristopov ni predvidena.</w:t>
            </w:r>
          </w:p>
          <w:p w14:paraId="0725D605" w14:textId="77777777" w:rsidR="00A77B3E" w:rsidRDefault="00A77B3E">
            <w:pPr>
              <w:spacing w:before="5pt"/>
              <w:rPr>
                <w:color w:val="000000"/>
                <w:sz w:val="6"/>
              </w:rPr>
            </w:pPr>
          </w:p>
          <w:p w14:paraId="519041A0" w14:textId="77777777" w:rsidR="00A77B3E" w:rsidRDefault="00A77B3E">
            <w:pPr>
              <w:spacing w:before="5pt"/>
              <w:rPr>
                <w:color w:val="000000"/>
                <w:sz w:val="6"/>
              </w:rPr>
            </w:pPr>
          </w:p>
        </w:tc>
      </w:tr>
    </w:tbl>
    <w:p w14:paraId="7A5ACBEC" w14:textId="77777777" w:rsidR="00A77B3E" w:rsidRDefault="00A77B3E">
      <w:pPr>
        <w:spacing w:before="5pt"/>
        <w:rPr>
          <w:color w:val="000000"/>
        </w:rPr>
      </w:pPr>
    </w:p>
    <w:p w14:paraId="084E1646" w14:textId="77777777" w:rsidR="00A77B3E" w:rsidRDefault="00B16CCF">
      <w:pPr>
        <w:pStyle w:val="Naslov5"/>
        <w:spacing w:before="5pt" w:after="0pt"/>
        <w:rPr>
          <w:b w:val="0"/>
          <w:i w:val="0"/>
          <w:color w:val="000000"/>
          <w:sz w:val="24"/>
        </w:rPr>
      </w:pPr>
      <w:bookmarkStart w:id="150" w:name="_Toc256000911"/>
      <w:r>
        <w:rPr>
          <w:b w:val="0"/>
          <w:i w:val="0"/>
          <w:color w:val="000000"/>
          <w:sz w:val="24"/>
        </w:rPr>
        <w:t>Medregionalni, čezmejni in transnacionalni ukrepi – člen 22(3)(d)(vi) uredbe o skupnih določbah</w:t>
      </w:r>
      <w:bookmarkEnd w:id="150"/>
    </w:p>
    <w:p w14:paraId="36B9208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7082FDA3"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2164C8" w14:textId="77777777" w:rsidR="00A77B3E" w:rsidRDefault="00A77B3E">
            <w:pPr>
              <w:spacing w:before="5pt"/>
              <w:rPr>
                <w:color w:val="000000"/>
                <w:sz w:val="0"/>
              </w:rPr>
            </w:pPr>
          </w:p>
          <w:p w14:paraId="57243E06" w14:textId="77777777" w:rsidR="00A77B3E" w:rsidRDefault="00B16CCF">
            <w:pPr>
              <w:spacing w:before="5pt"/>
              <w:rPr>
                <w:color w:val="000000"/>
              </w:rPr>
            </w:pPr>
            <w:r>
              <w:rPr>
                <w:color w:val="000000"/>
              </w:rPr>
              <w:lastRenderedPageBreak/>
              <w:t xml:space="preserve">Ukrepi zmanjšanja poplavne ogroženosti na območjih pomembnega vpliva poplav, ki izkazujejo najvišjo stopnjo pripravljenosti za izvedbo bodo imeli največji učinek na območju izvajanja Strategije EU za Podonavje (EUSDR) in prioritetnega področja 5 »upravljanje z okoljskimi tveganji« ter tretjega stebra »kvaliteta okolja« Strategije EU za jadransko-jonsko regijo (EUSAIR). </w:t>
            </w:r>
          </w:p>
          <w:p w14:paraId="246C3F47" w14:textId="77777777" w:rsidR="00A77B3E" w:rsidRDefault="00A77B3E">
            <w:pPr>
              <w:spacing w:before="5pt"/>
              <w:rPr>
                <w:color w:val="000000"/>
                <w:sz w:val="6"/>
              </w:rPr>
            </w:pPr>
          </w:p>
          <w:p w14:paraId="67C44B20" w14:textId="77777777" w:rsidR="00A77B3E" w:rsidRDefault="00A77B3E">
            <w:pPr>
              <w:spacing w:before="5pt"/>
              <w:rPr>
                <w:color w:val="000000"/>
                <w:sz w:val="6"/>
              </w:rPr>
            </w:pPr>
          </w:p>
        </w:tc>
      </w:tr>
    </w:tbl>
    <w:p w14:paraId="6C494F72" w14:textId="77777777" w:rsidR="00A77B3E" w:rsidRDefault="00A77B3E">
      <w:pPr>
        <w:spacing w:before="5pt"/>
        <w:rPr>
          <w:color w:val="000000"/>
        </w:rPr>
      </w:pPr>
    </w:p>
    <w:p w14:paraId="5379C4B8" w14:textId="77777777" w:rsidR="00A77B3E" w:rsidRDefault="00B16CCF">
      <w:pPr>
        <w:pStyle w:val="Naslov5"/>
        <w:spacing w:before="5pt" w:after="0pt"/>
        <w:rPr>
          <w:b w:val="0"/>
          <w:i w:val="0"/>
          <w:color w:val="000000"/>
          <w:sz w:val="24"/>
        </w:rPr>
      </w:pPr>
      <w:bookmarkStart w:id="151" w:name="_Toc256000912"/>
      <w:r>
        <w:rPr>
          <w:b w:val="0"/>
          <w:i w:val="0"/>
          <w:color w:val="000000"/>
          <w:sz w:val="24"/>
        </w:rPr>
        <w:t>Načrtovana uporaba finančnih instrumentov – člen 22(3)(d)(vii) uredbe o skupnih določbah</w:t>
      </w:r>
      <w:bookmarkEnd w:id="151"/>
    </w:p>
    <w:p w14:paraId="017CADE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4F35B8C4"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27147D" w14:textId="77777777" w:rsidR="00A77B3E" w:rsidRDefault="00A77B3E">
            <w:pPr>
              <w:spacing w:before="5pt"/>
              <w:rPr>
                <w:color w:val="000000"/>
                <w:sz w:val="0"/>
              </w:rPr>
            </w:pPr>
          </w:p>
          <w:p w14:paraId="2149B609" w14:textId="77777777" w:rsidR="00A77B3E" w:rsidRDefault="00B16CCF">
            <w:pPr>
              <w:spacing w:before="5pt"/>
              <w:rPr>
                <w:color w:val="000000"/>
              </w:rPr>
            </w:pPr>
            <w:r>
              <w:rPr>
                <w:color w:val="000000"/>
              </w:rPr>
              <w:t>Predvidena je uporaba nepovratnih virov. V okviru specifičnega cilja uporaba finančnih instrumentov v skladu z izsledki analize Predhodnih ocen potreb trga in vrzeli financiranja na trgu za izvajanje finančnih instrumentov v programskem obdobju 2021-2027 (julij 2022) ni predvidena. Predlagani ukrepi po svoji vsebini ne ustvarjajo prihodkov oziroma prihrankov, kar smo ugotovili tudi na podlagi preteklih izkušenj izvajanja primerljivih ukrepov v finančnih perspektivah 2007-2013 in 2014-2020, zaradi česar uporaba finančnih instrumentov ni smiselna oziroma ustrezna. Gre za ukrepe, ki se nanašajo na aktivnosti institucij, ki so del javne uprave in sistema zaščite, reševanja in pomoči ter ne izvajajo tržnih dejavnosti, sredstva za njihovo delovanje pa se zagotavljajo v omejenem obsegu iz državnega proračuna.</w:t>
            </w:r>
          </w:p>
          <w:p w14:paraId="23D94635" w14:textId="77777777" w:rsidR="00A77B3E" w:rsidRDefault="00A77B3E">
            <w:pPr>
              <w:spacing w:before="5pt"/>
              <w:rPr>
                <w:color w:val="000000"/>
                <w:sz w:val="6"/>
              </w:rPr>
            </w:pPr>
          </w:p>
          <w:p w14:paraId="616733A9" w14:textId="77777777" w:rsidR="00A77B3E" w:rsidRDefault="00A77B3E">
            <w:pPr>
              <w:spacing w:before="5pt"/>
              <w:rPr>
                <w:color w:val="000000"/>
                <w:sz w:val="6"/>
              </w:rPr>
            </w:pPr>
          </w:p>
        </w:tc>
      </w:tr>
    </w:tbl>
    <w:p w14:paraId="5AFE1B9B" w14:textId="77777777" w:rsidR="00A77B3E" w:rsidRDefault="00A77B3E">
      <w:pPr>
        <w:spacing w:before="5pt"/>
        <w:rPr>
          <w:color w:val="000000"/>
        </w:rPr>
      </w:pPr>
    </w:p>
    <w:p w14:paraId="6175F26E" w14:textId="77777777" w:rsidR="00A77B3E" w:rsidRDefault="00B16CCF">
      <w:pPr>
        <w:pStyle w:val="Naslov4"/>
        <w:spacing w:before="5pt" w:after="0pt"/>
        <w:rPr>
          <w:b w:val="0"/>
          <w:color w:val="000000"/>
          <w:sz w:val="24"/>
        </w:rPr>
      </w:pPr>
      <w:bookmarkStart w:id="152" w:name="_Toc256000913"/>
      <w:r>
        <w:rPr>
          <w:b w:val="0"/>
          <w:color w:val="000000"/>
          <w:sz w:val="24"/>
        </w:rPr>
        <w:t>2.1.1.1.2. Kazalniki</w:t>
      </w:r>
      <w:bookmarkEnd w:id="152"/>
    </w:p>
    <w:p w14:paraId="04E26019" w14:textId="77777777" w:rsidR="00A77B3E" w:rsidRDefault="00A77B3E">
      <w:pPr>
        <w:spacing w:before="5pt"/>
        <w:rPr>
          <w:color w:val="000000"/>
          <w:sz w:val="0"/>
        </w:rPr>
      </w:pPr>
    </w:p>
    <w:p w14:paraId="7B8D5567" w14:textId="77777777" w:rsidR="00A77B3E" w:rsidRDefault="00B16CCF">
      <w:pPr>
        <w:spacing w:before="5pt"/>
        <w:rPr>
          <w:color w:val="000000"/>
          <w:sz w:val="0"/>
        </w:rPr>
      </w:pPr>
      <w:r>
        <w:rPr>
          <w:color w:val="000000"/>
        </w:rPr>
        <w:t>Sklic: člen 22(3)(d)(ii) uredbe o skupnih določbah in člen 8 uredbe o ESRR in Kohezijskem skladu</w:t>
      </w:r>
    </w:p>
    <w:p w14:paraId="781244B4" w14:textId="77777777" w:rsidR="00A77B3E" w:rsidRDefault="00B16CCF">
      <w:pPr>
        <w:pStyle w:val="Naslov5"/>
        <w:spacing w:before="5pt" w:after="0pt"/>
        <w:rPr>
          <w:b w:val="0"/>
          <w:i w:val="0"/>
          <w:color w:val="000000"/>
          <w:sz w:val="24"/>
        </w:rPr>
      </w:pPr>
      <w:bookmarkStart w:id="153" w:name="_Toc256000914"/>
      <w:r>
        <w:rPr>
          <w:b w:val="0"/>
          <w:i w:val="0"/>
          <w:color w:val="000000"/>
          <w:sz w:val="24"/>
        </w:rPr>
        <w:t>Tabela 2: Kazalniki učinka</w:t>
      </w:r>
      <w:bookmarkEnd w:id="153"/>
    </w:p>
    <w:p w14:paraId="6FE2A9F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923"/>
        <w:gridCol w:w="1775"/>
        <w:gridCol w:w="1184"/>
        <w:gridCol w:w="1839"/>
        <w:gridCol w:w="2135"/>
        <w:gridCol w:w="2367"/>
        <w:gridCol w:w="1372"/>
        <w:gridCol w:w="1330"/>
        <w:gridCol w:w="1247"/>
      </w:tblGrid>
      <w:tr w:rsidR="00823317" w14:paraId="0B88185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A0782C"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2F1669"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7B9F9A"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A6882D"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C2E6C8"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1C8EF3"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A4E9B3"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A667AD" w14:textId="77777777" w:rsidR="00A77B3E" w:rsidRDefault="00B16CCF">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EE3FDAF" w14:textId="77777777" w:rsidR="00A77B3E" w:rsidRDefault="00B16CCF">
            <w:pPr>
              <w:spacing w:before="5pt"/>
              <w:jc w:val="center"/>
              <w:rPr>
                <w:color w:val="000000"/>
                <w:sz w:val="20"/>
              </w:rPr>
            </w:pPr>
            <w:r>
              <w:rPr>
                <w:color w:val="000000"/>
                <w:sz w:val="20"/>
              </w:rPr>
              <w:t>Cilj (2029)</w:t>
            </w:r>
          </w:p>
        </w:tc>
      </w:tr>
      <w:tr w:rsidR="00823317" w14:paraId="04E2797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1B6FF0"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A24751" w14:textId="77777777" w:rsidR="00A77B3E" w:rsidRDefault="00B16CCF">
            <w:pPr>
              <w:spacing w:before="5pt"/>
              <w:rPr>
                <w:color w:val="000000"/>
                <w:sz w:val="20"/>
              </w:rPr>
            </w:pPr>
            <w:r>
              <w:rPr>
                <w:color w:val="000000"/>
                <w:sz w:val="20"/>
              </w:rPr>
              <w:t>RSO2.4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96D574"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87939E"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36CB06" w14:textId="77777777" w:rsidR="00A77B3E" w:rsidRDefault="00B16CCF">
            <w:pPr>
              <w:spacing w:before="5pt"/>
              <w:rPr>
                <w:color w:val="000000"/>
                <w:sz w:val="20"/>
              </w:rPr>
            </w:pPr>
            <w:r>
              <w:rPr>
                <w:color w:val="000000"/>
                <w:sz w:val="20"/>
              </w:rPr>
              <w:t>RCO25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17689E" w14:textId="77777777" w:rsidR="00A77B3E" w:rsidRDefault="00B16CCF">
            <w:pPr>
              <w:spacing w:before="5pt"/>
              <w:rPr>
                <w:color w:val="000000"/>
                <w:sz w:val="20"/>
              </w:rPr>
            </w:pPr>
            <w:r>
              <w:rPr>
                <w:color w:val="000000"/>
                <w:sz w:val="20"/>
              </w:rPr>
              <w:t>Novozgrajena ali utrjena zaščita pred poplavami za obalni pas, rečne bregove in bregove jezer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153B28" w14:textId="77777777" w:rsidR="00A77B3E" w:rsidRDefault="00B16CCF">
            <w:pPr>
              <w:spacing w:before="5pt"/>
              <w:rPr>
                <w:color w:val="000000"/>
                <w:sz w:val="20"/>
              </w:rPr>
            </w:pPr>
            <w:r>
              <w:rPr>
                <w:color w:val="000000"/>
                <w:sz w:val="20"/>
              </w:rPr>
              <w:t>km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8B4B7F"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DBF213" w14:textId="77777777" w:rsidR="00A77B3E" w:rsidRDefault="00B16CCF">
            <w:pPr>
              <w:spacing w:before="5pt"/>
              <w:jc w:val="end"/>
              <w:rPr>
                <w:color w:val="000000"/>
                <w:sz w:val="20"/>
              </w:rPr>
            </w:pPr>
            <w:r>
              <w:rPr>
                <w:color w:val="000000"/>
                <w:sz w:val="20"/>
              </w:rPr>
              <w:t>3,00</w:t>
            </w:r>
          </w:p>
        </w:tc>
      </w:tr>
    </w:tbl>
    <w:p w14:paraId="7F5A139B" w14:textId="77777777" w:rsidR="00A77B3E" w:rsidRDefault="00A77B3E">
      <w:pPr>
        <w:spacing w:before="5pt"/>
        <w:rPr>
          <w:color w:val="000000"/>
          <w:sz w:val="20"/>
        </w:rPr>
      </w:pPr>
    </w:p>
    <w:p w14:paraId="3DAF118D" w14:textId="77777777" w:rsidR="00A77B3E" w:rsidRDefault="00B16CCF">
      <w:pPr>
        <w:spacing w:before="5pt"/>
        <w:rPr>
          <w:color w:val="000000"/>
          <w:sz w:val="0"/>
        </w:rPr>
      </w:pPr>
      <w:r>
        <w:rPr>
          <w:color w:val="000000"/>
        </w:rPr>
        <w:t>Sklic: člen 22(3)(d)(ii) uredbe o skupnih določbah</w:t>
      </w:r>
    </w:p>
    <w:p w14:paraId="00412BF6" w14:textId="77777777" w:rsidR="00A77B3E" w:rsidRDefault="00B16CCF">
      <w:pPr>
        <w:pStyle w:val="Naslov5"/>
        <w:spacing w:before="5pt" w:after="0pt"/>
        <w:rPr>
          <w:b w:val="0"/>
          <w:i w:val="0"/>
          <w:color w:val="000000"/>
          <w:sz w:val="24"/>
        </w:rPr>
      </w:pPr>
      <w:bookmarkStart w:id="154" w:name="_Toc256000915"/>
      <w:r>
        <w:rPr>
          <w:b w:val="0"/>
          <w:i w:val="0"/>
          <w:color w:val="000000"/>
          <w:sz w:val="24"/>
        </w:rPr>
        <w:t>Tabela 3: Kazalniki rezultatov</w:t>
      </w:r>
      <w:bookmarkEnd w:id="154"/>
    </w:p>
    <w:p w14:paraId="5F4038C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83"/>
        <w:gridCol w:w="1275"/>
        <w:gridCol w:w="851"/>
        <w:gridCol w:w="1322"/>
        <w:gridCol w:w="1534"/>
        <w:gridCol w:w="1367"/>
        <w:gridCol w:w="986"/>
        <w:gridCol w:w="1352"/>
        <w:gridCol w:w="1427"/>
        <w:gridCol w:w="1123"/>
        <w:gridCol w:w="1444"/>
        <w:gridCol w:w="1108"/>
      </w:tblGrid>
      <w:tr w:rsidR="00823317" w14:paraId="5A07FF3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DCE53C1"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6FDCD8"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781A1D"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8ECDF6"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8020EC"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A7BCD4F"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8025CC"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36AB45" w14:textId="77777777" w:rsidR="00A77B3E" w:rsidRDefault="00B16CCF">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555DB1" w14:textId="77777777" w:rsidR="00A77B3E" w:rsidRDefault="00B16CCF">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F8313C" w14:textId="77777777" w:rsidR="00A77B3E" w:rsidRDefault="00B16CCF">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858DC8" w14:textId="77777777" w:rsidR="00A77B3E" w:rsidRDefault="00B16CCF">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9D1A55" w14:textId="77777777" w:rsidR="00A77B3E" w:rsidRDefault="00B16CCF">
            <w:pPr>
              <w:spacing w:before="5pt"/>
              <w:jc w:val="center"/>
              <w:rPr>
                <w:color w:val="000000"/>
                <w:sz w:val="20"/>
              </w:rPr>
            </w:pPr>
            <w:r>
              <w:rPr>
                <w:color w:val="000000"/>
                <w:sz w:val="20"/>
              </w:rPr>
              <w:t>Opombe</w:t>
            </w:r>
          </w:p>
        </w:tc>
      </w:tr>
      <w:tr w:rsidR="00823317" w14:paraId="1257A5D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D63CF0" w14:textId="77777777" w:rsidR="00A77B3E" w:rsidRDefault="00B16CCF">
            <w:pPr>
              <w:spacing w:before="5pt"/>
              <w:rPr>
                <w:color w:val="000000"/>
                <w:sz w:val="20"/>
              </w:rPr>
            </w:pPr>
            <w:r>
              <w:rPr>
                <w:color w:val="000000"/>
                <w:sz w:val="20"/>
              </w:rPr>
              <w:lastRenderedPageBreak/>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ECB53A" w14:textId="77777777" w:rsidR="00A77B3E" w:rsidRDefault="00B16CCF">
            <w:pPr>
              <w:spacing w:before="5pt"/>
              <w:rPr>
                <w:color w:val="000000"/>
                <w:sz w:val="20"/>
              </w:rPr>
            </w:pPr>
            <w:r>
              <w:rPr>
                <w:color w:val="000000"/>
                <w:sz w:val="20"/>
              </w:rPr>
              <w:t>RSO2.4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F15D99"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A05CCC"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14CA03" w14:textId="77777777" w:rsidR="00A77B3E" w:rsidRDefault="00B16CCF">
            <w:pPr>
              <w:spacing w:before="5pt"/>
              <w:rPr>
                <w:color w:val="000000"/>
                <w:sz w:val="20"/>
              </w:rPr>
            </w:pPr>
            <w:r>
              <w:rPr>
                <w:color w:val="000000"/>
                <w:sz w:val="20"/>
              </w:rPr>
              <w:t>RCR35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96AF02" w14:textId="77777777" w:rsidR="00A77B3E" w:rsidRDefault="00B16CCF">
            <w:pPr>
              <w:spacing w:before="5pt"/>
              <w:rPr>
                <w:color w:val="000000"/>
                <w:sz w:val="20"/>
              </w:rPr>
            </w:pPr>
            <w:r>
              <w:rPr>
                <w:color w:val="000000"/>
                <w:sz w:val="20"/>
              </w:rPr>
              <w:t>Prebivalci, deležni zaščitnih ukrepov proti poplavami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C49201" w14:textId="77777777" w:rsidR="00A77B3E" w:rsidRDefault="00B16CCF">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2205A2"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3EE673" w14:textId="77777777" w:rsidR="00A77B3E" w:rsidRDefault="00B16CCF">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1BB85F" w14:textId="77777777" w:rsidR="00A77B3E" w:rsidRDefault="00B16CCF">
            <w:pPr>
              <w:spacing w:before="5pt"/>
              <w:jc w:val="end"/>
              <w:rPr>
                <w:color w:val="000000"/>
                <w:sz w:val="20"/>
              </w:rPr>
            </w:pPr>
            <w:r>
              <w:rPr>
                <w:color w:val="000000"/>
                <w:sz w:val="20"/>
              </w:rPr>
              <w:t>5.400,00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7CF240" w14:textId="77777777" w:rsidR="00A77B3E" w:rsidRDefault="00B16CCF">
            <w:pPr>
              <w:spacing w:before="5pt"/>
              <w:rPr>
                <w:color w:val="000000"/>
                <w:sz w:val="20"/>
              </w:rPr>
            </w:pPr>
            <w:r>
              <w:rPr>
                <w:color w:val="000000"/>
                <w:sz w:val="20"/>
              </w:rPr>
              <w:t>Predhodna ocena poplavne ogroženosti Republike Slovenije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663DA4" w14:textId="77777777" w:rsidR="00A77B3E" w:rsidRDefault="00A77B3E">
            <w:pPr>
              <w:spacing w:before="5pt"/>
              <w:rPr>
                <w:color w:val="000000"/>
                <w:sz w:val="20"/>
              </w:rPr>
            </w:pPr>
          </w:p>
        </w:tc>
      </w:tr>
      <w:tr w:rsidR="00823317" w14:paraId="73BC4F7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827DE7"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24DB5C" w14:textId="77777777" w:rsidR="00A77B3E" w:rsidRDefault="00B16CCF">
            <w:pPr>
              <w:spacing w:before="5pt"/>
              <w:rPr>
                <w:color w:val="000000"/>
                <w:sz w:val="20"/>
              </w:rPr>
            </w:pPr>
            <w:r>
              <w:rPr>
                <w:color w:val="000000"/>
                <w:sz w:val="20"/>
              </w:rPr>
              <w:t>RSO2.4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004D76"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A87738"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F26088" w14:textId="77777777" w:rsidR="00A77B3E" w:rsidRDefault="00B16CCF">
            <w:pPr>
              <w:spacing w:before="5pt"/>
              <w:rPr>
                <w:color w:val="000000"/>
                <w:sz w:val="20"/>
              </w:rPr>
            </w:pPr>
            <w:r>
              <w:rPr>
                <w:color w:val="000000"/>
                <w:sz w:val="20"/>
              </w:rPr>
              <w:t>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6E1C4B" w14:textId="77777777" w:rsidR="00A77B3E" w:rsidRDefault="00B16CCF">
            <w:pPr>
              <w:spacing w:before="5pt"/>
              <w:rPr>
                <w:color w:val="000000"/>
                <w:sz w:val="20"/>
              </w:rPr>
            </w:pPr>
            <w:r>
              <w:rPr>
                <w:color w:val="000000"/>
                <w:sz w:val="20"/>
              </w:rPr>
              <w:t>Odziv na vremensko pogojene naravne nesreče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404FC0" w14:textId="77777777" w:rsidR="00A77B3E" w:rsidRDefault="00B16CCF">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403ECF"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B65EAC" w14:textId="77777777" w:rsidR="00A77B3E" w:rsidRDefault="00A77B3E">
            <w:pPr>
              <w:spacing w:before="5pt"/>
              <w:jc w:val="center"/>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5AAD4C" w14:textId="77777777" w:rsidR="00A77B3E" w:rsidRDefault="00B16CCF">
            <w:pPr>
              <w:spacing w:before="5pt"/>
              <w:jc w:val="end"/>
              <w:rPr>
                <w:color w:val="000000"/>
                <w:sz w:val="20"/>
              </w:rPr>
            </w:pPr>
            <w:r>
              <w:rPr>
                <w:color w:val="000000"/>
                <w:sz w:val="20"/>
              </w:rPr>
              <w:t>500,00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B71B05" w14:textId="77777777" w:rsidR="00A77B3E" w:rsidRDefault="00B16CCF">
            <w:pPr>
              <w:spacing w:before="5pt"/>
              <w:rPr>
                <w:color w:val="000000"/>
                <w:sz w:val="20"/>
              </w:rPr>
            </w:pPr>
            <w:r>
              <w:rPr>
                <w:color w:val="000000"/>
                <w:sz w:val="20"/>
              </w:rPr>
              <w:t>Uprava RS za zaščito in reševanje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94638F" w14:textId="77777777" w:rsidR="00A77B3E" w:rsidRDefault="00A77B3E">
            <w:pPr>
              <w:spacing w:before="5pt"/>
              <w:rPr>
                <w:color w:val="000000"/>
                <w:sz w:val="20"/>
              </w:rPr>
            </w:pPr>
          </w:p>
        </w:tc>
      </w:tr>
    </w:tbl>
    <w:p w14:paraId="1A42A038" w14:textId="77777777" w:rsidR="00A77B3E" w:rsidRDefault="00A77B3E">
      <w:pPr>
        <w:spacing w:before="5pt"/>
        <w:rPr>
          <w:color w:val="000000"/>
          <w:sz w:val="20"/>
        </w:rPr>
      </w:pPr>
    </w:p>
    <w:p w14:paraId="0909392C" w14:textId="77777777" w:rsidR="00A77B3E" w:rsidRDefault="00B16CCF">
      <w:pPr>
        <w:pStyle w:val="Naslov4"/>
        <w:spacing w:before="5pt" w:after="0pt"/>
        <w:rPr>
          <w:b w:val="0"/>
          <w:color w:val="000000"/>
          <w:sz w:val="24"/>
        </w:rPr>
      </w:pPr>
      <w:bookmarkStart w:id="155" w:name="_Toc256000916"/>
      <w:r>
        <w:rPr>
          <w:b w:val="0"/>
          <w:color w:val="000000"/>
          <w:sz w:val="24"/>
        </w:rPr>
        <w:t>2.1.1.1.3. Okvirna razčlenitev načrtovanih sredstev (EU) glede na vrsto ukrepa</w:t>
      </w:r>
      <w:bookmarkEnd w:id="155"/>
    </w:p>
    <w:p w14:paraId="41E302A2" w14:textId="77777777" w:rsidR="00A77B3E" w:rsidRDefault="00A77B3E">
      <w:pPr>
        <w:spacing w:before="5pt"/>
        <w:rPr>
          <w:color w:val="000000"/>
          <w:sz w:val="0"/>
        </w:rPr>
      </w:pPr>
    </w:p>
    <w:p w14:paraId="3CE8DCCA" w14:textId="77777777" w:rsidR="00A77B3E" w:rsidRDefault="00B16CCF">
      <w:pPr>
        <w:spacing w:before="5pt"/>
        <w:rPr>
          <w:color w:val="000000"/>
          <w:sz w:val="0"/>
        </w:rPr>
      </w:pPr>
      <w:r>
        <w:rPr>
          <w:color w:val="000000"/>
        </w:rPr>
        <w:t>Sklic: člen 22(3)(d)(viii) uredbe o skupnih določbah</w:t>
      </w:r>
    </w:p>
    <w:p w14:paraId="4C6B065A" w14:textId="77777777" w:rsidR="00A77B3E" w:rsidRDefault="00B16CCF">
      <w:pPr>
        <w:pStyle w:val="Naslov5"/>
        <w:spacing w:before="5pt" w:after="0pt"/>
        <w:rPr>
          <w:b w:val="0"/>
          <w:i w:val="0"/>
          <w:color w:val="000000"/>
          <w:sz w:val="24"/>
        </w:rPr>
      </w:pPr>
      <w:bookmarkStart w:id="156" w:name="_Toc256000917"/>
      <w:r>
        <w:rPr>
          <w:b w:val="0"/>
          <w:i w:val="0"/>
          <w:color w:val="000000"/>
          <w:sz w:val="24"/>
        </w:rPr>
        <w:t>Tabela 4: Razsežnost 1 – področje ukrepanja</w:t>
      </w:r>
      <w:bookmarkEnd w:id="156"/>
    </w:p>
    <w:p w14:paraId="40DF83C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24"/>
        <w:gridCol w:w="2236"/>
        <w:gridCol w:w="1624"/>
        <w:gridCol w:w="2318"/>
        <w:gridCol w:w="3279"/>
        <w:gridCol w:w="3291"/>
      </w:tblGrid>
      <w:tr w:rsidR="00823317" w14:paraId="6D0F926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CF8EBC"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A39E8A"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05B840"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7A37DA"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BDA6C6"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B3C814" w14:textId="77777777" w:rsidR="00A77B3E" w:rsidRDefault="00B16CCF">
            <w:pPr>
              <w:spacing w:before="5pt"/>
              <w:jc w:val="center"/>
              <w:rPr>
                <w:color w:val="000000"/>
                <w:sz w:val="20"/>
              </w:rPr>
            </w:pPr>
            <w:r>
              <w:rPr>
                <w:color w:val="000000"/>
                <w:sz w:val="20"/>
              </w:rPr>
              <w:t>Znesek (v EUR)</w:t>
            </w:r>
          </w:p>
        </w:tc>
      </w:tr>
      <w:tr w:rsidR="00823317" w14:paraId="791865C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70BC9C"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0066E4" w14:textId="77777777" w:rsidR="00A77B3E" w:rsidRDefault="00B16CCF">
            <w:pPr>
              <w:spacing w:before="5pt"/>
              <w:rPr>
                <w:color w:val="000000"/>
                <w:sz w:val="20"/>
              </w:rPr>
            </w:pPr>
            <w:r>
              <w:rPr>
                <w:color w:val="000000"/>
                <w:sz w:val="20"/>
              </w:rPr>
              <w:t>RSO2.4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7817D6"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3752E0"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72FE98" w14:textId="77777777" w:rsidR="00A77B3E" w:rsidRDefault="00B16CCF">
            <w:pPr>
              <w:spacing w:before="5pt"/>
              <w:rPr>
                <w:color w:val="000000"/>
                <w:sz w:val="20"/>
              </w:rPr>
            </w:pPr>
            <w:r>
              <w:rPr>
                <w:color w:val="000000"/>
                <w:sz w:val="20"/>
              </w:rPr>
              <w:t>058. Ukrepi za prilagoditev podnebnim spremembam ter preprečevanje in upravljanje podnebnih tveganj: poplave in plazovi (vključno z ozaveščanjem, civilno zaščito in sistemi za obvladovanje nesreč, infrastrukturo in ekosistemskimi pristopi)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9DCEEF" w14:textId="77777777" w:rsidR="00A77B3E" w:rsidRDefault="00B16CCF">
            <w:pPr>
              <w:spacing w:before="5pt"/>
              <w:jc w:val="end"/>
              <w:rPr>
                <w:color w:val="000000"/>
                <w:sz w:val="20"/>
              </w:rPr>
            </w:pPr>
            <w:r>
              <w:rPr>
                <w:color w:val="000000"/>
                <w:sz w:val="20"/>
              </w:rPr>
              <w:t>106.313.122,00</w:t>
            </w:r>
          </w:p>
        </w:tc>
      </w:tr>
      <w:tr w:rsidR="00823317" w14:paraId="6D11F4D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04D9DC"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2695AE" w14:textId="77777777" w:rsidR="00A77B3E" w:rsidRDefault="00B16CCF">
            <w:pPr>
              <w:spacing w:before="5pt"/>
              <w:rPr>
                <w:color w:val="000000"/>
                <w:sz w:val="20"/>
              </w:rPr>
            </w:pPr>
            <w:r>
              <w:rPr>
                <w:color w:val="000000"/>
                <w:sz w:val="20"/>
              </w:rPr>
              <w:t>RSO2.4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48F600"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1223E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F8672E"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9B18C5" w14:textId="77777777" w:rsidR="00A77B3E" w:rsidRDefault="00B16CCF">
            <w:pPr>
              <w:spacing w:before="5pt"/>
              <w:jc w:val="end"/>
              <w:rPr>
                <w:color w:val="000000"/>
                <w:sz w:val="20"/>
              </w:rPr>
            </w:pPr>
            <w:r>
              <w:rPr>
                <w:color w:val="000000"/>
                <w:sz w:val="20"/>
              </w:rPr>
              <w:t>106.313.122,00</w:t>
            </w:r>
          </w:p>
        </w:tc>
      </w:tr>
    </w:tbl>
    <w:p w14:paraId="64EB9E12" w14:textId="77777777" w:rsidR="00A77B3E" w:rsidRDefault="00A77B3E">
      <w:pPr>
        <w:spacing w:before="5pt"/>
        <w:rPr>
          <w:color w:val="000000"/>
          <w:sz w:val="20"/>
        </w:rPr>
      </w:pPr>
    </w:p>
    <w:p w14:paraId="3E1C0602" w14:textId="77777777" w:rsidR="00A77B3E" w:rsidRDefault="00B16CCF">
      <w:pPr>
        <w:pStyle w:val="Naslov5"/>
        <w:spacing w:before="5pt" w:after="0pt"/>
        <w:rPr>
          <w:b w:val="0"/>
          <w:i w:val="0"/>
          <w:color w:val="000000"/>
          <w:sz w:val="24"/>
        </w:rPr>
      </w:pPr>
      <w:bookmarkStart w:id="157" w:name="_Toc256000918"/>
      <w:r>
        <w:rPr>
          <w:b w:val="0"/>
          <w:i w:val="0"/>
          <w:color w:val="000000"/>
          <w:sz w:val="24"/>
        </w:rPr>
        <w:t>Tabela 5: Razsežnost 2 – oblika financiranja</w:t>
      </w:r>
      <w:bookmarkEnd w:id="157"/>
    </w:p>
    <w:p w14:paraId="541F630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49"/>
        <w:gridCol w:w="2353"/>
        <w:gridCol w:w="1708"/>
        <w:gridCol w:w="2439"/>
        <w:gridCol w:w="2661"/>
        <w:gridCol w:w="3462"/>
      </w:tblGrid>
      <w:tr w:rsidR="00823317" w14:paraId="03EC3A7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26D763"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21D49F"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E6A190"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D10E4B"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1E2C30"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91F838" w14:textId="77777777" w:rsidR="00A77B3E" w:rsidRDefault="00B16CCF">
            <w:pPr>
              <w:spacing w:before="5pt"/>
              <w:jc w:val="center"/>
              <w:rPr>
                <w:color w:val="000000"/>
                <w:sz w:val="20"/>
              </w:rPr>
            </w:pPr>
            <w:r>
              <w:rPr>
                <w:color w:val="000000"/>
                <w:sz w:val="20"/>
              </w:rPr>
              <w:t>Znesek (v EUR)</w:t>
            </w:r>
          </w:p>
        </w:tc>
      </w:tr>
      <w:tr w:rsidR="00823317" w14:paraId="3CC3D2C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8B8A99"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50DF3B" w14:textId="77777777" w:rsidR="00A77B3E" w:rsidRDefault="00B16CCF">
            <w:pPr>
              <w:spacing w:before="5pt"/>
              <w:rPr>
                <w:color w:val="000000"/>
                <w:sz w:val="20"/>
              </w:rPr>
            </w:pPr>
            <w:r>
              <w:rPr>
                <w:color w:val="000000"/>
                <w:sz w:val="20"/>
              </w:rPr>
              <w:t>RSO2.4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90B780"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DC4D8B"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978F21" w14:textId="77777777" w:rsidR="00A77B3E" w:rsidRDefault="00B16CCF">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5AE9AF" w14:textId="77777777" w:rsidR="00A77B3E" w:rsidRDefault="00B16CCF">
            <w:pPr>
              <w:spacing w:before="5pt"/>
              <w:jc w:val="end"/>
              <w:rPr>
                <w:color w:val="000000"/>
                <w:sz w:val="20"/>
              </w:rPr>
            </w:pPr>
            <w:r>
              <w:rPr>
                <w:color w:val="000000"/>
                <w:sz w:val="20"/>
              </w:rPr>
              <w:t>106.313.122,00</w:t>
            </w:r>
          </w:p>
        </w:tc>
      </w:tr>
      <w:tr w:rsidR="00823317" w14:paraId="0EBB32E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7A5EA8"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8E339D" w14:textId="77777777" w:rsidR="00A77B3E" w:rsidRDefault="00B16CCF">
            <w:pPr>
              <w:spacing w:before="5pt"/>
              <w:rPr>
                <w:color w:val="000000"/>
                <w:sz w:val="20"/>
              </w:rPr>
            </w:pPr>
            <w:r>
              <w:rPr>
                <w:color w:val="000000"/>
                <w:sz w:val="20"/>
              </w:rPr>
              <w:t>RSO2.4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5EED0B"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B8A51F"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A3864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6340D7" w14:textId="77777777" w:rsidR="00A77B3E" w:rsidRDefault="00B16CCF">
            <w:pPr>
              <w:spacing w:before="5pt"/>
              <w:jc w:val="end"/>
              <w:rPr>
                <w:color w:val="000000"/>
                <w:sz w:val="20"/>
              </w:rPr>
            </w:pPr>
            <w:r>
              <w:rPr>
                <w:color w:val="000000"/>
                <w:sz w:val="20"/>
              </w:rPr>
              <w:t>106.313.122,00</w:t>
            </w:r>
          </w:p>
        </w:tc>
      </w:tr>
    </w:tbl>
    <w:p w14:paraId="3E9D7821" w14:textId="77777777" w:rsidR="00A77B3E" w:rsidRDefault="00A77B3E">
      <w:pPr>
        <w:spacing w:before="5pt"/>
        <w:rPr>
          <w:color w:val="000000"/>
          <w:sz w:val="20"/>
        </w:rPr>
      </w:pPr>
    </w:p>
    <w:p w14:paraId="3A164F26" w14:textId="77777777" w:rsidR="00A77B3E" w:rsidRDefault="00B16CCF">
      <w:pPr>
        <w:pStyle w:val="Naslov5"/>
        <w:spacing w:before="5pt" w:after="0pt"/>
        <w:rPr>
          <w:b w:val="0"/>
          <w:i w:val="0"/>
          <w:color w:val="000000"/>
          <w:sz w:val="24"/>
        </w:rPr>
      </w:pPr>
      <w:bookmarkStart w:id="158" w:name="_Toc256000919"/>
      <w:r>
        <w:rPr>
          <w:b w:val="0"/>
          <w:i w:val="0"/>
          <w:color w:val="000000"/>
          <w:sz w:val="24"/>
        </w:rPr>
        <w:t>Tabela 6: Razsežnost 3 – mehanizem za ozemeljsko izvrševanje in ozemeljski pristop</w:t>
      </w:r>
      <w:bookmarkEnd w:id="158"/>
    </w:p>
    <w:p w14:paraId="04E7316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85"/>
        <w:gridCol w:w="2293"/>
        <w:gridCol w:w="1665"/>
        <w:gridCol w:w="2377"/>
        <w:gridCol w:w="2978"/>
        <w:gridCol w:w="3374"/>
      </w:tblGrid>
      <w:tr w:rsidR="00823317" w14:paraId="76E6AC8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5E4881" w14:textId="77777777" w:rsidR="00A77B3E" w:rsidRDefault="00B16CCF">
            <w:pPr>
              <w:spacing w:before="5pt"/>
              <w:jc w:val="center"/>
              <w:rPr>
                <w:color w:val="000000"/>
                <w:sz w:val="20"/>
              </w:rPr>
            </w:pPr>
            <w:r>
              <w:rPr>
                <w:color w:val="000000"/>
                <w:sz w:val="20"/>
              </w:rPr>
              <w:lastRenderedPageBreak/>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01056C8"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DDE8EF"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3DEE18"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E3DD52"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AE5B04" w14:textId="77777777" w:rsidR="00A77B3E" w:rsidRDefault="00B16CCF">
            <w:pPr>
              <w:spacing w:before="5pt"/>
              <w:jc w:val="center"/>
              <w:rPr>
                <w:color w:val="000000"/>
                <w:sz w:val="20"/>
              </w:rPr>
            </w:pPr>
            <w:r>
              <w:rPr>
                <w:color w:val="000000"/>
                <w:sz w:val="20"/>
              </w:rPr>
              <w:t>Znesek (v EUR)</w:t>
            </w:r>
          </w:p>
        </w:tc>
      </w:tr>
      <w:tr w:rsidR="00823317" w14:paraId="0E305E6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76800F"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1B6309" w14:textId="77777777" w:rsidR="00A77B3E" w:rsidRDefault="00B16CCF">
            <w:pPr>
              <w:spacing w:before="5pt"/>
              <w:rPr>
                <w:color w:val="000000"/>
                <w:sz w:val="20"/>
              </w:rPr>
            </w:pPr>
            <w:r>
              <w:rPr>
                <w:color w:val="000000"/>
                <w:sz w:val="20"/>
              </w:rPr>
              <w:t>RSO2.4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B35B2F"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BE1148"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A9F6FC" w14:textId="77777777" w:rsidR="00A77B3E" w:rsidRDefault="00B16CCF">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74F6E4" w14:textId="77777777" w:rsidR="00A77B3E" w:rsidRDefault="00B16CCF">
            <w:pPr>
              <w:spacing w:before="5pt"/>
              <w:jc w:val="end"/>
              <w:rPr>
                <w:color w:val="000000"/>
                <w:sz w:val="20"/>
              </w:rPr>
            </w:pPr>
            <w:r>
              <w:rPr>
                <w:color w:val="000000"/>
                <w:sz w:val="20"/>
              </w:rPr>
              <w:t>106.313.122,00</w:t>
            </w:r>
          </w:p>
        </w:tc>
      </w:tr>
      <w:tr w:rsidR="00823317" w14:paraId="745D89D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A23329"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91B05F" w14:textId="77777777" w:rsidR="00A77B3E" w:rsidRDefault="00B16CCF">
            <w:pPr>
              <w:spacing w:before="5pt"/>
              <w:rPr>
                <w:color w:val="000000"/>
                <w:sz w:val="20"/>
              </w:rPr>
            </w:pPr>
            <w:r>
              <w:rPr>
                <w:color w:val="000000"/>
                <w:sz w:val="20"/>
              </w:rPr>
              <w:t>RSO2.4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27E563"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97B545"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11FBA5"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EFD223" w14:textId="77777777" w:rsidR="00A77B3E" w:rsidRDefault="00B16CCF">
            <w:pPr>
              <w:spacing w:before="5pt"/>
              <w:jc w:val="end"/>
              <w:rPr>
                <w:color w:val="000000"/>
                <w:sz w:val="20"/>
              </w:rPr>
            </w:pPr>
            <w:r>
              <w:rPr>
                <w:color w:val="000000"/>
                <w:sz w:val="20"/>
              </w:rPr>
              <w:t>106.313.122,00</w:t>
            </w:r>
          </w:p>
        </w:tc>
      </w:tr>
    </w:tbl>
    <w:p w14:paraId="437CEF91" w14:textId="77777777" w:rsidR="00A77B3E" w:rsidRDefault="00A77B3E">
      <w:pPr>
        <w:spacing w:before="5pt"/>
        <w:rPr>
          <w:color w:val="000000"/>
          <w:sz w:val="20"/>
        </w:rPr>
      </w:pPr>
    </w:p>
    <w:p w14:paraId="2AFF6305" w14:textId="77777777" w:rsidR="00A77B3E" w:rsidRDefault="00B16CCF">
      <w:pPr>
        <w:pStyle w:val="Naslov5"/>
        <w:spacing w:before="5pt" w:after="0pt"/>
        <w:rPr>
          <w:b w:val="0"/>
          <w:i w:val="0"/>
          <w:color w:val="000000"/>
          <w:sz w:val="24"/>
        </w:rPr>
      </w:pPr>
      <w:bookmarkStart w:id="159" w:name="_Toc256000920"/>
      <w:r>
        <w:rPr>
          <w:b w:val="0"/>
          <w:i w:val="0"/>
          <w:color w:val="000000"/>
          <w:sz w:val="24"/>
        </w:rPr>
        <w:t>Tabela 7: Razsežnost 6 – sekundarna področja ESS+</w:t>
      </w:r>
      <w:bookmarkEnd w:id="159"/>
    </w:p>
    <w:p w14:paraId="22868C6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117"/>
        <w:gridCol w:w="2877"/>
        <w:gridCol w:w="1780"/>
        <w:gridCol w:w="2982"/>
        <w:gridCol w:w="2259"/>
        <w:gridCol w:w="2157"/>
      </w:tblGrid>
      <w:tr w:rsidR="00823317" w14:paraId="41DF2B1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C47614"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F29502"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4B7354"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940BE6"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993ABF"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6F60BD" w14:textId="77777777" w:rsidR="00A77B3E" w:rsidRDefault="00B16CCF">
            <w:pPr>
              <w:spacing w:before="5pt"/>
              <w:jc w:val="center"/>
              <w:rPr>
                <w:color w:val="000000"/>
                <w:sz w:val="20"/>
              </w:rPr>
            </w:pPr>
            <w:r>
              <w:rPr>
                <w:color w:val="000000"/>
                <w:sz w:val="20"/>
              </w:rPr>
              <w:t>Znesek (v EUR)</w:t>
            </w:r>
          </w:p>
        </w:tc>
      </w:tr>
    </w:tbl>
    <w:p w14:paraId="29843306" w14:textId="77777777" w:rsidR="00A77B3E" w:rsidRDefault="00A77B3E">
      <w:pPr>
        <w:spacing w:before="5pt"/>
        <w:rPr>
          <w:color w:val="000000"/>
          <w:sz w:val="20"/>
        </w:rPr>
      </w:pPr>
    </w:p>
    <w:p w14:paraId="4FA62CB8" w14:textId="77777777" w:rsidR="00A77B3E" w:rsidRDefault="00B16CCF">
      <w:pPr>
        <w:pStyle w:val="Naslov5"/>
        <w:spacing w:before="5pt" w:after="0pt"/>
        <w:rPr>
          <w:b w:val="0"/>
          <w:i w:val="0"/>
          <w:color w:val="000000"/>
          <w:sz w:val="24"/>
        </w:rPr>
      </w:pPr>
      <w:bookmarkStart w:id="160" w:name="_Toc256000921"/>
      <w:r>
        <w:rPr>
          <w:b w:val="0"/>
          <w:i w:val="0"/>
          <w:color w:val="000000"/>
          <w:sz w:val="24"/>
        </w:rPr>
        <w:t>Tabela 8: Razsežnost 7 – razsežnost enakosti spolov v okviru ESS+*, ESRR, Kohezijskega sklada in SPP</w:t>
      </w:r>
      <w:bookmarkEnd w:id="160"/>
    </w:p>
    <w:p w14:paraId="350E69E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68"/>
        <w:gridCol w:w="2369"/>
        <w:gridCol w:w="1721"/>
        <w:gridCol w:w="2457"/>
        <w:gridCol w:w="2569"/>
        <w:gridCol w:w="3488"/>
      </w:tblGrid>
      <w:tr w:rsidR="00823317" w14:paraId="35ED534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00D12E"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658F88"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400243"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A3A478"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E99185"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8073F6" w14:textId="77777777" w:rsidR="00A77B3E" w:rsidRDefault="00B16CCF">
            <w:pPr>
              <w:spacing w:before="5pt"/>
              <w:jc w:val="center"/>
              <w:rPr>
                <w:color w:val="000000"/>
                <w:sz w:val="20"/>
              </w:rPr>
            </w:pPr>
            <w:r>
              <w:rPr>
                <w:color w:val="000000"/>
                <w:sz w:val="20"/>
              </w:rPr>
              <w:t>Znesek (v EUR)</w:t>
            </w:r>
          </w:p>
        </w:tc>
      </w:tr>
      <w:tr w:rsidR="00823317" w14:paraId="25C7D5D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A07307"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69C223" w14:textId="77777777" w:rsidR="00A77B3E" w:rsidRDefault="00B16CCF">
            <w:pPr>
              <w:spacing w:before="5pt"/>
              <w:rPr>
                <w:color w:val="000000"/>
                <w:sz w:val="20"/>
              </w:rPr>
            </w:pPr>
            <w:r>
              <w:rPr>
                <w:color w:val="000000"/>
                <w:sz w:val="20"/>
              </w:rPr>
              <w:t>RSO2.4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499674"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1D9C89"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0AF6AE" w14:textId="77777777" w:rsidR="00A77B3E" w:rsidRDefault="00B16CCF">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A652EB" w14:textId="77777777" w:rsidR="00A77B3E" w:rsidRDefault="00B16CCF">
            <w:pPr>
              <w:spacing w:before="5pt"/>
              <w:jc w:val="end"/>
              <w:rPr>
                <w:color w:val="000000"/>
                <w:sz w:val="20"/>
              </w:rPr>
            </w:pPr>
            <w:r>
              <w:rPr>
                <w:color w:val="000000"/>
                <w:sz w:val="20"/>
              </w:rPr>
              <w:t>106.313.122,00</w:t>
            </w:r>
          </w:p>
        </w:tc>
      </w:tr>
      <w:tr w:rsidR="00823317" w14:paraId="4B3307B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628199"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12C026" w14:textId="77777777" w:rsidR="00A77B3E" w:rsidRDefault="00B16CCF">
            <w:pPr>
              <w:spacing w:before="5pt"/>
              <w:rPr>
                <w:color w:val="000000"/>
                <w:sz w:val="20"/>
              </w:rPr>
            </w:pPr>
            <w:r>
              <w:rPr>
                <w:color w:val="000000"/>
                <w:sz w:val="20"/>
              </w:rPr>
              <w:t>RSO2.4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622521"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374D17"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95269F"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F7959B" w14:textId="77777777" w:rsidR="00A77B3E" w:rsidRDefault="00B16CCF">
            <w:pPr>
              <w:spacing w:before="5pt"/>
              <w:jc w:val="end"/>
              <w:rPr>
                <w:color w:val="000000"/>
                <w:sz w:val="20"/>
              </w:rPr>
            </w:pPr>
            <w:r>
              <w:rPr>
                <w:color w:val="000000"/>
                <w:sz w:val="20"/>
              </w:rPr>
              <w:t>106.313.122,00</w:t>
            </w:r>
          </w:p>
        </w:tc>
      </w:tr>
    </w:tbl>
    <w:p w14:paraId="7FBCD2D8" w14:textId="77777777" w:rsidR="00A77B3E" w:rsidRDefault="00B16CCF">
      <w:pPr>
        <w:spacing w:before="5pt"/>
        <w:rPr>
          <w:color w:val="000000"/>
          <w:sz w:val="20"/>
        </w:rPr>
      </w:pPr>
      <w:r>
        <w:rPr>
          <w:color w:val="000000"/>
          <w:sz w:val="20"/>
        </w:rPr>
        <w:t>* Načeloma 40 % za ESS+ prispeva k spremljanju enakosti spolov. 100 % se uporabi, kadar se država članica odloči za uporabo člena 6 uredbe o ESS+.</w:t>
      </w:r>
    </w:p>
    <w:p w14:paraId="09F1ABF9" w14:textId="77777777" w:rsidR="00A77B3E" w:rsidRDefault="00B16CCF">
      <w:pPr>
        <w:pStyle w:val="Naslov4"/>
        <w:spacing w:before="5pt" w:after="0pt"/>
        <w:rPr>
          <w:b w:val="0"/>
          <w:color w:val="000000"/>
          <w:sz w:val="24"/>
        </w:rPr>
      </w:pPr>
      <w:r>
        <w:rPr>
          <w:b w:val="0"/>
          <w:color w:val="000000"/>
          <w:sz w:val="24"/>
        </w:rPr>
        <w:br w:type="page"/>
      </w:r>
      <w:bookmarkStart w:id="161" w:name="_Toc256000922"/>
      <w:r>
        <w:rPr>
          <w:b w:val="0"/>
          <w:color w:val="000000"/>
          <w:sz w:val="24"/>
        </w:rPr>
        <w:lastRenderedPageBreak/>
        <w:t>2.1.1.1. Specifični cilj: RSO2.6. Spodbujanje prehoda na krožno gospodarstvo, gospodarno z viri (ESRR)</w:t>
      </w:r>
      <w:bookmarkEnd w:id="161"/>
    </w:p>
    <w:p w14:paraId="175F1A8B" w14:textId="77777777" w:rsidR="00A77B3E" w:rsidRDefault="00A77B3E">
      <w:pPr>
        <w:spacing w:before="5pt"/>
        <w:rPr>
          <w:color w:val="000000"/>
          <w:sz w:val="0"/>
        </w:rPr>
      </w:pPr>
    </w:p>
    <w:p w14:paraId="368A0AFB" w14:textId="77777777" w:rsidR="00A77B3E" w:rsidRDefault="00B16CCF">
      <w:pPr>
        <w:pStyle w:val="Naslov4"/>
        <w:spacing w:before="5pt" w:after="0pt"/>
        <w:rPr>
          <w:b w:val="0"/>
          <w:color w:val="000000"/>
          <w:sz w:val="24"/>
        </w:rPr>
      </w:pPr>
      <w:bookmarkStart w:id="162" w:name="_Toc256000923"/>
      <w:r>
        <w:rPr>
          <w:b w:val="0"/>
          <w:color w:val="000000"/>
          <w:sz w:val="24"/>
        </w:rPr>
        <w:t>2.1.1.1.1. Ukrepi skladov</w:t>
      </w:r>
      <w:bookmarkEnd w:id="162"/>
    </w:p>
    <w:p w14:paraId="68D419C5" w14:textId="77777777" w:rsidR="00A77B3E" w:rsidRDefault="00A77B3E">
      <w:pPr>
        <w:spacing w:before="5pt"/>
        <w:rPr>
          <w:color w:val="000000"/>
          <w:sz w:val="0"/>
        </w:rPr>
      </w:pPr>
    </w:p>
    <w:p w14:paraId="2BED8B8F" w14:textId="77777777" w:rsidR="00A77B3E" w:rsidRDefault="00B16CCF">
      <w:pPr>
        <w:spacing w:before="5pt"/>
        <w:rPr>
          <w:color w:val="000000"/>
          <w:sz w:val="0"/>
        </w:rPr>
      </w:pPr>
      <w:r>
        <w:rPr>
          <w:color w:val="000000"/>
        </w:rPr>
        <w:t>Sklic: člen 22(3)(d)(i), (iii), (iv), (v), (vi) in (vii) uredbe o skupnih določbah</w:t>
      </w:r>
    </w:p>
    <w:p w14:paraId="530FC37E" w14:textId="77777777" w:rsidR="00A77B3E" w:rsidRDefault="00B16CCF">
      <w:pPr>
        <w:pStyle w:val="Naslov5"/>
        <w:spacing w:before="5pt" w:after="0pt"/>
        <w:rPr>
          <w:b w:val="0"/>
          <w:i w:val="0"/>
          <w:color w:val="000000"/>
          <w:sz w:val="24"/>
        </w:rPr>
      </w:pPr>
      <w:bookmarkStart w:id="163" w:name="_Toc256000924"/>
      <w:r>
        <w:rPr>
          <w:b w:val="0"/>
          <w:i w:val="0"/>
          <w:color w:val="000000"/>
          <w:sz w:val="24"/>
        </w:rPr>
        <w:t>Povezane vrste ukrepov – člen 22(3)(d)(i) uredbe o skupnih določbah in člen 6 uredbe o ESS+:</w:t>
      </w:r>
      <w:bookmarkEnd w:id="163"/>
    </w:p>
    <w:p w14:paraId="1ECB8AB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2B4F6A0F"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96904A" w14:textId="77777777" w:rsidR="00A77B3E" w:rsidRDefault="00A77B3E">
            <w:pPr>
              <w:spacing w:before="5pt"/>
              <w:rPr>
                <w:color w:val="000000"/>
                <w:sz w:val="0"/>
              </w:rPr>
            </w:pPr>
          </w:p>
          <w:p w14:paraId="082A24A1" w14:textId="77777777" w:rsidR="00A77B3E" w:rsidRDefault="00B16CCF">
            <w:pPr>
              <w:spacing w:before="5pt"/>
              <w:rPr>
                <w:color w:val="000000"/>
              </w:rPr>
            </w:pPr>
            <w:r>
              <w:rPr>
                <w:color w:val="000000"/>
              </w:rPr>
              <w:t>Prehod v nizkoogljično krožno gospodarstvo je eden izmed ključnih ciljev SRS 2030 in drugih strateških dokumentov Slovenije, vključno s Strategijo pametne specializacije. S tem namenom je bil pripravljen Celoviti strateški projekt razogljičenja Slovenije preko prehoda v krožno gospodarstvo, v sodelovanju z evropskimi institucijami EIT in JRC. V okviru navedenega projekta so opredeljeni različni programi, ki se nanašajo na spodbujanje krožnih zagonskih podjetij, krožnih inovacij v podjetjih in krepitev petih verig vrednosti, ki so ključne z vidika prehoda v krožno gospodarstvo (predelovalna industrija, gozdno-lesna veriga (predelava lesa in ostalih naravno obnovljivih virov), mobilnost, hrana, grajeno okolje). Projekt je v svojem izhodišču zasnovan tako, da cilja k medsebojnemu povezovanju področij, saj je namenjen iskanju sistemskih rešitev. Zato bomo pri njegovem izvajanju oblikovali portfelje, s katerimi bomo hkrati podpirali aktivnosti na različnih področjih. Sredstva iz CP 1 bodo za prehod v krožno gospodarstvo v prvi vrsti namenjena podpori raziskavam in razvoju, medtem ko bodo sredstva CP 2 namenjena uporabi novih pristopov v podjetjih, pa tudi dvigu usposobljenosti podpornega okolja na področju prehoda v nizkoogljično krožno gospodarstvo. Poleg tega se bodo ukrepi dopolnjevali tudi s tistimi s področja VŽU in izobraževanja. Z izvajanjem teh programov in ukrepov bomo prispevali k učinkovitejši rabi virov in izboljšanju snovne produktivnosti. Ukrepi tega specifičnega cilja bodo zato komplementarni tudi ukrepom NOO.</w:t>
            </w:r>
          </w:p>
          <w:p w14:paraId="53CBDB60" w14:textId="77777777" w:rsidR="00A77B3E" w:rsidRDefault="00A77B3E">
            <w:pPr>
              <w:spacing w:before="5pt"/>
              <w:rPr>
                <w:color w:val="000000"/>
              </w:rPr>
            </w:pPr>
          </w:p>
          <w:p w14:paraId="4EABE1A1" w14:textId="77777777" w:rsidR="00A77B3E" w:rsidRDefault="00B16CCF">
            <w:pPr>
              <w:spacing w:before="5pt"/>
              <w:rPr>
                <w:color w:val="000000"/>
              </w:rPr>
            </w:pPr>
            <w:r>
              <w:rPr>
                <w:color w:val="000000"/>
              </w:rPr>
              <w:t>Podpora bo namenjena vzpostavitvi pogojev za prehod v nizkoogljično krožno gospodarstvo, predvsem z uvajanjem nizkoogljičnih in krožnih poslovnih modelov, uvedbo katerih je mogoče podpreti z uvajanjem digitalnih tehnologij, s katerimi bodo podjetja lažje kljubovala izzivom in pritiskom na konkurenčnost njihovega poslovanja, ki so posledica dviga cen surovin in energentov. Pri izvajanju ukrepa bo prednost namenjena podpori tistim rešitvam, ki bodo najbolj prispevala k dvigu dodane vrednosti ter k proizvodnji izdelkov, ki v svoji življenjski dobi izkazujejo nizek ogljični odtis.</w:t>
            </w:r>
          </w:p>
          <w:p w14:paraId="32FBC74A" w14:textId="77777777" w:rsidR="00A77B3E" w:rsidRDefault="00A77B3E">
            <w:pPr>
              <w:spacing w:before="5pt"/>
              <w:rPr>
                <w:color w:val="000000"/>
              </w:rPr>
            </w:pPr>
          </w:p>
          <w:p w14:paraId="001927A5" w14:textId="77777777" w:rsidR="00A77B3E" w:rsidRDefault="00B16CCF">
            <w:pPr>
              <w:spacing w:before="5pt"/>
              <w:rPr>
                <w:color w:val="000000"/>
              </w:rPr>
            </w:pPr>
            <w:r>
              <w:rPr>
                <w:color w:val="000000"/>
              </w:rPr>
              <w:t>V okviru specifičnega cilja bodo zato ukrepi osredotočeni na:</w:t>
            </w:r>
          </w:p>
          <w:p w14:paraId="60129C89" w14:textId="77777777" w:rsidR="00A77B3E" w:rsidRDefault="00A77B3E">
            <w:pPr>
              <w:spacing w:before="5pt"/>
              <w:rPr>
                <w:color w:val="000000"/>
              </w:rPr>
            </w:pPr>
          </w:p>
          <w:p w14:paraId="450C2B6E" w14:textId="77777777" w:rsidR="00A77B3E" w:rsidRDefault="00B16CCF">
            <w:pPr>
              <w:numPr>
                <w:ilvl w:val="0"/>
                <w:numId w:val="21"/>
              </w:numPr>
              <w:spacing w:before="5pt"/>
              <w:rPr>
                <w:color w:val="000000"/>
              </w:rPr>
            </w:pPr>
            <w:r>
              <w:rPr>
                <w:i/>
                <w:iCs/>
                <w:color w:val="000000"/>
              </w:rPr>
              <w:t xml:space="preserve">spodbujanje storitev podpornega okolja za zeleni in digitalni prehod preko stičišča za oblikovanje politik in centra za zeleni, ustvarjalni in pametni razvoj (op. v skladu s Slovensko industrijsko strategijo 2021-2030) ter krožnih inovacijskih procesov in učinkovite rabe virov v podjetjih (uvajanje krožnih poslovnih modelov ter novih nizkoogljičnih produktov, procesov in tehnologij za krepitev verig vrednosti, ob podpori digitalizacije), </w:t>
            </w:r>
            <w:r>
              <w:rPr>
                <w:color w:val="000000"/>
              </w:rPr>
              <w:t>kjer se predvideva podpora naslednjim ukrepom:</w:t>
            </w:r>
          </w:p>
          <w:p w14:paraId="7EEB0581" w14:textId="77777777" w:rsidR="00A77B3E" w:rsidRDefault="00B16CCF">
            <w:pPr>
              <w:spacing w:before="5pt"/>
              <w:rPr>
                <w:color w:val="000000"/>
              </w:rPr>
            </w:pPr>
            <w:r>
              <w:rPr>
                <w:color w:val="000000"/>
              </w:rPr>
              <w:t>- podpora vzpostavitvi, delovanju in storitvam stičišča za oblikovanje politik in centra za zeleni, ustvarjalni in pametni razvoj (npr. usposabljanja, mentoriranja, storitve za podjetja, prototipiranje in testiranje inovativnih rešitev itd.), za krepitev deležnikov v podpornem in inovacijskem okolju, z znanjem na področjih, ki so ključnega pomena za razvoj rešitev in poslovnih modelov za prehod podjetij v nizkoogljično krožno gospodarstvo (za podporo zelenemu in digitalnemu prehodu);</w:t>
            </w:r>
          </w:p>
          <w:p w14:paraId="193F314F" w14:textId="77777777" w:rsidR="00A77B3E" w:rsidRDefault="00B16CCF">
            <w:pPr>
              <w:spacing w:before="5pt"/>
              <w:rPr>
                <w:color w:val="000000"/>
              </w:rPr>
            </w:pPr>
            <w:r>
              <w:rPr>
                <w:color w:val="000000"/>
              </w:rPr>
              <w:lastRenderedPageBreak/>
              <w:t>- uvajanje krožnih poslovnih modelov in procesov na področju lesarstva (kot npr.: sledenje materialom, okoljsko sprejemljiva oprema) s podporo digitalizacije;</w:t>
            </w:r>
          </w:p>
          <w:p w14:paraId="28535887" w14:textId="77777777" w:rsidR="00A77B3E" w:rsidRDefault="00B16CCF">
            <w:pPr>
              <w:spacing w:before="5pt"/>
              <w:rPr>
                <w:color w:val="000000"/>
              </w:rPr>
            </w:pPr>
            <w:r>
              <w:rPr>
                <w:color w:val="000000"/>
              </w:rPr>
              <w:t>- uvajanje novih produktov z nizkim ogljičnim odtisom, procesov in tehnologij za krepitev verig vrednosti s poudarkom na naravnih obnovljivih materialih, ki omogočajo kaskadno rabo.</w:t>
            </w:r>
          </w:p>
          <w:p w14:paraId="2077E8B2" w14:textId="77777777" w:rsidR="00A77B3E" w:rsidRDefault="00A77B3E">
            <w:pPr>
              <w:spacing w:before="5pt"/>
              <w:rPr>
                <w:color w:val="000000"/>
              </w:rPr>
            </w:pPr>
          </w:p>
          <w:p w14:paraId="3326AA3D" w14:textId="77777777" w:rsidR="00A77B3E" w:rsidRDefault="00B16CCF">
            <w:pPr>
              <w:spacing w:before="5pt"/>
              <w:rPr>
                <w:color w:val="000000"/>
              </w:rPr>
            </w:pPr>
            <w:r>
              <w:rPr>
                <w:color w:val="000000"/>
              </w:rPr>
              <w:t>Podprti bodo le projekti na področju trajnostnega gospodarstva in podjetništva, ki pri svojem delovanju vključujejo rešitve krožnega gospodarstva za vzpostavljanje krožnih materialnih tokov, minimaliziranje odpadkov, odpadnih voda, emisij onesnaževal in toplogrednih plinov, emisij hrupa pri proizvodnji/izvajanju storitev v celotni življenjski dobi produktov. Glede na naravo ukrepov ni pričakovati bistvenih negativnih vplivov na okolje z vidika principov DNSH ob upoštevanju tehničnih meril, navedenih v Prilogi DNSH. Ne glede na navedeno, bomo pri oblikovanju končne vsebine ukrepov ter meril za njihov izbor in izvedbo upoštevali relevantne omilitvene ukrepe in v največji možni meri tudi relevantna priporočila v skladu s Celovito presojo vplivov na okolje, ki so našteti v Prilogi: Omilitveni ukrepi in priporočila.</w:t>
            </w:r>
          </w:p>
          <w:p w14:paraId="6D5DBB20" w14:textId="77777777" w:rsidR="00A77B3E" w:rsidRDefault="00A77B3E">
            <w:pPr>
              <w:spacing w:before="5pt"/>
              <w:rPr>
                <w:color w:val="000000"/>
                <w:sz w:val="6"/>
              </w:rPr>
            </w:pPr>
          </w:p>
          <w:p w14:paraId="3FE0BA14" w14:textId="77777777" w:rsidR="00A77B3E" w:rsidRDefault="00A77B3E">
            <w:pPr>
              <w:spacing w:before="5pt"/>
              <w:rPr>
                <w:color w:val="000000"/>
                <w:sz w:val="6"/>
              </w:rPr>
            </w:pPr>
          </w:p>
        </w:tc>
      </w:tr>
    </w:tbl>
    <w:p w14:paraId="20A47E4B" w14:textId="77777777" w:rsidR="00A77B3E" w:rsidRDefault="00A77B3E">
      <w:pPr>
        <w:spacing w:before="5pt"/>
        <w:rPr>
          <w:color w:val="000000"/>
        </w:rPr>
      </w:pPr>
    </w:p>
    <w:p w14:paraId="618DC99A" w14:textId="77777777" w:rsidR="00A77B3E" w:rsidRDefault="00B16CCF">
      <w:pPr>
        <w:pStyle w:val="Naslov5"/>
        <w:spacing w:before="5pt" w:after="0pt"/>
        <w:rPr>
          <w:b w:val="0"/>
          <w:i w:val="0"/>
          <w:color w:val="000000"/>
          <w:sz w:val="24"/>
        </w:rPr>
      </w:pPr>
      <w:bookmarkStart w:id="164" w:name="_Toc256000925"/>
      <w:r>
        <w:rPr>
          <w:b w:val="0"/>
          <w:i w:val="0"/>
          <w:color w:val="000000"/>
          <w:sz w:val="24"/>
        </w:rPr>
        <w:t>Glavne ciljne skupine – člen 22(3)(d)(iii) uredbe o skupnih določbah:</w:t>
      </w:r>
      <w:bookmarkEnd w:id="164"/>
    </w:p>
    <w:p w14:paraId="177C084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7FFEB82A"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56D594" w14:textId="77777777" w:rsidR="00A77B3E" w:rsidRDefault="00A77B3E">
            <w:pPr>
              <w:spacing w:before="5pt"/>
              <w:rPr>
                <w:color w:val="000000"/>
                <w:sz w:val="0"/>
              </w:rPr>
            </w:pPr>
          </w:p>
          <w:p w14:paraId="7A4C484F" w14:textId="77777777" w:rsidR="00A77B3E" w:rsidRDefault="00B16CCF">
            <w:pPr>
              <w:spacing w:before="5pt"/>
              <w:rPr>
                <w:color w:val="000000"/>
              </w:rPr>
            </w:pPr>
            <w:r>
              <w:rPr>
                <w:color w:val="000000"/>
              </w:rPr>
              <w:t>Ciljne skupine: prebivalci, lokalne skupnosti, podjetja, zavodi, lesnopredelovalna industrija, komunalna podjetja, nevladne organizacije, javna uprava.</w:t>
            </w:r>
          </w:p>
          <w:p w14:paraId="5B7EEBB8" w14:textId="77777777" w:rsidR="00A77B3E" w:rsidRDefault="00A77B3E">
            <w:pPr>
              <w:spacing w:before="5pt"/>
              <w:rPr>
                <w:color w:val="000000"/>
              </w:rPr>
            </w:pPr>
          </w:p>
          <w:p w14:paraId="2F25D6C6" w14:textId="77777777" w:rsidR="00A77B3E" w:rsidRDefault="00B16CCF">
            <w:pPr>
              <w:spacing w:before="5pt"/>
              <w:rPr>
                <w:color w:val="000000"/>
              </w:rPr>
            </w:pPr>
            <w:r>
              <w:rPr>
                <w:color w:val="000000"/>
              </w:rPr>
              <w:t>Upravičenci: podjetja, zavodi, deležniki v lesni verigi, lokalne skupnosti, komunalna podjetja, nevladne organizacije, ministrstvi, pristojni za javno upravo in gospodarstvo, zbornice in regionalne razvojne agencije, drugi deležniki, ki delujejo na področju krožnega gospodarstva.</w:t>
            </w:r>
          </w:p>
          <w:p w14:paraId="59AD371B" w14:textId="77777777" w:rsidR="00A77B3E" w:rsidRDefault="00A77B3E">
            <w:pPr>
              <w:spacing w:before="5pt"/>
              <w:rPr>
                <w:color w:val="000000"/>
              </w:rPr>
            </w:pPr>
          </w:p>
          <w:p w14:paraId="6527E418" w14:textId="77777777" w:rsidR="00A77B3E" w:rsidRDefault="00A77B3E">
            <w:pPr>
              <w:spacing w:before="5pt"/>
              <w:rPr>
                <w:color w:val="000000"/>
              </w:rPr>
            </w:pPr>
          </w:p>
          <w:p w14:paraId="46664C07" w14:textId="77777777" w:rsidR="00A77B3E" w:rsidRDefault="00A77B3E">
            <w:pPr>
              <w:spacing w:before="5pt"/>
              <w:rPr>
                <w:color w:val="000000"/>
                <w:sz w:val="6"/>
              </w:rPr>
            </w:pPr>
          </w:p>
          <w:p w14:paraId="5D7F842E" w14:textId="77777777" w:rsidR="00A77B3E" w:rsidRDefault="00A77B3E">
            <w:pPr>
              <w:spacing w:before="5pt"/>
              <w:rPr>
                <w:color w:val="000000"/>
                <w:sz w:val="6"/>
              </w:rPr>
            </w:pPr>
          </w:p>
        </w:tc>
      </w:tr>
    </w:tbl>
    <w:p w14:paraId="69EC3331" w14:textId="77777777" w:rsidR="00A77B3E" w:rsidRDefault="00A77B3E">
      <w:pPr>
        <w:spacing w:before="5pt"/>
        <w:rPr>
          <w:color w:val="000000"/>
        </w:rPr>
      </w:pPr>
    </w:p>
    <w:p w14:paraId="2574DC75" w14:textId="77777777" w:rsidR="00A77B3E" w:rsidRDefault="00B16CCF">
      <w:pPr>
        <w:pStyle w:val="Naslov5"/>
        <w:spacing w:before="5pt" w:after="0pt"/>
        <w:rPr>
          <w:b w:val="0"/>
          <w:i w:val="0"/>
          <w:color w:val="000000"/>
          <w:sz w:val="24"/>
        </w:rPr>
      </w:pPr>
      <w:bookmarkStart w:id="165" w:name="_Toc256000926"/>
      <w:r>
        <w:rPr>
          <w:b w:val="0"/>
          <w:i w:val="0"/>
          <w:color w:val="000000"/>
          <w:sz w:val="24"/>
        </w:rPr>
        <w:t>Ukrepi za zaščito enakosti, vključenosti in nediskriminacije – člen 22(3)(d)(iv) uredbe o skupnih določbah in člen 6 uredbe o ESS+</w:t>
      </w:r>
      <w:bookmarkEnd w:id="165"/>
    </w:p>
    <w:p w14:paraId="0F3A3F6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2EC2D01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A05160" w14:textId="77777777" w:rsidR="00A77B3E" w:rsidRDefault="00A77B3E">
            <w:pPr>
              <w:spacing w:before="5pt"/>
              <w:rPr>
                <w:color w:val="000000"/>
                <w:sz w:val="0"/>
              </w:rPr>
            </w:pPr>
          </w:p>
          <w:p w14:paraId="495EB7BA" w14:textId="77777777" w:rsidR="00A77B3E" w:rsidRDefault="00B16CCF">
            <w:pPr>
              <w:spacing w:before="5pt"/>
              <w:rPr>
                <w:color w:val="000000"/>
              </w:rPr>
            </w:pPr>
            <w:r>
              <w:rPr>
                <w:color w:val="000000"/>
              </w:rPr>
              <w:t xml:space="preserve">Pri načrtovanju, izvedbi in spremljanju ukrepov bodo spoštovana načela enakosti spolov, enakih možnosti in nediskriminacije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w:t>
            </w:r>
            <w:r>
              <w:rPr>
                <w:color w:val="000000"/>
              </w:rPr>
              <w:lastRenderedPageBreak/>
              <w:t>zagotavljanje horizontalnega omogočitvenega pogoja »Učinkovita uporaba in izvajanje Listine o temeljnih pravicah« in Akcijski program za invalide 2022-2030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w:t>
            </w:r>
          </w:p>
          <w:p w14:paraId="51BB2AF8" w14:textId="77777777" w:rsidR="00A77B3E" w:rsidRDefault="00A77B3E">
            <w:pPr>
              <w:spacing w:before="5pt"/>
              <w:rPr>
                <w:color w:val="000000"/>
              </w:rPr>
            </w:pPr>
          </w:p>
          <w:p w14:paraId="146C421D" w14:textId="77777777" w:rsidR="00A77B3E" w:rsidRDefault="00A77B3E">
            <w:pPr>
              <w:spacing w:before="5pt"/>
              <w:rPr>
                <w:color w:val="000000"/>
                <w:sz w:val="6"/>
              </w:rPr>
            </w:pPr>
          </w:p>
          <w:p w14:paraId="18311A18" w14:textId="77777777" w:rsidR="00A77B3E" w:rsidRDefault="00A77B3E">
            <w:pPr>
              <w:spacing w:before="5pt"/>
              <w:rPr>
                <w:color w:val="000000"/>
                <w:sz w:val="6"/>
              </w:rPr>
            </w:pPr>
          </w:p>
        </w:tc>
      </w:tr>
    </w:tbl>
    <w:p w14:paraId="02B656EE" w14:textId="77777777" w:rsidR="00A77B3E" w:rsidRDefault="00A77B3E">
      <w:pPr>
        <w:spacing w:before="5pt"/>
        <w:rPr>
          <w:color w:val="000000"/>
        </w:rPr>
      </w:pPr>
    </w:p>
    <w:p w14:paraId="2831A800" w14:textId="77777777" w:rsidR="00A77B3E" w:rsidRDefault="00B16CCF">
      <w:pPr>
        <w:pStyle w:val="Naslov5"/>
        <w:spacing w:before="5pt" w:after="0pt"/>
        <w:rPr>
          <w:b w:val="0"/>
          <w:i w:val="0"/>
          <w:color w:val="000000"/>
          <w:sz w:val="24"/>
        </w:rPr>
      </w:pPr>
      <w:bookmarkStart w:id="166" w:name="_Toc256000927"/>
      <w:r>
        <w:rPr>
          <w:b w:val="0"/>
          <w:i w:val="0"/>
          <w:color w:val="000000"/>
          <w:sz w:val="24"/>
        </w:rPr>
        <w:t>Navedba specifičnih ciljnih ozemelj, vključno z načrtovano uporabo teritorialnih orodij – člen 22(3)(d)(v) uredbe o skupnih določbah</w:t>
      </w:r>
      <w:bookmarkEnd w:id="166"/>
    </w:p>
    <w:p w14:paraId="1406E30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05FD61D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40DBB6" w14:textId="77777777" w:rsidR="00A77B3E" w:rsidRDefault="00A77B3E">
            <w:pPr>
              <w:spacing w:before="5pt"/>
              <w:rPr>
                <w:color w:val="000000"/>
                <w:sz w:val="0"/>
              </w:rPr>
            </w:pPr>
          </w:p>
          <w:p w14:paraId="3E39B03B" w14:textId="77777777" w:rsidR="00A77B3E" w:rsidRDefault="00B16CCF">
            <w:pPr>
              <w:spacing w:before="5pt"/>
              <w:rPr>
                <w:color w:val="000000"/>
              </w:rPr>
            </w:pPr>
            <w:r>
              <w:rPr>
                <w:color w:val="000000"/>
              </w:rPr>
              <w:t>V okviru ukrepov specifičnega cilja teritorialni pristopi niso predvideni.</w:t>
            </w:r>
          </w:p>
          <w:p w14:paraId="462A9C7A" w14:textId="77777777" w:rsidR="00A77B3E" w:rsidRDefault="00A77B3E">
            <w:pPr>
              <w:spacing w:before="5pt"/>
              <w:rPr>
                <w:color w:val="000000"/>
                <w:sz w:val="6"/>
              </w:rPr>
            </w:pPr>
          </w:p>
          <w:p w14:paraId="6BC1D460" w14:textId="77777777" w:rsidR="00A77B3E" w:rsidRDefault="00A77B3E">
            <w:pPr>
              <w:spacing w:before="5pt"/>
              <w:rPr>
                <w:color w:val="000000"/>
                <w:sz w:val="6"/>
              </w:rPr>
            </w:pPr>
          </w:p>
        </w:tc>
      </w:tr>
    </w:tbl>
    <w:p w14:paraId="649F0510" w14:textId="77777777" w:rsidR="00A77B3E" w:rsidRDefault="00A77B3E">
      <w:pPr>
        <w:spacing w:before="5pt"/>
        <w:rPr>
          <w:color w:val="000000"/>
        </w:rPr>
      </w:pPr>
    </w:p>
    <w:p w14:paraId="43922B1A" w14:textId="77777777" w:rsidR="00A77B3E" w:rsidRDefault="00B16CCF">
      <w:pPr>
        <w:pStyle w:val="Naslov5"/>
        <w:spacing w:before="5pt" w:after="0pt"/>
        <w:rPr>
          <w:b w:val="0"/>
          <w:i w:val="0"/>
          <w:color w:val="000000"/>
          <w:sz w:val="24"/>
        </w:rPr>
      </w:pPr>
      <w:bookmarkStart w:id="167" w:name="_Toc256000928"/>
      <w:r>
        <w:rPr>
          <w:b w:val="0"/>
          <w:i w:val="0"/>
          <w:color w:val="000000"/>
          <w:sz w:val="24"/>
        </w:rPr>
        <w:t>Medregionalni, čezmejni in transnacionalni ukrepi – člen 22(3)(d)(vi) uredbe o skupnih določbah</w:t>
      </w:r>
      <w:bookmarkEnd w:id="167"/>
    </w:p>
    <w:p w14:paraId="598C5AB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4CBCDB74"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7FEE65" w14:textId="77777777" w:rsidR="00A77B3E" w:rsidRDefault="00A77B3E">
            <w:pPr>
              <w:spacing w:before="5pt"/>
              <w:rPr>
                <w:color w:val="000000"/>
                <w:sz w:val="0"/>
              </w:rPr>
            </w:pPr>
          </w:p>
          <w:p w14:paraId="5EE99E70" w14:textId="77777777" w:rsidR="00A77B3E" w:rsidRDefault="00B16CCF">
            <w:pPr>
              <w:spacing w:before="5pt"/>
              <w:rPr>
                <w:color w:val="000000"/>
              </w:rPr>
            </w:pPr>
            <w:r>
              <w:rPr>
                <w:color w:val="000000"/>
              </w:rPr>
              <w:t>Predvideni ukrepi sledijo Celovitemu strateškemu projektu razogljičenja Slovenije preko prehoda v krožno gospodarstvo in Slovenski industrijski strategiji ter ne predvidevajo neposrednega izvajanja čezmejnih, transnacionalnih in medregionalnih ukrepov. Se bo po izvajanje aktivnosti, predvsem v okviru Centra za zeleni, ustvarjalni in pametni razvoj navezovalo in povezovalo tudi s čezmejnimi, mednarodnimi iniciativami, kot je na primer Circular 4.0. Predvideno je, da bo center deloval tudi kot regionalno stičišče za sodelovanje s sosednjimi državami na področju krožnega gospodarstva.</w:t>
            </w:r>
          </w:p>
          <w:p w14:paraId="4370115E" w14:textId="77777777" w:rsidR="00A77B3E" w:rsidRDefault="00A77B3E">
            <w:pPr>
              <w:spacing w:before="5pt"/>
              <w:rPr>
                <w:color w:val="000000"/>
              </w:rPr>
            </w:pPr>
          </w:p>
          <w:p w14:paraId="3D572574" w14:textId="77777777" w:rsidR="00A77B3E" w:rsidRDefault="00B16CCF">
            <w:pPr>
              <w:spacing w:before="5pt"/>
              <w:rPr>
                <w:color w:val="000000"/>
              </w:rPr>
            </w:pPr>
            <w:r>
              <w:rPr>
                <w:color w:val="000000"/>
              </w:rPr>
              <w:t>EUSAIR Facility Point bo s svojimi aktivnostmi in mrežami makroregionalnih deležnikov na eni strani ter nacionalnimi koordinatorji in tematskimi člani stebrov spodbujala zavedanje o pomenu krožnega gospodarstva v regiji. To se nanaša tudi na dejavnosti v zvezi s Centrom. Pri vzpostavitvi Centra bo uporabljena trenutna struktura EUSAIR (krepitev zmogljivosti in internacionalizacija prek obstoječih mrež). Inovacijska skupnost EUSAIR je že ustanovljena in izvedene prve promocijske aktivnosti.</w:t>
            </w:r>
          </w:p>
          <w:p w14:paraId="5344B8F8" w14:textId="77777777" w:rsidR="00A77B3E" w:rsidRDefault="00A77B3E">
            <w:pPr>
              <w:spacing w:before="5pt"/>
              <w:rPr>
                <w:color w:val="000000"/>
                <w:sz w:val="6"/>
              </w:rPr>
            </w:pPr>
          </w:p>
          <w:p w14:paraId="0E78D62B" w14:textId="77777777" w:rsidR="00A77B3E" w:rsidRDefault="00A77B3E">
            <w:pPr>
              <w:spacing w:before="5pt"/>
              <w:rPr>
                <w:color w:val="000000"/>
                <w:sz w:val="6"/>
              </w:rPr>
            </w:pPr>
          </w:p>
        </w:tc>
      </w:tr>
    </w:tbl>
    <w:p w14:paraId="043BD4F3" w14:textId="77777777" w:rsidR="00A77B3E" w:rsidRDefault="00A77B3E">
      <w:pPr>
        <w:spacing w:before="5pt"/>
        <w:rPr>
          <w:color w:val="000000"/>
        </w:rPr>
      </w:pPr>
    </w:p>
    <w:p w14:paraId="06651FA9" w14:textId="77777777" w:rsidR="00A77B3E" w:rsidRDefault="00B16CCF">
      <w:pPr>
        <w:pStyle w:val="Naslov5"/>
        <w:spacing w:before="5pt" w:after="0pt"/>
        <w:rPr>
          <w:b w:val="0"/>
          <w:i w:val="0"/>
          <w:color w:val="000000"/>
          <w:sz w:val="24"/>
        </w:rPr>
      </w:pPr>
      <w:bookmarkStart w:id="168" w:name="_Toc256000929"/>
      <w:r>
        <w:rPr>
          <w:b w:val="0"/>
          <w:i w:val="0"/>
          <w:color w:val="000000"/>
          <w:sz w:val="24"/>
        </w:rPr>
        <w:t>Načrtovana uporaba finančnih instrumentov – člen 22(3)(d)(vii) uredbe o skupnih določbah</w:t>
      </w:r>
      <w:bookmarkEnd w:id="168"/>
    </w:p>
    <w:p w14:paraId="707C3E6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596C6FF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72F578" w14:textId="77777777" w:rsidR="00A77B3E" w:rsidRDefault="00A77B3E">
            <w:pPr>
              <w:spacing w:before="5pt"/>
              <w:rPr>
                <w:color w:val="000000"/>
                <w:sz w:val="0"/>
              </w:rPr>
            </w:pPr>
          </w:p>
          <w:p w14:paraId="7A3FE6C4" w14:textId="77777777" w:rsidR="00A77B3E" w:rsidRDefault="00B16CCF">
            <w:pPr>
              <w:spacing w:before="5pt"/>
              <w:rPr>
                <w:color w:val="000000"/>
              </w:rPr>
            </w:pPr>
            <w:r>
              <w:rPr>
                <w:color w:val="000000"/>
              </w:rPr>
              <w:t>V skladu s Predhodno oceno potreb trga in vrzeli financiranja na trgu za izvajanje finančnih instrumentov v programskem obdobju 2021-2027 (julij 2022) je bila področju ukrepov za spodbujanje krožnih inovacijskih procesov in učinkovite rabe virov v podjetjih ugotovljena vrzel. Načrtujemo uporabo finančnih instrumentov (v nadaljevanju: FI), kljub temu, da bodo v obdobju 2021-2027 povratni instrumenti za financiranje podjetij v večjem delu zagotovljeni iz nacionalnih virov. V Programu je podan indikativen obseg sredstev, namenjenih za FI v kombinaciji z nepovratnimi sredstvi.</w:t>
            </w:r>
          </w:p>
          <w:p w14:paraId="0084D5CF" w14:textId="77777777" w:rsidR="00A77B3E" w:rsidRDefault="00A77B3E">
            <w:pPr>
              <w:spacing w:before="5pt"/>
              <w:rPr>
                <w:color w:val="000000"/>
                <w:sz w:val="6"/>
              </w:rPr>
            </w:pPr>
          </w:p>
          <w:p w14:paraId="030B0932" w14:textId="77777777" w:rsidR="00A77B3E" w:rsidRDefault="00A77B3E">
            <w:pPr>
              <w:spacing w:before="5pt"/>
              <w:rPr>
                <w:color w:val="000000"/>
                <w:sz w:val="6"/>
              </w:rPr>
            </w:pPr>
          </w:p>
        </w:tc>
      </w:tr>
    </w:tbl>
    <w:p w14:paraId="30107A43" w14:textId="77777777" w:rsidR="00A77B3E" w:rsidRDefault="00A77B3E">
      <w:pPr>
        <w:spacing w:before="5pt"/>
        <w:rPr>
          <w:color w:val="000000"/>
        </w:rPr>
      </w:pPr>
    </w:p>
    <w:p w14:paraId="032F1C8F" w14:textId="77777777" w:rsidR="00A77B3E" w:rsidRDefault="00B16CCF">
      <w:pPr>
        <w:pStyle w:val="Naslov4"/>
        <w:spacing w:before="5pt" w:after="0pt"/>
        <w:rPr>
          <w:b w:val="0"/>
          <w:color w:val="000000"/>
          <w:sz w:val="24"/>
        </w:rPr>
      </w:pPr>
      <w:bookmarkStart w:id="169" w:name="_Toc256000930"/>
      <w:r>
        <w:rPr>
          <w:b w:val="0"/>
          <w:color w:val="000000"/>
          <w:sz w:val="24"/>
        </w:rPr>
        <w:t>2.1.1.1.2. Kazalniki</w:t>
      </w:r>
      <w:bookmarkEnd w:id="169"/>
    </w:p>
    <w:p w14:paraId="4167409D" w14:textId="77777777" w:rsidR="00A77B3E" w:rsidRDefault="00A77B3E">
      <w:pPr>
        <w:spacing w:before="5pt"/>
        <w:rPr>
          <w:color w:val="000000"/>
          <w:sz w:val="0"/>
        </w:rPr>
      </w:pPr>
    </w:p>
    <w:p w14:paraId="31269663" w14:textId="77777777" w:rsidR="00A77B3E" w:rsidRDefault="00B16CCF">
      <w:pPr>
        <w:spacing w:before="5pt"/>
        <w:rPr>
          <w:color w:val="000000"/>
          <w:sz w:val="0"/>
        </w:rPr>
      </w:pPr>
      <w:r>
        <w:rPr>
          <w:color w:val="000000"/>
        </w:rPr>
        <w:t>Sklic: člen 22(3)(d)(ii) uredbe o skupnih določbah in člen 8 uredbe o ESRR in Kohezijskem skladu</w:t>
      </w:r>
    </w:p>
    <w:p w14:paraId="30642C28" w14:textId="77777777" w:rsidR="00A77B3E" w:rsidRDefault="00B16CCF">
      <w:pPr>
        <w:pStyle w:val="Naslov5"/>
        <w:spacing w:before="5pt" w:after="0pt"/>
        <w:rPr>
          <w:b w:val="0"/>
          <w:i w:val="0"/>
          <w:color w:val="000000"/>
          <w:sz w:val="24"/>
        </w:rPr>
      </w:pPr>
      <w:bookmarkStart w:id="170" w:name="_Toc256000931"/>
      <w:r>
        <w:rPr>
          <w:b w:val="0"/>
          <w:i w:val="0"/>
          <w:color w:val="000000"/>
          <w:sz w:val="24"/>
        </w:rPr>
        <w:t>Tabela 2: Kazalniki učinka</w:t>
      </w:r>
      <w:bookmarkEnd w:id="170"/>
    </w:p>
    <w:p w14:paraId="0DFECC5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925"/>
        <w:gridCol w:w="1776"/>
        <w:gridCol w:w="1184"/>
        <w:gridCol w:w="1840"/>
        <w:gridCol w:w="2136"/>
        <w:gridCol w:w="2243"/>
        <w:gridCol w:w="1459"/>
        <w:gridCol w:w="1331"/>
        <w:gridCol w:w="1278"/>
      </w:tblGrid>
      <w:tr w:rsidR="00823317" w14:paraId="2061511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F28007"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262C2A"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7913C3"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F7FBC6"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82D643"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62A194"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DD916B"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208A04" w14:textId="77777777" w:rsidR="00A77B3E" w:rsidRDefault="00B16CCF">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5B949E" w14:textId="77777777" w:rsidR="00A77B3E" w:rsidRDefault="00B16CCF">
            <w:pPr>
              <w:spacing w:before="5pt"/>
              <w:jc w:val="center"/>
              <w:rPr>
                <w:color w:val="000000"/>
                <w:sz w:val="20"/>
              </w:rPr>
            </w:pPr>
            <w:r>
              <w:rPr>
                <w:color w:val="000000"/>
                <w:sz w:val="20"/>
              </w:rPr>
              <w:t>Cilj (2029)</w:t>
            </w:r>
          </w:p>
        </w:tc>
      </w:tr>
      <w:tr w:rsidR="00823317" w14:paraId="3B1F7C8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706ABE"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BBEC3E" w14:textId="77777777" w:rsidR="00A77B3E" w:rsidRDefault="00B16CCF">
            <w:pPr>
              <w:spacing w:before="5pt"/>
              <w:rPr>
                <w:color w:val="000000"/>
                <w:sz w:val="20"/>
              </w:rPr>
            </w:pPr>
            <w:r>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62CB9B"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29E547"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4DCB2D" w14:textId="77777777" w:rsidR="00A77B3E" w:rsidRDefault="00B16CCF">
            <w:pPr>
              <w:spacing w:before="5pt"/>
              <w:rPr>
                <w:color w:val="000000"/>
                <w:sz w:val="20"/>
              </w:rPr>
            </w:pPr>
            <w:r>
              <w:rPr>
                <w:color w:val="000000"/>
                <w:sz w:val="20"/>
              </w:rPr>
              <w:t>RCO01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787D41" w14:textId="77777777" w:rsidR="00A77B3E" w:rsidRDefault="00B16CCF">
            <w:pPr>
              <w:spacing w:before="5pt"/>
              <w:rPr>
                <w:color w:val="000000"/>
                <w:sz w:val="20"/>
              </w:rPr>
            </w:pPr>
            <w:r>
              <w:rPr>
                <w:color w:val="000000"/>
                <w:sz w:val="20"/>
              </w:rPr>
              <w:t>Podjetja, ki so prejela podporo (od tega: mikro, mala, srednja, velika)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69DC7D" w14:textId="77777777" w:rsidR="00A77B3E" w:rsidRDefault="00B16CCF">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3C71E3"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EA006F" w14:textId="77777777" w:rsidR="00A77B3E" w:rsidRDefault="00B16CCF">
            <w:pPr>
              <w:spacing w:before="5pt"/>
              <w:jc w:val="end"/>
              <w:rPr>
                <w:color w:val="000000"/>
                <w:sz w:val="20"/>
              </w:rPr>
            </w:pPr>
            <w:r>
              <w:rPr>
                <w:color w:val="000000"/>
                <w:sz w:val="20"/>
              </w:rPr>
              <w:t>58,00</w:t>
            </w:r>
          </w:p>
        </w:tc>
      </w:tr>
      <w:tr w:rsidR="00823317" w14:paraId="0259D31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F98849"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EE1D4E" w14:textId="77777777" w:rsidR="00A77B3E" w:rsidRDefault="00B16CCF">
            <w:pPr>
              <w:spacing w:before="5pt"/>
              <w:rPr>
                <w:color w:val="000000"/>
                <w:sz w:val="20"/>
              </w:rPr>
            </w:pPr>
            <w:r>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E7096E"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61C7D5"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3C0E6C" w14:textId="77777777" w:rsidR="00A77B3E" w:rsidRDefault="00B16CCF">
            <w:pPr>
              <w:spacing w:before="5pt"/>
              <w:rPr>
                <w:color w:val="000000"/>
                <w:sz w:val="20"/>
              </w:rPr>
            </w:pPr>
            <w:r>
              <w:rPr>
                <w:color w:val="000000"/>
                <w:sz w:val="20"/>
              </w:rPr>
              <w:t>RCO02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02091E" w14:textId="77777777" w:rsidR="00A77B3E" w:rsidRDefault="00B16CCF">
            <w:pPr>
              <w:spacing w:before="5pt"/>
              <w:rPr>
                <w:color w:val="000000"/>
                <w:sz w:val="20"/>
              </w:rPr>
            </w:pPr>
            <w:r>
              <w:rPr>
                <w:color w:val="000000"/>
                <w:sz w:val="20"/>
              </w:rPr>
              <w:t>Podjetja, ki so prejela podporo v obliki nepovratnih sredstev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24B378" w14:textId="77777777" w:rsidR="00A77B3E" w:rsidRDefault="00B16CCF">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05C7D3"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CFE390" w14:textId="77777777" w:rsidR="00A77B3E" w:rsidRDefault="00B16CCF">
            <w:pPr>
              <w:spacing w:before="5pt"/>
              <w:jc w:val="end"/>
              <w:rPr>
                <w:color w:val="000000"/>
                <w:sz w:val="20"/>
              </w:rPr>
            </w:pPr>
            <w:r>
              <w:rPr>
                <w:color w:val="000000"/>
                <w:sz w:val="20"/>
              </w:rPr>
              <w:t>17,00</w:t>
            </w:r>
          </w:p>
        </w:tc>
      </w:tr>
      <w:tr w:rsidR="00823317" w14:paraId="2AD041E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041A02"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6693D8" w14:textId="77777777" w:rsidR="00A77B3E" w:rsidRDefault="00B16CCF">
            <w:pPr>
              <w:spacing w:before="5pt"/>
              <w:rPr>
                <w:color w:val="000000"/>
                <w:sz w:val="20"/>
              </w:rPr>
            </w:pPr>
            <w:r>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42C380"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52CD0E"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917DD5" w14:textId="77777777" w:rsidR="00A77B3E" w:rsidRDefault="00B16CCF">
            <w:pPr>
              <w:spacing w:before="5pt"/>
              <w:rPr>
                <w:color w:val="000000"/>
                <w:sz w:val="20"/>
              </w:rPr>
            </w:pPr>
            <w:r>
              <w:rPr>
                <w:color w:val="000000"/>
                <w:sz w:val="20"/>
              </w:rPr>
              <w:t>RCO03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9535DD" w14:textId="77777777" w:rsidR="00A77B3E" w:rsidRDefault="00B16CCF">
            <w:pPr>
              <w:spacing w:before="5pt"/>
              <w:rPr>
                <w:color w:val="000000"/>
                <w:sz w:val="20"/>
              </w:rPr>
            </w:pPr>
            <w:r>
              <w:rPr>
                <w:color w:val="000000"/>
                <w:sz w:val="20"/>
              </w:rPr>
              <w:t>Podjetja, ki so prejela podporo v obliki finančnih instrumentov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401ED2" w14:textId="77777777" w:rsidR="00A77B3E" w:rsidRDefault="00B16CCF">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EB5FB1"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C2D775" w14:textId="77777777" w:rsidR="00A77B3E" w:rsidRDefault="00B16CCF">
            <w:pPr>
              <w:spacing w:before="5pt"/>
              <w:jc w:val="end"/>
              <w:rPr>
                <w:color w:val="000000"/>
                <w:sz w:val="20"/>
              </w:rPr>
            </w:pPr>
            <w:r>
              <w:rPr>
                <w:color w:val="000000"/>
                <w:sz w:val="20"/>
              </w:rPr>
              <w:t>12,00</w:t>
            </w:r>
          </w:p>
        </w:tc>
      </w:tr>
      <w:tr w:rsidR="00823317" w14:paraId="70BA19F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7DF134"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9B02AE" w14:textId="77777777" w:rsidR="00A77B3E" w:rsidRDefault="00B16CCF">
            <w:pPr>
              <w:spacing w:before="5pt"/>
              <w:rPr>
                <w:color w:val="000000"/>
                <w:sz w:val="20"/>
              </w:rPr>
            </w:pPr>
            <w:r>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C275D2"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2EE45D"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FB8CEA" w14:textId="77777777" w:rsidR="00A77B3E" w:rsidRDefault="00B16CCF">
            <w:pPr>
              <w:spacing w:before="5pt"/>
              <w:rPr>
                <w:color w:val="000000"/>
                <w:sz w:val="20"/>
              </w:rPr>
            </w:pPr>
            <w:r>
              <w:rPr>
                <w:color w:val="000000"/>
                <w:sz w:val="20"/>
              </w:rPr>
              <w:t>RCO04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59D1A3" w14:textId="77777777" w:rsidR="00A77B3E" w:rsidRDefault="00B16CCF">
            <w:pPr>
              <w:spacing w:before="5pt"/>
              <w:rPr>
                <w:color w:val="000000"/>
                <w:sz w:val="20"/>
              </w:rPr>
            </w:pPr>
            <w:r>
              <w:rPr>
                <w:color w:val="000000"/>
                <w:sz w:val="20"/>
              </w:rPr>
              <w:t>Podjetja z nefinančno podporo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CC31E1" w14:textId="77777777" w:rsidR="00A77B3E" w:rsidRDefault="00B16CCF">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A27283"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0FC309" w14:textId="77777777" w:rsidR="00A77B3E" w:rsidRDefault="00B16CCF">
            <w:pPr>
              <w:spacing w:before="5pt"/>
              <w:jc w:val="end"/>
              <w:rPr>
                <w:color w:val="000000"/>
                <w:sz w:val="20"/>
              </w:rPr>
            </w:pPr>
            <w:r>
              <w:rPr>
                <w:color w:val="000000"/>
                <w:sz w:val="20"/>
              </w:rPr>
              <w:t>29,00</w:t>
            </w:r>
          </w:p>
        </w:tc>
      </w:tr>
      <w:tr w:rsidR="00823317" w14:paraId="5C69853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840A6E"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90D9D5" w14:textId="77777777" w:rsidR="00A77B3E" w:rsidRDefault="00B16CCF">
            <w:pPr>
              <w:spacing w:before="5pt"/>
              <w:rPr>
                <w:color w:val="000000"/>
                <w:sz w:val="20"/>
              </w:rPr>
            </w:pPr>
            <w:r>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0178E0"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870191"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53E97F" w14:textId="77777777" w:rsidR="00A77B3E" w:rsidRDefault="00B16CCF">
            <w:pPr>
              <w:spacing w:before="5pt"/>
              <w:rPr>
                <w:color w:val="000000"/>
                <w:sz w:val="20"/>
              </w:rPr>
            </w:pPr>
            <w:r>
              <w:rPr>
                <w:color w:val="000000"/>
                <w:sz w:val="20"/>
              </w:rPr>
              <w:t>RCO01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319476" w14:textId="77777777" w:rsidR="00A77B3E" w:rsidRDefault="00B16CCF">
            <w:pPr>
              <w:spacing w:before="5pt"/>
              <w:rPr>
                <w:color w:val="000000"/>
                <w:sz w:val="20"/>
              </w:rPr>
            </w:pPr>
            <w:r>
              <w:rPr>
                <w:color w:val="000000"/>
                <w:sz w:val="20"/>
              </w:rPr>
              <w:t>Podjetja, ki so prejela podporo (od tega: mikro, mala, srednja, velika)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195F37" w14:textId="77777777" w:rsidR="00A77B3E" w:rsidRDefault="00B16CCF">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668D7B"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4E92FB" w14:textId="77777777" w:rsidR="00A77B3E" w:rsidRDefault="00B16CCF">
            <w:pPr>
              <w:spacing w:before="5pt"/>
              <w:jc w:val="end"/>
              <w:rPr>
                <w:color w:val="000000"/>
                <w:sz w:val="20"/>
              </w:rPr>
            </w:pPr>
            <w:r>
              <w:rPr>
                <w:color w:val="000000"/>
                <w:sz w:val="20"/>
              </w:rPr>
              <w:t>117,00</w:t>
            </w:r>
          </w:p>
        </w:tc>
      </w:tr>
      <w:tr w:rsidR="00823317" w14:paraId="6579B0E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288D9C"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CD7276" w14:textId="77777777" w:rsidR="00A77B3E" w:rsidRDefault="00B16CCF">
            <w:pPr>
              <w:spacing w:before="5pt"/>
              <w:rPr>
                <w:color w:val="000000"/>
                <w:sz w:val="20"/>
              </w:rPr>
            </w:pPr>
            <w:r>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ACFC12"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4F2B43"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3B7251" w14:textId="77777777" w:rsidR="00A77B3E" w:rsidRDefault="00B16CCF">
            <w:pPr>
              <w:spacing w:before="5pt"/>
              <w:rPr>
                <w:color w:val="000000"/>
                <w:sz w:val="20"/>
              </w:rPr>
            </w:pPr>
            <w:r>
              <w:rPr>
                <w:color w:val="000000"/>
                <w:sz w:val="20"/>
              </w:rPr>
              <w:t>RCO02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9D8A7C" w14:textId="77777777" w:rsidR="00A77B3E" w:rsidRDefault="00B16CCF">
            <w:pPr>
              <w:spacing w:before="5pt"/>
              <w:rPr>
                <w:color w:val="000000"/>
                <w:sz w:val="20"/>
              </w:rPr>
            </w:pPr>
            <w:r>
              <w:rPr>
                <w:color w:val="000000"/>
                <w:sz w:val="20"/>
              </w:rPr>
              <w:t>Podjetja, ki so prejela podporo v obliki nepovratnih sredstev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D670AA" w14:textId="77777777" w:rsidR="00A77B3E" w:rsidRDefault="00B16CCF">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AD1DBE"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5B091E" w14:textId="77777777" w:rsidR="00A77B3E" w:rsidRDefault="00B16CCF">
            <w:pPr>
              <w:spacing w:before="5pt"/>
              <w:jc w:val="end"/>
              <w:rPr>
                <w:color w:val="000000"/>
                <w:sz w:val="20"/>
              </w:rPr>
            </w:pPr>
            <w:r>
              <w:rPr>
                <w:color w:val="000000"/>
                <w:sz w:val="20"/>
              </w:rPr>
              <w:t>23,00</w:t>
            </w:r>
          </w:p>
        </w:tc>
      </w:tr>
      <w:tr w:rsidR="00823317" w14:paraId="2B36A8E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850C3A"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32D346" w14:textId="77777777" w:rsidR="00A77B3E" w:rsidRDefault="00B16CCF">
            <w:pPr>
              <w:spacing w:before="5pt"/>
              <w:rPr>
                <w:color w:val="000000"/>
                <w:sz w:val="20"/>
              </w:rPr>
            </w:pPr>
            <w:r>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E02C32"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0C7F76"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82B11A" w14:textId="77777777" w:rsidR="00A77B3E" w:rsidRDefault="00B16CCF">
            <w:pPr>
              <w:spacing w:before="5pt"/>
              <w:rPr>
                <w:color w:val="000000"/>
                <w:sz w:val="20"/>
              </w:rPr>
            </w:pPr>
            <w:r>
              <w:rPr>
                <w:color w:val="000000"/>
                <w:sz w:val="20"/>
              </w:rPr>
              <w:t>RCO03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D1071E" w14:textId="77777777" w:rsidR="00A77B3E" w:rsidRDefault="00B16CCF">
            <w:pPr>
              <w:spacing w:before="5pt"/>
              <w:rPr>
                <w:color w:val="000000"/>
                <w:sz w:val="20"/>
              </w:rPr>
            </w:pPr>
            <w:r>
              <w:rPr>
                <w:color w:val="000000"/>
                <w:sz w:val="20"/>
              </w:rPr>
              <w:t>Podjetja, ki so prejela podporo v obliki finančnih instrumentov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0AC71D" w14:textId="77777777" w:rsidR="00A77B3E" w:rsidRDefault="00B16CCF">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858CBB"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74E308" w14:textId="77777777" w:rsidR="00A77B3E" w:rsidRDefault="00B16CCF">
            <w:pPr>
              <w:spacing w:before="5pt"/>
              <w:jc w:val="end"/>
              <w:rPr>
                <w:color w:val="000000"/>
                <w:sz w:val="20"/>
              </w:rPr>
            </w:pPr>
            <w:r>
              <w:rPr>
                <w:color w:val="000000"/>
                <w:sz w:val="20"/>
              </w:rPr>
              <w:t>23,00</w:t>
            </w:r>
          </w:p>
        </w:tc>
      </w:tr>
      <w:tr w:rsidR="00823317" w14:paraId="4B8E11E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FAC7FC"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D70A7B" w14:textId="77777777" w:rsidR="00A77B3E" w:rsidRDefault="00B16CCF">
            <w:pPr>
              <w:spacing w:before="5pt"/>
              <w:rPr>
                <w:color w:val="000000"/>
                <w:sz w:val="20"/>
              </w:rPr>
            </w:pPr>
            <w:r>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B9D4F2"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2B0D98"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B57D94" w14:textId="77777777" w:rsidR="00A77B3E" w:rsidRDefault="00B16CCF">
            <w:pPr>
              <w:spacing w:before="5pt"/>
              <w:rPr>
                <w:color w:val="000000"/>
                <w:sz w:val="20"/>
              </w:rPr>
            </w:pPr>
            <w:r>
              <w:rPr>
                <w:color w:val="000000"/>
                <w:sz w:val="20"/>
              </w:rPr>
              <w:t>RCO04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9F45E6" w14:textId="77777777" w:rsidR="00A77B3E" w:rsidRDefault="00B16CCF">
            <w:pPr>
              <w:spacing w:before="5pt"/>
              <w:rPr>
                <w:color w:val="000000"/>
                <w:sz w:val="20"/>
              </w:rPr>
            </w:pPr>
            <w:r>
              <w:rPr>
                <w:color w:val="000000"/>
                <w:sz w:val="20"/>
              </w:rPr>
              <w:t>Podjetja z nefinančno podporo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4945B3" w14:textId="77777777" w:rsidR="00A77B3E" w:rsidRDefault="00B16CCF">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039FE6"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19F30D" w14:textId="77777777" w:rsidR="00A77B3E" w:rsidRDefault="00B16CCF">
            <w:pPr>
              <w:spacing w:before="5pt"/>
              <w:jc w:val="end"/>
              <w:rPr>
                <w:color w:val="000000"/>
                <w:sz w:val="20"/>
              </w:rPr>
            </w:pPr>
            <w:r>
              <w:rPr>
                <w:color w:val="000000"/>
                <w:sz w:val="20"/>
              </w:rPr>
              <w:t>71,00</w:t>
            </w:r>
          </w:p>
        </w:tc>
      </w:tr>
    </w:tbl>
    <w:p w14:paraId="24520FD5" w14:textId="77777777" w:rsidR="00A77B3E" w:rsidRDefault="00A77B3E">
      <w:pPr>
        <w:spacing w:before="5pt"/>
        <w:rPr>
          <w:color w:val="000000"/>
          <w:sz w:val="20"/>
        </w:rPr>
      </w:pPr>
    </w:p>
    <w:p w14:paraId="7B361F57" w14:textId="77777777" w:rsidR="00A77B3E" w:rsidRDefault="00B16CCF">
      <w:pPr>
        <w:spacing w:before="5pt"/>
        <w:rPr>
          <w:color w:val="000000"/>
          <w:sz w:val="0"/>
        </w:rPr>
      </w:pPr>
      <w:r>
        <w:rPr>
          <w:color w:val="000000"/>
        </w:rPr>
        <w:t>Sklic: člen 22(3)(d)(ii) uredbe o skupnih določbah</w:t>
      </w:r>
    </w:p>
    <w:p w14:paraId="665D38F3" w14:textId="77777777" w:rsidR="00A77B3E" w:rsidRDefault="00B16CCF">
      <w:pPr>
        <w:pStyle w:val="Naslov5"/>
        <w:spacing w:before="5pt" w:after="0pt"/>
        <w:rPr>
          <w:b w:val="0"/>
          <w:i w:val="0"/>
          <w:color w:val="000000"/>
          <w:sz w:val="24"/>
        </w:rPr>
      </w:pPr>
      <w:bookmarkStart w:id="171" w:name="_Toc256000932"/>
      <w:r>
        <w:rPr>
          <w:b w:val="0"/>
          <w:i w:val="0"/>
          <w:color w:val="000000"/>
          <w:sz w:val="24"/>
        </w:rPr>
        <w:t>Tabela 3: Kazalniki rezultatov</w:t>
      </w:r>
      <w:bookmarkEnd w:id="171"/>
    </w:p>
    <w:p w14:paraId="215EB54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429"/>
        <w:gridCol w:w="1319"/>
        <w:gridCol w:w="880"/>
        <w:gridCol w:w="1367"/>
        <w:gridCol w:w="1586"/>
        <w:gridCol w:w="1336"/>
        <w:gridCol w:w="1084"/>
        <w:gridCol w:w="1398"/>
        <w:gridCol w:w="1476"/>
        <w:gridCol w:w="926"/>
        <w:gridCol w:w="1225"/>
        <w:gridCol w:w="1146"/>
      </w:tblGrid>
      <w:tr w:rsidR="00823317" w14:paraId="0577179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5DD11E"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2C41B1"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E0FC51"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3C812D"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345557"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BADB12"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A73341B"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0A2BF3C" w14:textId="77777777" w:rsidR="00A77B3E" w:rsidRDefault="00B16CCF">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8F28F5" w14:textId="77777777" w:rsidR="00A77B3E" w:rsidRDefault="00B16CCF">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22EF68" w14:textId="77777777" w:rsidR="00A77B3E" w:rsidRDefault="00B16CCF">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474FA8" w14:textId="77777777" w:rsidR="00A77B3E" w:rsidRDefault="00B16CCF">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C7C902" w14:textId="77777777" w:rsidR="00A77B3E" w:rsidRDefault="00B16CCF">
            <w:pPr>
              <w:spacing w:before="5pt"/>
              <w:jc w:val="center"/>
              <w:rPr>
                <w:color w:val="000000"/>
                <w:sz w:val="20"/>
              </w:rPr>
            </w:pPr>
            <w:r>
              <w:rPr>
                <w:color w:val="000000"/>
                <w:sz w:val="20"/>
              </w:rPr>
              <w:t>Opombe</w:t>
            </w:r>
          </w:p>
        </w:tc>
      </w:tr>
      <w:tr w:rsidR="00823317" w14:paraId="448ED49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CFADE1"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4E5DE9" w14:textId="77777777" w:rsidR="00A77B3E" w:rsidRDefault="00B16CCF">
            <w:pPr>
              <w:spacing w:before="5pt"/>
              <w:rPr>
                <w:color w:val="000000"/>
                <w:sz w:val="20"/>
              </w:rPr>
            </w:pPr>
            <w:r>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75B74B"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0597A1"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96DE18" w14:textId="77777777" w:rsidR="00A77B3E" w:rsidRDefault="00B16CCF">
            <w:pPr>
              <w:spacing w:before="5pt"/>
              <w:rPr>
                <w:color w:val="000000"/>
                <w:sz w:val="20"/>
              </w:rPr>
            </w:pPr>
            <w:r>
              <w:rPr>
                <w:color w:val="000000"/>
                <w:sz w:val="20"/>
              </w:rPr>
              <w:t>RCR19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D31A0E" w14:textId="77777777" w:rsidR="00A77B3E" w:rsidRDefault="00B16CCF">
            <w:pPr>
              <w:spacing w:before="5pt"/>
              <w:rPr>
                <w:color w:val="000000"/>
                <w:sz w:val="20"/>
              </w:rPr>
            </w:pPr>
            <w:r>
              <w:rPr>
                <w:color w:val="000000"/>
                <w:sz w:val="20"/>
              </w:rPr>
              <w:t>Podjetja z večjim prometom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9B7509" w14:textId="77777777" w:rsidR="00A77B3E" w:rsidRDefault="00B16CCF">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E5ADF7"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4FB273" w14:textId="77777777" w:rsidR="00A77B3E" w:rsidRDefault="00B16CCF">
            <w:pPr>
              <w:spacing w:before="5pt"/>
              <w:jc w:val="center"/>
              <w:rPr>
                <w:color w:val="000000"/>
                <w:sz w:val="20"/>
              </w:rPr>
            </w:pPr>
            <w:r>
              <w:rPr>
                <w:color w:val="000000"/>
                <w:sz w:val="2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7DB7D3" w14:textId="77777777" w:rsidR="00A77B3E" w:rsidRDefault="00B16CCF">
            <w:pPr>
              <w:spacing w:before="5pt"/>
              <w:jc w:val="end"/>
              <w:rPr>
                <w:color w:val="000000"/>
                <w:sz w:val="20"/>
              </w:rPr>
            </w:pPr>
            <w:r>
              <w:rPr>
                <w:color w:val="000000"/>
                <w:sz w:val="20"/>
              </w:rPr>
              <w:t>18,00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01EF85" w14:textId="77777777" w:rsidR="00A77B3E" w:rsidRDefault="00B16CCF">
            <w:pPr>
              <w:spacing w:before="5pt"/>
              <w:rPr>
                <w:color w:val="000000"/>
                <w:sz w:val="20"/>
              </w:rPr>
            </w:pPr>
            <w:r>
              <w:rPr>
                <w:color w:val="000000"/>
                <w:sz w:val="20"/>
              </w:rPr>
              <w:t>MGRT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4EA14C" w14:textId="77777777" w:rsidR="00A77B3E" w:rsidRDefault="00A77B3E">
            <w:pPr>
              <w:spacing w:before="5pt"/>
              <w:rPr>
                <w:color w:val="000000"/>
                <w:sz w:val="20"/>
              </w:rPr>
            </w:pPr>
          </w:p>
        </w:tc>
      </w:tr>
      <w:tr w:rsidR="00823317" w14:paraId="621359D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7ED251"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573402" w14:textId="77777777" w:rsidR="00A77B3E" w:rsidRDefault="00B16CCF">
            <w:pPr>
              <w:spacing w:before="5pt"/>
              <w:rPr>
                <w:color w:val="000000"/>
                <w:sz w:val="20"/>
              </w:rPr>
            </w:pPr>
            <w:r>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730E9D"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04675D"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FE3BD1" w14:textId="77777777" w:rsidR="00A77B3E" w:rsidRDefault="00B16CCF">
            <w:pPr>
              <w:spacing w:before="5pt"/>
              <w:rPr>
                <w:color w:val="000000"/>
                <w:sz w:val="20"/>
              </w:rPr>
            </w:pPr>
            <w:r>
              <w:rPr>
                <w:color w:val="000000"/>
                <w:sz w:val="20"/>
              </w:rPr>
              <w:t>RCR19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49A362" w14:textId="77777777" w:rsidR="00A77B3E" w:rsidRDefault="00B16CCF">
            <w:pPr>
              <w:spacing w:before="5pt"/>
              <w:rPr>
                <w:color w:val="000000"/>
                <w:sz w:val="20"/>
              </w:rPr>
            </w:pPr>
            <w:r>
              <w:rPr>
                <w:color w:val="000000"/>
                <w:sz w:val="20"/>
              </w:rPr>
              <w:t>Podjetja z večjim prometom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0DB400" w14:textId="77777777" w:rsidR="00A77B3E" w:rsidRDefault="00B16CCF">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BF5630"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5A68BF" w14:textId="77777777" w:rsidR="00A77B3E" w:rsidRDefault="00B16CCF">
            <w:pPr>
              <w:spacing w:before="5pt"/>
              <w:jc w:val="center"/>
              <w:rPr>
                <w:color w:val="000000"/>
                <w:sz w:val="20"/>
              </w:rPr>
            </w:pPr>
            <w:r>
              <w:rPr>
                <w:color w:val="000000"/>
                <w:sz w:val="2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714439" w14:textId="77777777" w:rsidR="00A77B3E" w:rsidRDefault="00B16CCF">
            <w:pPr>
              <w:spacing w:before="5pt"/>
              <w:jc w:val="end"/>
              <w:rPr>
                <w:color w:val="000000"/>
                <w:sz w:val="20"/>
              </w:rPr>
            </w:pPr>
            <w:r>
              <w:rPr>
                <w:color w:val="000000"/>
                <w:sz w:val="20"/>
              </w:rPr>
              <w:t>31,00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531A92" w14:textId="77777777" w:rsidR="00A77B3E" w:rsidRDefault="00B16CCF">
            <w:pPr>
              <w:spacing w:before="5pt"/>
              <w:rPr>
                <w:color w:val="000000"/>
                <w:sz w:val="20"/>
              </w:rPr>
            </w:pPr>
            <w:r>
              <w:rPr>
                <w:color w:val="000000"/>
                <w:sz w:val="20"/>
              </w:rPr>
              <w:t>MGRT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2F210B" w14:textId="77777777" w:rsidR="00A77B3E" w:rsidRDefault="00A77B3E">
            <w:pPr>
              <w:spacing w:before="5pt"/>
              <w:rPr>
                <w:color w:val="000000"/>
                <w:sz w:val="20"/>
              </w:rPr>
            </w:pPr>
          </w:p>
        </w:tc>
      </w:tr>
    </w:tbl>
    <w:p w14:paraId="1B6A8BD0" w14:textId="77777777" w:rsidR="00A77B3E" w:rsidRDefault="00A77B3E">
      <w:pPr>
        <w:spacing w:before="5pt"/>
        <w:rPr>
          <w:color w:val="000000"/>
          <w:sz w:val="20"/>
        </w:rPr>
      </w:pPr>
    </w:p>
    <w:p w14:paraId="618263F5" w14:textId="77777777" w:rsidR="00A77B3E" w:rsidRDefault="00B16CCF">
      <w:pPr>
        <w:pStyle w:val="Naslov4"/>
        <w:spacing w:before="5pt" w:after="0pt"/>
        <w:rPr>
          <w:b w:val="0"/>
          <w:color w:val="000000"/>
          <w:sz w:val="24"/>
        </w:rPr>
      </w:pPr>
      <w:bookmarkStart w:id="172" w:name="_Toc256000933"/>
      <w:r>
        <w:rPr>
          <w:b w:val="0"/>
          <w:color w:val="000000"/>
          <w:sz w:val="24"/>
        </w:rPr>
        <w:t>2.1.1.1.3. Okvirna razčlenitev načrtovanih sredstev (EU) glede na vrsto ukrepa</w:t>
      </w:r>
      <w:bookmarkEnd w:id="172"/>
    </w:p>
    <w:p w14:paraId="62418D16" w14:textId="77777777" w:rsidR="00A77B3E" w:rsidRDefault="00A77B3E">
      <w:pPr>
        <w:spacing w:before="5pt"/>
        <w:rPr>
          <w:color w:val="000000"/>
          <w:sz w:val="0"/>
        </w:rPr>
      </w:pPr>
    </w:p>
    <w:p w14:paraId="07CE7217" w14:textId="77777777" w:rsidR="00A77B3E" w:rsidRDefault="00B16CCF">
      <w:pPr>
        <w:spacing w:before="5pt"/>
        <w:rPr>
          <w:color w:val="000000"/>
          <w:sz w:val="0"/>
        </w:rPr>
      </w:pPr>
      <w:r>
        <w:rPr>
          <w:color w:val="000000"/>
        </w:rPr>
        <w:t>Sklic: člen 22(3)(d)(viii) uredbe o skupnih določbah</w:t>
      </w:r>
    </w:p>
    <w:p w14:paraId="15FBA1D1" w14:textId="77777777" w:rsidR="00A77B3E" w:rsidRDefault="00B16CCF">
      <w:pPr>
        <w:pStyle w:val="Naslov5"/>
        <w:spacing w:before="5pt" w:after="0pt"/>
        <w:rPr>
          <w:b w:val="0"/>
          <w:i w:val="0"/>
          <w:color w:val="000000"/>
          <w:sz w:val="24"/>
        </w:rPr>
      </w:pPr>
      <w:bookmarkStart w:id="173" w:name="_Toc256000934"/>
      <w:r>
        <w:rPr>
          <w:b w:val="0"/>
          <w:i w:val="0"/>
          <w:color w:val="000000"/>
          <w:sz w:val="24"/>
        </w:rPr>
        <w:t>Tabela 4: Razsežnost 1 – področje ukrepanja</w:t>
      </w:r>
      <w:bookmarkEnd w:id="173"/>
    </w:p>
    <w:p w14:paraId="717B910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53"/>
        <w:gridCol w:w="2357"/>
        <w:gridCol w:w="1711"/>
        <w:gridCol w:w="2443"/>
        <w:gridCol w:w="2893"/>
        <w:gridCol w:w="3215"/>
      </w:tblGrid>
      <w:tr w:rsidR="00823317" w14:paraId="6E26A3C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7701DF"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8FA37F"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803705"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CBACA3"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AA9952"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C8A9CB" w14:textId="77777777" w:rsidR="00A77B3E" w:rsidRDefault="00B16CCF">
            <w:pPr>
              <w:spacing w:before="5pt"/>
              <w:jc w:val="center"/>
              <w:rPr>
                <w:color w:val="000000"/>
                <w:sz w:val="20"/>
              </w:rPr>
            </w:pPr>
            <w:r>
              <w:rPr>
                <w:color w:val="000000"/>
                <w:sz w:val="20"/>
              </w:rPr>
              <w:t>Znesek (v EUR)</w:t>
            </w:r>
          </w:p>
        </w:tc>
      </w:tr>
      <w:tr w:rsidR="00823317" w14:paraId="3C94409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6579EE"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0396AC" w14:textId="77777777" w:rsidR="00A77B3E" w:rsidRDefault="00B16CCF">
            <w:pPr>
              <w:spacing w:before="5pt"/>
              <w:rPr>
                <w:color w:val="000000"/>
                <w:sz w:val="20"/>
              </w:rPr>
            </w:pPr>
            <w:r>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B81DF3"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61C878"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549198" w14:textId="77777777" w:rsidR="00A77B3E" w:rsidRDefault="00B16CCF">
            <w:pPr>
              <w:spacing w:before="5pt"/>
              <w:rPr>
                <w:color w:val="000000"/>
                <w:sz w:val="20"/>
              </w:rPr>
            </w:pPr>
            <w:r>
              <w:rPr>
                <w:color w:val="000000"/>
                <w:sz w:val="20"/>
              </w:rPr>
              <w:t>075. Podpora okolju prijaznim proizvodnim procesom in učinkoviti rabi virov v MSP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621A35" w14:textId="77777777" w:rsidR="00A77B3E" w:rsidRDefault="00B16CCF">
            <w:pPr>
              <w:spacing w:before="5pt"/>
              <w:jc w:val="end"/>
              <w:rPr>
                <w:color w:val="000000"/>
                <w:sz w:val="20"/>
              </w:rPr>
            </w:pPr>
            <w:r>
              <w:rPr>
                <w:color w:val="000000"/>
                <w:sz w:val="20"/>
              </w:rPr>
              <w:t>10.779.280,00</w:t>
            </w:r>
          </w:p>
        </w:tc>
      </w:tr>
      <w:tr w:rsidR="00823317" w14:paraId="3CD457C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7FAD51"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28AD95" w14:textId="77777777" w:rsidR="00A77B3E" w:rsidRDefault="00B16CCF">
            <w:pPr>
              <w:spacing w:before="5pt"/>
              <w:rPr>
                <w:color w:val="000000"/>
                <w:sz w:val="20"/>
              </w:rPr>
            </w:pPr>
            <w:r>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97E699"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7661A2"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8C6CD4" w14:textId="77777777" w:rsidR="00A77B3E" w:rsidRDefault="00B16CCF">
            <w:pPr>
              <w:spacing w:before="5pt"/>
              <w:rPr>
                <w:color w:val="000000"/>
                <w:sz w:val="20"/>
              </w:rPr>
            </w:pPr>
            <w:r>
              <w:rPr>
                <w:color w:val="000000"/>
                <w:sz w:val="20"/>
              </w:rPr>
              <w:t>076. Podpora okolju prijaznim proizvodnim procesom in učinkoviti rabi virov v velikih podjetjih</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37C6D8" w14:textId="77777777" w:rsidR="00A77B3E" w:rsidRDefault="00B16CCF">
            <w:pPr>
              <w:spacing w:before="5pt"/>
              <w:jc w:val="end"/>
              <w:rPr>
                <w:color w:val="000000"/>
                <w:sz w:val="20"/>
              </w:rPr>
            </w:pPr>
            <w:r>
              <w:rPr>
                <w:color w:val="000000"/>
                <w:sz w:val="20"/>
              </w:rPr>
              <w:t>2.150.000,00</w:t>
            </w:r>
          </w:p>
        </w:tc>
      </w:tr>
      <w:tr w:rsidR="00823317" w14:paraId="1D28444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37A117"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2BD39D" w14:textId="77777777" w:rsidR="00A77B3E" w:rsidRDefault="00B16CCF">
            <w:pPr>
              <w:spacing w:before="5pt"/>
              <w:rPr>
                <w:color w:val="000000"/>
                <w:sz w:val="20"/>
              </w:rPr>
            </w:pPr>
            <w:r>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61E2DB"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48EDF0"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DCC5C3" w14:textId="77777777" w:rsidR="00A77B3E" w:rsidRDefault="00B16CCF">
            <w:pPr>
              <w:spacing w:before="5pt"/>
              <w:rPr>
                <w:color w:val="000000"/>
                <w:sz w:val="20"/>
              </w:rPr>
            </w:pPr>
            <w:r>
              <w:rPr>
                <w:color w:val="000000"/>
                <w:sz w:val="20"/>
              </w:rPr>
              <w:t>075. Podpora okolju prijaznim proizvodnim procesom in učinkoviti rabi virov v MSP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9B9ECE" w14:textId="77777777" w:rsidR="00A77B3E" w:rsidRDefault="00B16CCF">
            <w:pPr>
              <w:spacing w:before="5pt"/>
              <w:jc w:val="end"/>
              <w:rPr>
                <w:color w:val="000000"/>
                <w:sz w:val="20"/>
              </w:rPr>
            </w:pPr>
            <w:r>
              <w:rPr>
                <w:color w:val="000000"/>
                <w:sz w:val="20"/>
              </w:rPr>
              <w:t>20.321.405,00</w:t>
            </w:r>
          </w:p>
        </w:tc>
      </w:tr>
      <w:tr w:rsidR="00823317" w14:paraId="5706CC0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D0A3AD"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23E0B0" w14:textId="77777777" w:rsidR="00A77B3E" w:rsidRDefault="00B16CCF">
            <w:pPr>
              <w:spacing w:before="5pt"/>
              <w:rPr>
                <w:color w:val="000000"/>
                <w:sz w:val="20"/>
              </w:rPr>
            </w:pPr>
            <w:r>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6FACA9"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3F985F"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C57192" w14:textId="77777777" w:rsidR="00A77B3E" w:rsidRDefault="00B16CCF">
            <w:pPr>
              <w:spacing w:before="5pt"/>
              <w:rPr>
                <w:color w:val="000000"/>
                <w:sz w:val="20"/>
              </w:rPr>
            </w:pPr>
            <w:r>
              <w:rPr>
                <w:color w:val="000000"/>
                <w:sz w:val="20"/>
              </w:rPr>
              <w:t>076. Podpora okolju prijaznim proizvodnim procesom in učinkoviti rabi virov v velikih podjetjih</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A2A7AA" w14:textId="77777777" w:rsidR="00A77B3E" w:rsidRDefault="00B16CCF">
            <w:pPr>
              <w:spacing w:before="5pt"/>
              <w:jc w:val="end"/>
              <w:rPr>
                <w:color w:val="000000"/>
                <w:sz w:val="20"/>
              </w:rPr>
            </w:pPr>
            <w:r>
              <w:rPr>
                <w:color w:val="000000"/>
                <w:sz w:val="20"/>
              </w:rPr>
              <w:t>4.680.000,00</w:t>
            </w:r>
          </w:p>
        </w:tc>
      </w:tr>
      <w:tr w:rsidR="00823317" w14:paraId="47B6100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CDBC8D"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C733CF" w14:textId="77777777" w:rsidR="00A77B3E" w:rsidRDefault="00B16CCF">
            <w:pPr>
              <w:spacing w:before="5pt"/>
              <w:rPr>
                <w:color w:val="000000"/>
                <w:sz w:val="20"/>
              </w:rPr>
            </w:pPr>
            <w:r>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1B43B8"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01DA89"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29B1CF"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970561" w14:textId="77777777" w:rsidR="00A77B3E" w:rsidRDefault="00B16CCF">
            <w:pPr>
              <w:spacing w:before="5pt"/>
              <w:jc w:val="end"/>
              <w:rPr>
                <w:color w:val="000000"/>
                <w:sz w:val="20"/>
              </w:rPr>
            </w:pPr>
            <w:r>
              <w:rPr>
                <w:color w:val="000000"/>
                <w:sz w:val="20"/>
              </w:rPr>
              <w:t>37.930.685,00</w:t>
            </w:r>
          </w:p>
        </w:tc>
      </w:tr>
    </w:tbl>
    <w:p w14:paraId="2E921325" w14:textId="77777777" w:rsidR="00A77B3E" w:rsidRDefault="00A77B3E">
      <w:pPr>
        <w:spacing w:before="5pt"/>
        <w:rPr>
          <w:color w:val="000000"/>
          <w:sz w:val="20"/>
        </w:rPr>
      </w:pPr>
    </w:p>
    <w:p w14:paraId="34F53F2B" w14:textId="77777777" w:rsidR="00A77B3E" w:rsidRDefault="00B16CCF">
      <w:pPr>
        <w:pStyle w:val="Naslov5"/>
        <w:spacing w:before="5pt" w:after="0pt"/>
        <w:rPr>
          <w:b w:val="0"/>
          <w:i w:val="0"/>
          <w:color w:val="000000"/>
          <w:sz w:val="24"/>
        </w:rPr>
      </w:pPr>
      <w:bookmarkStart w:id="174" w:name="_Toc256000935"/>
      <w:r>
        <w:rPr>
          <w:b w:val="0"/>
          <w:i w:val="0"/>
          <w:color w:val="000000"/>
          <w:sz w:val="24"/>
        </w:rPr>
        <w:t>Tabela 5: Razsežnost 2 – oblika financiranja</w:t>
      </w:r>
      <w:bookmarkEnd w:id="174"/>
    </w:p>
    <w:p w14:paraId="3F852E7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16"/>
        <w:gridCol w:w="2322"/>
        <w:gridCol w:w="1686"/>
        <w:gridCol w:w="2407"/>
        <w:gridCol w:w="3073"/>
        <w:gridCol w:w="3168"/>
      </w:tblGrid>
      <w:tr w:rsidR="00823317" w14:paraId="272FF19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543689" w14:textId="77777777" w:rsidR="00A77B3E" w:rsidRDefault="00B16CCF">
            <w:pPr>
              <w:spacing w:before="5pt"/>
              <w:jc w:val="center"/>
              <w:rPr>
                <w:color w:val="000000"/>
                <w:sz w:val="20"/>
              </w:rPr>
            </w:pPr>
            <w:r>
              <w:rPr>
                <w:color w:val="000000"/>
                <w:sz w:val="20"/>
              </w:rPr>
              <w:lastRenderedPageBreak/>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BD2587"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5553FA"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8396E8"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4115AC"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E96E0E" w14:textId="77777777" w:rsidR="00A77B3E" w:rsidRDefault="00B16CCF">
            <w:pPr>
              <w:spacing w:before="5pt"/>
              <w:jc w:val="center"/>
              <w:rPr>
                <w:color w:val="000000"/>
                <w:sz w:val="20"/>
              </w:rPr>
            </w:pPr>
            <w:r>
              <w:rPr>
                <w:color w:val="000000"/>
                <w:sz w:val="20"/>
              </w:rPr>
              <w:t>Znesek (v EUR)</w:t>
            </w:r>
          </w:p>
        </w:tc>
      </w:tr>
      <w:tr w:rsidR="00823317" w14:paraId="4EFA9E4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550EC4"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246345" w14:textId="77777777" w:rsidR="00A77B3E" w:rsidRDefault="00B16CCF">
            <w:pPr>
              <w:spacing w:before="5pt"/>
              <w:rPr>
                <w:color w:val="000000"/>
                <w:sz w:val="20"/>
              </w:rPr>
            </w:pPr>
            <w:r>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0147D4"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2D49DD"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775F75" w14:textId="77777777" w:rsidR="00A77B3E" w:rsidRDefault="00B16CCF">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95B983" w14:textId="77777777" w:rsidR="00A77B3E" w:rsidRDefault="00B16CCF">
            <w:pPr>
              <w:spacing w:before="5pt"/>
              <w:jc w:val="end"/>
              <w:rPr>
                <w:color w:val="000000"/>
                <w:sz w:val="20"/>
              </w:rPr>
            </w:pPr>
            <w:r>
              <w:rPr>
                <w:color w:val="000000"/>
                <w:sz w:val="20"/>
              </w:rPr>
              <w:t>5.809.280,00</w:t>
            </w:r>
          </w:p>
        </w:tc>
      </w:tr>
      <w:tr w:rsidR="00823317" w14:paraId="1B0E48B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979CED"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6C2FB3" w14:textId="77777777" w:rsidR="00A77B3E" w:rsidRDefault="00B16CCF">
            <w:pPr>
              <w:spacing w:before="5pt"/>
              <w:rPr>
                <w:color w:val="000000"/>
                <w:sz w:val="20"/>
              </w:rPr>
            </w:pPr>
            <w:r>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6ECCC1"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B1E327"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641D3E" w14:textId="77777777" w:rsidR="00A77B3E" w:rsidRDefault="00B16CCF">
            <w:pPr>
              <w:spacing w:before="5pt"/>
              <w:rPr>
                <w:color w:val="000000"/>
                <w:sz w:val="20"/>
              </w:rPr>
            </w:pPr>
            <w:r>
              <w:rPr>
                <w:color w:val="000000"/>
                <w:sz w:val="20"/>
              </w:rPr>
              <w:t xml:space="preserve">03. Podpora prek finančnih instrumentov: posojila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C2B7B3" w14:textId="77777777" w:rsidR="00A77B3E" w:rsidRDefault="00B16CCF">
            <w:pPr>
              <w:spacing w:before="5pt"/>
              <w:jc w:val="end"/>
              <w:rPr>
                <w:color w:val="000000"/>
                <w:sz w:val="20"/>
              </w:rPr>
            </w:pPr>
            <w:r>
              <w:rPr>
                <w:color w:val="000000"/>
                <w:sz w:val="20"/>
              </w:rPr>
              <w:t>3.560.000,00</w:t>
            </w:r>
          </w:p>
        </w:tc>
      </w:tr>
      <w:tr w:rsidR="00823317" w14:paraId="555070F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0748C1"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7ECC29" w14:textId="77777777" w:rsidR="00A77B3E" w:rsidRDefault="00B16CCF">
            <w:pPr>
              <w:spacing w:before="5pt"/>
              <w:rPr>
                <w:color w:val="000000"/>
                <w:sz w:val="20"/>
              </w:rPr>
            </w:pPr>
            <w:r>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6B15A3"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29F8C2"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3935EB" w14:textId="77777777" w:rsidR="00A77B3E" w:rsidRDefault="00B16CCF">
            <w:pPr>
              <w:spacing w:before="5pt"/>
              <w:rPr>
                <w:color w:val="000000"/>
                <w:sz w:val="20"/>
              </w:rPr>
            </w:pPr>
            <w:r>
              <w:rPr>
                <w:color w:val="000000"/>
                <w:sz w:val="20"/>
              </w:rPr>
              <w:t>05. Podpora prek finančnih instrumentov: nepovratna sredstva v okviru operacije finančnega instrumenta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D6538F" w14:textId="77777777" w:rsidR="00A77B3E" w:rsidRDefault="00B16CCF">
            <w:pPr>
              <w:spacing w:before="5pt"/>
              <w:jc w:val="end"/>
              <w:rPr>
                <w:color w:val="000000"/>
                <w:sz w:val="20"/>
              </w:rPr>
            </w:pPr>
            <w:r>
              <w:rPr>
                <w:color w:val="000000"/>
                <w:sz w:val="20"/>
              </w:rPr>
              <w:t>3.560.000,00</w:t>
            </w:r>
          </w:p>
        </w:tc>
      </w:tr>
      <w:tr w:rsidR="00823317" w14:paraId="6B8030B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0A694F"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76AA4E" w14:textId="77777777" w:rsidR="00A77B3E" w:rsidRDefault="00B16CCF">
            <w:pPr>
              <w:spacing w:before="5pt"/>
              <w:rPr>
                <w:color w:val="000000"/>
                <w:sz w:val="20"/>
              </w:rPr>
            </w:pPr>
            <w:r>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704B6C"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0A6D51"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10724D" w14:textId="77777777" w:rsidR="00A77B3E" w:rsidRDefault="00B16CCF">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FDBE73" w14:textId="77777777" w:rsidR="00A77B3E" w:rsidRDefault="00B16CCF">
            <w:pPr>
              <w:spacing w:before="5pt"/>
              <w:jc w:val="end"/>
              <w:rPr>
                <w:color w:val="000000"/>
                <w:sz w:val="20"/>
              </w:rPr>
            </w:pPr>
            <w:r>
              <w:rPr>
                <w:color w:val="000000"/>
                <w:sz w:val="20"/>
              </w:rPr>
              <w:t>12.121.405,00</w:t>
            </w:r>
          </w:p>
        </w:tc>
      </w:tr>
      <w:tr w:rsidR="00823317" w14:paraId="06D5501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DAE99A"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408718" w14:textId="77777777" w:rsidR="00A77B3E" w:rsidRDefault="00B16CCF">
            <w:pPr>
              <w:spacing w:before="5pt"/>
              <w:rPr>
                <w:color w:val="000000"/>
                <w:sz w:val="20"/>
              </w:rPr>
            </w:pPr>
            <w:r>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8B8EDE"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F4AAE5"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4D01A3" w14:textId="77777777" w:rsidR="00A77B3E" w:rsidRDefault="00B16CCF">
            <w:pPr>
              <w:spacing w:before="5pt"/>
              <w:rPr>
                <w:color w:val="000000"/>
                <w:sz w:val="20"/>
              </w:rPr>
            </w:pPr>
            <w:r>
              <w:rPr>
                <w:color w:val="000000"/>
                <w:sz w:val="20"/>
              </w:rPr>
              <w:t xml:space="preserve">03. Podpora prek finančnih instrumentov: posojila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449A03" w14:textId="77777777" w:rsidR="00A77B3E" w:rsidRDefault="00B16CCF">
            <w:pPr>
              <w:spacing w:before="5pt"/>
              <w:jc w:val="end"/>
              <w:rPr>
                <w:color w:val="000000"/>
                <w:sz w:val="20"/>
              </w:rPr>
            </w:pPr>
            <w:r>
              <w:rPr>
                <w:color w:val="000000"/>
                <w:sz w:val="20"/>
              </w:rPr>
              <w:t>6.440.000,00</w:t>
            </w:r>
          </w:p>
        </w:tc>
      </w:tr>
      <w:tr w:rsidR="00823317" w14:paraId="71DF785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6E4484"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4764B3" w14:textId="77777777" w:rsidR="00A77B3E" w:rsidRDefault="00B16CCF">
            <w:pPr>
              <w:spacing w:before="5pt"/>
              <w:rPr>
                <w:color w:val="000000"/>
                <w:sz w:val="20"/>
              </w:rPr>
            </w:pPr>
            <w:r>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EF24B0"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5F1881"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3BD8EA" w14:textId="77777777" w:rsidR="00A77B3E" w:rsidRDefault="00B16CCF">
            <w:pPr>
              <w:spacing w:before="5pt"/>
              <w:rPr>
                <w:color w:val="000000"/>
                <w:sz w:val="20"/>
              </w:rPr>
            </w:pPr>
            <w:r>
              <w:rPr>
                <w:color w:val="000000"/>
                <w:sz w:val="20"/>
              </w:rPr>
              <w:t>05. Podpora prek finančnih instrumentov: nepovratna sredstva v okviru operacije finančnega instrumenta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FD70DD" w14:textId="77777777" w:rsidR="00A77B3E" w:rsidRDefault="00B16CCF">
            <w:pPr>
              <w:spacing w:before="5pt"/>
              <w:jc w:val="end"/>
              <w:rPr>
                <w:color w:val="000000"/>
                <w:sz w:val="20"/>
              </w:rPr>
            </w:pPr>
            <w:r>
              <w:rPr>
                <w:color w:val="000000"/>
                <w:sz w:val="20"/>
              </w:rPr>
              <w:t>6.440.000,00</w:t>
            </w:r>
          </w:p>
        </w:tc>
      </w:tr>
      <w:tr w:rsidR="00823317" w14:paraId="5519E32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17B7CF"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F347C2" w14:textId="77777777" w:rsidR="00A77B3E" w:rsidRDefault="00B16CCF">
            <w:pPr>
              <w:spacing w:before="5pt"/>
              <w:rPr>
                <w:color w:val="000000"/>
                <w:sz w:val="20"/>
              </w:rPr>
            </w:pPr>
            <w:r>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14A2DD"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B8B36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C75C5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2D90D4" w14:textId="77777777" w:rsidR="00A77B3E" w:rsidRDefault="00B16CCF">
            <w:pPr>
              <w:spacing w:before="5pt"/>
              <w:jc w:val="end"/>
              <w:rPr>
                <w:color w:val="000000"/>
                <w:sz w:val="20"/>
              </w:rPr>
            </w:pPr>
            <w:r>
              <w:rPr>
                <w:color w:val="000000"/>
                <w:sz w:val="20"/>
              </w:rPr>
              <w:t>37.930.685,00</w:t>
            </w:r>
          </w:p>
        </w:tc>
      </w:tr>
    </w:tbl>
    <w:p w14:paraId="5D2CAD67" w14:textId="77777777" w:rsidR="00A77B3E" w:rsidRDefault="00A77B3E">
      <w:pPr>
        <w:spacing w:before="5pt"/>
        <w:rPr>
          <w:color w:val="000000"/>
          <w:sz w:val="20"/>
        </w:rPr>
      </w:pPr>
    </w:p>
    <w:p w14:paraId="16053EE2" w14:textId="77777777" w:rsidR="00A77B3E" w:rsidRDefault="00B16CCF">
      <w:pPr>
        <w:pStyle w:val="Naslov5"/>
        <w:spacing w:before="5pt" w:after="0pt"/>
        <w:rPr>
          <w:b w:val="0"/>
          <w:i w:val="0"/>
          <w:color w:val="000000"/>
          <w:sz w:val="24"/>
        </w:rPr>
      </w:pPr>
      <w:bookmarkStart w:id="175" w:name="_Toc256000936"/>
      <w:r>
        <w:rPr>
          <w:b w:val="0"/>
          <w:i w:val="0"/>
          <w:color w:val="000000"/>
          <w:sz w:val="24"/>
        </w:rPr>
        <w:t>Tabela 6: Razsežnost 3 – mehanizem za ozemeljsko izvrševanje in ozemeljski pristop</w:t>
      </w:r>
      <w:bookmarkEnd w:id="175"/>
    </w:p>
    <w:p w14:paraId="624A1E3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26"/>
        <w:gridCol w:w="2331"/>
        <w:gridCol w:w="1692"/>
        <w:gridCol w:w="2416"/>
        <w:gridCol w:w="3027"/>
        <w:gridCol w:w="3180"/>
      </w:tblGrid>
      <w:tr w:rsidR="00823317" w14:paraId="5DBDE6B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772EED"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50245A"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8F338A"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B8FA5F"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69BBB2"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526371" w14:textId="77777777" w:rsidR="00A77B3E" w:rsidRDefault="00B16CCF">
            <w:pPr>
              <w:spacing w:before="5pt"/>
              <w:jc w:val="center"/>
              <w:rPr>
                <w:color w:val="000000"/>
                <w:sz w:val="20"/>
              </w:rPr>
            </w:pPr>
            <w:r>
              <w:rPr>
                <w:color w:val="000000"/>
                <w:sz w:val="20"/>
              </w:rPr>
              <w:t>Znesek (v EUR)</w:t>
            </w:r>
          </w:p>
        </w:tc>
      </w:tr>
      <w:tr w:rsidR="00823317" w14:paraId="6B84ED6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485C95"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14AE20" w14:textId="77777777" w:rsidR="00A77B3E" w:rsidRDefault="00B16CCF">
            <w:pPr>
              <w:spacing w:before="5pt"/>
              <w:rPr>
                <w:color w:val="000000"/>
                <w:sz w:val="20"/>
              </w:rPr>
            </w:pPr>
            <w:r>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68CDFA"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B2CD2E"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7643FD" w14:textId="77777777" w:rsidR="00A77B3E" w:rsidRDefault="00B16CCF">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1B186D" w14:textId="77777777" w:rsidR="00A77B3E" w:rsidRDefault="00B16CCF">
            <w:pPr>
              <w:spacing w:before="5pt"/>
              <w:jc w:val="end"/>
              <w:rPr>
                <w:color w:val="000000"/>
                <w:sz w:val="20"/>
              </w:rPr>
            </w:pPr>
            <w:r>
              <w:rPr>
                <w:color w:val="000000"/>
                <w:sz w:val="20"/>
              </w:rPr>
              <w:t>12.929.280,00</w:t>
            </w:r>
          </w:p>
        </w:tc>
      </w:tr>
      <w:tr w:rsidR="00823317" w14:paraId="5CF5494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957B03"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9D0B37" w14:textId="77777777" w:rsidR="00A77B3E" w:rsidRDefault="00B16CCF">
            <w:pPr>
              <w:spacing w:before="5pt"/>
              <w:rPr>
                <w:color w:val="000000"/>
                <w:sz w:val="20"/>
              </w:rPr>
            </w:pPr>
            <w:r>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C410C0"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C3726F"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0A009C" w14:textId="77777777" w:rsidR="00A77B3E" w:rsidRDefault="00B16CCF">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C65D48" w14:textId="77777777" w:rsidR="00A77B3E" w:rsidRDefault="00B16CCF">
            <w:pPr>
              <w:spacing w:before="5pt"/>
              <w:jc w:val="end"/>
              <w:rPr>
                <w:color w:val="000000"/>
                <w:sz w:val="20"/>
              </w:rPr>
            </w:pPr>
            <w:r>
              <w:rPr>
                <w:color w:val="000000"/>
                <w:sz w:val="20"/>
              </w:rPr>
              <w:t>25.001.405,00</w:t>
            </w:r>
          </w:p>
        </w:tc>
      </w:tr>
      <w:tr w:rsidR="00823317" w14:paraId="31027AE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0821FF"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0D163E" w14:textId="77777777" w:rsidR="00A77B3E" w:rsidRDefault="00B16CCF">
            <w:pPr>
              <w:spacing w:before="5pt"/>
              <w:rPr>
                <w:color w:val="000000"/>
                <w:sz w:val="20"/>
              </w:rPr>
            </w:pPr>
            <w:r>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1B23DD"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3B98DE"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6476B6"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2AD38C" w14:textId="77777777" w:rsidR="00A77B3E" w:rsidRDefault="00B16CCF">
            <w:pPr>
              <w:spacing w:before="5pt"/>
              <w:jc w:val="end"/>
              <w:rPr>
                <w:color w:val="000000"/>
                <w:sz w:val="20"/>
              </w:rPr>
            </w:pPr>
            <w:r>
              <w:rPr>
                <w:color w:val="000000"/>
                <w:sz w:val="20"/>
              </w:rPr>
              <w:t>37.930.685,00</w:t>
            </w:r>
          </w:p>
        </w:tc>
      </w:tr>
    </w:tbl>
    <w:p w14:paraId="4730B51F" w14:textId="77777777" w:rsidR="00A77B3E" w:rsidRDefault="00A77B3E">
      <w:pPr>
        <w:spacing w:before="5pt"/>
        <w:rPr>
          <w:color w:val="000000"/>
          <w:sz w:val="20"/>
        </w:rPr>
      </w:pPr>
    </w:p>
    <w:p w14:paraId="32A1469F" w14:textId="77777777" w:rsidR="00A77B3E" w:rsidRDefault="00B16CCF">
      <w:pPr>
        <w:pStyle w:val="Naslov5"/>
        <w:spacing w:before="5pt" w:after="0pt"/>
        <w:rPr>
          <w:b w:val="0"/>
          <w:i w:val="0"/>
          <w:color w:val="000000"/>
          <w:sz w:val="24"/>
        </w:rPr>
      </w:pPr>
      <w:bookmarkStart w:id="176" w:name="_Toc256000937"/>
      <w:r>
        <w:rPr>
          <w:b w:val="0"/>
          <w:i w:val="0"/>
          <w:color w:val="000000"/>
          <w:sz w:val="24"/>
        </w:rPr>
        <w:t>Tabela 7: Razsežnost 6 – sekundarna področja ESS+</w:t>
      </w:r>
      <w:bookmarkEnd w:id="176"/>
    </w:p>
    <w:p w14:paraId="701F0BD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117"/>
        <w:gridCol w:w="2877"/>
        <w:gridCol w:w="1780"/>
        <w:gridCol w:w="2982"/>
        <w:gridCol w:w="2259"/>
        <w:gridCol w:w="2157"/>
      </w:tblGrid>
      <w:tr w:rsidR="00823317" w14:paraId="1419048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170FC6"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C50DBF"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AD4B1B"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2701E1"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8001FB"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D8F417" w14:textId="77777777" w:rsidR="00A77B3E" w:rsidRDefault="00B16CCF">
            <w:pPr>
              <w:spacing w:before="5pt"/>
              <w:jc w:val="center"/>
              <w:rPr>
                <w:color w:val="000000"/>
                <w:sz w:val="20"/>
              </w:rPr>
            </w:pPr>
            <w:r>
              <w:rPr>
                <w:color w:val="000000"/>
                <w:sz w:val="20"/>
              </w:rPr>
              <w:t>Znesek (v EUR)</w:t>
            </w:r>
          </w:p>
        </w:tc>
      </w:tr>
    </w:tbl>
    <w:p w14:paraId="1ECE7CF1" w14:textId="77777777" w:rsidR="00A77B3E" w:rsidRDefault="00A77B3E">
      <w:pPr>
        <w:spacing w:before="5pt"/>
        <w:rPr>
          <w:color w:val="000000"/>
          <w:sz w:val="20"/>
        </w:rPr>
      </w:pPr>
    </w:p>
    <w:p w14:paraId="729BE63D" w14:textId="77777777" w:rsidR="00A77B3E" w:rsidRDefault="00B16CCF">
      <w:pPr>
        <w:pStyle w:val="Naslov5"/>
        <w:spacing w:before="5pt" w:after="0pt"/>
        <w:rPr>
          <w:b w:val="0"/>
          <w:i w:val="0"/>
          <w:color w:val="000000"/>
          <w:sz w:val="24"/>
        </w:rPr>
      </w:pPr>
      <w:bookmarkStart w:id="177" w:name="_Toc256000938"/>
      <w:r>
        <w:rPr>
          <w:b w:val="0"/>
          <w:i w:val="0"/>
          <w:color w:val="000000"/>
          <w:sz w:val="24"/>
        </w:rPr>
        <w:t>Tabela 8: Razsežnost 7 – razsežnost enakosti spolov v okviru ESS+*, ESRR, Kohezijskega sklada in SPP</w:t>
      </w:r>
      <w:bookmarkEnd w:id="177"/>
    </w:p>
    <w:p w14:paraId="61DCB74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13"/>
        <w:gridCol w:w="2411"/>
        <w:gridCol w:w="1750"/>
        <w:gridCol w:w="2498"/>
        <w:gridCol w:w="2612"/>
        <w:gridCol w:w="3288"/>
      </w:tblGrid>
      <w:tr w:rsidR="00823317" w14:paraId="6801275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7122FE" w14:textId="77777777" w:rsidR="00A77B3E" w:rsidRDefault="00B16CCF">
            <w:pPr>
              <w:spacing w:before="5pt"/>
              <w:jc w:val="center"/>
              <w:rPr>
                <w:color w:val="000000"/>
                <w:sz w:val="20"/>
              </w:rPr>
            </w:pPr>
            <w:r>
              <w:rPr>
                <w:color w:val="000000"/>
                <w:sz w:val="20"/>
              </w:rPr>
              <w:lastRenderedPageBreak/>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586D8C"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6F76B0"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292E41"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E0582C"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A33A52" w14:textId="77777777" w:rsidR="00A77B3E" w:rsidRDefault="00B16CCF">
            <w:pPr>
              <w:spacing w:before="5pt"/>
              <w:jc w:val="center"/>
              <w:rPr>
                <w:color w:val="000000"/>
                <w:sz w:val="20"/>
              </w:rPr>
            </w:pPr>
            <w:r>
              <w:rPr>
                <w:color w:val="000000"/>
                <w:sz w:val="20"/>
              </w:rPr>
              <w:t>Znesek (v EUR)</w:t>
            </w:r>
          </w:p>
        </w:tc>
      </w:tr>
      <w:tr w:rsidR="00823317" w14:paraId="5A643E4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4E2BDD"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F5842B" w14:textId="77777777" w:rsidR="00A77B3E" w:rsidRDefault="00B16CCF">
            <w:pPr>
              <w:spacing w:before="5pt"/>
              <w:rPr>
                <w:color w:val="000000"/>
                <w:sz w:val="20"/>
              </w:rPr>
            </w:pPr>
            <w:r>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DC3905"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842EAA"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FEEBED" w14:textId="77777777" w:rsidR="00A77B3E" w:rsidRDefault="00B16CCF">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ADB778" w14:textId="77777777" w:rsidR="00A77B3E" w:rsidRDefault="00B16CCF">
            <w:pPr>
              <w:spacing w:before="5pt"/>
              <w:jc w:val="end"/>
              <w:rPr>
                <w:color w:val="000000"/>
                <w:sz w:val="20"/>
              </w:rPr>
            </w:pPr>
            <w:r>
              <w:rPr>
                <w:color w:val="000000"/>
                <w:sz w:val="20"/>
              </w:rPr>
              <w:t>12.929.280,00</w:t>
            </w:r>
          </w:p>
        </w:tc>
      </w:tr>
      <w:tr w:rsidR="00823317" w14:paraId="42AB901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B6E34B"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3A8D7C" w14:textId="77777777" w:rsidR="00A77B3E" w:rsidRDefault="00B16CCF">
            <w:pPr>
              <w:spacing w:before="5pt"/>
              <w:rPr>
                <w:color w:val="000000"/>
                <w:sz w:val="20"/>
              </w:rPr>
            </w:pPr>
            <w:r>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52B4B3"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EB0B06"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12B069" w14:textId="77777777" w:rsidR="00A77B3E" w:rsidRDefault="00B16CCF">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066DB4" w14:textId="77777777" w:rsidR="00A77B3E" w:rsidRDefault="00B16CCF">
            <w:pPr>
              <w:spacing w:before="5pt"/>
              <w:jc w:val="end"/>
              <w:rPr>
                <w:color w:val="000000"/>
                <w:sz w:val="20"/>
              </w:rPr>
            </w:pPr>
            <w:r>
              <w:rPr>
                <w:color w:val="000000"/>
                <w:sz w:val="20"/>
              </w:rPr>
              <w:t>25.001.405,00</w:t>
            </w:r>
          </w:p>
        </w:tc>
      </w:tr>
      <w:tr w:rsidR="00823317" w14:paraId="3E8721B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C4C728"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1937D3" w14:textId="77777777" w:rsidR="00A77B3E" w:rsidRDefault="00B16CCF">
            <w:pPr>
              <w:spacing w:before="5pt"/>
              <w:rPr>
                <w:color w:val="000000"/>
                <w:sz w:val="20"/>
              </w:rPr>
            </w:pPr>
            <w:r>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7F81E1"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A661B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FE8BAE"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417DE1" w14:textId="77777777" w:rsidR="00A77B3E" w:rsidRDefault="00B16CCF">
            <w:pPr>
              <w:spacing w:before="5pt"/>
              <w:jc w:val="end"/>
              <w:rPr>
                <w:color w:val="000000"/>
                <w:sz w:val="20"/>
              </w:rPr>
            </w:pPr>
            <w:r>
              <w:rPr>
                <w:color w:val="000000"/>
                <w:sz w:val="20"/>
              </w:rPr>
              <w:t>37.930.685,00</w:t>
            </w:r>
          </w:p>
        </w:tc>
      </w:tr>
    </w:tbl>
    <w:p w14:paraId="61244E01" w14:textId="77777777" w:rsidR="00A77B3E" w:rsidRDefault="00B16CCF">
      <w:pPr>
        <w:spacing w:before="5pt"/>
        <w:rPr>
          <w:color w:val="000000"/>
          <w:sz w:val="20"/>
        </w:rPr>
      </w:pPr>
      <w:r>
        <w:rPr>
          <w:color w:val="000000"/>
          <w:sz w:val="20"/>
        </w:rPr>
        <w:t>* Načeloma 40 % za ESS+ prispeva k spremljanju enakosti spolov. 100 % se uporabi, kadar se država članica odloči za uporabo člena 6 uredbe o ESS+.</w:t>
      </w:r>
    </w:p>
    <w:p w14:paraId="48D159E0" w14:textId="77777777" w:rsidR="00A77B3E" w:rsidRDefault="00B16CCF">
      <w:pPr>
        <w:pStyle w:val="Naslov4"/>
        <w:spacing w:before="5pt" w:after="0pt"/>
        <w:rPr>
          <w:b w:val="0"/>
          <w:color w:val="000000"/>
          <w:sz w:val="24"/>
        </w:rPr>
      </w:pPr>
      <w:r>
        <w:rPr>
          <w:b w:val="0"/>
          <w:color w:val="000000"/>
          <w:sz w:val="24"/>
        </w:rPr>
        <w:br w:type="page"/>
      </w:r>
      <w:bookmarkStart w:id="178" w:name="_Toc256000939"/>
      <w:r>
        <w:rPr>
          <w:b w:val="0"/>
          <w:color w:val="000000"/>
          <w:sz w:val="24"/>
        </w:rPr>
        <w:lastRenderedPageBreak/>
        <w:t>2.1.1.1. Specifični cilj: RSO2.7. Izboljšanje varstva in ohranjanja narave ter biotske raznovrstnosti in zelene infrastrukture, tudi v mestnem okolju, in zmanjšanje vseh oblik onesnaževanja (ESRR)</w:t>
      </w:r>
      <w:bookmarkEnd w:id="178"/>
    </w:p>
    <w:p w14:paraId="2271B43A" w14:textId="77777777" w:rsidR="00A77B3E" w:rsidRDefault="00A77B3E">
      <w:pPr>
        <w:spacing w:before="5pt"/>
        <w:rPr>
          <w:color w:val="000000"/>
          <w:sz w:val="0"/>
        </w:rPr>
      </w:pPr>
    </w:p>
    <w:p w14:paraId="7F1BE457" w14:textId="77777777" w:rsidR="00A77B3E" w:rsidRDefault="00B16CCF">
      <w:pPr>
        <w:pStyle w:val="Naslov4"/>
        <w:spacing w:before="5pt" w:after="0pt"/>
        <w:rPr>
          <w:b w:val="0"/>
          <w:color w:val="000000"/>
          <w:sz w:val="24"/>
        </w:rPr>
      </w:pPr>
      <w:bookmarkStart w:id="179" w:name="_Toc256000940"/>
      <w:r>
        <w:rPr>
          <w:b w:val="0"/>
          <w:color w:val="000000"/>
          <w:sz w:val="24"/>
        </w:rPr>
        <w:t>2.1.1.1.1. Ukrepi skladov</w:t>
      </w:r>
      <w:bookmarkEnd w:id="179"/>
    </w:p>
    <w:p w14:paraId="6C13E48D" w14:textId="77777777" w:rsidR="00A77B3E" w:rsidRDefault="00A77B3E">
      <w:pPr>
        <w:spacing w:before="5pt"/>
        <w:rPr>
          <w:color w:val="000000"/>
          <w:sz w:val="0"/>
        </w:rPr>
      </w:pPr>
    </w:p>
    <w:p w14:paraId="5233D44E" w14:textId="77777777" w:rsidR="00A77B3E" w:rsidRDefault="00B16CCF">
      <w:pPr>
        <w:spacing w:before="5pt"/>
        <w:rPr>
          <w:color w:val="000000"/>
          <w:sz w:val="0"/>
        </w:rPr>
      </w:pPr>
      <w:r>
        <w:rPr>
          <w:color w:val="000000"/>
        </w:rPr>
        <w:t>Sklic: člen 22(3)(d)(i), (iii), (iv), (v), (vi) in (vii) uredbe o skupnih določbah</w:t>
      </w:r>
    </w:p>
    <w:p w14:paraId="2964A182" w14:textId="77777777" w:rsidR="00A77B3E" w:rsidRDefault="00B16CCF">
      <w:pPr>
        <w:pStyle w:val="Naslov5"/>
        <w:spacing w:before="5pt" w:after="0pt"/>
        <w:rPr>
          <w:b w:val="0"/>
          <w:i w:val="0"/>
          <w:color w:val="000000"/>
          <w:sz w:val="24"/>
        </w:rPr>
      </w:pPr>
      <w:bookmarkStart w:id="180" w:name="_Toc256000941"/>
      <w:r>
        <w:rPr>
          <w:b w:val="0"/>
          <w:i w:val="0"/>
          <w:color w:val="000000"/>
          <w:sz w:val="24"/>
        </w:rPr>
        <w:t>Povezane vrste ukrepov – člen 22(3)(d)(i) uredbe o skupnih določbah in člen 6 uredbe o ESS+:</w:t>
      </w:r>
      <w:bookmarkEnd w:id="180"/>
    </w:p>
    <w:p w14:paraId="1494C4A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32D6F35D"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491F00" w14:textId="77777777" w:rsidR="00A77B3E" w:rsidRDefault="00A77B3E">
            <w:pPr>
              <w:spacing w:before="5pt"/>
              <w:rPr>
                <w:color w:val="000000"/>
                <w:sz w:val="0"/>
              </w:rPr>
            </w:pPr>
          </w:p>
          <w:p w14:paraId="5236FECB" w14:textId="77777777" w:rsidR="00A77B3E" w:rsidRDefault="00B16CCF">
            <w:pPr>
              <w:spacing w:before="5pt"/>
              <w:rPr>
                <w:color w:val="000000"/>
              </w:rPr>
            </w:pPr>
            <w:r>
              <w:rPr>
                <w:color w:val="000000"/>
              </w:rPr>
              <w:t>Ukrepi za izboljšanje stanja biotske raznovrstnosti v omrežju Natura 2000 in na drugih prednostnih območjih varstva narave so namenjeni prioritetnim Natura 2000 območjem za izboljšanje stanja vrst in habitatnih tipov, v manjšem delu ureditvi z obiskom najbolj obremenjenih delov narave ter vlaganjem v zeleno infrastrukturo v urbanem okolju. Vlaganja bodo tako osredotočena na:</w:t>
            </w:r>
          </w:p>
          <w:p w14:paraId="22D989A4" w14:textId="77777777" w:rsidR="00A77B3E" w:rsidRDefault="00A77B3E">
            <w:pPr>
              <w:spacing w:before="5pt"/>
              <w:rPr>
                <w:color w:val="000000"/>
              </w:rPr>
            </w:pPr>
          </w:p>
          <w:p w14:paraId="0E820E88" w14:textId="77777777" w:rsidR="00A77B3E" w:rsidRDefault="00B16CCF">
            <w:pPr>
              <w:numPr>
                <w:ilvl w:val="0"/>
                <w:numId w:val="22"/>
              </w:numPr>
              <w:spacing w:before="5pt"/>
              <w:rPr>
                <w:color w:val="000000"/>
              </w:rPr>
            </w:pPr>
            <w:r>
              <w:rPr>
                <w:i/>
                <w:iCs/>
                <w:color w:val="000000"/>
              </w:rPr>
              <w:t>ukrepe za izboljšanje stanja biotske raznovrstnosti v omrežju Natura 2000 in na drugih prednostnih območjih varstva narave</w:t>
            </w:r>
            <w:r>
              <w:rPr>
                <w:color w:val="000000"/>
              </w:rPr>
              <w:t>: z naložbami bomo podprli naslednje aktivnosti:</w:t>
            </w:r>
          </w:p>
          <w:p w14:paraId="2E74227E" w14:textId="77777777" w:rsidR="00A77B3E" w:rsidRDefault="00B16CCF">
            <w:pPr>
              <w:spacing w:before="5pt"/>
              <w:rPr>
                <w:color w:val="000000"/>
              </w:rPr>
            </w:pPr>
            <w:r>
              <w:rPr>
                <w:color w:val="000000"/>
              </w:rPr>
              <w:t>- izboljšanje stanja ohranjenosti habitatov vrst in habitatnih tipov Natura 2000 območij, ki niso v ugodnem stanju ohranjenosti. Zaradi fragmentiranosti habitatov bo treba izvesti ukrepe tudi na kritičnih točkah izven območij Natura 2000 z namenom izboljšanja ekološke povezanosti in zagotovitve delujoče zelene infrastrukture. Prioritetna območja, vrste in habitatni tipi ter okvirni ukrepi bodo opredeljeni v novem vladnem Programu upravljanja območij Natura 2000 za obdobje 2022-2028[1], ki bo sprejet do konca leta 2022. Nadaljevali bomo s podporo aktivnostim iz finančne perspektive 2014-2020 in dopolnjevali vsa druga prizadevanja za zaustavitev trenda upadanja biotske raznovrstnosti. Pri izvedbi interpretacije pomena ohranjanja biotske raznovrstnosti bomo iskali sinergije s področjema kulturne dediščine ter zelenim turizmom Slovenije. Naložbena sredstva bodo zato namenjena zlasti naslednjim konkretnim ukrepom na terenu:</w:t>
            </w:r>
          </w:p>
          <w:p w14:paraId="385C0042" w14:textId="77777777" w:rsidR="00A77B3E" w:rsidRDefault="00B16CCF">
            <w:pPr>
              <w:spacing w:before="5pt"/>
              <w:rPr>
                <w:color w:val="000000"/>
              </w:rPr>
            </w:pPr>
            <w:r>
              <w:rPr>
                <w:color w:val="000000"/>
              </w:rPr>
              <w:t>1. obnovi in izboljšanju ekosistemov,</w:t>
            </w:r>
          </w:p>
          <w:p w14:paraId="3C82BE91" w14:textId="77777777" w:rsidR="00A77B3E" w:rsidRDefault="00B16CCF">
            <w:pPr>
              <w:spacing w:before="5pt"/>
              <w:rPr>
                <w:color w:val="000000"/>
              </w:rPr>
            </w:pPr>
            <w:r>
              <w:rPr>
                <w:color w:val="000000"/>
              </w:rPr>
              <w:t>2.aktivnostim za izboljšanje ekološke povezanosti,</w:t>
            </w:r>
          </w:p>
          <w:p w14:paraId="7ED58B4D" w14:textId="77777777" w:rsidR="00A77B3E" w:rsidRDefault="00B16CCF">
            <w:pPr>
              <w:spacing w:before="5pt"/>
              <w:rPr>
                <w:color w:val="000000"/>
              </w:rPr>
            </w:pPr>
            <w:r>
              <w:rPr>
                <w:color w:val="000000"/>
              </w:rPr>
              <w:t>3.obvladovanju invazivnih tujerodnih vrst;</w:t>
            </w:r>
          </w:p>
          <w:p w14:paraId="614E05E0" w14:textId="77777777" w:rsidR="00A77B3E" w:rsidRDefault="00B16CCF">
            <w:pPr>
              <w:spacing w:before="5pt"/>
              <w:rPr>
                <w:color w:val="000000"/>
              </w:rPr>
            </w:pPr>
            <w:r>
              <w:rPr>
                <w:color w:val="000000"/>
              </w:rPr>
              <w:t>4.sanacija neustreznih ureditev ter odprava škodljivih posledic neustreznega odvajanja odpadne vode;</w:t>
            </w:r>
          </w:p>
          <w:p w14:paraId="09445ACA" w14:textId="77777777" w:rsidR="00A77B3E" w:rsidRDefault="00B16CCF">
            <w:pPr>
              <w:spacing w:before="5pt"/>
              <w:rPr>
                <w:color w:val="000000"/>
              </w:rPr>
            </w:pPr>
            <w:r>
              <w:rPr>
                <w:color w:val="000000"/>
              </w:rPr>
              <w:t>- zagotovitev kakovostne interpretacije na delih narave, ki so urejeni za obiskovanje z namenom ozaveščanja javnosti;</w:t>
            </w:r>
          </w:p>
          <w:p w14:paraId="1E5BA6E4" w14:textId="77777777" w:rsidR="00A77B3E" w:rsidRDefault="00B16CCF">
            <w:pPr>
              <w:spacing w:before="5pt"/>
              <w:rPr>
                <w:color w:val="000000"/>
              </w:rPr>
            </w:pPr>
            <w:r>
              <w:rPr>
                <w:color w:val="000000"/>
              </w:rPr>
              <w:t>- izboljšanje stanja naravnih vrednost, ki so zaradi povečanega obiska in interesa preobremenjene. Izvedli bomo zlasti naslednje konkretne ukrepe na terenu:</w:t>
            </w:r>
          </w:p>
          <w:p w14:paraId="3D1E3273" w14:textId="77777777" w:rsidR="00A77B3E" w:rsidRDefault="00B16CCF">
            <w:pPr>
              <w:spacing w:before="5pt"/>
              <w:rPr>
                <w:color w:val="000000"/>
              </w:rPr>
            </w:pPr>
            <w:r>
              <w:rPr>
                <w:color w:val="000000"/>
              </w:rPr>
              <w:t>1.ureditev infrastrukture za nadzor, usmerjanje obiska in omejevanje rabe delov narave,</w:t>
            </w:r>
          </w:p>
          <w:p w14:paraId="4A823367" w14:textId="77777777" w:rsidR="00A77B3E" w:rsidRDefault="00B16CCF">
            <w:pPr>
              <w:spacing w:before="5pt"/>
              <w:rPr>
                <w:color w:val="000000"/>
              </w:rPr>
            </w:pPr>
            <w:r>
              <w:rPr>
                <w:color w:val="000000"/>
              </w:rPr>
              <w:t>2.izboljšanja ureditve splošne in posebne rabe naravnih vrednot za neškodljivo obiskovanje in ogledovanje oz. fizična zaščita naravnih vrednot, ki jih ogledovanje in obiskovanje lahko ogrozi,</w:t>
            </w:r>
          </w:p>
          <w:p w14:paraId="7FFAD726" w14:textId="77777777" w:rsidR="00A77B3E" w:rsidRDefault="00B16CCF">
            <w:pPr>
              <w:spacing w:before="5pt"/>
              <w:rPr>
                <w:color w:val="000000"/>
              </w:rPr>
            </w:pPr>
            <w:r>
              <w:rPr>
                <w:color w:val="000000"/>
              </w:rPr>
              <w:t>3.digitalizacija in ukrepi IKT;</w:t>
            </w:r>
          </w:p>
          <w:p w14:paraId="551CB9C0" w14:textId="77777777" w:rsidR="00A77B3E" w:rsidRDefault="00A77B3E">
            <w:pPr>
              <w:spacing w:before="5pt"/>
              <w:rPr>
                <w:color w:val="000000"/>
              </w:rPr>
            </w:pPr>
          </w:p>
          <w:p w14:paraId="4A0ED8C9" w14:textId="77777777" w:rsidR="00A77B3E" w:rsidRDefault="00B16CCF">
            <w:pPr>
              <w:numPr>
                <w:ilvl w:val="0"/>
                <w:numId w:val="23"/>
              </w:numPr>
              <w:spacing w:before="5pt"/>
              <w:rPr>
                <w:color w:val="000000"/>
              </w:rPr>
            </w:pPr>
            <w:r>
              <w:rPr>
                <w:i/>
                <w:iCs/>
                <w:color w:val="000000"/>
              </w:rPr>
              <w:lastRenderedPageBreak/>
              <w:t>ukrepi za zagotavljanje in izboljšanje zelene infrastrukture, dostopa prebivalcev do zelene infrastrukture v urbanih območjih ter ozelenjevanje mest:</w:t>
            </w:r>
            <w:r>
              <w:rPr>
                <w:color w:val="000000"/>
              </w:rPr>
              <w:t xml:space="preserve"> v urbanih naseljih živi 55 % prebivalcev Slovenije (SURS), večja koncentracija in gostota prebivalstva ter usmerjanje v notranji razvoj naselij pred širjenjem na nove površine pa predstavljajo vedno večji izziv za ohranjanje in izboljšanje kakovosti življenja in okolja v mestih. Izziv zagotavljanja, kakovosti in uporabnosti mestnih zelenih površin je naslovilo partnerstvo Urbane agende za EU, ki je med drugim izpostavilo potrebo po vlaganjih v zagotavljanje dostopne in privlačne zelene in modre urbane infrastrukture, ob upoštevanju načela uporabe na naravi temelječih rešitev. Z ukrepi podpiramo doseganje cilja, zastavljenega v novem predlogu nacionalne prostorske politike, za preprečevanje pretiranega zgoščanja urbane strukture z doseganjem ali ohranjanjem vsaj 40 % deleža javnih in odprtih zelenih površin v ureditvenem območju naselja[2].</w:t>
            </w:r>
          </w:p>
          <w:p w14:paraId="369F6F49" w14:textId="77777777" w:rsidR="00A77B3E" w:rsidRDefault="00B16CCF">
            <w:pPr>
              <w:spacing w:before="5pt"/>
              <w:rPr>
                <w:color w:val="000000"/>
              </w:rPr>
            </w:pPr>
            <w:r>
              <w:rPr>
                <w:color w:val="000000"/>
              </w:rPr>
              <w:t>Podprli bomo ukrepe za:</w:t>
            </w:r>
          </w:p>
          <w:p w14:paraId="1D7D1C50" w14:textId="77777777" w:rsidR="00A77B3E" w:rsidRDefault="00B16CCF">
            <w:pPr>
              <w:spacing w:before="5pt"/>
              <w:rPr>
                <w:color w:val="000000"/>
              </w:rPr>
            </w:pPr>
            <w:r>
              <w:rPr>
                <w:color w:val="000000"/>
              </w:rPr>
              <w:t>- izboljšanje kakovosti in uporabnosti obstoječe ter vzpostavitev nove zelene infrastrukture, javno dostopnih zelenih površin in naravnih struktur v mestih ter povezovanje tudi za zagotavljanje ekosistemskih storitev t.i. zelenih in modrih koridorjev;</w:t>
            </w:r>
          </w:p>
          <w:p w14:paraId="63B3E5E7" w14:textId="77777777" w:rsidR="00A77B3E" w:rsidRDefault="00B16CCF">
            <w:pPr>
              <w:spacing w:before="5pt"/>
              <w:rPr>
                <w:color w:val="000000"/>
              </w:rPr>
            </w:pPr>
            <w:r>
              <w:rPr>
                <w:color w:val="000000"/>
              </w:rPr>
              <w:t>- komasacijo zemljišč mestnih zelenih površin z možnostjo odkupa zemljišč, pri čemer bodo odkupljena zemljišča del ukrepa zagotavljanja javnih zelenih in modrih površin in ne samostojen ukrep;</w:t>
            </w:r>
          </w:p>
          <w:p w14:paraId="0787BBA5" w14:textId="77777777" w:rsidR="00A77B3E" w:rsidRDefault="00B16CCF">
            <w:pPr>
              <w:spacing w:before="5pt"/>
              <w:rPr>
                <w:color w:val="000000"/>
              </w:rPr>
            </w:pPr>
            <w:r>
              <w:rPr>
                <w:color w:val="000000"/>
              </w:rPr>
              <w:t>- ozelenjevanje grajenih površin v mestih, kot na primer ozelenjevanje javnih odprtih prostorov, zelene strehe, zelene vertikalne površine, idr.;</w:t>
            </w:r>
          </w:p>
          <w:p w14:paraId="7D364B8E" w14:textId="77777777" w:rsidR="00A77B3E" w:rsidRDefault="00B16CCF">
            <w:pPr>
              <w:spacing w:before="5pt"/>
              <w:rPr>
                <w:color w:val="000000"/>
              </w:rPr>
            </w:pPr>
            <w:r>
              <w:rPr>
                <w:color w:val="000000"/>
              </w:rPr>
              <w:t>- ozaveščanje in vključevanje lokalnega prebivalstva v vzpostavljanje in izboljševanje zelene infrastrukture in zelenih površin ter ukrepe za ozelenjevanje mest.</w:t>
            </w:r>
          </w:p>
          <w:p w14:paraId="26FD83A5" w14:textId="77777777" w:rsidR="00A77B3E" w:rsidRDefault="00A77B3E">
            <w:pPr>
              <w:spacing w:before="5pt"/>
              <w:rPr>
                <w:color w:val="000000"/>
              </w:rPr>
            </w:pPr>
          </w:p>
          <w:p w14:paraId="66B00A8F" w14:textId="77777777" w:rsidR="00A77B3E" w:rsidRDefault="00B16CCF">
            <w:pPr>
              <w:spacing w:before="5pt"/>
              <w:rPr>
                <w:color w:val="000000"/>
              </w:rPr>
            </w:pPr>
            <w:r>
              <w:rPr>
                <w:color w:val="000000"/>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Noben izmed predvidenih ukrepov v okviru predmetnega specifičnega cilja glede na opravljeno oceno skladnosti z načelom DNSH po svoji naravi nima bistvenega škodljivega vpliva na katerega koli od šestih okoljskih ciljev ob upoštevanju tehničnih meril, navedenih v Prilogi: DNSH.</w:t>
            </w:r>
          </w:p>
          <w:p w14:paraId="0A9203F1" w14:textId="77777777" w:rsidR="00A77B3E" w:rsidRDefault="00A77B3E">
            <w:pPr>
              <w:spacing w:before="5pt"/>
              <w:rPr>
                <w:color w:val="000000"/>
              </w:rPr>
            </w:pPr>
          </w:p>
          <w:p w14:paraId="1EADEEEC" w14:textId="77777777" w:rsidR="00A77B3E" w:rsidRDefault="00B16CCF">
            <w:pPr>
              <w:spacing w:before="5pt"/>
              <w:rPr>
                <w:color w:val="000000"/>
              </w:rPr>
            </w:pPr>
            <w:r>
              <w:rPr>
                <w:color w:val="000000"/>
              </w:rPr>
              <w:t>[1] Program za Natura 2000 območja predstavlja podrobnejši Prednostni okvir ukrepanja za omrežje Natura 2000 v Sloveniji v skladu z 8. členom Direktive Sveta 92/43/EGS o ohranjanju naravnih habitatov ter prosto živečih živalskih in rastlinskih vrst (direktiva o habitatih) za obdobje večletnega finančnega okvira 2021–2027.</w:t>
            </w:r>
          </w:p>
          <w:p w14:paraId="11B39A52" w14:textId="77777777" w:rsidR="00A77B3E" w:rsidRDefault="00B16CCF">
            <w:pPr>
              <w:spacing w:before="5pt"/>
              <w:rPr>
                <w:color w:val="000000"/>
              </w:rPr>
            </w:pPr>
            <w:r>
              <w:rPr>
                <w:color w:val="000000"/>
              </w:rPr>
              <w:t>[2] Cilj bo v nacionalni politiki operacionaliziran po sprejemu nove prostorske politike. Izhodiščno vrednost se ugotavlja od primera do primera (za posamezna naselja) znotraj procesa načrtovanja, zato izhodiščna vrednost na nacionalni ravni ni ugotovljiva niti določena.</w:t>
            </w:r>
          </w:p>
          <w:p w14:paraId="3233F350" w14:textId="77777777" w:rsidR="00A77B3E" w:rsidRDefault="00A77B3E">
            <w:pPr>
              <w:spacing w:before="5pt"/>
              <w:rPr>
                <w:color w:val="000000"/>
                <w:sz w:val="6"/>
              </w:rPr>
            </w:pPr>
          </w:p>
          <w:p w14:paraId="0E0A0E65" w14:textId="77777777" w:rsidR="00A77B3E" w:rsidRDefault="00A77B3E">
            <w:pPr>
              <w:spacing w:before="5pt"/>
              <w:rPr>
                <w:color w:val="000000"/>
                <w:sz w:val="6"/>
              </w:rPr>
            </w:pPr>
          </w:p>
        </w:tc>
      </w:tr>
    </w:tbl>
    <w:p w14:paraId="7B42F2E0" w14:textId="77777777" w:rsidR="00A77B3E" w:rsidRDefault="00A77B3E">
      <w:pPr>
        <w:spacing w:before="5pt"/>
        <w:rPr>
          <w:color w:val="000000"/>
        </w:rPr>
      </w:pPr>
    </w:p>
    <w:p w14:paraId="526C6F23" w14:textId="77777777" w:rsidR="00A77B3E" w:rsidRDefault="00B16CCF">
      <w:pPr>
        <w:pStyle w:val="Naslov5"/>
        <w:spacing w:before="5pt" w:after="0pt"/>
        <w:rPr>
          <w:b w:val="0"/>
          <w:i w:val="0"/>
          <w:color w:val="000000"/>
          <w:sz w:val="24"/>
        </w:rPr>
      </w:pPr>
      <w:bookmarkStart w:id="181" w:name="_Toc256000942"/>
      <w:r>
        <w:rPr>
          <w:b w:val="0"/>
          <w:i w:val="0"/>
          <w:color w:val="000000"/>
          <w:sz w:val="24"/>
        </w:rPr>
        <w:t>Glavne ciljne skupine – člen 22(3)(d)(iii) uredbe o skupnih določbah:</w:t>
      </w:r>
      <w:bookmarkEnd w:id="181"/>
    </w:p>
    <w:p w14:paraId="24F083F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2DD00710"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040E19" w14:textId="77777777" w:rsidR="00A77B3E" w:rsidRDefault="00A77B3E">
            <w:pPr>
              <w:spacing w:before="5pt"/>
              <w:rPr>
                <w:color w:val="000000"/>
                <w:sz w:val="0"/>
              </w:rPr>
            </w:pPr>
          </w:p>
          <w:p w14:paraId="489DADB9" w14:textId="77777777" w:rsidR="00A77B3E" w:rsidRDefault="00B16CCF">
            <w:pPr>
              <w:spacing w:before="5pt"/>
              <w:rPr>
                <w:color w:val="000000"/>
              </w:rPr>
            </w:pPr>
            <w:r>
              <w:rPr>
                <w:color w:val="000000"/>
              </w:rPr>
              <w:lastRenderedPageBreak/>
              <w:t>Ciljne skupine: upravljavci zavarovanih območij in območij Natura 2000, javni zavodi, lokalne skupnosti, podjetja, kmetijska gospodarstva, nevladne organizacije, ministrstva z organi v sestavi, regionalne razvojne agencije, prebivalci, uporabniki zelenih in revitaliziranih površin, nosilci kmetijskih gospodarstev.</w:t>
            </w:r>
          </w:p>
          <w:p w14:paraId="641E6779" w14:textId="77777777" w:rsidR="00A77B3E" w:rsidRDefault="00A77B3E">
            <w:pPr>
              <w:spacing w:before="5pt"/>
              <w:rPr>
                <w:color w:val="000000"/>
              </w:rPr>
            </w:pPr>
          </w:p>
          <w:p w14:paraId="7D7481EB" w14:textId="77777777" w:rsidR="00A77B3E" w:rsidRDefault="00B16CCF">
            <w:pPr>
              <w:spacing w:before="5pt"/>
              <w:rPr>
                <w:color w:val="000000"/>
              </w:rPr>
            </w:pPr>
            <w:r>
              <w:rPr>
                <w:color w:val="000000"/>
              </w:rPr>
              <w:t>Upravičenci: Agencija RS za okolje, upravljavci zavarovanih območij in območij Natura 2000, javni zavodi, lokalne skupnosti, podjetja, nevladne organizacije, ministrstva z organi v sestavi in regionalne razvojne agencije.</w:t>
            </w:r>
          </w:p>
          <w:p w14:paraId="79A902F6" w14:textId="77777777" w:rsidR="00A77B3E" w:rsidRDefault="00A77B3E">
            <w:pPr>
              <w:spacing w:before="5pt"/>
              <w:rPr>
                <w:color w:val="000000"/>
                <w:sz w:val="6"/>
              </w:rPr>
            </w:pPr>
          </w:p>
          <w:p w14:paraId="63E39B77" w14:textId="77777777" w:rsidR="00A77B3E" w:rsidRDefault="00A77B3E">
            <w:pPr>
              <w:spacing w:before="5pt"/>
              <w:rPr>
                <w:color w:val="000000"/>
                <w:sz w:val="6"/>
              </w:rPr>
            </w:pPr>
          </w:p>
        </w:tc>
      </w:tr>
    </w:tbl>
    <w:p w14:paraId="20ABBAB2" w14:textId="77777777" w:rsidR="00A77B3E" w:rsidRDefault="00A77B3E">
      <w:pPr>
        <w:spacing w:before="5pt"/>
        <w:rPr>
          <w:color w:val="000000"/>
        </w:rPr>
      </w:pPr>
    </w:p>
    <w:p w14:paraId="7725F5E2" w14:textId="77777777" w:rsidR="00A77B3E" w:rsidRDefault="00B16CCF">
      <w:pPr>
        <w:pStyle w:val="Naslov5"/>
        <w:spacing w:before="5pt" w:after="0pt"/>
        <w:rPr>
          <w:b w:val="0"/>
          <w:i w:val="0"/>
          <w:color w:val="000000"/>
          <w:sz w:val="24"/>
        </w:rPr>
      </w:pPr>
      <w:bookmarkStart w:id="182" w:name="_Toc256000943"/>
      <w:r>
        <w:rPr>
          <w:b w:val="0"/>
          <w:i w:val="0"/>
          <w:color w:val="000000"/>
          <w:sz w:val="24"/>
        </w:rPr>
        <w:t>Ukrepi za zaščito enakosti, vključenosti in nediskriminacije – člen 22(3)(d)(iv) uredbe o skupnih določbah in člen 6 uredbe o ESS+</w:t>
      </w:r>
      <w:bookmarkEnd w:id="182"/>
    </w:p>
    <w:p w14:paraId="0656DA4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2DDF4EF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00EDAC" w14:textId="77777777" w:rsidR="00A77B3E" w:rsidRDefault="00A77B3E">
            <w:pPr>
              <w:spacing w:before="5pt"/>
              <w:rPr>
                <w:color w:val="000000"/>
                <w:sz w:val="0"/>
              </w:rPr>
            </w:pPr>
          </w:p>
          <w:p w14:paraId="37AAC071" w14:textId="77777777" w:rsidR="00A77B3E" w:rsidRDefault="00B16CCF">
            <w:pPr>
              <w:spacing w:before="5pt"/>
              <w:rPr>
                <w:color w:val="000000"/>
              </w:rPr>
            </w:pPr>
            <w:r>
              <w:rPr>
                <w:color w:val="000000"/>
              </w:rPr>
              <w:t xml:space="preserve">Pri načrtovanju, izvedbi in spremljanju ukrepov bodo spoštovana načela enakosti spolov, enakih možnosti in nediskriminacije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 </w:t>
            </w:r>
          </w:p>
          <w:p w14:paraId="2CA58A8A" w14:textId="77777777" w:rsidR="00A77B3E" w:rsidRDefault="00A77B3E">
            <w:pPr>
              <w:spacing w:before="5pt"/>
              <w:rPr>
                <w:color w:val="000000"/>
              </w:rPr>
            </w:pPr>
          </w:p>
          <w:p w14:paraId="65C0A1A7" w14:textId="77777777" w:rsidR="00A77B3E" w:rsidRDefault="00B16CCF">
            <w:pPr>
              <w:spacing w:before="5pt"/>
              <w:rPr>
                <w:color w:val="000000"/>
              </w:rPr>
            </w:pPr>
            <w:r>
              <w:rPr>
                <w:color w:val="000000"/>
              </w:rPr>
              <w:t>Dodatno bodo pri izvajanju gradbenih ukrepov objekti izpolnjevali tehnične zahteve, s katerimi se prilagodijo tako, da so nediskriminatorni do vseh oblik začasne ali trajne invalidnosti in so prilagojeni ranljivim skupinam prebivalstva.</w:t>
            </w:r>
          </w:p>
          <w:p w14:paraId="2A06757C" w14:textId="77777777" w:rsidR="00A77B3E" w:rsidRDefault="00A77B3E">
            <w:pPr>
              <w:spacing w:before="5pt"/>
              <w:rPr>
                <w:color w:val="000000"/>
                <w:sz w:val="6"/>
              </w:rPr>
            </w:pPr>
          </w:p>
          <w:p w14:paraId="54D5EC83" w14:textId="77777777" w:rsidR="00A77B3E" w:rsidRDefault="00A77B3E">
            <w:pPr>
              <w:spacing w:before="5pt"/>
              <w:rPr>
                <w:color w:val="000000"/>
                <w:sz w:val="6"/>
              </w:rPr>
            </w:pPr>
          </w:p>
        </w:tc>
      </w:tr>
    </w:tbl>
    <w:p w14:paraId="6AE4E006" w14:textId="77777777" w:rsidR="00A77B3E" w:rsidRDefault="00A77B3E">
      <w:pPr>
        <w:spacing w:before="5pt"/>
        <w:rPr>
          <w:color w:val="000000"/>
        </w:rPr>
      </w:pPr>
    </w:p>
    <w:p w14:paraId="697329E8" w14:textId="77777777" w:rsidR="00A77B3E" w:rsidRDefault="00B16CCF">
      <w:pPr>
        <w:pStyle w:val="Naslov5"/>
        <w:spacing w:before="5pt" w:after="0pt"/>
        <w:rPr>
          <w:b w:val="0"/>
          <w:i w:val="0"/>
          <w:color w:val="000000"/>
          <w:sz w:val="24"/>
        </w:rPr>
      </w:pPr>
      <w:bookmarkStart w:id="183" w:name="_Toc256000944"/>
      <w:r>
        <w:rPr>
          <w:b w:val="0"/>
          <w:i w:val="0"/>
          <w:color w:val="000000"/>
          <w:sz w:val="24"/>
        </w:rPr>
        <w:t>Navedba specifičnih ciljnih ozemelj, vključno z načrtovano uporabo teritorialnih orodij – člen 22(3)(d)(v) uredbe o skupnih določbah</w:t>
      </w:r>
      <w:bookmarkEnd w:id="183"/>
    </w:p>
    <w:p w14:paraId="021BA07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1E388C9D"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E8DB3C" w14:textId="77777777" w:rsidR="00A77B3E" w:rsidRDefault="00A77B3E">
            <w:pPr>
              <w:spacing w:before="5pt"/>
              <w:rPr>
                <w:color w:val="000000"/>
                <w:sz w:val="0"/>
              </w:rPr>
            </w:pPr>
          </w:p>
          <w:p w14:paraId="182F885C" w14:textId="77777777" w:rsidR="00A77B3E" w:rsidRDefault="00B16CCF">
            <w:pPr>
              <w:spacing w:before="5pt"/>
              <w:rPr>
                <w:color w:val="000000"/>
              </w:rPr>
            </w:pPr>
            <w:r>
              <w:rPr>
                <w:color w:val="000000"/>
              </w:rPr>
              <w:t xml:space="preserve">V okviru specifičnega cilja se v okviru ukrepov za zagotavljanje in izboljšanje zelene infrastrukture, dostopa prebivalcev do zelene infrastrukture v urbanih območjih ter ozelenjevanje mest v obeh kohezijskih regijah predvideva naslavljanje urbanega razvoja in pristopa regionalnega razvoja v skladu s potrebami, izhajajoč iz pripravljenih teritorialnih strategij (novelirani/novi TUS in RRP). Navedeni ukrepi bodo v celoti namenjeni ukrepanju v urbanem okolju, pri čemer je bil delež sredstev, ki je namenjen mestnim občinam, določen na podlagi izkazanih potreb, in bo izveden v okviru mehanizma CTN. Preostali del razpoložljivih sredstev pa bo namenjen drugim mestom v okviru regionalnega razvoja z mehanizmom DRR in predvidoma v okviru ločenega razpisa, ki bo </w:t>
            </w:r>
            <w:r>
              <w:rPr>
                <w:color w:val="000000"/>
              </w:rPr>
              <w:lastRenderedPageBreak/>
              <w:t>izveden s strani ministrstva, za spodbujanje zahtevnejših inovativnih projektov zagotavljanja zelene infrastrukture v mestih. V izbor operacij so v prvi fazi vključeni predstavniki mest (v okviru ZMOS in mestnih svetov mestnih občin) ter nosilci odločanja in predstavniki regij (v okviru svetov regij). Komplementarno izvajanje ukrepov bo zagotavljala nacionalna razvojna koordinacija za teritorialne pristope.</w:t>
            </w:r>
          </w:p>
          <w:p w14:paraId="728EE9B1" w14:textId="77777777" w:rsidR="00A77B3E" w:rsidRDefault="00A77B3E">
            <w:pPr>
              <w:spacing w:before="5pt"/>
              <w:rPr>
                <w:color w:val="000000"/>
                <w:sz w:val="6"/>
              </w:rPr>
            </w:pPr>
          </w:p>
          <w:p w14:paraId="6FA814F2" w14:textId="77777777" w:rsidR="00A77B3E" w:rsidRDefault="00A77B3E">
            <w:pPr>
              <w:spacing w:before="5pt"/>
              <w:rPr>
                <w:color w:val="000000"/>
                <w:sz w:val="6"/>
              </w:rPr>
            </w:pPr>
          </w:p>
        </w:tc>
      </w:tr>
    </w:tbl>
    <w:p w14:paraId="7A7730E2" w14:textId="77777777" w:rsidR="00A77B3E" w:rsidRDefault="00A77B3E">
      <w:pPr>
        <w:spacing w:before="5pt"/>
        <w:rPr>
          <w:color w:val="000000"/>
        </w:rPr>
      </w:pPr>
    </w:p>
    <w:p w14:paraId="499B43BD" w14:textId="77777777" w:rsidR="00A77B3E" w:rsidRDefault="00B16CCF">
      <w:pPr>
        <w:pStyle w:val="Naslov5"/>
        <w:spacing w:before="5pt" w:after="0pt"/>
        <w:rPr>
          <w:b w:val="0"/>
          <w:i w:val="0"/>
          <w:color w:val="000000"/>
          <w:sz w:val="24"/>
        </w:rPr>
      </w:pPr>
      <w:bookmarkStart w:id="184" w:name="_Toc256000945"/>
      <w:r>
        <w:rPr>
          <w:b w:val="0"/>
          <w:i w:val="0"/>
          <w:color w:val="000000"/>
          <w:sz w:val="24"/>
        </w:rPr>
        <w:t>Medregionalni, čezmejni in transnacionalni ukrepi – člen 22(3)(d)(vi) uredbe o skupnih določbah</w:t>
      </w:r>
      <w:bookmarkEnd w:id="184"/>
    </w:p>
    <w:p w14:paraId="64828A6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045C503C"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040B45" w14:textId="77777777" w:rsidR="00A77B3E" w:rsidRDefault="00A77B3E">
            <w:pPr>
              <w:spacing w:before="5pt"/>
              <w:rPr>
                <w:color w:val="000000"/>
                <w:sz w:val="0"/>
              </w:rPr>
            </w:pPr>
          </w:p>
          <w:p w14:paraId="59315A50" w14:textId="77777777" w:rsidR="00A77B3E" w:rsidRDefault="00B16CCF">
            <w:pPr>
              <w:spacing w:before="5pt"/>
              <w:rPr>
                <w:color w:val="000000"/>
              </w:rPr>
            </w:pPr>
            <w:r>
              <w:rPr>
                <w:color w:val="000000"/>
              </w:rPr>
              <w:t xml:space="preserve">Ukrepi </w:t>
            </w:r>
            <w:r>
              <w:rPr>
                <w:i/>
                <w:iCs/>
                <w:color w:val="000000"/>
              </w:rPr>
              <w:t xml:space="preserve">za izboljšanje stanja biotske raznovrstnosti v omrežju Natura 2000 in na drugih prednostnih območjih varstva </w:t>
            </w:r>
            <w:r>
              <w:rPr>
                <w:color w:val="000000"/>
              </w:rPr>
              <w:t>narave:</w:t>
            </w:r>
          </w:p>
          <w:p w14:paraId="55629FD4" w14:textId="77777777" w:rsidR="00A77B3E" w:rsidRDefault="00B16CCF">
            <w:pPr>
              <w:spacing w:before="5pt"/>
              <w:rPr>
                <w:color w:val="000000"/>
              </w:rPr>
            </w:pPr>
            <w:r>
              <w:rPr>
                <w:color w:val="000000"/>
              </w:rPr>
              <w:t>- so komplementarni z LIFE integriranim projektom za okrepljeno upravljanje Nature 2000 v Sloveniji (LIFE17 IPE/SI/000011);</w:t>
            </w:r>
          </w:p>
          <w:p w14:paraId="439A7004" w14:textId="77777777" w:rsidR="00A77B3E" w:rsidRDefault="00B16CCF">
            <w:pPr>
              <w:spacing w:before="5pt"/>
              <w:rPr>
                <w:color w:val="000000"/>
              </w:rPr>
            </w:pPr>
            <w:r>
              <w:rPr>
                <w:color w:val="000000"/>
              </w:rPr>
              <w:t>- komplementarnost s čezmejnimi in drugimi programi se bo iskala zlasti pri obnovi ekosistemov, izboljšani ekološki povezanosti in učinkovitejšem upravljanjem z območji Natura 2000.</w:t>
            </w:r>
          </w:p>
          <w:p w14:paraId="16C827CA" w14:textId="77777777" w:rsidR="00A77B3E" w:rsidRDefault="00B16CCF">
            <w:pPr>
              <w:spacing w:before="5pt"/>
              <w:rPr>
                <w:color w:val="000000"/>
              </w:rPr>
            </w:pPr>
            <w:r>
              <w:rPr>
                <w:color w:val="000000"/>
              </w:rPr>
              <w:t>Vse dejavnosti in ukrepi, načrtovani in izvedeni na tem področju, bodo morali biti v skladu s PAF in Programom upravljanja Natura 2000 za Slovenijo.</w:t>
            </w:r>
          </w:p>
          <w:p w14:paraId="17AB3E29" w14:textId="77777777" w:rsidR="00A77B3E" w:rsidRDefault="00A77B3E">
            <w:pPr>
              <w:spacing w:before="5pt"/>
              <w:rPr>
                <w:color w:val="000000"/>
                <w:sz w:val="6"/>
              </w:rPr>
            </w:pPr>
          </w:p>
          <w:p w14:paraId="1F7C7334" w14:textId="77777777" w:rsidR="00A77B3E" w:rsidRDefault="00A77B3E">
            <w:pPr>
              <w:spacing w:before="5pt"/>
              <w:rPr>
                <w:color w:val="000000"/>
                <w:sz w:val="6"/>
              </w:rPr>
            </w:pPr>
          </w:p>
        </w:tc>
      </w:tr>
    </w:tbl>
    <w:p w14:paraId="647EC611" w14:textId="77777777" w:rsidR="00A77B3E" w:rsidRDefault="00A77B3E">
      <w:pPr>
        <w:spacing w:before="5pt"/>
        <w:rPr>
          <w:color w:val="000000"/>
        </w:rPr>
      </w:pPr>
    </w:p>
    <w:p w14:paraId="6E8163D2" w14:textId="77777777" w:rsidR="00A77B3E" w:rsidRDefault="00B16CCF">
      <w:pPr>
        <w:pStyle w:val="Naslov5"/>
        <w:spacing w:before="5pt" w:after="0pt"/>
        <w:rPr>
          <w:b w:val="0"/>
          <w:i w:val="0"/>
          <w:color w:val="000000"/>
          <w:sz w:val="24"/>
        </w:rPr>
      </w:pPr>
      <w:bookmarkStart w:id="185" w:name="_Toc256000946"/>
      <w:r>
        <w:rPr>
          <w:b w:val="0"/>
          <w:i w:val="0"/>
          <w:color w:val="000000"/>
          <w:sz w:val="24"/>
        </w:rPr>
        <w:t>Načrtovana uporaba finančnih instrumentov – člen 22(3)(d)(vii) uredbe o skupnih določbah</w:t>
      </w:r>
      <w:bookmarkEnd w:id="185"/>
    </w:p>
    <w:p w14:paraId="74DF73D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266BEEC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6BBF05" w14:textId="77777777" w:rsidR="00A77B3E" w:rsidRDefault="00A77B3E">
            <w:pPr>
              <w:spacing w:before="5pt"/>
              <w:rPr>
                <w:color w:val="000000"/>
                <w:sz w:val="0"/>
              </w:rPr>
            </w:pPr>
          </w:p>
          <w:p w14:paraId="2F8BFA69" w14:textId="77777777" w:rsidR="00A77B3E" w:rsidRDefault="00B16CCF">
            <w:pPr>
              <w:spacing w:before="5pt"/>
              <w:rPr>
                <w:color w:val="000000"/>
              </w:rPr>
            </w:pPr>
            <w:r>
              <w:rPr>
                <w:color w:val="000000"/>
              </w:rPr>
              <w:t xml:space="preserve">Na podlagi analize Predhodne ocena potreb trga in vrzeli financiranja na trgu za izvajanje finančnih instrumentov v programskem obdobju 2021-2027 (julij 2022) je bilo sicer ugotovljeno, da je uporaba finančnih instrumentov (FI) mogoča za spodbujanje urbanega razvoja (hkrati s SC RSO5.1) na podlagi uspešnega izvajanja FI na tem področju v obdobju 2014–2020 in vrzeli, identificirane v študiji Predlog za oblikovanje sklada za urbani razvoj. </w:t>
            </w:r>
          </w:p>
          <w:p w14:paraId="28124E96" w14:textId="77777777" w:rsidR="00A77B3E" w:rsidRDefault="00B16CCF">
            <w:pPr>
              <w:spacing w:before="5pt"/>
              <w:rPr>
                <w:color w:val="000000"/>
              </w:rPr>
            </w:pPr>
            <w:r>
              <w:rPr>
                <w:color w:val="000000"/>
              </w:rPr>
              <w:t xml:space="preserve">Ker pa ukrepi, načrtovani v okviru predmetnega specifičnega cilja, niso primerni za financiranje s finančnimi instrumenti, saj gre za ukrepe, ki ne ustvarjajo denarnega toka iz naslova prihodkov iz projekta za poplačilo posojil, prejetih z naslova finančnih instrumentov, se načrtuje zgolj uporaba nepovratnih virov in uporaba FI ni načrtovana. </w:t>
            </w:r>
          </w:p>
          <w:p w14:paraId="615D8C0F" w14:textId="77777777" w:rsidR="00A77B3E" w:rsidRDefault="00A77B3E">
            <w:pPr>
              <w:spacing w:before="5pt"/>
              <w:rPr>
                <w:color w:val="000000"/>
                <w:sz w:val="6"/>
              </w:rPr>
            </w:pPr>
          </w:p>
          <w:p w14:paraId="5CD304CC" w14:textId="77777777" w:rsidR="00A77B3E" w:rsidRDefault="00A77B3E">
            <w:pPr>
              <w:spacing w:before="5pt"/>
              <w:rPr>
                <w:color w:val="000000"/>
                <w:sz w:val="6"/>
              </w:rPr>
            </w:pPr>
          </w:p>
        </w:tc>
      </w:tr>
    </w:tbl>
    <w:p w14:paraId="15B46558" w14:textId="77777777" w:rsidR="00A77B3E" w:rsidRDefault="00A77B3E">
      <w:pPr>
        <w:spacing w:before="5pt"/>
        <w:rPr>
          <w:color w:val="000000"/>
        </w:rPr>
      </w:pPr>
    </w:p>
    <w:p w14:paraId="44A0B005" w14:textId="77777777" w:rsidR="00A77B3E" w:rsidRDefault="00B16CCF">
      <w:pPr>
        <w:pStyle w:val="Naslov4"/>
        <w:spacing w:before="5pt" w:after="0pt"/>
        <w:rPr>
          <w:b w:val="0"/>
          <w:color w:val="000000"/>
          <w:sz w:val="24"/>
        </w:rPr>
      </w:pPr>
      <w:bookmarkStart w:id="186" w:name="_Toc256000947"/>
      <w:r>
        <w:rPr>
          <w:b w:val="0"/>
          <w:color w:val="000000"/>
          <w:sz w:val="24"/>
        </w:rPr>
        <w:t>2.1.1.1.2. Kazalniki</w:t>
      </w:r>
      <w:bookmarkEnd w:id="186"/>
    </w:p>
    <w:p w14:paraId="638D7B7E" w14:textId="77777777" w:rsidR="00A77B3E" w:rsidRDefault="00A77B3E">
      <w:pPr>
        <w:spacing w:before="5pt"/>
        <w:rPr>
          <w:color w:val="000000"/>
          <w:sz w:val="0"/>
        </w:rPr>
      </w:pPr>
    </w:p>
    <w:p w14:paraId="45C77C25" w14:textId="77777777" w:rsidR="00A77B3E" w:rsidRDefault="00B16CCF">
      <w:pPr>
        <w:spacing w:before="5pt"/>
        <w:rPr>
          <w:color w:val="000000"/>
          <w:sz w:val="0"/>
        </w:rPr>
      </w:pPr>
      <w:r>
        <w:rPr>
          <w:color w:val="000000"/>
        </w:rPr>
        <w:t>Sklic: člen 22(3)(d)(ii) uredbe o skupnih določbah in člen 8 uredbe o ESRR in Kohezijskem skladu</w:t>
      </w:r>
    </w:p>
    <w:p w14:paraId="10F27C73" w14:textId="77777777" w:rsidR="00A77B3E" w:rsidRDefault="00B16CCF">
      <w:pPr>
        <w:pStyle w:val="Naslov5"/>
        <w:spacing w:before="5pt" w:after="0pt"/>
        <w:rPr>
          <w:b w:val="0"/>
          <w:i w:val="0"/>
          <w:color w:val="000000"/>
          <w:sz w:val="24"/>
        </w:rPr>
      </w:pPr>
      <w:bookmarkStart w:id="187" w:name="_Toc256000948"/>
      <w:r>
        <w:rPr>
          <w:b w:val="0"/>
          <w:i w:val="0"/>
          <w:color w:val="000000"/>
          <w:sz w:val="24"/>
        </w:rPr>
        <w:t>Tabela 2: Kazalniki učinka</w:t>
      </w:r>
      <w:bookmarkEnd w:id="187"/>
    </w:p>
    <w:p w14:paraId="419CF58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914"/>
        <w:gridCol w:w="1767"/>
        <w:gridCol w:w="1179"/>
        <w:gridCol w:w="1832"/>
        <w:gridCol w:w="2126"/>
        <w:gridCol w:w="2390"/>
        <w:gridCol w:w="1367"/>
        <w:gridCol w:w="1325"/>
        <w:gridCol w:w="1272"/>
      </w:tblGrid>
      <w:tr w:rsidR="00823317" w14:paraId="4AE17EE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D85481D"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D2C6038"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741C75"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74A5B9"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066F4B"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E855DA"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328294"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C867AC" w14:textId="77777777" w:rsidR="00A77B3E" w:rsidRDefault="00B16CCF">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3DE75B" w14:textId="77777777" w:rsidR="00A77B3E" w:rsidRDefault="00B16CCF">
            <w:pPr>
              <w:spacing w:before="5pt"/>
              <w:jc w:val="center"/>
              <w:rPr>
                <w:color w:val="000000"/>
                <w:sz w:val="20"/>
              </w:rPr>
            </w:pPr>
            <w:r>
              <w:rPr>
                <w:color w:val="000000"/>
                <w:sz w:val="20"/>
              </w:rPr>
              <w:t>Cilj (2029)</w:t>
            </w:r>
          </w:p>
        </w:tc>
      </w:tr>
      <w:tr w:rsidR="00823317" w14:paraId="7432676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CE2CAC" w14:textId="77777777" w:rsidR="00A77B3E" w:rsidRDefault="00B16CCF">
            <w:pPr>
              <w:spacing w:before="5pt"/>
              <w:rPr>
                <w:color w:val="000000"/>
                <w:sz w:val="20"/>
              </w:rPr>
            </w:pPr>
            <w:r>
              <w:rPr>
                <w:color w:val="000000"/>
                <w:sz w:val="20"/>
              </w:rPr>
              <w:lastRenderedPageBreak/>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94AAA2" w14:textId="77777777" w:rsidR="00A77B3E" w:rsidRDefault="00B16CCF">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62F520"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629228"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8DF7F4" w14:textId="77777777" w:rsidR="00A77B3E" w:rsidRDefault="00B16CCF">
            <w:pPr>
              <w:spacing w:before="5pt"/>
              <w:rPr>
                <w:color w:val="000000"/>
                <w:sz w:val="20"/>
              </w:rPr>
            </w:pPr>
            <w:r>
              <w:rPr>
                <w:color w:val="000000"/>
                <w:sz w:val="20"/>
              </w:rPr>
              <w:t>RCO36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6E0304" w14:textId="77777777" w:rsidR="00A77B3E" w:rsidRDefault="00B16CCF">
            <w:pPr>
              <w:spacing w:before="5pt"/>
              <w:rPr>
                <w:color w:val="000000"/>
                <w:sz w:val="20"/>
              </w:rPr>
            </w:pPr>
            <w:r>
              <w:rPr>
                <w:color w:val="000000"/>
                <w:sz w:val="20"/>
              </w:rPr>
              <w:t>Zelena infrastruktura, ki je prejela odporo za druge namene in ne za prilagajanje podnebnim spremembam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766CD8" w14:textId="77777777" w:rsidR="00A77B3E" w:rsidRDefault="00B16CCF">
            <w:pPr>
              <w:spacing w:before="5pt"/>
              <w:rPr>
                <w:color w:val="000000"/>
                <w:sz w:val="20"/>
              </w:rPr>
            </w:pPr>
            <w:r>
              <w:rPr>
                <w:color w:val="000000"/>
                <w:sz w:val="20"/>
              </w:rPr>
              <w:t>hektari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3A83BE" w14:textId="77777777" w:rsidR="00A77B3E" w:rsidRDefault="00B16CCF">
            <w:pPr>
              <w:spacing w:before="5pt"/>
              <w:jc w:val="end"/>
              <w:rPr>
                <w:color w:val="000000"/>
                <w:sz w:val="20"/>
              </w:rPr>
            </w:pPr>
            <w:r>
              <w:rPr>
                <w:color w:val="000000"/>
                <w:sz w:val="20"/>
              </w:rPr>
              <w:t>1,00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DCF1BA" w14:textId="77777777" w:rsidR="00A77B3E" w:rsidRDefault="00B16CCF">
            <w:pPr>
              <w:spacing w:before="5pt"/>
              <w:jc w:val="end"/>
              <w:rPr>
                <w:color w:val="000000"/>
                <w:sz w:val="20"/>
              </w:rPr>
            </w:pPr>
            <w:r>
              <w:rPr>
                <w:color w:val="000000"/>
                <w:sz w:val="20"/>
              </w:rPr>
              <w:t>5,90</w:t>
            </w:r>
          </w:p>
        </w:tc>
      </w:tr>
      <w:tr w:rsidR="00823317" w14:paraId="1F4CFA7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B4C2EA"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A65A5B" w14:textId="77777777" w:rsidR="00A77B3E" w:rsidRDefault="00B16CCF">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E53C9D"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53078F"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55DF74" w14:textId="77777777" w:rsidR="00A77B3E" w:rsidRDefault="00B16CCF">
            <w:pPr>
              <w:spacing w:before="5pt"/>
              <w:rPr>
                <w:color w:val="000000"/>
                <w:sz w:val="20"/>
              </w:rPr>
            </w:pPr>
            <w:r>
              <w:rPr>
                <w:color w:val="000000"/>
                <w:sz w:val="20"/>
              </w:rPr>
              <w:t>RCO37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6A4234" w14:textId="77777777" w:rsidR="00A77B3E" w:rsidRDefault="00B16CCF">
            <w:pPr>
              <w:spacing w:before="5pt"/>
              <w:rPr>
                <w:color w:val="000000"/>
                <w:sz w:val="20"/>
              </w:rPr>
            </w:pPr>
            <w:r>
              <w:rPr>
                <w:color w:val="000000"/>
                <w:sz w:val="20"/>
              </w:rPr>
              <w:t>Površina območij Natura 2000, na katerih se izvajajo zaščitni in sanacijski ukrepi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7A8F4C" w14:textId="77777777" w:rsidR="00A77B3E" w:rsidRDefault="00B16CCF">
            <w:pPr>
              <w:spacing w:before="5pt"/>
              <w:rPr>
                <w:color w:val="000000"/>
                <w:sz w:val="20"/>
              </w:rPr>
            </w:pPr>
            <w:r>
              <w:rPr>
                <w:color w:val="000000"/>
                <w:sz w:val="20"/>
              </w:rPr>
              <w:t>hektari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D8183F"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27073A" w14:textId="77777777" w:rsidR="00A77B3E" w:rsidRDefault="00B16CCF">
            <w:pPr>
              <w:spacing w:before="5pt"/>
              <w:jc w:val="end"/>
              <w:rPr>
                <w:color w:val="000000"/>
                <w:sz w:val="20"/>
              </w:rPr>
            </w:pPr>
            <w:r>
              <w:rPr>
                <w:color w:val="000000"/>
                <w:sz w:val="20"/>
              </w:rPr>
              <w:t>800,00</w:t>
            </w:r>
          </w:p>
        </w:tc>
      </w:tr>
      <w:tr w:rsidR="00823317" w14:paraId="1BA8DEF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324CA6"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B361D6" w14:textId="77777777" w:rsidR="00A77B3E" w:rsidRDefault="00B16CCF">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BD06F0"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C007DE"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FAB207" w14:textId="77777777" w:rsidR="00A77B3E" w:rsidRDefault="00B16CCF">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8CA356" w14:textId="77777777" w:rsidR="00A77B3E" w:rsidRDefault="00B16CCF">
            <w:pPr>
              <w:spacing w:before="5pt"/>
              <w:rPr>
                <w:color w:val="000000"/>
                <w:sz w:val="20"/>
              </w:rPr>
            </w:pPr>
            <w:r>
              <w:rPr>
                <w:color w:val="000000"/>
                <w:sz w:val="20"/>
              </w:rPr>
              <w:t>Inovativni ukrepi na področju spodbujanja ozelenitve mest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63108F" w14:textId="77777777" w:rsidR="00A77B3E" w:rsidRDefault="00B16CCF">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7EEA3C"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ECC0AF" w14:textId="77777777" w:rsidR="00A77B3E" w:rsidRDefault="00B16CCF">
            <w:pPr>
              <w:spacing w:before="5pt"/>
              <w:jc w:val="end"/>
              <w:rPr>
                <w:color w:val="000000"/>
                <w:sz w:val="20"/>
              </w:rPr>
            </w:pPr>
            <w:r>
              <w:rPr>
                <w:color w:val="000000"/>
                <w:sz w:val="20"/>
              </w:rPr>
              <w:t>3,00</w:t>
            </w:r>
          </w:p>
        </w:tc>
      </w:tr>
      <w:tr w:rsidR="00823317" w14:paraId="1FCF2CE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7E0744"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E98043" w14:textId="77777777" w:rsidR="00A77B3E" w:rsidRDefault="00B16CCF">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EA6BE5"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3A1D10"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79C5CF" w14:textId="77777777" w:rsidR="00A77B3E" w:rsidRDefault="00B16CCF">
            <w:pPr>
              <w:spacing w:before="5pt"/>
              <w:rPr>
                <w:color w:val="000000"/>
                <w:sz w:val="20"/>
              </w:rPr>
            </w:pPr>
            <w:r>
              <w:rPr>
                <w:color w:val="000000"/>
                <w:sz w:val="20"/>
              </w:rPr>
              <w:t>RCO36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A64541" w14:textId="77777777" w:rsidR="00A77B3E" w:rsidRDefault="00B16CCF">
            <w:pPr>
              <w:spacing w:before="5pt"/>
              <w:rPr>
                <w:color w:val="000000"/>
                <w:sz w:val="20"/>
              </w:rPr>
            </w:pPr>
            <w:r>
              <w:rPr>
                <w:color w:val="000000"/>
                <w:sz w:val="20"/>
              </w:rPr>
              <w:t>Zelena infrastruktura, ki je prejela odporo za druge namene in ne za prilagajanje podnebnim spremembam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BBAB25" w14:textId="77777777" w:rsidR="00A77B3E" w:rsidRDefault="00B16CCF">
            <w:pPr>
              <w:spacing w:before="5pt"/>
              <w:rPr>
                <w:color w:val="000000"/>
                <w:sz w:val="20"/>
              </w:rPr>
            </w:pPr>
            <w:r>
              <w:rPr>
                <w:color w:val="000000"/>
                <w:sz w:val="20"/>
              </w:rPr>
              <w:t>hektari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A1B728" w14:textId="77777777" w:rsidR="00A77B3E" w:rsidRDefault="00B16CCF">
            <w:pPr>
              <w:spacing w:before="5pt"/>
              <w:jc w:val="end"/>
              <w:rPr>
                <w:color w:val="000000"/>
                <w:sz w:val="20"/>
              </w:rPr>
            </w:pPr>
            <w:r>
              <w:rPr>
                <w:color w:val="000000"/>
                <w:sz w:val="20"/>
              </w:rPr>
              <w:t>3,00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FC582A" w14:textId="77777777" w:rsidR="00A77B3E" w:rsidRDefault="00B16CCF">
            <w:pPr>
              <w:spacing w:before="5pt"/>
              <w:jc w:val="end"/>
              <w:rPr>
                <w:color w:val="000000"/>
                <w:sz w:val="20"/>
              </w:rPr>
            </w:pPr>
            <w:r>
              <w:rPr>
                <w:color w:val="000000"/>
                <w:sz w:val="20"/>
              </w:rPr>
              <w:t>11,30</w:t>
            </w:r>
          </w:p>
        </w:tc>
      </w:tr>
      <w:tr w:rsidR="00823317" w14:paraId="7D0028C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FA9E77"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9E216F" w14:textId="77777777" w:rsidR="00A77B3E" w:rsidRDefault="00B16CCF">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756FE0"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51A1F7"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BF6669" w14:textId="77777777" w:rsidR="00A77B3E" w:rsidRDefault="00B16CCF">
            <w:pPr>
              <w:spacing w:before="5pt"/>
              <w:rPr>
                <w:color w:val="000000"/>
                <w:sz w:val="20"/>
              </w:rPr>
            </w:pPr>
            <w:r>
              <w:rPr>
                <w:color w:val="000000"/>
                <w:sz w:val="20"/>
              </w:rPr>
              <w:t>RCO37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C8905B" w14:textId="77777777" w:rsidR="00A77B3E" w:rsidRDefault="00B16CCF">
            <w:pPr>
              <w:spacing w:before="5pt"/>
              <w:rPr>
                <w:color w:val="000000"/>
                <w:sz w:val="20"/>
              </w:rPr>
            </w:pPr>
            <w:r>
              <w:rPr>
                <w:color w:val="000000"/>
                <w:sz w:val="20"/>
              </w:rPr>
              <w:t>Površina območij Natura 2000, na katerih se izvajajo zaščitni in sanacijski ukrepi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56AE1A" w14:textId="77777777" w:rsidR="00A77B3E" w:rsidRDefault="00B16CCF">
            <w:pPr>
              <w:spacing w:before="5pt"/>
              <w:rPr>
                <w:color w:val="000000"/>
                <w:sz w:val="20"/>
              </w:rPr>
            </w:pPr>
            <w:r>
              <w:rPr>
                <w:color w:val="000000"/>
                <w:sz w:val="20"/>
              </w:rPr>
              <w:t>hektari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61FA61"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CF3A65" w14:textId="77777777" w:rsidR="00A77B3E" w:rsidRDefault="00B16CCF">
            <w:pPr>
              <w:spacing w:before="5pt"/>
              <w:jc w:val="end"/>
              <w:rPr>
                <w:color w:val="000000"/>
                <w:sz w:val="20"/>
              </w:rPr>
            </w:pPr>
            <w:r>
              <w:rPr>
                <w:color w:val="000000"/>
                <w:sz w:val="20"/>
              </w:rPr>
              <w:t>700,00</w:t>
            </w:r>
          </w:p>
        </w:tc>
      </w:tr>
      <w:tr w:rsidR="00823317" w14:paraId="206808C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285BD1"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572363" w14:textId="77777777" w:rsidR="00A77B3E" w:rsidRDefault="00B16CCF">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F56B3A"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1F56E1"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54C22B" w14:textId="77777777" w:rsidR="00A77B3E" w:rsidRDefault="00B16CCF">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A9A997" w14:textId="77777777" w:rsidR="00A77B3E" w:rsidRDefault="00B16CCF">
            <w:pPr>
              <w:spacing w:before="5pt"/>
              <w:rPr>
                <w:color w:val="000000"/>
                <w:sz w:val="20"/>
              </w:rPr>
            </w:pPr>
            <w:r>
              <w:rPr>
                <w:color w:val="000000"/>
                <w:sz w:val="20"/>
              </w:rPr>
              <w:t>Inovativni ukrepi na področju spodbujanja ozelenitve mest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DBC1A6" w14:textId="77777777" w:rsidR="00A77B3E" w:rsidRDefault="00B16CCF">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A0D531"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1FBB7B" w14:textId="77777777" w:rsidR="00A77B3E" w:rsidRDefault="00B16CCF">
            <w:pPr>
              <w:spacing w:before="5pt"/>
              <w:jc w:val="end"/>
              <w:rPr>
                <w:color w:val="000000"/>
                <w:sz w:val="20"/>
              </w:rPr>
            </w:pPr>
            <w:r>
              <w:rPr>
                <w:color w:val="000000"/>
                <w:sz w:val="20"/>
              </w:rPr>
              <w:t>2,00</w:t>
            </w:r>
          </w:p>
        </w:tc>
      </w:tr>
    </w:tbl>
    <w:p w14:paraId="5225320D" w14:textId="77777777" w:rsidR="00A77B3E" w:rsidRDefault="00A77B3E">
      <w:pPr>
        <w:spacing w:before="5pt"/>
        <w:rPr>
          <w:color w:val="000000"/>
          <w:sz w:val="20"/>
        </w:rPr>
      </w:pPr>
    </w:p>
    <w:p w14:paraId="77FDF74F" w14:textId="77777777" w:rsidR="00A77B3E" w:rsidRDefault="00B16CCF">
      <w:pPr>
        <w:spacing w:before="5pt"/>
        <w:rPr>
          <w:color w:val="000000"/>
          <w:sz w:val="0"/>
        </w:rPr>
      </w:pPr>
      <w:r>
        <w:rPr>
          <w:color w:val="000000"/>
        </w:rPr>
        <w:t>Sklic: člen 22(3)(d)(ii) uredbe o skupnih določbah</w:t>
      </w:r>
    </w:p>
    <w:p w14:paraId="650582B0" w14:textId="77777777" w:rsidR="00A77B3E" w:rsidRDefault="00B16CCF">
      <w:pPr>
        <w:pStyle w:val="Naslov5"/>
        <w:spacing w:before="5pt" w:after="0pt"/>
        <w:rPr>
          <w:b w:val="0"/>
          <w:i w:val="0"/>
          <w:color w:val="000000"/>
          <w:sz w:val="24"/>
        </w:rPr>
      </w:pPr>
      <w:bookmarkStart w:id="188" w:name="_Toc256000949"/>
      <w:r>
        <w:rPr>
          <w:b w:val="0"/>
          <w:i w:val="0"/>
          <w:color w:val="000000"/>
          <w:sz w:val="24"/>
        </w:rPr>
        <w:t>Tabela 3: Kazalniki rezultatov</w:t>
      </w:r>
      <w:bookmarkEnd w:id="188"/>
    </w:p>
    <w:p w14:paraId="1F7396D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94"/>
        <w:gridCol w:w="1194"/>
        <w:gridCol w:w="796"/>
        <w:gridCol w:w="1237"/>
        <w:gridCol w:w="1436"/>
        <w:gridCol w:w="1550"/>
        <w:gridCol w:w="939"/>
        <w:gridCol w:w="1266"/>
        <w:gridCol w:w="1336"/>
        <w:gridCol w:w="1308"/>
        <w:gridCol w:w="1308"/>
        <w:gridCol w:w="1508"/>
      </w:tblGrid>
      <w:tr w:rsidR="00823317" w14:paraId="73A25BC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6EAE71"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26F3F4"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699561"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949DDA"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789886"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802ED6"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919FA1"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A5E62B" w14:textId="77777777" w:rsidR="00A77B3E" w:rsidRDefault="00B16CCF">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7BAAB4" w14:textId="77777777" w:rsidR="00A77B3E" w:rsidRDefault="00B16CCF">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50A63D" w14:textId="77777777" w:rsidR="00A77B3E" w:rsidRDefault="00B16CCF">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064CBF" w14:textId="77777777" w:rsidR="00A77B3E" w:rsidRDefault="00B16CCF">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BB2C61" w14:textId="77777777" w:rsidR="00A77B3E" w:rsidRDefault="00B16CCF">
            <w:pPr>
              <w:spacing w:before="5pt"/>
              <w:jc w:val="center"/>
              <w:rPr>
                <w:color w:val="000000"/>
                <w:sz w:val="20"/>
              </w:rPr>
            </w:pPr>
            <w:r>
              <w:rPr>
                <w:color w:val="000000"/>
                <w:sz w:val="20"/>
              </w:rPr>
              <w:t>Opombe</w:t>
            </w:r>
          </w:p>
        </w:tc>
      </w:tr>
      <w:tr w:rsidR="00823317" w14:paraId="4905C8F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A7D9A1"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54C489" w14:textId="77777777" w:rsidR="00A77B3E" w:rsidRDefault="00B16CCF">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04ADD0"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8CC992"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1DCB0A" w14:textId="77777777" w:rsidR="00A77B3E" w:rsidRDefault="00B16CCF">
            <w:pPr>
              <w:spacing w:before="5pt"/>
              <w:rPr>
                <w:color w:val="000000"/>
                <w:sz w:val="20"/>
              </w:rPr>
            </w:pPr>
            <w:r>
              <w:rPr>
                <w:color w:val="000000"/>
                <w:sz w:val="20"/>
              </w:rPr>
              <w:t>RCR95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033925" w14:textId="77777777" w:rsidR="00A77B3E" w:rsidRDefault="00B16CCF">
            <w:pPr>
              <w:spacing w:before="5pt"/>
              <w:rPr>
                <w:color w:val="000000"/>
                <w:sz w:val="20"/>
              </w:rPr>
            </w:pPr>
            <w:r>
              <w:rPr>
                <w:color w:val="000000"/>
                <w:sz w:val="20"/>
              </w:rPr>
              <w:t>Prebivalci, ki imajo dostop do nove ali izboljšane zelene infrastrukture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B3F351" w14:textId="77777777" w:rsidR="00A77B3E" w:rsidRDefault="00B16CCF">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8A5113"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554043" w14:textId="77777777" w:rsidR="00A77B3E" w:rsidRDefault="00B16CCF">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8F1592" w14:textId="77777777" w:rsidR="00A77B3E" w:rsidRDefault="00B16CCF">
            <w:pPr>
              <w:spacing w:before="5pt"/>
              <w:jc w:val="end"/>
              <w:rPr>
                <w:color w:val="000000"/>
                <w:sz w:val="20"/>
              </w:rPr>
            </w:pPr>
            <w:r>
              <w:rPr>
                <w:color w:val="000000"/>
                <w:sz w:val="20"/>
              </w:rPr>
              <w:t>95.000,00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3B439B" w14:textId="77777777" w:rsidR="00A77B3E" w:rsidRDefault="00B16CCF">
            <w:pPr>
              <w:spacing w:before="5pt"/>
              <w:rPr>
                <w:color w:val="000000"/>
                <w:sz w:val="20"/>
              </w:rPr>
            </w:pPr>
            <w:r>
              <w:rPr>
                <w:color w:val="000000"/>
                <w:sz w:val="20"/>
              </w:rPr>
              <w:t>SURS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9D4250" w14:textId="77777777" w:rsidR="00A77B3E" w:rsidRDefault="00B16CCF">
            <w:pPr>
              <w:spacing w:before="5pt"/>
              <w:rPr>
                <w:color w:val="000000"/>
                <w:sz w:val="20"/>
              </w:rPr>
            </w:pPr>
            <w:r>
              <w:rPr>
                <w:color w:val="000000"/>
                <w:sz w:val="20"/>
              </w:rPr>
              <w:t>Ocena na podlagi metodologije MOP</w:t>
            </w:r>
          </w:p>
        </w:tc>
      </w:tr>
      <w:tr w:rsidR="00823317" w14:paraId="196B2C7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FB4D4B"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D144D6" w14:textId="77777777" w:rsidR="00A77B3E" w:rsidRDefault="00B16CCF">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4A92B1"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EA7F0C"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18B4D1"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DD9E61" w14:textId="77777777" w:rsidR="00A77B3E" w:rsidRDefault="00B16CCF">
            <w:pPr>
              <w:spacing w:before="5pt"/>
              <w:rPr>
                <w:color w:val="000000"/>
                <w:sz w:val="20"/>
              </w:rPr>
            </w:pPr>
            <w:r>
              <w:rPr>
                <w:color w:val="000000"/>
                <w:sz w:val="20"/>
              </w:rPr>
              <w:t xml:space="preserve">Vsaj 50% ciljnim vrstam in </w:t>
            </w:r>
            <w:r>
              <w:rPr>
                <w:color w:val="000000"/>
                <w:sz w:val="20"/>
              </w:rPr>
              <w:lastRenderedPageBreak/>
              <w:t>habitatnim tipom s seznama prednostnih projektov (in 75% iz posameznega projekta), določenih v Programu upravljanja območij Natura 2000 se mora izboljšati stanje ohranjenosti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11AAA8" w14:textId="77777777" w:rsidR="00A77B3E" w:rsidRDefault="00B16CCF">
            <w:pPr>
              <w:spacing w:before="5pt"/>
              <w:rPr>
                <w:color w:val="000000"/>
                <w:sz w:val="20"/>
              </w:rPr>
            </w:pPr>
            <w:r>
              <w:rPr>
                <w:color w:val="000000"/>
                <w:sz w:val="20"/>
              </w:rPr>
              <w:lastRenderedPageBreak/>
              <w:t xml:space="preserve">Skupno število </w:t>
            </w:r>
            <w:r>
              <w:rPr>
                <w:color w:val="000000"/>
                <w:sz w:val="20"/>
              </w:rPr>
              <w:lastRenderedPageBreak/>
              <w:t>»enot« v slabem stanju</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CCCA72" w14:textId="77777777" w:rsidR="00A77B3E" w:rsidRDefault="00B16CCF">
            <w:pPr>
              <w:spacing w:before="5pt"/>
              <w:jc w:val="end"/>
              <w:rPr>
                <w:color w:val="000000"/>
                <w:sz w:val="20"/>
              </w:rPr>
            </w:pPr>
            <w:r>
              <w:rPr>
                <w:color w:val="000000"/>
                <w:sz w:val="20"/>
              </w:rPr>
              <w:lastRenderedPageBreak/>
              <w:t>100,00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7F41F9" w14:textId="77777777" w:rsidR="00A77B3E" w:rsidRDefault="00B16CCF">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1296AB" w14:textId="77777777" w:rsidR="00A77B3E" w:rsidRDefault="00B16CCF">
            <w:pPr>
              <w:spacing w:before="5pt"/>
              <w:jc w:val="end"/>
              <w:rPr>
                <w:color w:val="000000"/>
                <w:sz w:val="20"/>
              </w:rPr>
            </w:pPr>
            <w:r>
              <w:rPr>
                <w:color w:val="000000"/>
                <w:sz w:val="20"/>
              </w:rPr>
              <w:t>50,00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2AF438" w14:textId="77777777" w:rsidR="00A77B3E" w:rsidRDefault="00B16CCF">
            <w:pPr>
              <w:spacing w:before="5pt"/>
              <w:rPr>
                <w:color w:val="000000"/>
                <w:sz w:val="20"/>
              </w:rPr>
            </w:pPr>
            <w:r>
              <w:rPr>
                <w:color w:val="000000"/>
                <w:sz w:val="20"/>
              </w:rPr>
              <w:t xml:space="preserve">Standardni obrazec </w:t>
            </w:r>
            <w:r>
              <w:rPr>
                <w:color w:val="000000"/>
                <w:sz w:val="20"/>
              </w:rPr>
              <w:lastRenderedPageBreak/>
              <w:t>Natura 2000; Program upravljanja z območji Nature 2000 za obdobje 2022-2028 (PUN)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E7B080" w14:textId="77777777" w:rsidR="00A77B3E" w:rsidRDefault="00B16CCF">
            <w:pPr>
              <w:spacing w:before="5pt"/>
              <w:rPr>
                <w:color w:val="000000"/>
                <w:sz w:val="20"/>
              </w:rPr>
            </w:pPr>
            <w:r>
              <w:rPr>
                <w:color w:val="000000"/>
                <w:sz w:val="20"/>
              </w:rPr>
              <w:lastRenderedPageBreak/>
              <w:t xml:space="preserve">Vsaj 50 % ciljnim vrstam in </w:t>
            </w:r>
            <w:r>
              <w:rPr>
                <w:color w:val="000000"/>
                <w:sz w:val="20"/>
              </w:rPr>
              <w:lastRenderedPageBreak/>
              <w:t>habitatnim tipom s seznama prednostnih projektov (in 75 % iz posamičnega projekta), določenih v Programu upravljanja območij Natura 2000 se mora izboljšati stanje ohranjenosti</w:t>
            </w:r>
          </w:p>
        </w:tc>
      </w:tr>
      <w:tr w:rsidR="00823317" w14:paraId="6D27E64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969957" w14:textId="77777777" w:rsidR="00A77B3E" w:rsidRDefault="00B16CCF">
            <w:pPr>
              <w:spacing w:before="5pt"/>
              <w:rPr>
                <w:color w:val="000000"/>
                <w:sz w:val="20"/>
              </w:rPr>
            </w:pPr>
            <w:r>
              <w:rPr>
                <w:color w:val="000000"/>
                <w:sz w:val="20"/>
              </w:rPr>
              <w:lastRenderedPageBreak/>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8587F5" w14:textId="77777777" w:rsidR="00A77B3E" w:rsidRDefault="00B16CCF">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BD8452"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89E7C0"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8C7FCD" w14:textId="77777777" w:rsidR="00A77B3E" w:rsidRDefault="00B16CCF">
            <w:pPr>
              <w:spacing w:before="5pt"/>
              <w:rPr>
                <w:color w:val="000000"/>
                <w:sz w:val="20"/>
              </w:rPr>
            </w:pPr>
            <w:r>
              <w:rPr>
                <w:color w:val="000000"/>
                <w:sz w:val="20"/>
              </w:rPr>
              <w:t>RCR95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0FA726" w14:textId="77777777" w:rsidR="00A77B3E" w:rsidRDefault="00B16CCF">
            <w:pPr>
              <w:spacing w:before="5pt"/>
              <w:rPr>
                <w:color w:val="000000"/>
                <w:sz w:val="20"/>
              </w:rPr>
            </w:pPr>
            <w:r>
              <w:rPr>
                <w:color w:val="000000"/>
                <w:sz w:val="20"/>
              </w:rPr>
              <w:t>Prebivalci, ki imajo dostop do nove ali izboljšane zelene infrastrukture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8C482E" w14:textId="77777777" w:rsidR="00A77B3E" w:rsidRDefault="00B16CCF">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B9CB5B"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BB0FD6" w14:textId="77777777" w:rsidR="00A77B3E" w:rsidRDefault="00B16CCF">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5B8446" w14:textId="77777777" w:rsidR="00A77B3E" w:rsidRDefault="00B16CCF">
            <w:pPr>
              <w:spacing w:before="5pt"/>
              <w:jc w:val="end"/>
              <w:rPr>
                <w:color w:val="000000"/>
                <w:sz w:val="20"/>
              </w:rPr>
            </w:pPr>
            <w:r>
              <w:rPr>
                <w:color w:val="000000"/>
                <w:sz w:val="20"/>
              </w:rPr>
              <w:t>146.000,00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EE2AE6" w14:textId="77777777" w:rsidR="00A77B3E" w:rsidRDefault="00B16CCF">
            <w:pPr>
              <w:spacing w:before="5pt"/>
              <w:rPr>
                <w:color w:val="000000"/>
                <w:sz w:val="20"/>
              </w:rPr>
            </w:pPr>
            <w:r>
              <w:rPr>
                <w:color w:val="000000"/>
                <w:sz w:val="20"/>
              </w:rPr>
              <w:t>SURS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F09F9C" w14:textId="77777777" w:rsidR="00A77B3E" w:rsidRDefault="00B16CCF">
            <w:pPr>
              <w:spacing w:before="5pt"/>
              <w:rPr>
                <w:color w:val="000000"/>
                <w:sz w:val="20"/>
              </w:rPr>
            </w:pPr>
            <w:r>
              <w:rPr>
                <w:color w:val="000000"/>
                <w:sz w:val="20"/>
              </w:rPr>
              <w:t>Ocena na podlagi metodologije MOP</w:t>
            </w:r>
          </w:p>
        </w:tc>
      </w:tr>
      <w:tr w:rsidR="00823317" w14:paraId="3887CE7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BA445B"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DD15A0" w14:textId="77777777" w:rsidR="00A77B3E" w:rsidRDefault="00B16CCF">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93684D"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152F43"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C2D649"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A38A28" w14:textId="77777777" w:rsidR="00A77B3E" w:rsidRDefault="00B16CCF">
            <w:pPr>
              <w:spacing w:before="5pt"/>
              <w:rPr>
                <w:color w:val="000000"/>
                <w:sz w:val="20"/>
              </w:rPr>
            </w:pPr>
            <w:r>
              <w:rPr>
                <w:color w:val="000000"/>
                <w:sz w:val="20"/>
              </w:rPr>
              <w:t>Vsaj 50% ciljnim vrstam in habitatnim tipom s seznama prednostnih projektov (in 75% iz posameznega projekta), določenih v Programu upravljanja območij Natura 2000 se mora izboljšati stanje ohranjenosti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F7FFFD" w14:textId="77777777" w:rsidR="00A77B3E" w:rsidRDefault="00B16CCF">
            <w:pPr>
              <w:spacing w:before="5pt"/>
              <w:rPr>
                <w:color w:val="000000"/>
                <w:sz w:val="20"/>
              </w:rPr>
            </w:pPr>
            <w:r>
              <w:rPr>
                <w:color w:val="000000"/>
                <w:sz w:val="20"/>
              </w:rPr>
              <w:t>Skupno število »enot« v slabem stanju</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24767C" w14:textId="77777777" w:rsidR="00A77B3E" w:rsidRDefault="00B16CCF">
            <w:pPr>
              <w:spacing w:before="5pt"/>
              <w:jc w:val="end"/>
              <w:rPr>
                <w:color w:val="000000"/>
                <w:sz w:val="20"/>
              </w:rPr>
            </w:pPr>
            <w:r>
              <w:rPr>
                <w:color w:val="000000"/>
                <w:sz w:val="20"/>
              </w:rPr>
              <w:t>180,00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E24A56" w14:textId="77777777" w:rsidR="00A77B3E" w:rsidRDefault="00B16CCF">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4AB689" w14:textId="77777777" w:rsidR="00A77B3E" w:rsidRDefault="00B16CCF">
            <w:pPr>
              <w:spacing w:before="5pt"/>
              <w:jc w:val="end"/>
              <w:rPr>
                <w:color w:val="000000"/>
                <w:sz w:val="20"/>
              </w:rPr>
            </w:pPr>
            <w:r>
              <w:rPr>
                <w:color w:val="000000"/>
                <w:sz w:val="20"/>
              </w:rPr>
              <w:t>90,00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4971D3" w14:textId="77777777" w:rsidR="00A77B3E" w:rsidRDefault="00B16CCF">
            <w:pPr>
              <w:spacing w:before="5pt"/>
              <w:rPr>
                <w:color w:val="000000"/>
                <w:sz w:val="20"/>
              </w:rPr>
            </w:pPr>
            <w:r>
              <w:rPr>
                <w:color w:val="000000"/>
                <w:sz w:val="20"/>
              </w:rPr>
              <w:t xml:space="preserve">Standardni obrazec Natura 2000; Program upravljanja z območji Nature 2000 za obdobje 2022-2028 (PUN)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A06D24" w14:textId="77777777" w:rsidR="00A77B3E" w:rsidRDefault="00B16CCF">
            <w:pPr>
              <w:spacing w:before="5pt"/>
              <w:rPr>
                <w:color w:val="000000"/>
                <w:sz w:val="20"/>
              </w:rPr>
            </w:pPr>
            <w:r>
              <w:rPr>
                <w:color w:val="000000"/>
                <w:sz w:val="20"/>
              </w:rPr>
              <w:t>Vsaj 50 % ciljnim vrstam in habitatnim tipom s seznama prednostnih projektov (in 75 % iz posamičnega projekta), določenih v Programu upravljanja območij Natura 2000 se mora izboljšati stanje ohranjenosti</w:t>
            </w:r>
          </w:p>
        </w:tc>
      </w:tr>
    </w:tbl>
    <w:p w14:paraId="4D08F456" w14:textId="77777777" w:rsidR="00A77B3E" w:rsidRDefault="00A77B3E">
      <w:pPr>
        <w:spacing w:before="5pt"/>
        <w:rPr>
          <w:color w:val="000000"/>
          <w:sz w:val="20"/>
        </w:rPr>
      </w:pPr>
    </w:p>
    <w:p w14:paraId="6B927529" w14:textId="77777777" w:rsidR="00A77B3E" w:rsidRDefault="00B16CCF">
      <w:pPr>
        <w:pStyle w:val="Naslov4"/>
        <w:spacing w:before="5pt" w:after="0pt"/>
        <w:rPr>
          <w:b w:val="0"/>
          <w:color w:val="000000"/>
          <w:sz w:val="24"/>
        </w:rPr>
      </w:pPr>
      <w:bookmarkStart w:id="189" w:name="_Toc256000950"/>
      <w:r>
        <w:rPr>
          <w:b w:val="0"/>
          <w:color w:val="000000"/>
          <w:sz w:val="24"/>
        </w:rPr>
        <w:t>2.1.1.1.3. Okvirna razčlenitev načrtovanih sredstev (EU) glede na vrsto ukrepa</w:t>
      </w:r>
      <w:bookmarkEnd w:id="189"/>
    </w:p>
    <w:p w14:paraId="6CA591A4" w14:textId="77777777" w:rsidR="00A77B3E" w:rsidRDefault="00A77B3E">
      <w:pPr>
        <w:spacing w:before="5pt"/>
        <w:rPr>
          <w:color w:val="000000"/>
          <w:sz w:val="0"/>
        </w:rPr>
      </w:pPr>
    </w:p>
    <w:p w14:paraId="26D12236" w14:textId="77777777" w:rsidR="00A77B3E" w:rsidRDefault="00B16CCF">
      <w:pPr>
        <w:spacing w:before="5pt"/>
        <w:rPr>
          <w:color w:val="000000"/>
          <w:sz w:val="0"/>
        </w:rPr>
      </w:pPr>
      <w:r>
        <w:rPr>
          <w:color w:val="000000"/>
        </w:rPr>
        <w:t>Sklic: člen 22(3)(d)(viii) uredbe o skupnih določbah</w:t>
      </w:r>
    </w:p>
    <w:p w14:paraId="401A3F2B" w14:textId="77777777" w:rsidR="00A77B3E" w:rsidRDefault="00B16CCF">
      <w:pPr>
        <w:pStyle w:val="Naslov5"/>
        <w:spacing w:before="5pt" w:after="0pt"/>
        <w:rPr>
          <w:b w:val="0"/>
          <w:i w:val="0"/>
          <w:color w:val="000000"/>
          <w:sz w:val="24"/>
        </w:rPr>
      </w:pPr>
      <w:bookmarkStart w:id="190" w:name="_Toc256000951"/>
      <w:r>
        <w:rPr>
          <w:b w:val="0"/>
          <w:i w:val="0"/>
          <w:color w:val="000000"/>
          <w:sz w:val="24"/>
        </w:rPr>
        <w:t>Tabela 4: Razsežnost 1 – področje ukrepanja</w:t>
      </w:r>
      <w:bookmarkEnd w:id="190"/>
    </w:p>
    <w:p w14:paraId="49F62E6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87"/>
        <w:gridCol w:w="2295"/>
        <w:gridCol w:w="1666"/>
        <w:gridCol w:w="2379"/>
        <w:gridCol w:w="3214"/>
        <w:gridCol w:w="3131"/>
      </w:tblGrid>
      <w:tr w:rsidR="00823317" w14:paraId="15F58DF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5E56AC" w14:textId="77777777" w:rsidR="00A77B3E" w:rsidRDefault="00B16CCF">
            <w:pPr>
              <w:spacing w:before="5pt"/>
              <w:jc w:val="center"/>
              <w:rPr>
                <w:color w:val="000000"/>
                <w:sz w:val="20"/>
              </w:rPr>
            </w:pPr>
            <w:r>
              <w:rPr>
                <w:color w:val="000000"/>
                <w:sz w:val="20"/>
              </w:rPr>
              <w:lastRenderedPageBreak/>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22FBBA2"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3E03B3"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20DFAB"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315D7D"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DC715C" w14:textId="77777777" w:rsidR="00A77B3E" w:rsidRDefault="00B16CCF">
            <w:pPr>
              <w:spacing w:before="5pt"/>
              <w:jc w:val="center"/>
              <w:rPr>
                <w:color w:val="000000"/>
                <w:sz w:val="20"/>
              </w:rPr>
            </w:pPr>
            <w:r>
              <w:rPr>
                <w:color w:val="000000"/>
                <w:sz w:val="20"/>
              </w:rPr>
              <w:t>Znesek (v EUR)</w:t>
            </w:r>
          </w:p>
        </w:tc>
      </w:tr>
      <w:tr w:rsidR="00823317" w14:paraId="118F514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53473F"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E0F68D" w14:textId="77777777" w:rsidR="00A77B3E" w:rsidRDefault="00B16CCF">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5F880B"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F2DB8B"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DD639F" w14:textId="77777777" w:rsidR="00A77B3E" w:rsidRDefault="00B16CCF">
            <w:pPr>
              <w:spacing w:before="5pt"/>
              <w:rPr>
                <w:color w:val="000000"/>
                <w:sz w:val="20"/>
              </w:rPr>
            </w:pPr>
            <w:r>
              <w:rPr>
                <w:color w:val="000000"/>
                <w:sz w:val="20"/>
              </w:rPr>
              <w:t>078. Varstvo, obnova in trajnostna raba območij Natura 2000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43BBFB" w14:textId="77777777" w:rsidR="00A77B3E" w:rsidRDefault="00B16CCF">
            <w:pPr>
              <w:spacing w:before="5pt"/>
              <w:jc w:val="end"/>
              <w:rPr>
                <w:color w:val="000000"/>
                <w:sz w:val="20"/>
              </w:rPr>
            </w:pPr>
            <w:r>
              <w:rPr>
                <w:color w:val="000000"/>
                <w:sz w:val="20"/>
              </w:rPr>
              <w:t>10.849.602,00</w:t>
            </w:r>
          </w:p>
        </w:tc>
      </w:tr>
      <w:tr w:rsidR="00823317" w14:paraId="4FABC29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2D89AD"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0781DE" w14:textId="77777777" w:rsidR="00A77B3E" w:rsidRDefault="00B16CCF">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0E218E"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29FA62"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776B7A" w14:textId="77777777" w:rsidR="00A77B3E" w:rsidRDefault="00B16CCF">
            <w:pPr>
              <w:spacing w:before="5pt"/>
              <w:rPr>
                <w:color w:val="000000"/>
                <w:sz w:val="20"/>
              </w:rPr>
            </w:pPr>
            <w:r>
              <w:rPr>
                <w:color w:val="000000"/>
                <w:sz w:val="20"/>
              </w:rPr>
              <w:t>079. Varstvo narave in biotske raznovrstnosti, naravna dediščina in viri, zelena in modra infrastruktura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630B0E" w14:textId="77777777" w:rsidR="00A77B3E" w:rsidRDefault="00B16CCF">
            <w:pPr>
              <w:spacing w:before="5pt"/>
              <w:jc w:val="end"/>
              <w:rPr>
                <w:color w:val="000000"/>
                <w:sz w:val="20"/>
              </w:rPr>
            </w:pPr>
            <w:r>
              <w:rPr>
                <w:color w:val="000000"/>
                <w:sz w:val="20"/>
              </w:rPr>
              <w:t>14.095.942,00</w:t>
            </w:r>
          </w:p>
        </w:tc>
      </w:tr>
      <w:tr w:rsidR="00823317" w14:paraId="549E3E2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543482"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6F1986" w14:textId="77777777" w:rsidR="00A77B3E" w:rsidRDefault="00B16CCF">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32E94C"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2CC440"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71BB91" w14:textId="77777777" w:rsidR="00A77B3E" w:rsidRDefault="00B16CCF">
            <w:pPr>
              <w:spacing w:before="5pt"/>
              <w:rPr>
                <w:color w:val="000000"/>
                <w:sz w:val="20"/>
              </w:rPr>
            </w:pPr>
            <w:r>
              <w:rPr>
                <w:color w:val="000000"/>
                <w:sz w:val="20"/>
              </w:rPr>
              <w:t>078. Varstvo, obnova in trajnostna raba območij Natura 2000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358E3B" w14:textId="77777777" w:rsidR="00A77B3E" w:rsidRDefault="00B16CCF">
            <w:pPr>
              <w:spacing w:before="5pt"/>
              <w:jc w:val="end"/>
              <w:rPr>
                <w:color w:val="000000"/>
                <w:sz w:val="20"/>
              </w:rPr>
            </w:pPr>
            <w:r>
              <w:rPr>
                <w:color w:val="000000"/>
                <w:sz w:val="20"/>
              </w:rPr>
              <w:t>35.811.978,00</w:t>
            </w:r>
          </w:p>
        </w:tc>
      </w:tr>
      <w:tr w:rsidR="00823317" w14:paraId="3672378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C269E1"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64BA2D" w14:textId="77777777" w:rsidR="00A77B3E" w:rsidRDefault="00B16CCF">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47173C"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5305D4"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13763A" w14:textId="77777777" w:rsidR="00A77B3E" w:rsidRDefault="00B16CCF">
            <w:pPr>
              <w:spacing w:before="5pt"/>
              <w:rPr>
                <w:color w:val="000000"/>
                <w:sz w:val="20"/>
              </w:rPr>
            </w:pPr>
            <w:r>
              <w:rPr>
                <w:color w:val="000000"/>
                <w:sz w:val="20"/>
              </w:rPr>
              <w:t>079. Varstvo narave in biotske raznovrstnosti, naravna dediščina in viri, zelena in modra infrastruktura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AB4B3D" w14:textId="77777777" w:rsidR="00A77B3E" w:rsidRDefault="00B16CCF">
            <w:pPr>
              <w:spacing w:before="5pt"/>
              <w:jc w:val="end"/>
              <w:rPr>
                <w:color w:val="000000"/>
                <w:sz w:val="20"/>
              </w:rPr>
            </w:pPr>
            <w:r>
              <w:rPr>
                <w:color w:val="000000"/>
                <w:sz w:val="20"/>
              </w:rPr>
              <w:t>22.421.699,00</w:t>
            </w:r>
          </w:p>
        </w:tc>
      </w:tr>
      <w:tr w:rsidR="00823317" w14:paraId="1C3C994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C9241D"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7B3FDA" w14:textId="77777777" w:rsidR="00A77B3E" w:rsidRDefault="00B16CCF">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4D8DCB"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45B1D6"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C439C7"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E97BBB" w14:textId="77777777" w:rsidR="00A77B3E" w:rsidRDefault="00B16CCF">
            <w:pPr>
              <w:spacing w:before="5pt"/>
              <w:jc w:val="end"/>
              <w:rPr>
                <w:color w:val="000000"/>
                <w:sz w:val="20"/>
              </w:rPr>
            </w:pPr>
            <w:r>
              <w:rPr>
                <w:color w:val="000000"/>
                <w:sz w:val="20"/>
              </w:rPr>
              <w:t>83.179.221,00</w:t>
            </w:r>
          </w:p>
        </w:tc>
      </w:tr>
    </w:tbl>
    <w:p w14:paraId="5BD0817F" w14:textId="77777777" w:rsidR="00A77B3E" w:rsidRDefault="00A77B3E">
      <w:pPr>
        <w:spacing w:before="5pt"/>
        <w:rPr>
          <w:color w:val="000000"/>
          <w:sz w:val="20"/>
        </w:rPr>
      </w:pPr>
    </w:p>
    <w:p w14:paraId="6904BD07" w14:textId="77777777" w:rsidR="00A77B3E" w:rsidRDefault="00B16CCF">
      <w:pPr>
        <w:pStyle w:val="Naslov5"/>
        <w:spacing w:before="5pt" w:after="0pt"/>
        <w:rPr>
          <w:b w:val="0"/>
          <w:i w:val="0"/>
          <w:color w:val="000000"/>
          <w:sz w:val="24"/>
        </w:rPr>
      </w:pPr>
      <w:bookmarkStart w:id="191" w:name="_Toc256000952"/>
      <w:r>
        <w:rPr>
          <w:b w:val="0"/>
          <w:i w:val="0"/>
          <w:color w:val="000000"/>
          <w:sz w:val="24"/>
        </w:rPr>
        <w:t>Tabela 5: Razsežnost 2 – oblika financiranja</w:t>
      </w:r>
      <w:bookmarkEnd w:id="191"/>
    </w:p>
    <w:p w14:paraId="75D491D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93"/>
        <w:gridCol w:w="2392"/>
        <w:gridCol w:w="1737"/>
        <w:gridCol w:w="2480"/>
        <w:gridCol w:w="2706"/>
        <w:gridCol w:w="3264"/>
      </w:tblGrid>
      <w:tr w:rsidR="00823317" w14:paraId="7BAE730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EC5001"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C62149"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F7CF26"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D2D8A4"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9CE04BD"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98958F" w14:textId="77777777" w:rsidR="00A77B3E" w:rsidRDefault="00B16CCF">
            <w:pPr>
              <w:spacing w:before="5pt"/>
              <w:jc w:val="center"/>
              <w:rPr>
                <w:color w:val="000000"/>
                <w:sz w:val="20"/>
              </w:rPr>
            </w:pPr>
            <w:r>
              <w:rPr>
                <w:color w:val="000000"/>
                <w:sz w:val="20"/>
              </w:rPr>
              <w:t>Znesek (v EUR)</w:t>
            </w:r>
          </w:p>
        </w:tc>
      </w:tr>
      <w:tr w:rsidR="00823317" w14:paraId="0AFFC0B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80AD56"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86A092" w14:textId="77777777" w:rsidR="00A77B3E" w:rsidRDefault="00B16CCF">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CAE346"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7DACED"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5FD84A" w14:textId="77777777" w:rsidR="00A77B3E" w:rsidRDefault="00B16CCF">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F960B4" w14:textId="77777777" w:rsidR="00A77B3E" w:rsidRDefault="00B16CCF">
            <w:pPr>
              <w:spacing w:before="5pt"/>
              <w:jc w:val="end"/>
              <w:rPr>
                <w:color w:val="000000"/>
                <w:sz w:val="20"/>
              </w:rPr>
            </w:pPr>
            <w:r>
              <w:rPr>
                <w:color w:val="000000"/>
                <w:sz w:val="20"/>
              </w:rPr>
              <w:t>24.945.544,00</w:t>
            </w:r>
          </w:p>
        </w:tc>
      </w:tr>
      <w:tr w:rsidR="00823317" w14:paraId="00BEAC6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9118D4"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724985" w14:textId="77777777" w:rsidR="00A77B3E" w:rsidRDefault="00B16CCF">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7B3841"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29CD49"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B541CA" w14:textId="77777777" w:rsidR="00A77B3E" w:rsidRDefault="00B16CCF">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A994D0" w14:textId="77777777" w:rsidR="00A77B3E" w:rsidRDefault="00B16CCF">
            <w:pPr>
              <w:spacing w:before="5pt"/>
              <w:jc w:val="end"/>
              <w:rPr>
                <w:color w:val="000000"/>
                <w:sz w:val="20"/>
              </w:rPr>
            </w:pPr>
            <w:r>
              <w:rPr>
                <w:color w:val="000000"/>
                <w:sz w:val="20"/>
              </w:rPr>
              <w:t>58.233.677,00</w:t>
            </w:r>
          </w:p>
        </w:tc>
      </w:tr>
      <w:tr w:rsidR="00823317" w14:paraId="3EA25DD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E8D824"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B8A60F" w14:textId="77777777" w:rsidR="00A77B3E" w:rsidRDefault="00B16CCF">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C76FA5"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12D52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88D6B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A23399" w14:textId="77777777" w:rsidR="00A77B3E" w:rsidRDefault="00B16CCF">
            <w:pPr>
              <w:spacing w:before="5pt"/>
              <w:jc w:val="end"/>
              <w:rPr>
                <w:color w:val="000000"/>
                <w:sz w:val="20"/>
              </w:rPr>
            </w:pPr>
            <w:r>
              <w:rPr>
                <w:color w:val="000000"/>
                <w:sz w:val="20"/>
              </w:rPr>
              <w:t>83.179.221,00</w:t>
            </w:r>
          </w:p>
        </w:tc>
      </w:tr>
    </w:tbl>
    <w:p w14:paraId="75F77C43" w14:textId="77777777" w:rsidR="00A77B3E" w:rsidRDefault="00A77B3E">
      <w:pPr>
        <w:spacing w:before="5pt"/>
        <w:rPr>
          <w:color w:val="000000"/>
          <w:sz w:val="20"/>
        </w:rPr>
      </w:pPr>
    </w:p>
    <w:p w14:paraId="32671126" w14:textId="77777777" w:rsidR="00A77B3E" w:rsidRDefault="00B16CCF">
      <w:pPr>
        <w:pStyle w:val="Naslov5"/>
        <w:spacing w:before="5pt" w:after="0pt"/>
        <w:rPr>
          <w:b w:val="0"/>
          <w:i w:val="0"/>
          <w:color w:val="000000"/>
          <w:sz w:val="24"/>
        </w:rPr>
      </w:pPr>
      <w:bookmarkStart w:id="192" w:name="_Toc256000953"/>
      <w:r>
        <w:rPr>
          <w:b w:val="0"/>
          <w:i w:val="0"/>
          <w:color w:val="000000"/>
          <w:sz w:val="24"/>
        </w:rPr>
        <w:t>Tabela 6: Razsežnost 3 – mehanizem za ozemeljsko izvrševanje in ozemeljski pristop</w:t>
      </w:r>
      <w:bookmarkEnd w:id="192"/>
    </w:p>
    <w:p w14:paraId="3709AD8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26"/>
        <w:gridCol w:w="2331"/>
        <w:gridCol w:w="1692"/>
        <w:gridCol w:w="2416"/>
        <w:gridCol w:w="3027"/>
        <w:gridCol w:w="3180"/>
      </w:tblGrid>
      <w:tr w:rsidR="00823317" w14:paraId="38275C5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53F6C2"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2E1F9B"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7F60D1"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B1EDCC"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EFC639A"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860981" w14:textId="77777777" w:rsidR="00A77B3E" w:rsidRDefault="00B16CCF">
            <w:pPr>
              <w:spacing w:before="5pt"/>
              <w:jc w:val="center"/>
              <w:rPr>
                <w:color w:val="000000"/>
                <w:sz w:val="20"/>
              </w:rPr>
            </w:pPr>
            <w:r>
              <w:rPr>
                <w:color w:val="000000"/>
                <w:sz w:val="20"/>
              </w:rPr>
              <w:t>Znesek (v EUR)</w:t>
            </w:r>
          </w:p>
        </w:tc>
      </w:tr>
      <w:tr w:rsidR="00823317" w14:paraId="54CC36F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0DBA69"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B53B50" w14:textId="77777777" w:rsidR="00A77B3E" w:rsidRDefault="00B16CCF">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B15EDB"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90B585"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90B7D5" w14:textId="77777777" w:rsidR="00A77B3E" w:rsidRDefault="00B16CCF">
            <w:pPr>
              <w:spacing w:before="5pt"/>
              <w:rPr>
                <w:color w:val="000000"/>
                <w:sz w:val="20"/>
              </w:rPr>
            </w:pPr>
            <w:r>
              <w:rPr>
                <w:color w:val="000000"/>
                <w:sz w:val="20"/>
              </w:rPr>
              <w:t>02. Celostne teritorialne naložbe – mesta, kraji in predmestja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E964C9" w14:textId="77777777" w:rsidR="00A77B3E" w:rsidRDefault="00B16CCF">
            <w:pPr>
              <w:spacing w:before="5pt"/>
              <w:jc w:val="end"/>
              <w:rPr>
                <w:color w:val="000000"/>
                <w:sz w:val="20"/>
              </w:rPr>
            </w:pPr>
            <w:r>
              <w:rPr>
                <w:color w:val="000000"/>
                <w:sz w:val="20"/>
              </w:rPr>
              <w:t>4.677.209,00</w:t>
            </w:r>
          </w:p>
        </w:tc>
      </w:tr>
      <w:tr w:rsidR="00823317" w14:paraId="68425E2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660B5C"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CE898A" w14:textId="77777777" w:rsidR="00A77B3E" w:rsidRDefault="00B16CCF">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7F20B2"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15EA90"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D45BFF" w14:textId="77777777" w:rsidR="00A77B3E" w:rsidRDefault="00B16CCF">
            <w:pPr>
              <w:spacing w:before="5pt"/>
              <w:rPr>
                <w:color w:val="000000"/>
                <w:sz w:val="20"/>
              </w:rPr>
            </w:pPr>
            <w:r>
              <w:rPr>
                <w:color w:val="000000"/>
                <w:sz w:val="20"/>
              </w:rPr>
              <w:t>24. Druge vrste teritorialnega orodja – druge vrste ciljnih ozemelj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DA2821" w14:textId="77777777" w:rsidR="00A77B3E" w:rsidRDefault="00B16CCF">
            <w:pPr>
              <w:spacing w:before="5pt"/>
              <w:jc w:val="end"/>
              <w:rPr>
                <w:color w:val="000000"/>
                <w:sz w:val="20"/>
              </w:rPr>
            </w:pPr>
            <w:r>
              <w:rPr>
                <w:color w:val="000000"/>
                <w:sz w:val="20"/>
              </w:rPr>
              <w:t>6.992.393,00</w:t>
            </w:r>
          </w:p>
        </w:tc>
      </w:tr>
      <w:tr w:rsidR="00823317" w14:paraId="21F91B1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236BD7"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ECF73D" w14:textId="77777777" w:rsidR="00A77B3E" w:rsidRDefault="00B16CCF">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D5BAB8"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6923B3"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8B516E" w14:textId="77777777" w:rsidR="00A77B3E" w:rsidRDefault="00B16CCF">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BFED23" w14:textId="77777777" w:rsidR="00A77B3E" w:rsidRDefault="00B16CCF">
            <w:pPr>
              <w:spacing w:before="5pt"/>
              <w:jc w:val="end"/>
              <w:rPr>
                <w:color w:val="000000"/>
                <w:sz w:val="20"/>
              </w:rPr>
            </w:pPr>
            <w:r>
              <w:rPr>
                <w:color w:val="000000"/>
                <w:sz w:val="20"/>
              </w:rPr>
              <w:t>13.275.942,00</w:t>
            </w:r>
          </w:p>
        </w:tc>
      </w:tr>
      <w:tr w:rsidR="00823317" w14:paraId="07038BC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908D0E"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80342C" w14:textId="77777777" w:rsidR="00A77B3E" w:rsidRDefault="00B16CCF">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5E269E"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FC62CD"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672AE4" w14:textId="77777777" w:rsidR="00A77B3E" w:rsidRDefault="00B16CCF">
            <w:pPr>
              <w:spacing w:before="5pt"/>
              <w:rPr>
                <w:color w:val="000000"/>
                <w:sz w:val="20"/>
              </w:rPr>
            </w:pPr>
            <w:r>
              <w:rPr>
                <w:color w:val="000000"/>
                <w:sz w:val="20"/>
              </w:rPr>
              <w:t>02. Celostne teritorialne naložbe – mesta, kraji in predmestja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E52D32" w14:textId="77777777" w:rsidR="00A77B3E" w:rsidRDefault="00B16CCF">
            <w:pPr>
              <w:spacing w:before="5pt"/>
              <w:jc w:val="end"/>
              <w:rPr>
                <w:color w:val="000000"/>
                <w:sz w:val="20"/>
              </w:rPr>
            </w:pPr>
            <w:r>
              <w:rPr>
                <w:color w:val="000000"/>
                <w:sz w:val="20"/>
              </w:rPr>
              <w:t>11.970.440,00</w:t>
            </w:r>
          </w:p>
        </w:tc>
      </w:tr>
      <w:tr w:rsidR="00823317" w14:paraId="00EE4AB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15A550" w14:textId="77777777" w:rsidR="00A77B3E" w:rsidRDefault="00B16CCF">
            <w:pPr>
              <w:spacing w:before="5pt"/>
              <w:rPr>
                <w:color w:val="000000"/>
                <w:sz w:val="20"/>
              </w:rPr>
            </w:pPr>
            <w:r>
              <w:rPr>
                <w:color w:val="000000"/>
                <w:sz w:val="20"/>
              </w:rPr>
              <w:lastRenderedPageBreak/>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73B001" w14:textId="77777777" w:rsidR="00A77B3E" w:rsidRDefault="00B16CCF">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33C3D8"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ED1920"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E9AA6F" w14:textId="77777777" w:rsidR="00A77B3E" w:rsidRDefault="00B16CCF">
            <w:pPr>
              <w:spacing w:before="5pt"/>
              <w:rPr>
                <w:color w:val="000000"/>
                <w:sz w:val="20"/>
              </w:rPr>
            </w:pPr>
            <w:r>
              <w:rPr>
                <w:color w:val="000000"/>
                <w:sz w:val="20"/>
              </w:rPr>
              <w:t>24. Druge vrste teritorialnega orodja – druge vrste ciljnih ozemelj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3C1494" w14:textId="77777777" w:rsidR="00A77B3E" w:rsidRDefault="00B16CCF">
            <w:pPr>
              <w:spacing w:before="5pt"/>
              <w:jc w:val="end"/>
              <w:rPr>
                <w:color w:val="000000"/>
                <w:sz w:val="20"/>
              </w:rPr>
            </w:pPr>
            <w:r>
              <w:rPr>
                <w:color w:val="000000"/>
                <w:sz w:val="20"/>
              </w:rPr>
              <w:t>10.451.259,00</w:t>
            </w:r>
          </w:p>
        </w:tc>
      </w:tr>
      <w:tr w:rsidR="00823317" w14:paraId="08B5D2A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B4CC88"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1761E3" w14:textId="77777777" w:rsidR="00A77B3E" w:rsidRDefault="00B16CCF">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1316A8"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591907"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21EDE4" w14:textId="77777777" w:rsidR="00A77B3E" w:rsidRDefault="00B16CCF">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B0478D" w14:textId="77777777" w:rsidR="00A77B3E" w:rsidRDefault="00B16CCF">
            <w:pPr>
              <w:spacing w:before="5pt"/>
              <w:jc w:val="end"/>
              <w:rPr>
                <w:color w:val="000000"/>
                <w:sz w:val="20"/>
              </w:rPr>
            </w:pPr>
            <w:r>
              <w:rPr>
                <w:color w:val="000000"/>
                <w:sz w:val="20"/>
              </w:rPr>
              <w:t>35.811.978,00</w:t>
            </w:r>
          </w:p>
        </w:tc>
      </w:tr>
      <w:tr w:rsidR="00823317" w14:paraId="0341EEC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5F0FC2"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EC5D11" w14:textId="77777777" w:rsidR="00A77B3E" w:rsidRDefault="00B16CCF">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BB3BFB"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F8C7C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13FA1A"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6E79C3" w14:textId="77777777" w:rsidR="00A77B3E" w:rsidRDefault="00B16CCF">
            <w:pPr>
              <w:spacing w:before="5pt"/>
              <w:jc w:val="end"/>
              <w:rPr>
                <w:color w:val="000000"/>
                <w:sz w:val="20"/>
              </w:rPr>
            </w:pPr>
            <w:r>
              <w:rPr>
                <w:color w:val="000000"/>
                <w:sz w:val="20"/>
              </w:rPr>
              <w:t>83.179.221,00</w:t>
            </w:r>
          </w:p>
        </w:tc>
      </w:tr>
    </w:tbl>
    <w:p w14:paraId="13731AD2" w14:textId="77777777" w:rsidR="00A77B3E" w:rsidRDefault="00A77B3E">
      <w:pPr>
        <w:spacing w:before="5pt"/>
        <w:rPr>
          <w:color w:val="000000"/>
          <w:sz w:val="20"/>
        </w:rPr>
      </w:pPr>
    </w:p>
    <w:p w14:paraId="41D8B6CB" w14:textId="77777777" w:rsidR="00A77B3E" w:rsidRDefault="00B16CCF">
      <w:pPr>
        <w:pStyle w:val="Naslov5"/>
        <w:spacing w:before="5pt" w:after="0pt"/>
        <w:rPr>
          <w:b w:val="0"/>
          <w:i w:val="0"/>
          <w:color w:val="000000"/>
          <w:sz w:val="24"/>
        </w:rPr>
      </w:pPr>
      <w:bookmarkStart w:id="193" w:name="_Toc256000954"/>
      <w:r>
        <w:rPr>
          <w:b w:val="0"/>
          <w:i w:val="0"/>
          <w:color w:val="000000"/>
          <w:sz w:val="24"/>
        </w:rPr>
        <w:t>Tabela 7: Razsežnost 6 – sekundarna področja ESS+</w:t>
      </w:r>
      <w:bookmarkEnd w:id="193"/>
    </w:p>
    <w:p w14:paraId="31E965A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117"/>
        <w:gridCol w:w="2877"/>
        <w:gridCol w:w="1780"/>
        <w:gridCol w:w="2982"/>
        <w:gridCol w:w="2259"/>
        <w:gridCol w:w="2157"/>
      </w:tblGrid>
      <w:tr w:rsidR="00823317" w14:paraId="7E878C8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EEBF8B"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371097"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842336"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47847D"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B2A041"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BAA637" w14:textId="77777777" w:rsidR="00A77B3E" w:rsidRDefault="00B16CCF">
            <w:pPr>
              <w:spacing w:before="5pt"/>
              <w:jc w:val="center"/>
              <w:rPr>
                <w:color w:val="000000"/>
                <w:sz w:val="20"/>
              </w:rPr>
            </w:pPr>
            <w:r>
              <w:rPr>
                <w:color w:val="000000"/>
                <w:sz w:val="20"/>
              </w:rPr>
              <w:t>Znesek (v EUR)</w:t>
            </w:r>
          </w:p>
        </w:tc>
      </w:tr>
    </w:tbl>
    <w:p w14:paraId="3128181A" w14:textId="77777777" w:rsidR="00A77B3E" w:rsidRDefault="00A77B3E">
      <w:pPr>
        <w:spacing w:before="5pt"/>
        <w:rPr>
          <w:color w:val="000000"/>
          <w:sz w:val="20"/>
        </w:rPr>
      </w:pPr>
    </w:p>
    <w:p w14:paraId="6A31624D" w14:textId="77777777" w:rsidR="00A77B3E" w:rsidRDefault="00B16CCF">
      <w:pPr>
        <w:pStyle w:val="Naslov5"/>
        <w:spacing w:before="5pt" w:after="0pt"/>
        <w:rPr>
          <w:b w:val="0"/>
          <w:i w:val="0"/>
          <w:color w:val="000000"/>
          <w:sz w:val="24"/>
        </w:rPr>
      </w:pPr>
      <w:bookmarkStart w:id="194" w:name="_Toc256000955"/>
      <w:r>
        <w:rPr>
          <w:b w:val="0"/>
          <w:i w:val="0"/>
          <w:color w:val="000000"/>
          <w:sz w:val="24"/>
        </w:rPr>
        <w:t>Tabela 8: Razsežnost 7 – razsežnost enakosti spolov v okviru ESS+*, ESRR, Kohezijskega sklada in SPP</w:t>
      </w:r>
      <w:bookmarkEnd w:id="194"/>
    </w:p>
    <w:p w14:paraId="0395216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13"/>
        <w:gridCol w:w="2411"/>
        <w:gridCol w:w="1750"/>
        <w:gridCol w:w="2498"/>
        <w:gridCol w:w="2612"/>
        <w:gridCol w:w="3288"/>
      </w:tblGrid>
      <w:tr w:rsidR="00823317" w14:paraId="1D94E9D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2F48CF"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08DF41"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6980FA"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85D1C8"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CDD320"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295B01" w14:textId="77777777" w:rsidR="00A77B3E" w:rsidRDefault="00B16CCF">
            <w:pPr>
              <w:spacing w:before="5pt"/>
              <w:jc w:val="center"/>
              <w:rPr>
                <w:color w:val="000000"/>
                <w:sz w:val="20"/>
              </w:rPr>
            </w:pPr>
            <w:r>
              <w:rPr>
                <w:color w:val="000000"/>
                <w:sz w:val="20"/>
              </w:rPr>
              <w:t>Znesek (v EUR)</w:t>
            </w:r>
          </w:p>
        </w:tc>
      </w:tr>
      <w:tr w:rsidR="00823317" w14:paraId="728F16C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DAB018"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A27944" w14:textId="77777777" w:rsidR="00A77B3E" w:rsidRDefault="00B16CCF">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12D295"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2596C4"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15A19C" w14:textId="77777777" w:rsidR="00A77B3E" w:rsidRDefault="00B16CCF">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E5D7A8" w14:textId="77777777" w:rsidR="00A77B3E" w:rsidRDefault="00B16CCF">
            <w:pPr>
              <w:spacing w:before="5pt"/>
              <w:jc w:val="end"/>
              <w:rPr>
                <w:color w:val="000000"/>
                <w:sz w:val="20"/>
              </w:rPr>
            </w:pPr>
            <w:r>
              <w:rPr>
                <w:color w:val="000000"/>
                <w:sz w:val="20"/>
              </w:rPr>
              <w:t>24.945.544,00</w:t>
            </w:r>
          </w:p>
        </w:tc>
      </w:tr>
      <w:tr w:rsidR="00823317" w14:paraId="43FF2A4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69CCD2"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E3904B" w14:textId="77777777" w:rsidR="00A77B3E" w:rsidRDefault="00B16CCF">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237EC3"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C2DFCC"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107099" w14:textId="77777777" w:rsidR="00A77B3E" w:rsidRDefault="00B16CCF">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BC6F1A" w14:textId="77777777" w:rsidR="00A77B3E" w:rsidRDefault="00B16CCF">
            <w:pPr>
              <w:spacing w:before="5pt"/>
              <w:jc w:val="end"/>
              <w:rPr>
                <w:color w:val="000000"/>
                <w:sz w:val="20"/>
              </w:rPr>
            </w:pPr>
            <w:r>
              <w:rPr>
                <w:color w:val="000000"/>
                <w:sz w:val="20"/>
              </w:rPr>
              <w:t>58.233.677,00</w:t>
            </w:r>
          </w:p>
        </w:tc>
      </w:tr>
      <w:tr w:rsidR="00823317" w14:paraId="4D995BC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0522CF"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152A33" w14:textId="77777777" w:rsidR="00A77B3E" w:rsidRDefault="00B16CCF">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00DFEA"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9AD160"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5F20A7"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7452CE" w14:textId="77777777" w:rsidR="00A77B3E" w:rsidRDefault="00B16CCF">
            <w:pPr>
              <w:spacing w:before="5pt"/>
              <w:jc w:val="end"/>
              <w:rPr>
                <w:color w:val="000000"/>
                <w:sz w:val="20"/>
              </w:rPr>
            </w:pPr>
            <w:r>
              <w:rPr>
                <w:color w:val="000000"/>
                <w:sz w:val="20"/>
              </w:rPr>
              <w:t>83.179.221,00</w:t>
            </w:r>
          </w:p>
        </w:tc>
      </w:tr>
    </w:tbl>
    <w:p w14:paraId="0F631BA5" w14:textId="77777777" w:rsidR="00A77B3E" w:rsidRDefault="00B16CCF">
      <w:pPr>
        <w:spacing w:before="5pt"/>
        <w:rPr>
          <w:color w:val="000000"/>
          <w:sz w:val="20"/>
        </w:rPr>
      </w:pPr>
      <w:r>
        <w:rPr>
          <w:color w:val="000000"/>
          <w:sz w:val="20"/>
        </w:rPr>
        <w:t>* Načeloma 40 % za ESS+ prispeva k spremljanju enakosti spolov. 100 % se uporabi, kadar se država članica odloči za uporabo člena 6 uredbe o ESS+.</w:t>
      </w:r>
    </w:p>
    <w:p w14:paraId="68283273" w14:textId="77777777" w:rsidR="00A77B3E" w:rsidRDefault="00B16CCF">
      <w:pPr>
        <w:pStyle w:val="Naslov4"/>
        <w:spacing w:before="5pt" w:after="0pt"/>
        <w:rPr>
          <w:b w:val="0"/>
          <w:color w:val="000000"/>
          <w:sz w:val="24"/>
        </w:rPr>
      </w:pPr>
      <w:r>
        <w:rPr>
          <w:b w:val="0"/>
          <w:color w:val="000000"/>
          <w:sz w:val="24"/>
        </w:rPr>
        <w:br w:type="page"/>
      </w:r>
      <w:bookmarkStart w:id="195" w:name="_Toc256000956"/>
      <w:r>
        <w:rPr>
          <w:b w:val="0"/>
          <w:color w:val="000000"/>
          <w:sz w:val="24"/>
        </w:rPr>
        <w:lastRenderedPageBreak/>
        <w:t>2.1.1.1. Specifični cilj: RSO2.1. Spodbujanje energijske učinkovitosti in zmanjševanje emisij toplogrednih plinov (Kohezijski sklad)</w:t>
      </w:r>
      <w:bookmarkEnd w:id="195"/>
    </w:p>
    <w:p w14:paraId="692457BE" w14:textId="77777777" w:rsidR="00A77B3E" w:rsidRDefault="00A77B3E">
      <w:pPr>
        <w:spacing w:before="5pt"/>
        <w:rPr>
          <w:color w:val="000000"/>
          <w:sz w:val="0"/>
        </w:rPr>
      </w:pPr>
    </w:p>
    <w:p w14:paraId="3246F86E" w14:textId="77777777" w:rsidR="00A77B3E" w:rsidRDefault="00B16CCF">
      <w:pPr>
        <w:pStyle w:val="Naslov4"/>
        <w:spacing w:before="5pt" w:after="0pt"/>
        <w:rPr>
          <w:b w:val="0"/>
          <w:color w:val="000000"/>
          <w:sz w:val="24"/>
        </w:rPr>
      </w:pPr>
      <w:bookmarkStart w:id="196" w:name="_Toc256000957"/>
      <w:r>
        <w:rPr>
          <w:b w:val="0"/>
          <w:color w:val="000000"/>
          <w:sz w:val="24"/>
        </w:rPr>
        <w:t>2.1.1.1.1. Ukrepi skladov</w:t>
      </w:r>
      <w:bookmarkEnd w:id="196"/>
    </w:p>
    <w:p w14:paraId="67B556B8" w14:textId="77777777" w:rsidR="00A77B3E" w:rsidRDefault="00A77B3E">
      <w:pPr>
        <w:spacing w:before="5pt"/>
        <w:rPr>
          <w:color w:val="000000"/>
          <w:sz w:val="0"/>
        </w:rPr>
      </w:pPr>
    </w:p>
    <w:p w14:paraId="32CCCAFA" w14:textId="77777777" w:rsidR="00A77B3E" w:rsidRDefault="00B16CCF">
      <w:pPr>
        <w:spacing w:before="5pt"/>
        <w:rPr>
          <w:color w:val="000000"/>
          <w:sz w:val="0"/>
        </w:rPr>
      </w:pPr>
      <w:r>
        <w:rPr>
          <w:color w:val="000000"/>
        </w:rPr>
        <w:t>Sklic: člen 22(3)(d)(i), (iii), (iv), (v), (vi) in (vii) uredbe o skupnih določbah</w:t>
      </w:r>
    </w:p>
    <w:p w14:paraId="7593B581" w14:textId="77777777" w:rsidR="00A77B3E" w:rsidRDefault="00B16CCF">
      <w:pPr>
        <w:pStyle w:val="Naslov5"/>
        <w:spacing w:before="5pt" w:after="0pt"/>
        <w:rPr>
          <w:b w:val="0"/>
          <w:i w:val="0"/>
          <w:color w:val="000000"/>
          <w:sz w:val="24"/>
        </w:rPr>
      </w:pPr>
      <w:bookmarkStart w:id="197" w:name="_Toc256000958"/>
      <w:r>
        <w:rPr>
          <w:b w:val="0"/>
          <w:i w:val="0"/>
          <w:color w:val="000000"/>
          <w:sz w:val="24"/>
        </w:rPr>
        <w:t>Povezane vrste ukrepov – člen 22(3)(d)(i) uredbe o skupnih določbah in člen 6 uredbe o ESS+:</w:t>
      </w:r>
      <w:bookmarkEnd w:id="197"/>
    </w:p>
    <w:p w14:paraId="3EA70A2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17E9D33E"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3D506A" w14:textId="77777777" w:rsidR="00A77B3E" w:rsidRDefault="00A77B3E">
            <w:pPr>
              <w:spacing w:before="5pt"/>
              <w:rPr>
                <w:color w:val="000000"/>
                <w:sz w:val="0"/>
              </w:rPr>
            </w:pPr>
          </w:p>
          <w:p w14:paraId="3042A89B" w14:textId="77777777" w:rsidR="00A77B3E" w:rsidRDefault="00B16CCF">
            <w:pPr>
              <w:spacing w:before="5pt"/>
              <w:rPr>
                <w:color w:val="000000"/>
              </w:rPr>
            </w:pPr>
            <w:r>
              <w:rPr>
                <w:color w:val="000000"/>
              </w:rPr>
              <w:t>Skladno s 5. členom Direktive 2012/27/EU o energetski učinkovitosti, bo Slovenija v obdobju od 2021 do 2030 morala energetsko prenoviti skoraj 26 mio m2 površin stavb oz. 1,3-1,7 mio m2 letno, od tega dobro tretjino v standardu skoraj nič-energijskih stavb, ter v skladu z DSEPS zagotoviti zmanjšanje emisij TGP v stavbah za vsaj za 70 % do leta 2030 glede na leto 2005. Slovenija bo navedeno lahko dosegla z znatnim izboljšanjem energetske učinkovitosti in povečanjem izkoriščanja OVE v stavbah. V okviru zasledovanja cilja izboljšanja energetske učinkovitosti bo poseben poudarek namenjen gospodarstvu. Z namenom doseganja navedenih ciljev na področju spodbujanja energetske učinkovitosti ter zahtev evropskih direktiv, bodo vlaganja usmerjena v:</w:t>
            </w:r>
          </w:p>
          <w:p w14:paraId="084B21B2" w14:textId="77777777" w:rsidR="00A77B3E" w:rsidRDefault="00A77B3E">
            <w:pPr>
              <w:spacing w:before="5pt"/>
              <w:rPr>
                <w:color w:val="000000"/>
              </w:rPr>
            </w:pPr>
          </w:p>
          <w:p w14:paraId="455865E8" w14:textId="77777777" w:rsidR="00A77B3E" w:rsidRDefault="00B16CCF">
            <w:pPr>
              <w:spacing w:before="5pt"/>
              <w:rPr>
                <w:color w:val="000000"/>
              </w:rPr>
            </w:pPr>
            <w:r>
              <w:rPr>
                <w:color w:val="000000"/>
              </w:rPr>
              <w:t>•</w:t>
            </w:r>
            <w:r>
              <w:rPr>
                <w:i/>
                <w:iCs/>
                <w:color w:val="000000"/>
              </w:rPr>
              <w:t>ukrepe energetskih prenov stavb (tudi javnih) z upoštevanjem trajnostne gradnje ter naprednim upravljanjem sistemov v in na stavbah (tudi javnih): v</w:t>
            </w:r>
            <w:r>
              <w:rPr>
                <w:color w:val="000000"/>
              </w:rPr>
              <w:t>laganja v energetsko prenovo stavb se bodo izvajala skladno z DSEPS, podpore pa bodo usmerjene tudi k ukrepom za izboljšanje upravljanja z energijo. Pri izvedbi ukrepov bomo upoštevali omilitvene ukrepe in usmeritve za varstvo okolja iz posodobljenega NEPN 2024 [1] ter smiselno prilagojene omilitvene ukrepe na področju stavb kulturne dediščine. V okviru NOO se je osredotočalo primarno na obnovo in nadgradnjo posameznih stavbnih sistemov v stavbah, ki so v epidemiji covid-19 najbolj rizične za širjenje virusa, saj opravljajo nujne upravne in druge družbeno pomembne funkcije za zagotavljanje nemotenega dela državne uprave in opravljanje nujnih storitev za prebivalstvo. Poleg energetske obnove se je v manjšem delu predvidelo tudi druge oblike obnove, npr. protipotresna sanacija. Financiranje iz EKP bo naslavljalo preostale stavbe, ki niso bile zajete v NOO, so pa nujno potrebne prenove zaradi svoje slabe energetske učinkovitosti. Z ukrepi bomo prispevali k cilju Slovenije povečanja energetske učinkovitosti do leta 2030 za vsaj 35 %, tj. da ob sistematičnem izvajanju sprejetih politik in ukrepov končna raba energije leta 2030 ne bo presegla 54,9 TWh (4.717 ktoe). V skladu z navedenim so na tem področju predvideni naslednji podukrepi:</w:t>
            </w:r>
          </w:p>
          <w:p w14:paraId="6B4A509E" w14:textId="77777777" w:rsidR="00A77B3E" w:rsidRDefault="00B16CCF">
            <w:pPr>
              <w:numPr>
                <w:ilvl w:val="0"/>
                <w:numId w:val="24"/>
              </w:numPr>
              <w:spacing w:before="5pt"/>
              <w:rPr>
                <w:color w:val="000000"/>
              </w:rPr>
            </w:pPr>
            <w:r>
              <w:rPr>
                <w:color w:val="000000"/>
              </w:rPr>
              <w:t xml:space="preserve">celovita energetska prenova stavb javnega sektorja: dolgoročni cilj na področju stavb javnega sektorja je energetska prenova čim večjega deleža skupne tlorisne površine. Na področju ožjega javnega sektorja (v nadaljevanju: OJS) pa je cilj 3 % skupne tlorisne površine, kjer so dosežene minimalne zahteve energetske učinkovitosti v skladu z nacionalno zakonodajo. DSEPS 2050 predvideva energetsko prenovo stavb OJS na podlagi izračuna skupne tlorisne površine stavb v lasti in rabi oseb OJS, ki imajo skupno uporabno tlorisno površino, večjo od 250 m², in ki 1. januarja vsakega leta ne izpolnjujejo nacionalnih minimalnih zahtev glede energetske učinkovitosti, določenih v skladu s 4. členom Direktive 2010/31/EU o energetski učinkovitosti stavb. Ta ukrep predvideva izvajanje energetskih prenov stavb v lasti in uporabi ožjega in širšega javnega sektorja, vključno z stavbami posebnega pomena (policija, vojska (dvonamenski objekti, ki niso namenjeni le vojaškim, temveč tudi civilnim osebam), zapori, sodišča, infrastruktura na področju ZiR) ter stavb v lasti in uporabi občin, katerih namen je izvajanje dejavnosti v javnem interesu (npr. vzgojno-izobraževalni zavodi, domovi za starejše (pri čemer bodo sredstva usmerjena v višanje kakovosti, ob nepovečevanju nastanitvenih kapacitet), knjižnice, telovadnice, ipd.). Pri tem bodo posebne obravnave deležne stavbe s specifičnimi lastnostmi glede na tipologijo stavb, glede na namembnost ali glede na spremembe, ki so posledica energetske prenove. Glede na jasno identificirane prednosti energetskega pogodbeništva </w:t>
            </w:r>
            <w:r>
              <w:rPr>
                <w:color w:val="000000"/>
              </w:rPr>
              <w:lastRenderedPageBreak/>
              <w:t>predvsem v zvezi z doseganjem ciljev vezanih na zagotavljanje prihrankov energije ter smotrnosti porabe sredstev, se bo projekte usmerjalo v izvedbo postopkov po različnih izvedbenih modelih energetskega pogodbeništva. Hkrati se bo s sredstvi KS spodbujalo tudi pripravo projektov za energetsko prenovo javnih stavb, s čimer želimo spodbuditi prenovo stavb javnega sektorja, skrajšati čas priprave dokumentacije in spodbuditi izvajanje nadaljnjih ukrepov, vezanih na izvedbo energetske prenove.</w:t>
            </w:r>
          </w:p>
          <w:p w14:paraId="1D03A759" w14:textId="77777777" w:rsidR="00A77B3E" w:rsidRDefault="00B16CCF">
            <w:pPr>
              <w:spacing w:before="5pt"/>
              <w:rPr>
                <w:color w:val="000000"/>
              </w:rPr>
            </w:pPr>
            <w:r>
              <w:rPr>
                <w:color w:val="000000"/>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Noben izmed predvidenih ukrepov v okviru tega SC nima bistvenega škodljivega vpliva na katerega koli od šestih okoljskih ciljev ob upoštevanju tehničnih meril, navedenih v Prilogi: DNSH.</w:t>
            </w:r>
          </w:p>
          <w:p w14:paraId="3037D52E" w14:textId="77777777" w:rsidR="00A77B3E" w:rsidRDefault="00B16CCF">
            <w:pPr>
              <w:spacing w:before="5pt"/>
              <w:rPr>
                <w:color w:val="000000"/>
              </w:rPr>
            </w:pPr>
            <w:r>
              <w:rPr>
                <w:color w:val="000000"/>
              </w:rPr>
              <w:t>[1] https://www.energetika-portal.si/fileadmin/dokumenti/publikacije/nepn/dokumenti/nepn2024_final_dec2024.pdf</w:t>
            </w:r>
          </w:p>
          <w:p w14:paraId="68FA0300" w14:textId="77777777" w:rsidR="00A77B3E" w:rsidRDefault="00A77B3E">
            <w:pPr>
              <w:spacing w:before="5pt"/>
              <w:rPr>
                <w:color w:val="000000"/>
                <w:sz w:val="6"/>
              </w:rPr>
            </w:pPr>
          </w:p>
          <w:p w14:paraId="5A52072B" w14:textId="77777777" w:rsidR="00A77B3E" w:rsidRDefault="00A77B3E">
            <w:pPr>
              <w:spacing w:before="5pt"/>
              <w:rPr>
                <w:color w:val="000000"/>
                <w:sz w:val="6"/>
              </w:rPr>
            </w:pPr>
          </w:p>
        </w:tc>
      </w:tr>
    </w:tbl>
    <w:p w14:paraId="0059A41B" w14:textId="77777777" w:rsidR="00A77B3E" w:rsidRDefault="00A77B3E">
      <w:pPr>
        <w:spacing w:before="5pt"/>
        <w:rPr>
          <w:color w:val="000000"/>
        </w:rPr>
      </w:pPr>
    </w:p>
    <w:p w14:paraId="09F9443A" w14:textId="77777777" w:rsidR="00A77B3E" w:rsidRDefault="00B16CCF">
      <w:pPr>
        <w:pStyle w:val="Naslov5"/>
        <w:spacing w:before="5pt" w:after="0pt"/>
        <w:rPr>
          <w:b w:val="0"/>
          <w:i w:val="0"/>
          <w:color w:val="000000"/>
          <w:sz w:val="24"/>
        </w:rPr>
      </w:pPr>
      <w:bookmarkStart w:id="198" w:name="_Toc256000959"/>
      <w:r>
        <w:rPr>
          <w:b w:val="0"/>
          <w:i w:val="0"/>
          <w:color w:val="000000"/>
          <w:sz w:val="24"/>
        </w:rPr>
        <w:t>Glavne ciljne skupine – člen 22(3)(d)(iii) uredbe o skupnih določbah:</w:t>
      </w:r>
      <w:bookmarkEnd w:id="198"/>
    </w:p>
    <w:p w14:paraId="3ABB233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2FDEC648"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41C08B" w14:textId="77777777" w:rsidR="00A77B3E" w:rsidRDefault="00A77B3E">
            <w:pPr>
              <w:spacing w:before="5pt"/>
              <w:rPr>
                <w:color w:val="000000"/>
                <w:sz w:val="0"/>
              </w:rPr>
            </w:pPr>
          </w:p>
          <w:p w14:paraId="4D84766D" w14:textId="77777777" w:rsidR="00A77B3E" w:rsidRDefault="00B16CCF">
            <w:pPr>
              <w:spacing w:before="5pt"/>
              <w:rPr>
                <w:color w:val="000000"/>
              </w:rPr>
            </w:pPr>
            <w:r>
              <w:rPr>
                <w:color w:val="000000"/>
              </w:rPr>
              <w:t>Ciljne skupine: javni sektor, lokalne skupnosti, izvajalci pogodbenega zagotavljanja prihrankov.</w:t>
            </w:r>
          </w:p>
          <w:p w14:paraId="6DC01CF2" w14:textId="77777777" w:rsidR="00A77B3E" w:rsidRDefault="00A77B3E">
            <w:pPr>
              <w:spacing w:before="5pt"/>
              <w:rPr>
                <w:color w:val="000000"/>
              </w:rPr>
            </w:pPr>
          </w:p>
          <w:p w14:paraId="7E235896" w14:textId="77777777" w:rsidR="00A77B3E" w:rsidRDefault="00B16CCF">
            <w:pPr>
              <w:spacing w:before="5pt"/>
              <w:rPr>
                <w:color w:val="000000"/>
              </w:rPr>
            </w:pPr>
            <w:r>
              <w:rPr>
                <w:color w:val="000000"/>
              </w:rPr>
              <w:t>Upravičenci: državna uprava, javni sektor, lokalne skupnosti.</w:t>
            </w:r>
          </w:p>
          <w:p w14:paraId="2D0A6941" w14:textId="77777777" w:rsidR="00A77B3E" w:rsidRDefault="00A77B3E">
            <w:pPr>
              <w:spacing w:before="5pt"/>
              <w:rPr>
                <w:color w:val="000000"/>
                <w:sz w:val="6"/>
              </w:rPr>
            </w:pPr>
          </w:p>
          <w:p w14:paraId="0374B8B6" w14:textId="77777777" w:rsidR="00A77B3E" w:rsidRDefault="00A77B3E">
            <w:pPr>
              <w:spacing w:before="5pt"/>
              <w:rPr>
                <w:color w:val="000000"/>
                <w:sz w:val="6"/>
              </w:rPr>
            </w:pPr>
          </w:p>
        </w:tc>
      </w:tr>
    </w:tbl>
    <w:p w14:paraId="1069796C" w14:textId="77777777" w:rsidR="00A77B3E" w:rsidRDefault="00A77B3E">
      <w:pPr>
        <w:spacing w:before="5pt"/>
        <w:rPr>
          <w:color w:val="000000"/>
        </w:rPr>
      </w:pPr>
    </w:p>
    <w:p w14:paraId="3963DFBA" w14:textId="77777777" w:rsidR="00A77B3E" w:rsidRDefault="00B16CCF">
      <w:pPr>
        <w:pStyle w:val="Naslov5"/>
        <w:spacing w:before="5pt" w:after="0pt"/>
        <w:rPr>
          <w:b w:val="0"/>
          <w:i w:val="0"/>
          <w:color w:val="000000"/>
          <w:sz w:val="24"/>
        </w:rPr>
      </w:pPr>
      <w:bookmarkStart w:id="199" w:name="_Toc256000960"/>
      <w:r>
        <w:rPr>
          <w:b w:val="0"/>
          <w:i w:val="0"/>
          <w:color w:val="000000"/>
          <w:sz w:val="24"/>
        </w:rPr>
        <w:t>Ukrepi za zaščito enakosti, vključenosti in nediskriminacije – člen 22(3)(d)(iv) uredbe o skupnih določbah in člen 6 uredbe o ESS+</w:t>
      </w:r>
      <w:bookmarkEnd w:id="199"/>
    </w:p>
    <w:p w14:paraId="478AC4F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7AF10A53"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B28B13" w14:textId="77777777" w:rsidR="00A77B3E" w:rsidRDefault="00A77B3E">
            <w:pPr>
              <w:spacing w:before="5pt"/>
              <w:rPr>
                <w:color w:val="000000"/>
                <w:sz w:val="0"/>
              </w:rPr>
            </w:pPr>
          </w:p>
          <w:p w14:paraId="298E27DA" w14:textId="77777777" w:rsidR="00A77B3E" w:rsidRDefault="00B16CCF">
            <w:pPr>
              <w:spacing w:before="5pt"/>
              <w:rPr>
                <w:color w:val="000000"/>
              </w:rPr>
            </w:pPr>
            <w:r>
              <w:rPr>
                <w:color w:val="000000"/>
              </w:rPr>
              <w:t xml:space="preserve">Pri načrtovanju, izvedbi in spremljanju ukrepov bodo spoštovana načela enakosti spolov, enakih možnosti in nediskriminacije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 </w:t>
            </w:r>
          </w:p>
          <w:p w14:paraId="4D9BA8C4" w14:textId="77777777" w:rsidR="00A77B3E" w:rsidRDefault="00A77B3E">
            <w:pPr>
              <w:spacing w:before="5pt"/>
              <w:rPr>
                <w:color w:val="000000"/>
              </w:rPr>
            </w:pPr>
          </w:p>
          <w:p w14:paraId="67A6477C" w14:textId="77777777" w:rsidR="00A77B3E" w:rsidRDefault="00B16CCF">
            <w:pPr>
              <w:spacing w:before="5pt"/>
              <w:rPr>
                <w:color w:val="000000"/>
              </w:rPr>
            </w:pPr>
            <w:r>
              <w:rPr>
                <w:color w:val="000000"/>
              </w:rPr>
              <w:lastRenderedPageBreak/>
              <w:t>Dodatno bodo pri izvajanju gradbenih ukrepov objekti izpolnjevali tehnične zahteve, s katerimi se prilagodijo tako, da so nediskriminatorni do vseh oblik začasne ali trajne invalidnosti in so prilagojeni ranljivim skupinam prebivalstva. Ukrep ozaveščanja socialno ranljivih skupin in omogočanja njihovega dostopa do nepovratnih sredstev ter zmanjšanja energetske revščine pa je po sami vsebini namenjen zmanjševanju socialne revščine in s tem socialnemu vključevanju najbolj ranljivih skupin.</w:t>
            </w:r>
          </w:p>
          <w:p w14:paraId="7111498B" w14:textId="77777777" w:rsidR="00A77B3E" w:rsidRDefault="00A77B3E">
            <w:pPr>
              <w:spacing w:before="5pt"/>
              <w:rPr>
                <w:color w:val="000000"/>
                <w:sz w:val="6"/>
              </w:rPr>
            </w:pPr>
          </w:p>
          <w:p w14:paraId="3F3F501C" w14:textId="77777777" w:rsidR="00A77B3E" w:rsidRDefault="00A77B3E">
            <w:pPr>
              <w:spacing w:before="5pt"/>
              <w:rPr>
                <w:color w:val="000000"/>
                <w:sz w:val="6"/>
              </w:rPr>
            </w:pPr>
          </w:p>
        </w:tc>
      </w:tr>
    </w:tbl>
    <w:p w14:paraId="0C260F49" w14:textId="77777777" w:rsidR="00A77B3E" w:rsidRDefault="00A77B3E">
      <w:pPr>
        <w:spacing w:before="5pt"/>
        <w:rPr>
          <w:color w:val="000000"/>
        </w:rPr>
      </w:pPr>
    </w:p>
    <w:p w14:paraId="2B25242F" w14:textId="77777777" w:rsidR="00A77B3E" w:rsidRDefault="00B16CCF">
      <w:pPr>
        <w:pStyle w:val="Naslov5"/>
        <w:spacing w:before="5pt" w:after="0pt"/>
        <w:rPr>
          <w:b w:val="0"/>
          <w:i w:val="0"/>
          <w:color w:val="000000"/>
          <w:sz w:val="24"/>
        </w:rPr>
      </w:pPr>
      <w:bookmarkStart w:id="200" w:name="_Toc256000961"/>
      <w:r>
        <w:rPr>
          <w:b w:val="0"/>
          <w:i w:val="0"/>
          <w:color w:val="000000"/>
          <w:sz w:val="24"/>
        </w:rPr>
        <w:t>Navedba specifičnih ciljnih ozemelj, vključno z načrtovano uporabo teritorialnih orodij – člen 22(3)(d)(v) uredbe o skupnih določbah</w:t>
      </w:r>
      <w:bookmarkEnd w:id="200"/>
    </w:p>
    <w:p w14:paraId="4AE9EF8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49E0925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97AAD9" w14:textId="77777777" w:rsidR="00A77B3E" w:rsidRDefault="00A77B3E">
            <w:pPr>
              <w:spacing w:before="5pt"/>
              <w:rPr>
                <w:color w:val="000000"/>
                <w:sz w:val="0"/>
              </w:rPr>
            </w:pPr>
          </w:p>
          <w:p w14:paraId="54820A44" w14:textId="77777777" w:rsidR="00A77B3E" w:rsidRDefault="00B16CCF">
            <w:pPr>
              <w:spacing w:before="5pt"/>
              <w:rPr>
                <w:color w:val="000000"/>
              </w:rPr>
            </w:pPr>
            <w:r>
              <w:rPr>
                <w:color w:val="000000"/>
              </w:rPr>
              <w:t>V okviru navedenega specifičnega cilja ni predvidena uporaba teritorialnih orodij.</w:t>
            </w:r>
          </w:p>
          <w:p w14:paraId="1BD0BED4" w14:textId="77777777" w:rsidR="00A77B3E" w:rsidRDefault="00A77B3E">
            <w:pPr>
              <w:spacing w:before="5pt"/>
              <w:rPr>
                <w:color w:val="000000"/>
                <w:sz w:val="6"/>
              </w:rPr>
            </w:pPr>
          </w:p>
          <w:p w14:paraId="3235829D" w14:textId="77777777" w:rsidR="00A77B3E" w:rsidRDefault="00A77B3E">
            <w:pPr>
              <w:spacing w:before="5pt"/>
              <w:rPr>
                <w:color w:val="000000"/>
                <w:sz w:val="6"/>
              </w:rPr>
            </w:pPr>
          </w:p>
        </w:tc>
      </w:tr>
    </w:tbl>
    <w:p w14:paraId="475AA3CA" w14:textId="77777777" w:rsidR="00A77B3E" w:rsidRDefault="00A77B3E">
      <w:pPr>
        <w:spacing w:before="5pt"/>
        <w:rPr>
          <w:color w:val="000000"/>
        </w:rPr>
      </w:pPr>
    </w:p>
    <w:p w14:paraId="7B4A5F36" w14:textId="77777777" w:rsidR="00A77B3E" w:rsidRDefault="00B16CCF">
      <w:pPr>
        <w:pStyle w:val="Naslov5"/>
        <w:spacing w:before="5pt" w:after="0pt"/>
        <w:rPr>
          <w:b w:val="0"/>
          <w:i w:val="0"/>
          <w:color w:val="000000"/>
          <w:sz w:val="24"/>
        </w:rPr>
      </w:pPr>
      <w:bookmarkStart w:id="201" w:name="_Toc256000962"/>
      <w:r>
        <w:rPr>
          <w:b w:val="0"/>
          <w:i w:val="0"/>
          <w:color w:val="000000"/>
          <w:sz w:val="24"/>
        </w:rPr>
        <w:t>Medregionalni, čezmejni in transnacionalni ukrepi – člen 22(3)(d)(vi) uredbe o skupnih določbah</w:t>
      </w:r>
      <w:bookmarkEnd w:id="201"/>
    </w:p>
    <w:p w14:paraId="6F338AD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1608D54A"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62F7A9" w14:textId="77777777" w:rsidR="00A77B3E" w:rsidRDefault="00A77B3E">
            <w:pPr>
              <w:spacing w:before="5pt"/>
              <w:rPr>
                <w:color w:val="000000"/>
                <w:sz w:val="0"/>
              </w:rPr>
            </w:pPr>
          </w:p>
          <w:p w14:paraId="1AC3CADD" w14:textId="77777777" w:rsidR="00A77B3E" w:rsidRDefault="00B16CCF">
            <w:pPr>
              <w:spacing w:before="5pt"/>
              <w:rPr>
                <w:color w:val="000000"/>
              </w:rPr>
            </w:pPr>
            <w:r>
              <w:rPr>
                <w:color w:val="000000"/>
              </w:rPr>
              <w:t>V okviru predmetnega specifičnega cilja ni načrtovana izvedba medregionalnih, čezmejnih in transnacionalnih ukrepov, saj gre za ukrepe spodbujanja energetske učinkovitosti in zmanjšanja emisij toplogrednih plinov, ki so namenjeni prvenstveno ciljnim skupinam na območju Slovenije.</w:t>
            </w:r>
          </w:p>
          <w:p w14:paraId="644A4A2A" w14:textId="77777777" w:rsidR="00A77B3E" w:rsidRDefault="00A77B3E">
            <w:pPr>
              <w:spacing w:before="5pt"/>
              <w:rPr>
                <w:color w:val="000000"/>
                <w:sz w:val="6"/>
              </w:rPr>
            </w:pPr>
          </w:p>
          <w:p w14:paraId="110C0AD9" w14:textId="77777777" w:rsidR="00A77B3E" w:rsidRDefault="00A77B3E">
            <w:pPr>
              <w:spacing w:before="5pt"/>
              <w:rPr>
                <w:color w:val="000000"/>
                <w:sz w:val="6"/>
              </w:rPr>
            </w:pPr>
          </w:p>
        </w:tc>
      </w:tr>
    </w:tbl>
    <w:p w14:paraId="6BEB4309" w14:textId="77777777" w:rsidR="00A77B3E" w:rsidRDefault="00A77B3E">
      <w:pPr>
        <w:spacing w:before="5pt"/>
        <w:rPr>
          <w:color w:val="000000"/>
        </w:rPr>
      </w:pPr>
    </w:p>
    <w:p w14:paraId="3B77913A" w14:textId="77777777" w:rsidR="00A77B3E" w:rsidRDefault="00B16CCF">
      <w:pPr>
        <w:pStyle w:val="Naslov5"/>
        <w:spacing w:before="5pt" w:after="0pt"/>
        <w:rPr>
          <w:b w:val="0"/>
          <w:i w:val="0"/>
          <w:color w:val="000000"/>
          <w:sz w:val="24"/>
        </w:rPr>
      </w:pPr>
      <w:bookmarkStart w:id="202" w:name="_Toc256000963"/>
      <w:r>
        <w:rPr>
          <w:b w:val="0"/>
          <w:i w:val="0"/>
          <w:color w:val="000000"/>
          <w:sz w:val="24"/>
        </w:rPr>
        <w:t>Načrtovana uporaba finančnih instrumentov – člen 22(3)(d)(vii) uredbe o skupnih določbah</w:t>
      </w:r>
      <w:bookmarkEnd w:id="202"/>
    </w:p>
    <w:p w14:paraId="750B39B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6F5AB9DF"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B1B436" w14:textId="77777777" w:rsidR="00A77B3E" w:rsidRDefault="00A77B3E">
            <w:pPr>
              <w:spacing w:before="5pt"/>
              <w:rPr>
                <w:color w:val="000000"/>
                <w:sz w:val="0"/>
              </w:rPr>
            </w:pPr>
          </w:p>
          <w:p w14:paraId="1E5B6558" w14:textId="77777777" w:rsidR="00A77B3E" w:rsidRDefault="00B16CCF">
            <w:pPr>
              <w:spacing w:before="5pt"/>
              <w:rPr>
                <w:color w:val="000000"/>
              </w:rPr>
            </w:pPr>
            <w:r>
              <w:rPr>
                <w:i/>
                <w:iCs/>
                <w:color w:val="000000"/>
              </w:rPr>
              <w:t>Uporaba finančnih instrumentov ni predvidena v okviru sredstev Kohezijskega sklada na tem predmetnem specifičnem cilju, so pa le-ti v skladu z izvedeno študijo predvideni v okviru sredstev ESRR.</w:t>
            </w:r>
          </w:p>
          <w:p w14:paraId="334B9FC2" w14:textId="77777777" w:rsidR="00A77B3E" w:rsidRDefault="00A77B3E">
            <w:pPr>
              <w:spacing w:before="5pt"/>
              <w:rPr>
                <w:color w:val="000000"/>
                <w:sz w:val="6"/>
              </w:rPr>
            </w:pPr>
          </w:p>
          <w:p w14:paraId="773CB78E" w14:textId="77777777" w:rsidR="00A77B3E" w:rsidRDefault="00A77B3E">
            <w:pPr>
              <w:spacing w:before="5pt"/>
              <w:rPr>
                <w:color w:val="000000"/>
                <w:sz w:val="6"/>
              </w:rPr>
            </w:pPr>
          </w:p>
        </w:tc>
      </w:tr>
    </w:tbl>
    <w:p w14:paraId="06998073" w14:textId="77777777" w:rsidR="00A77B3E" w:rsidRDefault="00A77B3E">
      <w:pPr>
        <w:spacing w:before="5pt"/>
        <w:rPr>
          <w:color w:val="000000"/>
        </w:rPr>
      </w:pPr>
    </w:p>
    <w:p w14:paraId="49E16690" w14:textId="77777777" w:rsidR="00A77B3E" w:rsidRDefault="00B16CCF">
      <w:pPr>
        <w:pStyle w:val="Naslov4"/>
        <w:spacing w:before="5pt" w:after="0pt"/>
        <w:rPr>
          <w:b w:val="0"/>
          <w:color w:val="000000"/>
          <w:sz w:val="24"/>
        </w:rPr>
      </w:pPr>
      <w:bookmarkStart w:id="203" w:name="_Toc256000964"/>
      <w:r>
        <w:rPr>
          <w:b w:val="0"/>
          <w:color w:val="000000"/>
          <w:sz w:val="24"/>
        </w:rPr>
        <w:t>2.1.1.1.2. Kazalniki</w:t>
      </w:r>
      <w:bookmarkEnd w:id="203"/>
    </w:p>
    <w:p w14:paraId="67287149" w14:textId="77777777" w:rsidR="00A77B3E" w:rsidRDefault="00A77B3E">
      <w:pPr>
        <w:spacing w:before="5pt"/>
        <w:rPr>
          <w:color w:val="000000"/>
          <w:sz w:val="0"/>
        </w:rPr>
      </w:pPr>
    </w:p>
    <w:p w14:paraId="158EE898" w14:textId="77777777" w:rsidR="00A77B3E" w:rsidRDefault="00B16CCF">
      <w:pPr>
        <w:spacing w:before="5pt"/>
        <w:rPr>
          <w:color w:val="000000"/>
          <w:sz w:val="0"/>
        </w:rPr>
      </w:pPr>
      <w:r>
        <w:rPr>
          <w:color w:val="000000"/>
        </w:rPr>
        <w:t>Sklic: člen 22(3)(d)(ii) uredbe o skupnih določbah in člen 8 uredbe o ESRR in Kohezijskem skladu</w:t>
      </w:r>
    </w:p>
    <w:p w14:paraId="267DD85A" w14:textId="77777777" w:rsidR="00A77B3E" w:rsidRDefault="00B16CCF">
      <w:pPr>
        <w:pStyle w:val="Naslov5"/>
        <w:spacing w:before="5pt" w:after="0pt"/>
        <w:rPr>
          <w:b w:val="0"/>
          <w:i w:val="0"/>
          <w:color w:val="000000"/>
          <w:sz w:val="24"/>
        </w:rPr>
      </w:pPr>
      <w:bookmarkStart w:id="204" w:name="_Toc256000965"/>
      <w:r>
        <w:rPr>
          <w:b w:val="0"/>
          <w:i w:val="0"/>
          <w:color w:val="000000"/>
          <w:sz w:val="24"/>
        </w:rPr>
        <w:t>Tabela 2: Kazalniki učinka</w:t>
      </w:r>
      <w:bookmarkEnd w:id="204"/>
    </w:p>
    <w:p w14:paraId="44E1B2F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726"/>
        <w:gridCol w:w="1592"/>
        <w:gridCol w:w="1688"/>
        <w:gridCol w:w="1650"/>
        <w:gridCol w:w="1916"/>
        <w:gridCol w:w="2164"/>
        <w:gridCol w:w="1498"/>
        <w:gridCol w:w="1194"/>
        <w:gridCol w:w="1744"/>
      </w:tblGrid>
      <w:tr w:rsidR="00823317" w14:paraId="6D2307F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9B5F09"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99A3AD"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2901A9"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3173C2"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D329845"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085649"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E30E16"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A0692A" w14:textId="77777777" w:rsidR="00A77B3E" w:rsidRDefault="00B16CCF">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EF3DCF" w14:textId="77777777" w:rsidR="00A77B3E" w:rsidRDefault="00B16CCF">
            <w:pPr>
              <w:spacing w:before="5pt"/>
              <w:jc w:val="center"/>
              <w:rPr>
                <w:color w:val="000000"/>
                <w:sz w:val="20"/>
              </w:rPr>
            </w:pPr>
            <w:r>
              <w:rPr>
                <w:color w:val="000000"/>
                <w:sz w:val="20"/>
              </w:rPr>
              <w:t>Cilj (2029)</w:t>
            </w:r>
          </w:p>
        </w:tc>
      </w:tr>
      <w:tr w:rsidR="00823317" w14:paraId="7712B88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F5596E" w14:textId="77777777" w:rsidR="00A77B3E" w:rsidRDefault="00B16CCF">
            <w:pPr>
              <w:spacing w:before="5pt"/>
              <w:rPr>
                <w:color w:val="000000"/>
                <w:sz w:val="20"/>
              </w:rPr>
            </w:pPr>
            <w:r>
              <w:rPr>
                <w:color w:val="000000"/>
                <w:sz w:val="20"/>
              </w:rPr>
              <w:lastRenderedPageBreak/>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74D4E9" w14:textId="77777777" w:rsidR="00A77B3E" w:rsidRDefault="00B16CCF">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18C389" w14:textId="77777777" w:rsidR="00A77B3E" w:rsidRDefault="00B16CCF">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12574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AA3573" w14:textId="77777777" w:rsidR="00A77B3E" w:rsidRDefault="00B16CCF">
            <w:pPr>
              <w:spacing w:before="5pt"/>
              <w:rPr>
                <w:color w:val="000000"/>
                <w:sz w:val="20"/>
              </w:rPr>
            </w:pPr>
            <w:r>
              <w:rPr>
                <w:color w:val="000000"/>
                <w:sz w:val="20"/>
              </w:rPr>
              <w:t>RCO19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D158A3" w14:textId="77777777" w:rsidR="00A77B3E" w:rsidRDefault="00B16CCF">
            <w:pPr>
              <w:spacing w:before="5pt"/>
              <w:rPr>
                <w:color w:val="000000"/>
                <w:sz w:val="20"/>
              </w:rPr>
            </w:pPr>
            <w:r>
              <w:rPr>
                <w:color w:val="000000"/>
                <w:sz w:val="20"/>
              </w:rPr>
              <w:t>Javne stavbe z boljšo energijsko učinkovitostjo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425994" w14:textId="77777777" w:rsidR="00A77B3E" w:rsidRDefault="00B16CCF">
            <w:pPr>
              <w:spacing w:before="5pt"/>
              <w:rPr>
                <w:color w:val="000000"/>
                <w:sz w:val="20"/>
              </w:rPr>
            </w:pPr>
            <w:r>
              <w:rPr>
                <w:color w:val="000000"/>
                <w:sz w:val="20"/>
              </w:rPr>
              <w:t>kvadratni metri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73600D"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38B209" w14:textId="77777777" w:rsidR="00A77B3E" w:rsidRDefault="00B16CCF">
            <w:pPr>
              <w:spacing w:before="5pt"/>
              <w:jc w:val="end"/>
              <w:rPr>
                <w:color w:val="000000"/>
                <w:sz w:val="20"/>
              </w:rPr>
            </w:pPr>
            <w:r>
              <w:rPr>
                <w:color w:val="000000"/>
                <w:sz w:val="20"/>
              </w:rPr>
              <w:t>151.182,00</w:t>
            </w:r>
          </w:p>
        </w:tc>
      </w:tr>
    </w:tbl>
    <w:p w14:paraId="243E8BF5" w14:textId="77777777" w:rsidR="00A77B3E" w:rsidRDefault="00A77B3E">
      <w:pPr>
        <w:spacing w:before="5pt"/>
        <w:rPr>
          <w:color w:val="000000"/>
          <w:sz w:val="20"/>
        </w:rPr>
      </w:pPr>
    </w:p>
    <w:p w14:paraId="0E8C04C2" w14:textId="77777777" w:rsidR="00A77B3E" w:rsidRDefault="00B16CCF">
      <w:pPr>
        <w:spacing w:before="5pt"/>
        <w:rPr>
          <w:color w:val="000000"/>
          <w:sz w:val="0"/>
        </w:rPr>
      </w:pPr>
      <w:r>
        <w:rPr>
          <w:color w:val="000000"/>
        </w:rPr>
        <w:t>Sklic: člen 22(3)(d)(ii) uredbe o skupnih določbah</w:t>
      </w:r>
    </w:p>
    <w:p w14:paraId="2C9F3648" w14:textId="77777777" w:rsidR="00A77B3E" w:rsidRDefault="00B16CCF">
      <w:pPr>
        <w:pStyle w:val="Naslov5"/>
        <w:spacing w:before="5pt" w:after="0pt"/>
        <w:rPr>
          <w:b w:val="0"/>
          <w:i w:val="0"/>
          <w:color w:val="000000"/>
          <w:sz w:val="24"/>
        </w:rPr>
      </w:pPr>
      <w:bookmarkStart w:id="205" w:name="_Toc256000966"/>
      <w:r>
        <w:rPr>
          <w:b w:val="0"/>
          <w:i w:val="0"/>
          <w:color w:val="000000"/>
          <w:sz w:val="24"/>
        </w:rPr>
        <w:t>Tabela 3: Kazalniki rezultatov</w:t>
      </w:r>
      <w:bookmarkEnd w:id="205"/>
    </w:p>
    <w:p w14:paraId="72F23DA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79"/>
        <w:gridCol w:w="1181"/>
        <w:gridCol w:w="1252"/>
        <w:gridCol w:w="1224"/>
        <w:gridCol w:w="1420"/>
        <w:gridCol w:w="1449"/>
        <w:gridCol w:w="1321"/>
        <w:gridCol w:w="1252"/>
        <w:gridCol w:w="1321"/>
        <w:gridCol w:w="1167"/>
        <w:gridCol w:w="1280"/>
        <w:gridCol w:w="1026"/>
      </w:tblGrid>
      <w:tr w:rsidR="00823317" w14:paraId="3A3F235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33ECCF"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10A36F"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5A91D1"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98FD7C"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412994"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E5010F"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6684AD"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FCADB9" w14:textId="77777777" w:rsidR="00A77B3E" w:rsidRDefault="00B16CCF">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A179FC" w14:textId="77777777" w:rsidR="00A77B3E" w:rsidRDefault="00B16CCF">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D1820D" w14:textId="77777777" w:rsidR="00A77B3E" w:rsidRDefault="00B16CCF">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770DD4" w14:textId="77777777" w:rsidR="00A77B3E" w:rsidRDefault="00B16CCF">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5A6771" w14:textId="77777777" w:rsidR="00A77B3E" w:rsidRDefault="00B16CCF">
            <w:pPr>
              <w:spacing w:before="5pt"/>
              <w:jc w:val="center"/>
              <w:rPr>
                <w:color w:val="000000"/>
                <w:sz w:val="20"/>
              </w:rPr>
            </w:pPr>
            <w:r>
              <w:rPr>
                <w:color w:val="000000"/>
                <w:sz w:val="20"/>
              </w:rPr>
              <w:t>Opombe</w:t>
            </w:r>
          </w:p>
        </w:tc>
      </w:tr>
      <w:tr w:rsidR="00823317" w14:paraId="5A4C4C3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3B4015"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16350E" w14:textId="77777777" w:rsidR="00A77B3E" w:rsidRDefault="00B16CCF">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FE223D" w14:textId="77777777" w:rsidR="00A77B3E" w:rsidRDefault="00B16CCF">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747B4B"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AAACE8" w14:textId="77777777" w:rsidR="00A77B3E" w:rsidRDefault="00B16CCF">
            <w:pPr>
              <w:spacing w:before="5pt"/>
              <w:rPr>
                <w:color w:val="000000"/>
                <w:sz w:val="20"/>
              </w:rPr>
            </w:pPr>
            <w:r>
              <w:rPr>
                <w:color w:val="000000"/>
                <w:sz w:val="20"/>
              </w:rPr>
              <w:t>RCR26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B8371F" w14:textId="77777777" w:rsidR="00A77B3E" w:rsidRDefault="00B16CCF">
            <w:pPr>
              <w:spacing w:before="5pt"/>
              <w:rPr>
                <w:color w:val="000000"/>
                <w:sz w:val="20"/>
              </w:rPr>
            </w:pPr>
            <w:r>
              <w:rPr>
                <w:color w:val="000000"/>
                <w:sz w:val="20"/>
              </w:rPr>
              <w:t>Letna poraba primarne energije (od tega: stanovanja, javne zgradbe, podjetja, drugo)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2756E3" w14:textId="77777777" w:rsidR="00A77B3E" w:rsidRDefault="00B16CCF">
            <w:pPr>
              <w:spacing w:before="5pt"/>
              <w:rPr>
                <w:color w:val="000000"/>
                <w:sz w:val="20"/>
              </w:rPr>
            </w:pPr>
            <w:r>
              <w:rPr>
                <w:color w:val="000000"/>
                <w:sz w:val="20"/>
              </w:rPr>
              <w:t>MWh/leto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3D05E7" w14:textId="77777777" w:rsidR="00A77B3E" w:rsidRDefault="00B16CCF">
            <w:pPr>
              <w:spacing w:before="5pt"/>
              <w:jc w:val="end"/>
              <w:rPr>
                <w:color w:val="000000"/>
                <w:sz w:val="20"/>
              </w:rPr>
            </w:pPr>
            <w:r>
              <w:rPr>
                <w:color w:val="000000"/>
                <w:sz w:val="20"/>
              </w:rPr>
              <w:t>57.659,00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1834AE" w14:textId="77777777" w:rsidR="00A77B3E" w:rsidRDefault="00B16CCF">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A9AECF" w14:textId="77777777" w:rsidR="00A77B3E" w:rsidRDefault="00B16CCF">
            <w:pPr>
              <w:spacing w:before="5pt"/>
              <w:jc w:val="end"/>
              <w:rPr>
                <w:color w:val="000000"/>
                <w:sz w:val="20"/>
              </w:rPr>
            </w:pPr>
            <w:r>
              <w:rPr>
                <w:color w:val="000000"/>
                <w:sz w:val="20"/>
              </w:rPr>
              <w:t>44.029,00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A40C7F" w14:textId="77777777" w:rsidR="00A77B3E" w:rsidRDefault="00B16CCF">
            <w:pPr>
              <w:spacing w:before="5pt"/>
              <w:rPr>
                <w:color w:val="000000"/>
                <w:sz w:val="20"/>
              </w:rPr>
            </w:pPr>
            <w:r>
              <w:rPr>
                <w:color w:val="000000"/>
                <w:sz w:val="20"/>
              </w:rPr>
              <w:t>MOPE, ministrstva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80410D" w14:textId="77777777" w:rsidR="00A77B3E" w:rsidRDefault="00A77B3E">
            <w:pPr>
              <w:spacing w:before="5pt"/>
              <w:rPr>
                <w:color w:val="000000"/>
                <w:sz w:val="20"/>
              </w:rPr>
            </w:pPr>
          </w:p>
        </w:tc>
      </w:tr>
      <w:tr w:rsidR="00823317" w14:paraId="3737932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13BDAE"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6099CC" w14:textId="77777777" w:rsidR="00A77B3E" w:rsidRDefault="00B16CCF">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F8FBEF" w14:textId="77777777" w:rsidR="00A77B3E" w:rsidRDefault="00B16CCF">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E5A49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E8FBFF" w14:textId="77777777" w:rsidR="00A77B3E" w:rsidRDefault="00B16CCF">
            <w:pPr>
              <w:spacing w:before="5pt"/>
              <w:rPr>
                <w:color w:val="000000"/>
                <w:sz w:val="20"/>
              </w:rPr>
            </w:pPr>
            <w:r>
              <w:rPr>
                <w:color w:val="000000"/>
                <w:sz w:val="20"/>
              </w:rPr>
              <w:t>19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18264D" w14:textId="77777777" w:rsidR="00A77B3E" w:rsidRDefault="00B16CCF">
            <w:pPr>
              <w:spacing w:before="5pt"/>
              <w:rPr>
                <w:color w:val="000000"/>
                <w:sz w:val="20"/>
              </w:rPr>
            </w:pPr>
            <w:r>
              <w:rPr>
                <w:color w:val="000000"/>
                <w:sz w:val="20"/>
              </w:rPr>
              <w:t>Zmanjšanje emisij toplogrednih plinov v javnih stavbah</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822872" w14:textId="77777777" w:rsidR="00A77B3E" w:rsidRDefault="00B16CCF">
            <w:pPr>
              <w:spacing w:before="5pt"/>
              <w:rPr>
                <w:color w:val="000000"/>
                <w:sz w:val="20"/>
              </w:rPr>
            </w:pPr>
            <w:r>
              <w:rPr>
                <w:color w:val="000000"/>
                <w:sz w:val="20"/>
              </w:rPr>
              <w:t>tone ekvivalenta CO2/leto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567A66" w14:textId="77777777" w:rsidR="00A77B3E" w:rsidRDefault="00B16CCF">
            <w:pPr>
              <w:spacing w:before="5pt"/>
              <w:jc w:val="end"/>
              <w:rPr>
                <w:color w:val="000000"/>
                <w:sz w:val="20"/>
              </w:rPr>
            </w:pPr>
            <w:r>
              <w:rPr>
                <w:color w:val="000000"/>
                <w:sz w:val="20"/>
              </w:rPr>
              <w:t>376.812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A284DA" w14:textId="77777777" w:rsidR="00A77B3E" w:rsidRDefault="00B16CCF">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CF8B52" w14:textId="77777777" w:rsidR="00A77B3E" w:rsidRDefault="00B16CCF">
            <w:pPr>
              <w:spacing w:before="5pt"/>
              <w:jc w:val="end"/>
              <w:rPr>
                <w:color w:val="000000"/>
                <w:sz w:val="20"/>
              </w:rPr>
            </w:pPr>
            <w:r>
              <w:rPr>
                <w:color w:val="000000"/>
                <w:sz w:val="20"/>
              </w:rPr>
              <w:t>374.118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208077" w14:textId="77777777" w:rsidR="00A77B3E" w:rsidRDefault="00B16CCF">
            <w:pPr>
              <w:spacing w:before="5pt"/>
              <w:rPr>
                <w:color w:val="000000"/>
                <w:sz w:val="20"/>
              </w:rPr>
            </w:pPr>
            <w:r>
              <w:rPr>
                <w:color w:val="000000"/>
                <w:sz w:val="20"/>
              </w:rPr>
              <w:t>MOPE, ministrstva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ED0724" w14:textId="77777777" w:rsidR="00A77B3E" w:rsidRDefault="00A77B3E">
            <w:pPr>
              <w:spacing w:before="5pt"/>
              <w:rPr>
                <w:color w:val="000000"/>
                <w:sz w:val="20"/>
              </w:rPr>
            </w:pPr>
          </w:p>
        </w:tc>
      </w:tr>
    </w:tbl>
    <w:p w14:paraId="6A14CC94" w14:textId="77777777" w:rsidR="00A77B3E" w:rsidRDefault="00A77B3E">
      <w:pPr>
        <w:spacing w:before="5pt"/>
        <w:rPr>
          <w:color w:val="000000"/>
          <w:sz w:val="20"/>
        </w:rPr>
      </w:pPr>
    </w:p>
    <w:p w14:paraId="3AF93750" w14:textId="77777777" w:rsidR="00A77B3E" w:rsidRDefault="00B16CCF">
      <w:pPr>
        <w:pStyle w:val="Naslov4"/>
        <w:spacing w:before="5pt" w:after="0pt"/>
        <w:rPr>
          <w:b w:val="0"/>
          <w:color w:val="000000"/>
          <w:sz w:val="24"/>
        </w:rPr>
      </w:pPr>
      <w:bookmarkStart w:id="206" w:name="_Toc256000967"/>
      <w:r>
        <w:rPr>
          <w:b w:val="0"/>
          <w:color w:val="000000"/>
          <w:sz w:val="24"/>
        </w:rPr>
        <w:t>2.1.1.1.3. Okvirna razčlenitev načrtovanih sredstev (EU) glede na vrsto ukrepa</w:t>
      </w:r>
      <w:bookmarkEnd w:id="206"/>
    </w:p>
    <w:p w14:paraId="05CBC0F9" w14:textId="77777777" w:rsidR="00A77B3E" w:rsidRDefault="00A77B3E">
      <w:pPr>
        <w:spacing w:before="5pt"/>
        <w:rPr>
          <w:color w:val="000000"/>
          <w:sz w:val="0"/>
        </w:rPr>
      </w:pPr>
    </w:p>
    <w:p w14:paraId="74B6B9D1" w14:textId="77777777" w:rsidR="00A77B3E" w:rsidRDefault="00B16CCF">
      <w:pPr>
        <w:spacing w:before="5pt"/>
        <w:rPr>
          <w:color w:val="000000"/>
          <w:sz w:val="0"/>
        </w:rPr>
      </w:pPr>
      <w:r>
        <w:rPr>
          <w:color w:val="000000"/>
        </w:rPr>
        <w:t>Sklic: člen 22(3)(d)(viii) uredbe o skupnih določbah</w:t>
      </w:r>
    </w:p>
    <w:p w14:paraId="21036AF5" w14:textId="77777777" w:rsidR="00A77B3E" w:rsidRDefault="00B16CCF">
      <w:pPr>
        <w:pStyle w:val="Naslov5"/>
        <w:spacing w:before="5pt" w:after="0pt"/>
        <w:rPr>
          <w:b w:val="0"/>
          <w:i w:val="0"/>
          <w:color w:val="000000"/>
          <w:sz w:val="24"/>
        </w:rPr>
      </w:pPr>
      <w:bookmarkStart w:id="207" w:name="_Toc256000968"/>
      <w:r>
        <w:rPr>
          <w:b w:val="0"/>
          <w:i w:val="0"/>
          <w:color w:val="000000"/>
          <w:sz w:val="24"/>
        </w:rPr>
        <w:t>Tabela 4: Razsežnost 1 – področje ukrepanja</w:t>
      </w:r>
      <w:bookmarkEnd w:id="207"/>
    </w:p>
    <w:p w14:paraId="1B2AFF5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384"/>
        <w:gridCol w:w="2200"/>
        <w:gridCol w:w="2332"/>
        <w:gridCol w:w="2280"/>
        <w:gridCol w:w="2975"/>
        <w:gridCol w:w="3001"/>
      </w:tblGrid>
      <w:tr w:rsidR="00823317" w14:paraId="276380D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935BC4"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3444E5"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43E519"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B8DD1A"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07134C"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7C3755" w14:textId="77777777" w:rsidR="00A77B3E" w:rsidRDefault="00B16CCF">
            <w:pPr>
              <w:spacing w:before="5pt"/>
              <w:jc w:val="center"/>
              <w:rPr>
                <w:color w:val="000000"/>
                <w:sz w:val="20"/>
              </w:rPr>
            </w:pPr>
            <w:r>
              <w:rPr>
                <w:color w:val="000000"/>
                <w:sz w:val="20"/>
              </w:rPr>
              <w:t>Znesek (v EUR)</w:t>
            </w:r>
          </w:p>
        </w:tc>
      </w:tr>
      <w:tr w:rsidR="00823317" w14:paraId="2A4BEDC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534E9E"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FBBCF2" w14:textId="77777777" w:rsidR="00A77B3E" w:rsidRDefault="00B16CCF">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8C5692" w14:textId="77777777" w:rsidR="00A77B3E" w:rsidRDefault="00B16CCF">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E203E4"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BC2E67" w14:textId="77777777" w:rsidR="00A77B3E" w:rsidRDefault="00B16CCF">
            <w:pPr>
              <w:spacing w:before="5pt"/>
              <w:rPr>
                <w:color w:val="000000"/>
                <w:sz w:val="20"/>
              </w:rPr>
            </w:pPr>
            <w:r>
              <w:rPr>
                <w:color w:val="000000"/>
                <w:sz w:val="20"/>
              </w:rPr>
              <w:t>045. Prenova za večjo energijsko učinkovitost ali ukrepi za večjo energijsko učinkovitost javne infrastrukture, predstavitveni projekti in podporni ukrepi v skladu z merili za energijsko učinkovitost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4CE077" w14:textId="77777777" w:rsidR="00A77B3E" w:rsidRDefault="00B16CCF">
            <w:pPr>
              <w:spacing w:before="5pt"/>
              <w:jc w:val="end"/>
              <w:rPr>
                <w:color w:val="000000"/>
                <w:sz w:val="20"/>
              </w:rPr>
            </w:pPr>
            <w:r>
              <w:rPr>
                <w:color w:val="000000"/>
                <w:sz w:val="20"/>
              </w:rPr>
              <w:t>42.406.563,63</w:t>
            </w:r>
          </w:p>
        </w:tc>
      </w:tr>
      <w:tr w:rsidR="00823317" w14:paraId="06A40E0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EEB0A2"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FB048E" w14:textId="77777777" w:rsidR="00A77B3E" w:rsidRDefault="00B16CCF">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EA7CED"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C7528F"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B71636"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DBDC6D" w14:textId="77777777" w:rsidR="00A77B3E" w:rsidRDefault="00B16CCF">
            <w:pPr>
              <w:spacing w:before="5pt"/>
              <w:jc w:val="end"/>
              <w:rPr>
                <w:color w:val="000000"/>
                <w:sz w:val="20"/>
              </w:rPr>
            </w:pPr>
            <w:r>
              <w:rPr>
                <w:color w:val="000000"/>
                <w:sz w:val="20"/>
              </w:rPr>
              <w:t>42.406.563,63</w:t>
            </w:r>
          </w:p>
        </w:tc>
      </w:tr>
    </w:tbl>
    <w:p w14:paraId="5EBAE082" w14:textId="77777777" w:rsidR="00A77B3E" w:rsidRDefault="00A77B3E">
      <w:pPr>
        <w:spacing w:before="5pt"/>
        <w:rPr>
          <w:color w:val="000000"/>
          <w:sz w:val="20"/>
        </w:rPr>
      </w:pPr>
    </w:p>
    <w:p w14:paraId="4243BD62" w14:textId="77777777" w:rsidR="00A77B3E" w:rsidRDefault="00B16CCF">
      <w:pPr>
        <w:pStyle w:val="Naslov5"/>
        <w:spacing w:before="5pt" w:after="0pt"/>
        <w:rPr>
          <w:b w:val="0"/>
          <w:i w:val="0"/>
          <w:color w:val="000000"/>
          <w:sz w:val="24"/>
        </w:rPr>
      </w:pPr>
      <w:bookmarkStart w:id="208" w:name="_Toc256000969"/>
      <w:r>
        <w:rPr>
          <w:b w:val="0"/>
          <w:i w:val="0"/>
          <w:color w:val="000000"/>
          <w:sz w:val="24"/>
        </w:rPr>
        <w:t>Tabela 5: Razsežnost 2 – oblika financiranja</w:t>
      </w:r>
      <w:bookmarkEnd w:id="208"/>
    </w:p>
    <w:p w14:paraId="3BC5307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63"/>
        <w:gridCol w:w="2273"/>
        <w:gridCol w:w="2409"/>
        <w:gridCol w:w="2356"/>
        <w:gridCol w:w="2571"/>
        <w:gridCol w:w="3100"/>
      </w:tblGrid>
      <w:tr w:rsidR="00823317" w14:paraId="542F401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E22E17"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E0ED370"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D25A8A"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E81482"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6797CB"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37150C" w14:textId="77777777" w:rsidR="00A77B3E" w:rsidRDefault="00B16CCF">
            <w:pPr>
              <w:spacing w:before="5pt"/>
              <w:jc w:val="center"/>
              <w:rPr>
                <w:color w:val="000000"/>
                <w:sz w:val="20"/>
              </w:rPr>
            </w:pPr>
            <w:r>
              <w:rPr>
                <w:color w:val="000000"/>
                <w:sz w:val="20"/>
              </w:rPr>
              <w:t>Znesek (v EUR)</w:t>
            </w:r>
          </w:p>
        </w:tc>
      </w:tr>
      <w:tr w:rsidR="00823317" w14:paraId="4278960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BA2D7C"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6FCF4F" w14:textId="77777777" w:rsidR="00A77B3E" w:rsidRDefault="00B16CCF">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70B455" w14:textId="77777777" w:rsidR="00A77B3E" w:rsidRDefault="00B16CCF">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C3084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217F1B" w14:textId="77777777" w:rsidR="00A77B3E" w:rsidRDefault="00B16CCF">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161D8E" w14:textId="77777777" w:rsidR="00A77B3E" w:rsidRDefault="00B16CCF">
            <w:pPr>
              <w:spacing w:before="5pt"/>
              <w:jc w:val="end"/>
              <w:rPr>
                <w:color w:val="000000"/>
                <w:sz w:val="20"/>
              </w:rPr>
            </w:pPr>
            <w:r>
              <w:rPr>
                <w:color w:val="000000"/>
                <w:sz w:val="20"/>
              </w:rPr>
              <w:t>42.406.563,63</w:t>
            </w:r>
          </w:p>
        </w:tc>
      </w:tr>
      <w:tr w:rsidR="00823317" w14:paraId="638C7A2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210C73"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E75332" w14:textId="77777777" w:rsidR="00A77B3E" w:rsidRDefault="00B16CCF">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6F8093"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A47852"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A8B17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ABF2BF" w14:textId="77777777" w:rsidR="00A77B3E" w:rsidRDefault="00B16CCF">
            <w:pPr>
              <w:spacing w:before="5pt"/>
              <w:jc w:val="end"/>
              <w:rPr>
                <w:color w:val="000000"/>
                <w:sz w:val="20"/>
              </w:rPr>
            </w:pPr>
            <w:r>
              <w:rPr>
                <w:color w:val="000000"/>
                <w:sz w:val="20"/>
              </w:rPr>
              <w:t>42.406.563,63</w:t>
            </w:r>
          </w:p>
        </w:tc>
      </w:tr>
    </w:tbl>
    <w:p w14:paraId="1F37122C" w14:textId="77777777" w:rsidR="00A77B3E" w:rsidRDefault="00A77B3E">
      <w:pPr>
        <w:spacing w:before="5pt"/>
        <w:rPr>
          <w:color w:val="000000"/>
          <w:sz w:val="20"/>
        </w:rPr>
      </w:pPr>
    </w:p>
    <w:p w14:paraId="1EC0D9F5" w14:textId="77777777" w:rsidR="00A77B3E" w:rsidRDefault="00B16CCF">
      <w:pPr>
        <w:pStyle w:val="Naslov5"/>
        <w:spacing w:before="5pt" w:after="0pt"/>
        <w:rPr>
          <w:b w:val="0"/>
          <w:i w:val="0"/>
          <w:color w:val="000000"/>
          <w:sz w:val="24"/>
        </w:rPr>
      </w:pPr>
      <w:bookmarkStart w:id="209" w:name="_Toc256000970"/>
      <w:r>
        <w:rPr>
          <w:b w:val="0"/>
          <w:i w:val="0"/>
          <w:color w:val="000000"/>
          <w:sz w:val="24"/>
        </w:rPr>
        <w:t>Tabela 6: Razsežnost 3 – mehanizem za ozemeljsko izvrševanje in ozemeljski pristop</w:t>
      </w:r>
      <w:bookmarkEnd w:id="209"/>
    </w:p>
    <w:p w14:paraId="677659C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04"/>
        <w:gridCol w:w="2217"/>
        <w:gridCol w:w="2350"/>
        <w:gridCol w:w="2298"/>
        <w:gridCol w:w="2879"/>
        <w:gridCol w:w="3024"/>
      </w:tblGrid>
      <w:tr w:rsidR="00823317" w14:paraId="2F3B4F6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5F15F6"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DA6312"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17882C"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CFE9A1"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42CA0A"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4DA18D" w14:textId="77777777" w:rsidR="00A77B3E" w:rsidRDefault="00B16CCF">
            <w:pPr>
              <w:spacing w:before="5pt"/>
              <w:jc w:val="center"/>
              <w:rPr>
                <w:color w:val="000000"/>
                <w:sz w:val="20"/>
              </w:rPr>
            </w:pPr>
            <w:r>
              <w:rPr>
                <w:color w:val="000000"/>
                <w:sz w:val="20"/>
              </w:rPr>
              <w:t>Znesek (v EUR)</w:t>
            </w:r>
          </w:p>
        </w:tc>
      </w:tr>
      <w:tr w:rsidR="00823317" w14:paraId="759E2D7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60F5B6"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BF06CE" w14:textId="77777777" w:rsidR="00A77B3E" w:rsidRDefault="00B16CCF">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74F5CF" w14:textId="77777777" w:rsidR="00A77B3E" w:rsidRDefault="00B16CCF">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06F266"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8DF19E" w14:textId="77777777" w:rsidR="00A77B3E" w:rsidRDefault="00B16CCF">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7B2DF1" w14:textId="77777777" w:rsidR="00A77B3E" w:rsidRDefault="00B16CCF">
            <w:pPr>
              <w:spacing w:before="5pt"/>
              <w:jc w:val="end"/>
              <w:rPr>
                <w:color w:val="000000"/>
                <w:sz w:val="20"/>
              </w:rPr>
            </w:pPr>
            <w:r>
              <w:rPr>
                <w:color w:val="000000"/>
                <w:sz w:val="20"/>
              </w:rPr>
              <w:t>42.406.563,63</w:t>
            </w:r>
          </w:p>
        </w:tc>
      </w:tr>
      <w:tr w:rsidR="00823317" w14:paraId="6E32DB7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435A44"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EABE57" w14:textId="77777777" w:rsidR="00A77B3E" w:rsidRDefault="00B16CCF">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94EF10"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A42262"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C8072E"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C85A09" w14:textId="77777777" w:rsidR="00A77B3E" w:rsidRDefault="00B16CCF">
            <w:pPr>
              <w:spacing w:before="5pt"/>
              <w:jc w:val="end"/>
              <w:rPr>
                <w:color w:val="000000"/>
                <w:sz w:val="20"/>
              </w:rPr>
            </w:pPr>
            <w:r>
              <w:rPr>
                <w:color w:val="000000"/>
                <w:sz w:val="20"/>
              </w:rPr>
              <w:t>42.406.563,63</w:t>
            </w:r>
          </w:p>
        </w:tc>
      </w:tr>
    </w:tbl>
    <w:p w14:paraId="30196587" w14:textId="77777777" w:rsidR="00A77B3E" w:rsidRDefault="00A77B3E">
      <w:pPr>
        <w:spacing w:before="5pt"/>
        <w:rPr>
          <w:color w:val="000000"/>
          <w:sz w:val="20"/>
        </w:rPr>
      </w:pPr>
    </w:p>
    <w:p w14:paraId="5958C009" w14:textId="77777777" w:rsidR="00A77B3E" w:rsidRDefault="00B16CCF">
      <w:pPr>
        <w:pStyle w:val="Naslov5"/>
        <w:spacing w:before="5pt" w:after="0pt"/>
        <w:rPr>
          <w:b w:val="0"/>
          <w:i w:val="0"/>
          <w:color w:val="000000"/>
          <w:sz w:val="24"/>
        </w:rPr>
      </w:pPr>
      <w:bookmarkStart w:id="210" w:name="_Toc256000971"/>
      <w:r>
        <w:rPr>
          <w:b w:val="0"/>
          <w:i w:val="0"/>
          <w:color w:val="000000"/>
          <w:sz w:val="24"/>
        </w:rPr>
        <w:t>Tabela 7: Razsežnost 6 – sekundarna področja ESS+</w:t>
      </w:r>
      <w:bookmarkEnd w:id="210"/>
    </w:p>
    <w:p w14:paraId="3CCC0AD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117"/>
        <w:gridCol w:w="2877"/>
        <w:gridCol w:w="1780"/>
        <w:gridCol w:w="2982"/>
        <w:gridCol w:w="2259"/>
        <w:gridCol w:w="2157"/>
      </w:tblGrid>
      <w:tr w:rsidR="00823317" w14:paraId="505B921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C981D8"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873933"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AA2B93"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567C46"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EA430D"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1B1759" w14:textId="77777777" w:rsidR="00A77B3E" w:rsidRDefault="00B16CCF">
            <w:pPr>
              <w:spacing w:before="5pt"/>
              <w:jc w:val="center"/>
              <w:rPr>
                <w:color w:val="000000"/>
                <w:sz w:val="20"/>
              </w:rPr>
            </w:pPr>
            <w:r>
              <w:rPr>
                <w:color w:val="000000"/>
                <w:sz w:val="20"/>
              </w:rPr>
              <w:t>Znesek (v EUR)</w:t>
            </w:r>
          </w:p>
        </w:tc>
      </w:tr>
    </w:tbl>
    <w:p w14:paraId="63FF5CC2" w14:textId="77777777" w:rsidR="00A77B3E" w:rsidRDefault="00A77B3E">
      <w:pPr>
        <w:spacing w:before="5pt"/>
        <w:rPr>
          <w:color w:val="000000"/>
          <w:sz w:val="20"/>
        </w:rPr>
      </w:pPr>
    </w:p>
    <w:p w14:paraId="56965C5C" w14:textId="77777777" w:rsidR="00A77B3E" w:rsidRDefault="00B16CCF">
      <w:pPr>
        <w:pStyle w:val="Naslov5"/>
        <w:spacing w:before="5pt" w:after="0pt"/>
        <w:rPr>
          <w:b w:val="0"/>
          <w:i w:val="0"/>
          <w:color w:val="000000"/>
          <w:sz w:val="24"/>
        </w:rPr>
      </w:pPr>
      <w:bookmarkStart w:id="211" w:name="_Toc256000972"/>
      <w:r>
        <w:rPr>
          <w:b w:val="0"/>
          <w:i w:val="0"/>
          <w:color w:val="000000"/>
          <w:sz w:val="24"/>
        </w:rPr>
        <w:t>Tabela 8: Razsežnost 7 – razsežnost enakosti spolov v okviru ESS+*, ESRR, Kohezijskega sklada in SPP</w:t>
      </w:r>
      <w:bookmarkEnd w:id="211"/>
    </w:p>
    <w:p w14:paraId="6162261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80"/>
        <w:gridCol w:w="2289"/>
        <w:gridCol w:w="2427"/>
        <w:gridCol w:w="2373"/>
        <w:gridCol w:w="2481"/>
        <w:gridCol w:w="3122"/>
      </w:tblGrid>
      <w:tr w:rsidR="00823317" w14:paraId="63DE207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D5D0792"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F82822"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286DC0"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0750F1"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B9007F"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54E4E6" w14:textId="77777777" w:rsidR="00A77B3E" w:rsidRDefault="00B16CCF">
            <w:pPr>
              <w:spacing w:before="5pt"/>
              <w:jc w:val="center"/>
              <w:rPr>
                <w:color w:val="000000"/>
                <w:sz w:val="20"/>
              </w:rPr>
            </w:pPr>
            <w:r>
              <w:rPr>
                <w:color w:val="000000"/>
                <w:sz w:val="20"/>
              </w:rPr>
              <w:t>Znesek (v EUR)</w:t>
            </w:r>
          </w:p>
        </w:tc>
      </w:tr>
      <w:tr w:rsidR="00823317" w14:paraId="1E28D4C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8FADE6"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0F2D64" w14:textId="77777777" w:rsidR="00A77B3E" w:rsidRDefault="00B16CCF">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4D3132" w14:textId="77777777" w:rsidR="00A77B3E" w:rsidRDefault="00B16CCF">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64F2C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C37FAF" w14:textId="77777777" w:rsidR="00A77B3E" w:rsidRDefault="00B16CCF">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0634EB" w14:textId="77777777" w:rsidR="00A77B3E" w:rsidRDefault="00B16CCF">
            <w:pPr>
              <w:spacing w:before="5pt"/>
              <w:jc w:val="end"/>
              <w:rPr>
                <w:color w:val="000000"/>
                <w:sz w:val="20"/>
              </w:rPr>
            </w:pPr>
            <w:r>
              <w:rPr>
                <w:color w:val="000000"/>
                <w:sz w:val="20"/>
              </w:rPr>
              <w:t>42.406.563,63</w:t>
            </w:r>
          </w:p>
        </w:tc>
      </w:tr>
      <w:tr w:rsidR="00823317" w14:paraId="1F014CE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77424A"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36D79E" w14:textId="77777777" w:rsidR="00A77B3E" w:rsidRDefault="00B16CCF">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FA8DDB"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20F302"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1775A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099762" w14:textId="77777777" w:rsidR="00A77B3E" w:rsidRDefault="00B16CCF">
            <w:pPr>
              <w:spacing w:before="5pt"/>
              <w:jc w:val="end"/>
              <w:rPr>
                <w:color w:val="000000"/>
                <w:sz w:val="20"/>
              </w:rPr>
            </w:pPr>
            <w:r>
              <w:rPr>
                <w:color w:val="000000"/>
                <w:sz w:val="20"/>
              </w:rPr>
              <w:t>42.406.563,63</w:t>
            </w:r>
          </w:p>
        </w:tc>
      </w:tr>
    </w:tbl>
    <w:p w14:paraId="0FF07D56" w14:textId="77777777" w:rsidR="00A77B3E" w:rsidRDefault="00B16CCF">
      <w:pPr>
        <w:spacing w:before="5pt"/>
        <w:rPr>
          <w:color w:val="000000"/>
          <w:sz w:val="20"/>
        </w:rPr>
      </w:pPr>
      <w:r>
        <w:rPr>
          <w:color w:val="000000"/>
          <w:sz w:val="20"/>
        </w:rPr>
        <w:t>* Načeloma 40 % za ESS+ prispeva k spremljanju enakosti spolov. 100 % se uporabi, kadar se država članica odloči za uporabo člena 6 uredbe o ESS+.</w:t>
      </w:r>
    </w:p>
    <w:p w14:paraId="1804F4EE" w14:textId="77777777" w:rsidR="00A77B3E" w:rsidRDefault="00B16CCF">
      <w:pPr>
        <w:pStyle w:val="Naslov4"/>
        <w:spacing w:before="5pt" w:after="0pt"/>
        <w:rPr>
          <w:b w:val="0"/>
          <w:color w:val="000000"/>
          <w:sz w:val="24"/>
        </w:rPr>
      </w:pPr>
      <w:r>
        <w:rPr>
          <w:b w:val="0"/>
          <w:color w:val="000000"/>
          <w:sz w:val="24"/>
        </w:rPr>
        <w:br w:type="page"/>
      </w:r>
      <w:bookmarkStart w:id="212" w:name="_Toc256000973"/>
      <w:r>
        <w:rPr>
          <w:b w:val="0"/>
          <w:color w:val="000000"/>
          <w:sz w:val="24"/>
        </w:rPr>
        <w:lastRenderedPageBreak/>
        <w:t>2.1.1.1. Specifični cilj: RSO2.2. Spodbujanje energije iz obnovljivih virov v skladu z Direktivo (EU) 2018/2001 o spodbujanju uporabe energije iz obnovljivih virov [1], vključno s trajnostnimi merili, določenimi v Direktivi (Kohezijski sklad)</w:t>
      </w:r>
      <w:bookmarkEnd w:id="212"/>
    </w:p>
    <w:p w14:paraId="11351A24" w14:textId="77777777" w:rsidR="00A77B3E" w:rsidRDefault="00A77B3E">
      <w:pPr>
        <w:spacing w:before="5pt"/>
        <w:rPr>
          <w:color w:val="000000"/>
          <w:sz w:val="0"/>
        </w:rPr>
      </w:pPr>
    </w:p>
    <w:p w14:paraId="3D389C16" w14:textId="77777777" w:rsidR="00A77B3E" w:rsidRDefault="00B16CCF">
      <w:pPr>
        <w:pStyle w:val="Naslov4"/>
        <w:spacing w:before="5pt" w:after="0pt"/>
        <w:rPr>
          <w:b w:val="0"/>
          <w:color w:val="000000"/>
          <w:sz w:val="24"/>
        </w:rPr>
      </w:pPr>
      <w:bookmarkStart w:id="213" w:name="_Toc256000974"/>
      <w:r>
        <w:rPr>
          <w:b w:val="0"/>
          <w:color w:val="000000"/>
          <w:sz w:val="24"/>
        </w:rPr>
        <w:t>2.1.1.1.1. Ukrepi skladov</w:t>
      </w:r>
      <w:bookmarkEnd w:id="213"/>
    </w:p>
    <w:p w14:paraId="3FC8DCFF" w14:textId="77777777" w:rsidR="00A77B3E" w:rsidRDefault="00A77B3E">
      <w:pPr>
        <w:spacing w:before="5pt"/>
        <w:rPr>
          <w:color w:val="000000"/>
          <w:sz w:val="0"/>
        </w:rPr>
      </w:pPr>
    </w:p>
    <w:p w14:paraId="17D2F6C9" w14:textId="77777777" w:rsidR="00A77B3E" w:rsidRDefault="00B16CCF">
      <w:pPr>
        <w:spacing w:before="5pt"/>
        <w:rPr>
          <w:color w:val="000000"/>
          <w:sz w:val="0"/>
        </w:rPr>
      </w:pPr>
      <w:r>
        <w:rPr>
          <w:color w:val="000000"/>
        </w:rPr>
        <w:t>Sklic: člen 22(3)(d)(i), (iii), (iv), (v), (vi) in (vii) uredbe o skupnih določbah</w:t>
      </w:r>
    </w:p>
    <w:p w14:paraId="13522FD3" w14:textId="77777777" w:rsidR="00A77B3E" w:rsidRDefault="00B16CCF">
      <w:pPr>
        <w:pStyle w:val="Naslov5"/>
        <w:spacing w:before="5pt" w:after="0pt"/>
        <w:rPr>
          <w:b w:val="0"/>
          <w:i w:val="0"/>
          <w:color w:val="000000"/>
          <w:sz w:val="24"/>
        </w:rPr>
      </w:pPr>
      <w:bookmarkStart w:id="214" w:name="_Toc256000975"/>
      <w:r>
        <w:rPr>
          <w:b w:val="0"/>
          <w:i w:val="0"/>
          <w:color w:val="000000"/>
          <w:sz w:val="24"/>
        </w:rPr>
        <w:t>Povezane vrste ukrepov – člen 22(3)(d)(i) uredbe o skupnih določbah in člen 6 uredbe o ESS+:</w:t>
      </w:r>
      <w:bookmarkEnd w:id="214"/>
    </w:p>
    <w:p w14:paraId="53016AF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1BD8C27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71AA92" w14:textId="77777777" w:rsidR="00A77B3E" w:rsidRDefault="00A77B3E">
            <w:pPr>
              <w:spacing w:before="5pt"/>
              <w:rPr>
                <w:color w:val="000000"/>
                <w:sz w:val="0"/>
              </w:rPr>
            </w:pPr>
          </w:p>
          <w:p w14:paraId="3BA99442" w14:textId="77777777" w:rsidR="00A77B3E" w:rsidRDefault="00B16CCF">
            <w:pPr>
              <w:spacing w:before="5pt"/>
              <w:rPr>
                <w:color w:val="000000"/>
              </w:rPr>
            </w:pPr>
            <w:r>
              <w:rPr>
                <w:color w:val="000000"/>
              </w:rPr>
              <w:t>Za doseganje ciljev SRS 2030 in posodobljenega NEPN 2024 [1] mora Slovenija spodbuditi vlaganja na področju rabe OVE. Spodbujanje pridobivanja energije iz OVE v skladu z Direktivo (EU) 2018/2001 o spodbujanju uporabe energije iz obnovljivih virov, vključno s trajnostnimi merili, je namreč eden ključnih korakov k podnebno nevtralni Sloveniji do leta 2050, zato se bo v okviru tega specifičnega cilja pospešilo vlaganja v naslednji ključni ukrep:</w:t>
            </w:r>
          </w:p>
          <w:p w14:paraId="73A96D22" w14:textId="77777777" w:rsidR="00A77B3E" w:rsidRDefault="00B16CCF">
            <w:pPr>
              <w:spacing w:before="5pt"/>
              <w:rPr>
                <w:color w:val="000000"/>
              </w:rPr>
            </w:pPr>
            <w:r>
              <w:rPr>
                <w:color w:val="000000"/>
              </w:rPr>
              <w:t>•</w:t>
            </w:r>
            <w:r>
              <w:rPr>
                <w:i/>
                <w:iCs/>
                <w:color w:val="000000"/>
              </w:rPr>
              <w:t xml:space="preserve">spodbujanje novih in prestrukturiranje obstoječih daljinskih sistemov na OVE (ogrevanje in hlajenje): </w:t>
            </w:r>
            <w:r>
              <w:rPr>
                <w:color w:val="000000"/>
              </w:rPr>
              <w:t>predvideno je nadaljevanje obstoječih instrumentov spodbujanja razvoja sistemov daljinskega ogrevanja (v nadaljevanju: DO) in/ali hlajenja na OVE in odvečno toploto. Predvidene so naložbe v spodbujanje energije iz obnovljivih virov in soproizvodnje z visokim izkoristkom, skladno z 41. členom Uredbe 651/2014 in/ali možnost sofinanciranja naložb v energijsko učinkovito daljinsko ogrevanje in/ali hlajenje, skladno s 46. členom Uredbe 651/2014. Finančne spodbude so predvidene za izgradnjo novih trajnostnih sistemov DO, ki bodo učinkoviti in konkurenčni oziroma prestrukturiranje obstoječih sistemov DO. Pri tem bo pomembno spodbujanje soproizvodnje toplote in električne energije v sistemih DO ter povezovanje sektorjev (hranilniki energije, »power2heat« idr.).</w:t>
            </w:r>
          </w:p>
          <w:p w14:paraId="45CCA44B" w14:textId="77777777" w:rsidR="00A77B3E" w:rsidRDefault="00B16CCF">
            <w:pPr>
              <w:spacing w:before="5pt"/>
              <w:rPr>
                <w:color w:val="000000"/>
              </w:rPr>
            </w:pPr>
            <w:r>
              <w:rPr>
                <w:color w:val="000000"/>
              </w:rPr>
              <w:t>Ukrep se osredotoča na podporo projektom vgradnje generatorjev toplote, ki uporabljajo OVE in povečujejo delež OVE v sistemih daljinskega ogrevanja (toplotnih črpalk (TČ) za proizvodnjo toplote, sončnih sprejemnikov (SSE) za proizvodnjo toplote, kotlov na lesno biomaso (KNLB)) in izgradnjo postrojenj za soproizvodnjo toplote in električne energije iz obnovljivih virov energije (SPTE) iz OVE ter izkoriščanjem odpadne toplote, v obstoječih sistemih daljinskega ogrevanja.</w:t>
            </w:r>
          </w:p>
          <w:p w14:paraId="56C79D4C" w14:textId="77777777" w:rsidR="00A77B3E" w:rsidRDefault="00B16CCF">
            <w:pPr>
              <w:spacing w:before="5pt"/>
              <w:rPr>
                <w:color w:val="000000"/>
              </w:rPr>
            </w:pPr>
            <w:r>
              <w:rPr>
                <w:color w:val="000000"/>
              </w:rPr>
              <w:t>Poleg tega bodo podprte tudi naložbe v hranilnike toplote v sistemih daljinskega ogrevanja. Na ta način se lahko tudi zmanjšajo investicijski stroški prehoda v podnebno nevtralno družbo.</w:t>
            </w:r>
          </w:p>
          <w:p w14:paraId="42EA5476" w14:textId="77777777" w:rsidR="00A77B3E" w:rsidRDefault="00B16CCF">
            <w:pPr>
              <w:spacing w:before="5pt"/>
              <w:rPr>
                <w:color w:val="000000"/>
              </w:rPr>
            </w:pPr>
            <w:r>
              <w:rPr>
                <w:color w:val="000000"/>
              </w:rPr>
              <w:t>V Sloveniji, kjer gozd in les predstavljata izjemen razvojni potencial želimo še nadalje krepiti verigo vrednosti gozd – les. Pri tem ima pomembno vlogo tudi energetska izraba odpadne lesne biomase[2], ki nastaja v industrijskih procesih in/ali sanaciji gozdov. Uvajanje modernih tehnoloških rešitev za izgradnjo novih in prestrukturiranje obstoječih sistemov daljinskega ogrevanja in hlajenja, kjer je energent lesna biomasa, tako predstavlja pomemben most pri izboljševanju konkurenčnosti lesno predelovalne verige, dobremu stanju gozda in doseganju ciljev OVE. Zato bomo s tem ukrepom podpirali tudi uvajanje najnaprednejših tehnoloških rešitev za izrabo (odpadne) biomase, pri katerih je mogoče kombinirati pridobivanje električne in toplotne energije in ki so zasnovane tako, da prispevajo tudi k izboljševanju kakovosti zraka. Pri rabi biomase se smiselno upoštevajo trajnostni kriteriji, kot jih predpisuje Direktiva EU o spodbujanju uporabe energije iz obnovljivih virov ter smiselno upošteva, kjer je to relevantno, načelo kaskadne rabe. Podpora bo namenjena tudi/predvsem vzpostavitvi večjih sistemov, ki imajo boljše izkoristke, tudi na račun boljšega izkoriščanja odvečne toplote.</w:t>
            </w:r>
          </w:p>
          <w:p w14:paraId="32B70344" w14:textId="77777777" w:rsidR="00A77B3E" w:rsidRDefault="00B16CCF">
            <w:pPr>
              <w:spacing w:before="5pt"/>
              <w:rPr>
                <w:color w:val="000000"/>
              </w:rPr>
            </w:pPr>
            <w:r>
              <w:rPr>
                <w:color w:val="000000"/>
              </w:rPr>
              <w:t xml:space="preserve">Prestrukturiranje obstoječih sistemov daljinskega ogrevanja se je delno podprlo tudi s sredstvi NOO, vendar večina predvidenih projektov, ki bi jih bilo potrebno izvesti na obstoječih daljinskih sistemih ogrevanja in hlajenja za potrebe doseganja nacionalnih ciljev na področju OVE v sektorju ogrevanja in hlajenja, kot jih določa posodobljen NEPN 2024 [1], niso izvedljivi v okviru časovnice, kot jih zastavlja NOO (tj. do sredine 2026). Za te projekte je </w:t>
            </w:r>
            <w:r>
              <w:rPr>
                <w:color w:val="000000"/>
              </w:rPr>
              <w:lastRenderedPageBreak/>
              <w:t>primerno, da se financirajo s sredstvi EKP. Ker se bodo projekti v okviru NOO in EKP izvajali in bodo podprti v različnih časovnih obdobjih, ni tveganj za dvojno financiranje. Razmejitev med obema podporama bo določena že na ravni posameznega javnega razpisa.</w:t>
            </w:r>
          </w:p>
          <w:p w14:paraId="32051DB9" w14:textId="77777777" w:rsidR="00A77B3E" w:rsidRDefault="00B16CCF">
            <w:pPr>
              <w:spacing w:before="5pt"/>
              <w:rPr>
                <w:color w:val="000000"/>
              </w:rPr>
            </w:pPr>
            <w:r>
              <w:rPr>
                <w:color w:val="000000"/>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Noben izmed predvidenih ukrepov tega specifičnega cilja nima bistvenega škodljivega vpliva na katerega koli od šestih okoljskih ciljev ob upoštevanju tehničnih meril, navedenih v Prilogi: DNSH.</w:t>
            </w:r>
          </w:p>
          <w:p w14:paraId="095209C4" w14:textId="77777777" w:rsidR="00A77B3E" w:rsidRDefault="00B16CCF">
            <w:pPr>
              <w:spacing w:before="5pt"/>
              <w:rPr>
                <w:color w:val="000000"/>
              </w:rPr>
            </w:pPr>
            <w:r>
              <w:rPr>
                <w:color w:val="000000"/>
              </w:rPr>
              <w:t>[1] https://www.energetika-portal.si/fileadmin/dokumenti/publikacije/nepn/dokumenti/nepn2024_final_dec2024.pdf</w:t>
            </w:r>
          </w:p>
          <w:p w14:paraId="2B4D6997" w14:textId="77777777" w:rsidR="00A77B3E" w:rsidRDefault="00B16CCF">
            <w:pPr>
              <w:spacing w:before="5pt"/>
              <w:rPr>
                <w:color w:val="000000"/>
              </w:rPr>
            </w:pPr>
            <w:r>
              <w:rPr>
                <w:color w:val="000000"/>
              </w:rPr>
              <w:t>[2]Les, ki ni primeren za industrijsko predelavo, in odsluženi les.</w:t>
            </w:r>
          </w:p>
          <w:p w14:paraId="53D880F9" w14:textId="77777777" w:rsidR="00A77B3E" w:rsidRDefault="00A77B3E">
            <w:pPr>
              <w:spacing w:before="5pt"/>
              <w:rPr>
                <w:color w:val="000000"/>
                <w:sz w:val="6"/>
              </w:rPr>
            </w:pPr>
          </w:p>
          <w:p w14:paraId="33D8B65C" w14:textId="77777777" w:rsidR="00A77B3E" w:rsidRDefault="00A77B3E">
            <w:pPr>
              <w:spacing w:before="5pt"/>
              <w:rPr>
                <w:color w:val="000000"/>
                <w:sz w:val="6"/>
              </w:rPr>
            </w:pPr>
          </w:p>
        </w:tc>
      </w:tr>
    </w:tbl>
    <w:p w14:paraId="65A8F6F1" w14:textId="77777777" w:rsidR="00A77B3E" w:rsidRDefault="00A77B3E">
      <w:pPr>
        <w:spacing w:before="5pt"/>
        <w:rPr>
          <w:color w:val="000000"/>
        </w:rPr>
      </w:pPr>
    </w:p>
    <w:p w14:paraId="1E165FBB" w14:textId="77777777" w:rsidR="00A77B3E" w:rsidRDefault="00B16CCF">
      <w:pPr>
        <w:pStyle w:val="Naslov5"/>
        <w:spacing w:before="5pt" w:after="0pt"/>
        <w:rPr>
          <w:b w:val="0"/>
          <w:i w:val="0"/>
          <w:color w:val="000000"/>
          <w:sz w:val="24"/>
        </w:rPr>
      </w:pPr>
      <w:bookmarkStart w:id="215" w:name="_Toc256000976"/>
      <w:r>
        <w:rPr>
          <w:b w:val="0"/>
          <w:i w:val="0"/>
          <w:color w:val="000000"/>
          <w:sz w:val="24"/>
        </w:rPr>
        <w:t>Glavne ciljne skupine – člen 22(3)(d)(iii) uredbe o skupnih določbah:</w:t>
      </w:r>
      <w:bookmarkEnd w:id="215"/>
    </w:p>
    <w:p w14:paraId="5B635D2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1FFAB86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F9814E" w14:textId="77777777" w:rsidR="00A77B3E" w:rsidRDefault="00A77B3E">
            <w:pPr>
              <w:spacing w:before="5pt"/>
              <w:rPr>
                <w:color w:val="000000"/>
                <w:sz w:val="0"/>
              </w:rPr>
            </w:pPr>
          </w:p>
          <w:p w14:paraId="37E24289" w14:textId="77777777" w:rsidR="00A77B3E" w:rsidRDefault="00B16CCF">
            <w:pPr>
              <w:spacing w:before="5pt"/>
              <w:rPr>
                <w:color w:val="000000"/>
              </w:rPr>
            </w:pPr>
            <w:r>
              <w:rPr>
                <w:color w:val="000000"/>
              </w:rPr>
              <w:t>Ciljne skupine: podjetja, javni sektor, lokalne skupnosti, zadruge, zavodi.</w:t>
            </w:r>
          </w:p>
          <w:p w14:paraId="7E1F5A42" w14:textId="77777777" w:rsidR="00A77B3E" w:rsidRDefault="00A77B3E">
            <w:pPr>
              <w:spacing w:before="5pt"/>
              <w:rPr>
                <w:color w:val="000000"/>
              </w:rPr>
            </w:pPr>
          </w:p>
          <w:p w14:paraId="13D683AD" w14:textId="77777777" w:rsidR="00A77B3E" w:rsidRDefault="00B16CCF">
            <w:pPr>
              <w:spacing w:before="5pt"/>
              <w:rPr>
                <w:color w:val="000000"/>
              </w:rPr>
            </w:pPr>
            <w:r>
              <w:rPr>
                <w:color w:val="000000"/>
              </w:rPr>
              <w:t>Upravičenci: podjetja, javni sektor, lokalne skupnosti, zavodi, zadruge, zbornice.</w:t>
            </w:r>
          </w:p>
          <w:p w14:paraId="27863454" w14:textId="77777777" w:rsidR="00A77B3E" w:rsidRDefault="00A77B3E">
            <w:pPr>
              <w:spacing w:before="5pt"/>
              <w:rPr>
                <w:color w:val="000000"/>
                <w:sz w:val="6"/>
              </w:rPr>
            </w:pPr>
          </w:p>
          <w:p w14:paraId="629241FF" w14:textId="77777777" w:rsidR="00A77B3E" w:rsidRDefault="00A77B3E">
            <w:pPr>
              <w:spacing w:before="5pt"/>
              <w:rPr>
                <w:color w:val="000000"/>
                <w:sz w:val="6"/>
              </w:rPr>
            </w:pPr>
          </w:p>
        </w:tc>
      </w:tr>
    </w:tbl>
    <w:p w14:paraId="7081A01C" w14:textId="77777777" w:rsidR="00A77B3E" w:rsidRDefault="00A77B3E">
      <w:pPr>
        <w:spacing w:before="5pt"/>
        <w:rPr>
          <w:color w:val="000000"/>
        </w:rPr>
      </w:pPr>
    </w:p>
    <w:p w14:paraId="37E837B3" w14:textId="77777777" w:rsidR="00A77B3E" w:rsidRDefault="00B16CCF">
      <w:pPr>
        <w:pStyle w:val="Naslov5"/>
        <w:spacing w:before="5pt" w:after="0pt"/>
        <w:rPr>
          <w:b w:val="0"/>
          <w:i w:val="0"/>
          <w:color w:val="000000"/>
          <w:sz w:val="24"/>
        </w:rPr>
      </w:pPr>
      <w:bookmarkStart w:id="216" w:name="_Toc256000977"/>
      <w:r>
        <w:rPr>
          <w:b w:val="0"/>
          <w:i w:val="0"/>
          <w:color w:val="000000"/>
          <w:sz w:val="24"/>
        </w:rPr>
        <w:t>Ukrepi za zaščito enakosti, vključenosti in nediskriminacije – člen 22(3)(d)(iv) uredbe o skupnih določbah in člen 6 uredbe o ESS+</w:t>
      </w:r>
      <w:bookmarkEnd w:id="216"/>
    </w:p>
    <w:p w14:paraId="62ADACA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4FDC1F8A"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C5B90B" w14:textId="77777777" w:rsidR="00A77B3E" w:rsidRDefault="00A77B3E">
            <w:pPr>
              <w:spacing w:before="5pt"/>
              <w:rPr>
                <w:color w:val="000000"/>
                <w:sz w:val="0"/>
              </w:rPr>
            </w:pPr>
          </w:p>
          <w:p w14:paraId="2B58B92F" w14:textId="77777777" w:rsidR="00A77B3E" w:rsidRDefault="00B16CCF">
            <w:pPr>
              <w:spacing w:before="5pt"/>
              <w:rPr>
                <w:color w:val="000000"/>
              </w:rPr>
            </w:pPr>
            <w:r>
              <w:rPr>
                <w:color w:val="000000"/>
              </w:rPr>
              <w:t xml:space="preserve">Pri načrtovanju, izvedbi in spremljanju ukrepov bodo spoštovana načela enakosti spolov, enakih možnosti in nediskriminacije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 </w:t>
            </w:r>
          </w:p>
          <w:p w14:paraId="05C4FFEB" w14:textId="77777777" w:rsidR="00A77B3E" w:rsidRDefault="00A77B3E">
            <w:pPr>
              <w:spacing w:before="5pt"/>
              <w:rPr>
                <w:color w:val="000000"/>
                <w:sz w:val="6"/>
              </w:rPr>
            </w:pPr>
          </w:p>
          <w:p w14:paraId="719A848E" w14:textId="77777777" w:rsidR="00A77B3E" w:rsidRDefault="00A77B3E">
            <w:pPr>
              <w:spacing w:before="5pt"/>
              <w:rPr>
                <w:color w:val="000000"/>
                <w:sz w:val="6"/>
              </w:rPr>
            </w:pPr>
          </w:p>
        </w:tc>
      </w:tr>
    </w:tbl>
    <w:p w14:paraId="4AB2D6F6" w14:textId="77777777" w:rsidR="00A77B3E" w:rsidRDefault="00A77B3E">
      <w:pPr>
        <w:spacing w:before="5pt"/>
        <w:rPr>
          <w:color w:val="000000"/>
        </w:rPr>
      </w:pPr>
    </w:p>
    <w:p w14:paraId="49ED6F70" w14:textId="77777777" w:rsidR="00A77B3E" w:rsidRDefault="00B16CCF">
      <w:pPr>
        <w:pStyle w:val="Naslov5"/>
        <w:spacing w:before="5pt" w:after="0pt"/>
        <w:rPr>
          <w:b w:val="0"/>
          <w:i w:val="0"/>
          <w:color w:val="000000"/>
          <w:sz w:val="24"/>
        </w:rPr>
      </w:pPr>
      <w:bookmarkStart w:id="217" w:name="_Toc256000978"/>
      <w:r>
        <w:rPr>
          <w:b w:val="0"/>
          <w:i w:val="0"/>
          <w:color w:val="000000"/>
          <w:sz w:val="24"/>
        </w:rPr>
        <w:lastRenderedPageBreak/>
        <w:t>Navedba specifičnih ciljnih ozemelj, vključno z načrtovano uporabo teritorialnih orodij – člen 22(3)(d)(v) uredbe o skupnih določbah</w:t>
      </w:r>
      <w:bookmarkEnd w:id="217"/>
    </w:p>
    <w:p w14:paraId="34D8EDE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70418ABD"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2ADAE9" w14:textId="77777777" w:rsidR="00A77B3E" w:rsidRDefault="00A77B3E">
            <w:pPr>
              <w:spacing w:before="5pt"/>
              <w:rPr>
                <w:color w:val="000000"/>
                <w:sz w:val="0"/>
              </w:rPr>
            </w:pPr>
          </w:p>
          <w:p w14:paraId="641CCE05" w14:textId="77777777" w:rsidR="00A77B3E" w:rsidRDefault="00B16CCF">
            <w:pPr>
              <w:spacing w:before="5pt"/>
              <w:rPr>
                <w:color w:val="000000"/>
              </w:rPr>
            </w:pPr>
            <w:r>
              <w:rPr>
                <w:color w:val="000000"/>
              </w:rPr>
              <w:t>V okviru specifičnega cilja ni predvideva uporaba teritorialnih orodij.</w:t>
            </w:r>
          </w:p>
          <w:p w14:paraId="40188A8E" w14:textId="77777777" w:rsidR="00A77B3E" w:rsidRDefault="00A77B3E">
            <w:pPr>
              <w:spacing w:before="5pt"/>
              <w:rPr>
                <w:color w:val="000000"/>
                <w:sz w:val="6"/>
              </w:rPr>
            </w:pPr>
          </w:p>
          <w:p w14:paraId="08884EBE" w14:textId="77777777" w:rsidR="00A77B3E" w:rsidRDefault="00A77B3E">
            <w:pPr>
              <w:spacing w:before="5pt"/>
              <w:rPr>
                <w:color w:val="000000"/>
                <w:sz w:val="6"/>
              </w:rPr>
            </w:pPr>
          </w:p>
        </w:tc>
      </w:tr>
    </w:tbl>
    <w:p w14:paraId="1D746BF3" w14:textId="77777777" w:rsidR="00A77B3E" w:rsidRDefault="00A77B3E">
      <w:pPr>
        <w:spacing w:before="5pt"/>
        <w:rPr>
          <w:color w:val="000000"/>
        </w:rPr>
      </w:pPr>
    </w:p>
    <w:p w14:paraId="165E035A" w14:textId="77777777" w:rsidR="00A77B3E" w:rsidRDefault="00B16CCF">
      <w:pPr>
        <w:pStyle w:val="Naslov5"/>
        <w:spacing w:before="5pt" w:after="0pt"/>
        <w:rPr>
          <w:b w:val="0"/>
          <w:i w:val="0"/>
          <w:color w:val="000000"/>
          <w:sz w:val="24"/>
        </w:rPr>
      </w:pPr>
      <w:bookmarkStart w:id="218" w:name="_Toc256000979"/>
      <w:r>
        <w:rPr>
          <w:b w:val="0"/>
          <w:i w:val="0"/>
          <w:color w:val="000000"/>
          <w:sz w:val="24"/>
        </w:rPr>
        <w:t>Medregionalni, čezmejni in transnacionalni ukrepi – člen 22(3)(d)(vi) uredbe o skupnih določbah</w:t>
      </w:r>
      <w:bookmarkEnd w:id="218"/>
    </w:p>
    <w:p w14:paraId="2FB33E6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23C494B0"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6DE3CA" w14:textId="77777777" w:rsidR="00A77B3E" w:rsidRDefault="00A77B3E">
            <w:pPr>
              <w:spacing w:before="5pt"/>
              <w:rPr>
                <w:color w:val="000000"/>
                <w:sz w:val="0"/>
              </w:rPr>
            </w:pPr>
          </w:p>
          <w:p w14:paraId="34C88537" w14:textId="77777777" w:rsidR="00A77B3E" w:rsidRDefault="00B16CCF">
            <w:pPr>
              <w:spacing w:before="5pt"/>
              <w:rPr>
                <w:color w:val="000000"/>
              </w:rPr>
            </w:pPr>
            <w:r>
              <w:rPr>
                <w:color w:val="000000"/>
              </w:rPr>
              <w:t>V okviru predmetnega specifičnega cilja ni načrtovana izvedba medregionalnih, čezmejnih in transnacionalnih ukrepov, saj gre za ukrepe spodbujanja energije iz obnovljivih virov, ki so namenjeni prvenstveno ciljnim skupinam na območju Slovenije.</w:t>
            </w:r>
          </w:p>
          <w:p w14:paraId="0BAB57BD" w14:textId="77777777" w:rsidR="00A77B3E" w:rsidRDefault="00A77B3E">
            <w:pPr>
              <w:spacing w:before="5pt"/>
              <w:rPr>
                <w:color w:val="000000"/>
                <w:sz w:val="6"/>
              </w:rPr>
            </w:pPr>
          </w:p>
          <w:p w14:paraId="4751AF72" w14:textId="77777777" w:rsidR="00A77B3E" w:rsidRDefault="00A77B3E">
            <w:pPr>
              <w:spacing w:before="5pt"/>
              <w:rPr>
                <w:color w:val="000000"/>
                <w:sz w:val="6"/>
              </w:rPr>
            </w:pPr>
          </w:p>
        </w:tc>
      </w:tr>
    </w:tbl>
    <w:p w14:paraId="4788E979" w14:textId="77777777" w:rsidR="00A77B3E" w:rsidRDefault="00A77B3E">
      <w:pPr>
        <w:spacing w:before="5pt"/>
        <w:rPr>
          <w:color w:val="000000"/>
        </w:rPr>
      </w:pPr>
    </w:p>
    <w:p w14:paraId="6A719003" w14:textId="77777777" w:rsidR="00A77B3E" w:rsidRDefault="00B16CCF">
      <w:pPr>
        <w:pStyle w:val="Naslov5"/>
        <w:spacing w:before="5pt" w:after="0pt"/>
        <w:rPr>
          <w:b w:val="0"/>
          <w:i w:val="0"/>
          <w:color w:val="000000"/>
          <w:sz w:val="24"/>
        </w:rPr>
      </w:pPr>
      <w:bookmarkStart w:id="219" w:name="_Toc256000980"/>
      <w:r>
        <w:rPr>
          <w:b w:val="0"/>
          <w:i w:val="0"/>
          <w:color w:val="000000"/>
          <w:sz w:val="24"/>
        </w:rPr>
        <w:t>Načrtovana uporaba finančnih instrumentov – člen 22(3)(d)(vii) uredbe o skupnih določbah</w:t>
      </w:r>
      <w:bookmarkEnd w:id="219"/>
    </w:p>
    <w:p w14:paraId="21AEA0C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4B655992"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59C18A" w14:textId="77777777" w:rsidR="00A77B3E" w:rsidRDefault="00A77B3E">
            <w:pPr>
              <w:spacing w:before="5pt"/>
              <w:rPr>
                <w:color w:val="000000"/>
                <w:sz w:val="0"/>
              </w:rPr>
            </w:pPr>
          </w:p>
          <w:p w14:paraId="6562922A" w14:textId="77777777" w:rsidR="00A77B3E" w:rsidRDefault="00B16CCF">
            <w:pPr>
              <w:spacing w:before="5pt"/>
              <w:rPr>
                <w:color w:val="000000"/>
              </w:rPr>
            </w:pPr>
            <w:r>
              <w:rPr>
                <w:color w:val="000000"/>
              </w:rPr>
              <w:t xml:space="preserve">Predvidena je uporaba nepovratnih virov. Uporaba finančnih instrumentov namreč v okviru tega specifičnega cilja v skladu z izsledki analize Predhodnih ocen potreb trga in vrzeli financiranja na trgu za izvajanje finančnih instrumentov v programskem obdobju 2021-2027 (julij 2022) ni predvidena. Pri uporabi nepovratnih sredstev bo določena ustrezno znižana stopnja sofinanciranja, ki bo upoštevala prihranke v ekonomski dobi investicije oziroma skladno s pravili državnih pomoči. </w:t>
            </w:r>
          </w:p>
          <w:p w14:paraId="118E3698" w14:textId="77777777" w:rsidR="00A77B3E" w:rsidRDefault="00A77B3E">
            <w:pPr>
              <w:spacing w:before="5pt"/>
              <w:rPr>
                <w:color w:val="000000"/>
                <w:sz w:val="6"/>
              </w:rPr>
            </w:pPr>
          </w:p>
          <w:p w14:paraId="17D116D3" w14:textId="77777777" w:rsidR="00A77B3E" w:rsidRDefault="00A77B3E">
            <w:pPr>
              <w:spacing w:before="5pt"/>
              <w:rPr>
                <w:color w:val="000000"/>
                <w:sz w:val="6"/>
              </w:rPr>
            </w:pPr>
          </w:p>
        </w:tc>
      </w:tr>
    </w:tbl>
    <w:p w14:paraId="0A2A035E" w14:textId="77777777" w:rsidR="00A77B3E" w:rsidRDefault="00A77B3E">
      <w:pPr>
        <w:spacing w:before="5pt"/>
        <w:rPr>
          <w:color w:val="000000"/>
        </w:rPr>
      </w:pPr>
    </w:p>
    <w:p w14:paraId="08CFF203" w14:textId="77777777" w:rsidR="00A77B3E" w:rsidRDefault="00B16CCF">
      <w:pPr>
        <w:pStyle w:val="Naslov4"/>
        <w:spacing w:before="5pt" w:after="0pt"/>
        <w:rPr>
          <w:b w:val="0"/>
          <w:color w:val="000000"/>
          <w:sz w:val="24"/>
        </w:rPr>
      </w:pPr>
      <w:bookmarkStart w:id="220" w:name="_Toc256000981"/>
      <w:r>
        <w:rPr>
          <w:b w:val="0"/>
          <w:color w:val="000000"/>
          <w:sz w:val="24"/>
        </w:rPr>
        <w:t>2.1.1.1.2. Kazalniki</w:t>
      </w:r>
      <w:bookmarkEnd w:id="220"/>
    </w:p>
    <w:p w14:paraId="2C840DCB" w14:textId="77777777" w:rsidR="00A77B3E" w:rsidRDefault="00A77B3E">
      <w:pPr>
        <w:spacing w:before="5pt"/>
        <w:rPr>
          <w:color w:val="000000"/>
          <w:sz w:val="0"/>
        </w:rPr>
      </w:pPr>
    </w:p>
    <w:p w14:paraId="61120122" w14:textId="77777777" w:rsidR="00A77B3E" w:rsidRDefault="00B16CCF">
      <w:pPr>
        <w:spacing w:before="5pt"/>
        <w:rPr>
          <w:color w:val="000000"/>
          <w:sz w:val="0"/>
        </w:rPr>
      </w:pPr>
      <w:r>
        <w:rPr>
          <w:color w:val="000000"/>
        </w:rPr>
        <w:t>Sklic: člen 22(3)(d)(ii) uredbe o skupnih določbah in člen 8 uredbe o ESRR in Kohezijskem skladu</w:t>
      </w:r>
    </w:p>
    <w:p w14:paraId="0AC24DC5" w14:textId="77777777" w:rsidR="00A77B3E" w:rsidRDefault="00B16CCF">
      <w:pPr>
        <w:pStyle w:val="Naslov5"/>
        <w:spacing w:before="5pt" w:after="0pt"/>
        <w:rPr>
          <w:b w:val="0"/>
          <w:i w:val="0"/>
          <w:color w:val="000000"/>
          <w:sz w:val="24"/>
        </w:rPr>
      </w:pPr>
      <w:bookmarkStart w:id="221" w:name="_Toc256000982"/>
      <w:r>
        <w:rPr>
          <w:b w:val="0"/>
          <w:i w:val="0"/>
          <w:color w:val="000000"/>
          <w:sz w:val="24"/>
        </w:rPr>
        <w:t>Tabela 2: Kazalniki učinka</w:t>
      </w:r>
      <w:bookmarkEnd w:id="221"/>
    </w:p>
    <w:p w14:paraId="5B2E3EE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78"/>
        <w:gridCol w:w="1732"/>
        <w:gridCol w:w="1838"/>
        <w:gridCol w:w="1797"/>
        <w:gridCol w:w="2085"/>
        <w:gridCol w:w="1983"/>
        <w:gridCol w:w="1341"/>
        <w:gridCol w:w="1300"/>
        <w:gridCol w:w="1218"/>
      </w:tblGrid>
      <w:tr w:rsidR="00823317" w14:paraId="061E0F6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310B6D"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901BB5"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83B0B1"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1E4A25"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0F5119"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1A6F5E4"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33DC15"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8EEA91" w14:textId="77777777" w:rsidR="00A77B3E" w:rsidRDefault="00B16CCF">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C9ADD1" w14:textId="77777777" w:rsidR="00A77B3E" w:rsidRDefault="00B16CCF">
            <w:pPr>
              <w:spacing w:before="5pt"/>
              <w:jc w:val="center"/>
              <w:rPr>
                <w:color w:val="000000"/>
                <w:sz w:val="20"/>
              </w:rPr>
            </w:pPr>
            <w:r>
              <w:rPr>
                <w:color w:val="000000"/>
                <w:sz w:val="20"/>
              </w:rPr>
              <w:t>Cilj (2029)</w:t>
            </w:r>
          </w:p>
        </w:tc>
      </w:tr>
      <w:tr w:rsidR="00823317" w14:paraId="0C54AA1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41D283"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35BB3D" w14:textId="77777777" w:rsidR="00A77B3E" w:rsidRDefault="00B16CCF">
            <w:pPr>
              <w:spacing w:before="5pt"/>
              <w:rPr>
                <w:color w:val="000000"/>
                <w:sz w:val="20"/>
              </w:rPr>
            </w:pPr>
            <w:r>
              <w:rPr>
                <w:color w:val="000000"/>
                <w:sz w:val="20"/>
              </w:rPr>
              <w:t>RSO2.2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5CF038" w14:textId="77777777" w:rsidR="00A77B3E" w:rsidRDefault="00B16CCF">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78851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976B2C" w14:textId="77777777" w:rsidR="00A77B3E" w:rsidRDefault="00B16CCF">
            <w:pPr>
              <w:spacing w:before="5pt"/>
              <w:rPr>
                <w:color w:val="000000"/>
                <w:sz w:val="20"/>
              </w:rPr>
            </w:pPr>
            <w:r>
              <w:rPr>
                <w:color w:val="000000"/>
                <w:sz w:val="20"/>
              </w:rPr>
              <w:t>RCO22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F75552" w14:textId="77777777" w:rsidR="00A77B3E" w:rsidRDefault="00B16CCF">
            <w:pPr>
              <w:spacing w:before="5pt"/>
              <w:rPr>
                <w:color w:val="000000"/>
                <w:sz w:val="20"/>
              </w:rPr>
            </w:pPr>
            <w:r>
              <w:rPr>
                <w:color w:val="000000"/>
                <w:sz w:val="20"/>
              </w:rPr>
              <w:t>Dodatna proizvodna zmogljivost za energijo iz obnovljivih virov (od tega: električna energija, toplotna energija)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90F892" w14:textId="77777777" w:rsidR="00A77B3E" w:rsidRDefault="00B16CCF">
            <w:pPr>
              <w:spacing w:before="5pt"/>
              <w:rPr>
                <w:color w:val="000000"/>
                <w:sz w:val="20"/>
              </w:rPr>
            </w:pPr>
            <w:r>
              <w:rPr>
                <w:color w:val="000000"/>
                <w:sz w:val="20"/>
              </w:rPr>
              <w:t>MW</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9C9AFC"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F273E3" w14:textId="77777777" w:rsidR="00A77B3E" w:rsidRDefault="00B16CCF">
            <w:pPr>
              <w:spacing w:before="5pt"/>
              <w:jc w:val="end"/>
              <w:rPr>
                <w:color w:val="000000"/>
                <w:sz w:val="20"/>
              </w:rPr>
            </w:pPr>
            <w:r>
              <w:rPr>
                <w:color w:val="000000"/>
                <w:sz w:val="20"/>
              </w:rPr>
              <w:t>47,00</w:t>
            </w:r>
          </w:p>
        </w:tc>
      </w:tr>
    </w:tbl>
    <w:p w14:paraId="270E81BC" w14:textId="77777777" w:rsidR="00A77B3E" w:rsidRDefault="00A77B3E">
      <w:pPr>
        <w:spacing w:before="5pt"/>
        <w:rPr>
          <w:color w:val="000000"/>
          <w:sz w:val="20"/>
        </w:rPr>
      </w:pPr>
    </w:p>
    <w:p w14:paraId="7293DE6A" w14:textId="77777777" w:rsidR="00A77B3E" w:rsidRDefault="00B16CCF">
      <w:pPr>
        <w:spacing w:before="5pt"/>
        <w:rPr>
          <w:color w:val="000000"/>
          <w:sz w:val="0"/>
        </w:rPr>
      </w:pPr>
      <w:r>
        <w:rPr>
          <w:color w:val="000000"/>
        </w:rPr>
        <w:lastRenderedPageBreak/>
        <w:t>Sklic: člen 22(3)(d)(ii) uredbe o skupnih določbah</w:t>
      </w:r>
    </w:p>
    <w:p w14:paraId="2DC86F89" w14:textId="77777777" w:rsidR="00A77B3E" w:rsidRDefault="00B16CCF">
      <w:pPr>
        <w:pStyle w:val="Naslov5"/>
        <w:spacing w:before="5pt" w:after="0pt"/>
        <w:rPr>
          <w:b w:val="0"/>
          <w:i w:val="0"/>
          <w:color w:val="000000"/>
          <w:sz w:val="24"/>
        </w:rPr>
      </w:pPr>
      <w:bookmarkStart w:id="222" w:name="_Toc256000983"/>
      <w:r>
        <w:rPr>
          <w:b w:val="0"/>
          <w:i w:val="0"/>
          <w:color w:val="000000"/>
          <w:sz w:val="24"/>
        </w:rPr>
        <w:t>Tabela 3: Kazalniki rezultatov</w:t>
      </w:r>
      <w:bookmarkEnd w:id="222"/>
    </w:p>
    <w:p w14:paraId="7D6BAB5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95"/>
        <w:gridCol w:w="1195"/>
        <w:gridCol w:w="1267"/>
        <w:gridCol w:w="1239"/>
        <w:gridCol w:w="1437"/>
        <w:gridCol w:w="1381"/>
        <w:gridCol w:w="1210"/>
        <w:gridCol w:w="1267"/>
        <w:gridCol w:w="1337"/>
        <w:gridCol w:w="1181"/>
        <w:gridCol w:w="1325"/>
        <w:gridCol w:w="1038"/>
      </w:tblGrid>
      <w:tr w:rsidR="00823317" w14:paraId="468CDD2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982662"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053D11"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048940"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120816"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CCF16F"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571E11"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292FD7"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1D37C1" w14:textId="77777777" w:rsidR="00A77B3E" w:rsidRDefault="00B16CCF">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F0C022" w14:textId="77777777" w:rsidR="00A77B3E" w:rsidRDefault="00B16CCF">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0783BD" w14:textId="77777777" w:rsidR="00A77B3E" w:rsidRDefault="00B16CCF">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55A3A9" w14:textId="77777777" w:rsidR="00A77B3E" w:rsidRDefault="00B16CCF">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744521" w14:textId="77777777" w:rsidR="00A77B3E" w:rsidRDefault="00B16CCF">
            <w:pPr>
              <w:spacing w:before="5pt"/>
              <w:jc w:val="center"/>
              <w:rPr>
                <w:color w:val="000000"/>
                <w:sz w:val="20"/>
              </w:rPr>
            </w:pPr>
            <w:r>
              <w:rPr>
                <w:color w:val="000000"/>
                <w:sz w:val="20"/>
              </w:rPr>
              <w:t>Opombe</w:t>
            </w:r>
          </w:p>
        </w:tc>
      </w:tr>
      <w:tr w:rsidR="00823317" w14:paraId="063E473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0D7212"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DDDFE7" w14:textId="77777777" w:rsidR="00A77B3E" w:rsidRDefault="00B16CCF">
            <w:pPr>
              <w:spacing w:before="5pt"/>
              <w:rPr>
                <w:color w:val="000000"/>
                <w:sz w:val="20"/>
              </w:rPr>
            </w:pPr>
            <w:r>
              <w:rPr>
                <w:color w:val="000000"/>
                <w:sz w:val="20"/>
              </w:rPr>
              <w:t>RSO2.2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E35FB5" w14:textId="77777777" w:rsidR="00A77B3E" w:rsidRDefault="00B16CCF">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DB84D6"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83D6AA" w14:textId="77777777" w:rsidR="00A77B3E" w:rsidRDefault="00B16CCF">
            <w:pPr>
              <w:spacing w:before="5pt"/>
              <w:rPr>
                <w:color w:val="000000"/>
                <w:sz w:val="20"/>
              </w:rPr>
            </w:pPr>
            <w:r>
              <w:rPr>
                <w:color w:val="000000"/>
                <w:sz w:val="20"/>
              </w:rPr>
              <w:t>RCR31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CF1831" w14:textId="77777777" w:rsidR="00A77B3E" w:rsidRDefault="00B16CCF">
            <w:pPr>
              <w:spacing w:before="5pt"/>
              <w:rPr>
                <w:color w:val="000000"/>
                <w:sz w:val="20"/>
              </w:rPr>
            </w:pPr>
            <w:r>
              <w:rPr>
                <w:color w:val="000000"/>
                <w:sz w:val="20"/>
              </w:rPr>
              <w:t>Skupna proizvodnja energije iz obnovljivih virov (od tega: električna energija, toplotna energija)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DFE0DF" w14:textId="77777777" w:rsidR="00A77B3E" w:rsidRDefault="00B16CCF">
            <w:pPr>
              <w:spacing w:before="5pt"/>
              <w:rPr>
                <w:color w:val="000000"/>
                <w:sz w:val="20"/>
              </w:rPr>
            </w:pPr>
            <w:r>
              <w:rPr>
                <w:color w:val="000000"/>
                <w:sz w:val="20"/>
              </w:rPr>
              <w:t>MWh/leto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C2B962"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4EAD6E" w14:textId="77777777" w:rsidR="00A77B3E" w:rsidRDefault="00B16CCF">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604415" w14:textId="77777777" w:rsidR="00A77B3E" w:rsidRDefault="00B16CCF">
            <w:pPr>
              <w:spacing w:before="5pt"/>
              <w:jc w:val="end"/>
              <w:rPr>
                <w:color w:val="000000"/>
                <w:sz w:val="20"/>
              </w:rPr>
            </w:pPr>
            <w:r>
              <w:rPr>
                <w:color w:val="000000"/>
                <w:sz w:val="20"/>
              </w:rPr>
              <w:t>47.000,00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209B6B" w14:textId="77777777" w:rsidR="00A77B3E" w:rsidRDefault="00B16CCF">
            <w:pPr>
              <w:spacing w:before="5pt"/>
              <w:rPr>
                <w:color w:val="000000"/>
                <w:sz w:val="20"/>
              </w:rPr>
            </w:pPr>
            <w:r>
              <w:rPr>
                <w:color w:val="000000"/>
                <w:sz w:val="20"/>
              </w:rPr>
              <w:t>Ministrstva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F71DC8" w14:textId="77777777" w:rsidR="00A77B3E" w:rsidRDefault="00A77B3E">
            <w:pPr>
              <w:spacing w:before="5pt"/>
              <w:rPr>
                <w:color w:val="000000"/>
                <w:sz w:val="20"/>
              </w:rPr>
            </w:pPr>
          </w:p>
        </w:tc>
      </w:tr>
    </w:tbl>
    <w:p w14:paraId="1E3DEBDC" w14:textId="77777777" w:rsidR="00A77B3E" w:rsidRDefault="00A77B3E">
      <w:pPr>
        <w:spacing w:before="5pt"/>
        <w:rPr>
          <w:color w:val="000000"/>
          <w:sz w:val="20"/>
        </w:rPr>
      </w:pPr>
    </w:p>
    <w:p w14:paraId="488E0E38" w14:textId="77777777" w:rsidR="00A77B3E" w:rsidRDefault="00B16CCF">
      <w:pPr>
        <w:pStyle w:val="Naslov4"/>
        <w:spacing w:before="5pt" w:after="0pt"/>
        <w:rPr>
          <w:b w:val="0"/>
          <w:color w:val="000000"/>
          <w:sz w:val="24"/>
        </w:rPr>
      </w:pPr>
      <w:bookmarkStart w:id="223" w:name="_Toc256000984"/>
      <w:r>
        <w:rPr>
          <w:b w:val="0"/>
          <w:color w:val="000000"/>
          <w:sz w:val="24"/>
        </w:rPr>
        <w:t>2.1.1.1.3. Okvirna razčlenitev načrtovanih sredstev (EU) glede na vrsto ukrepa</w:t>
      </w:r>
      <w:bookmarkEnd w:id="223"/>
    </w:p>
    <w:p w14:paraId="0CC45622" w14:textId="77777777" w:rsidR="00A77B3E" w:rsidRDefault="00A77B3E">
      <w:pPr>
        <w:spacing w:before="5pt"/>
        <w:rPr>
          <w:color w:val="000000"/>
          <w:sz w:val="0"/>
        </w:rPr>
      </w:pPr>
    </w:p>
    <w:p w14:paraId="63291D62" w14:textId="77777777" w:rsidR="00A77B3E" w:rsidRDefault="00B16CCF">
      <w:pPr>
        <w:spacing w:before="5pt"/>
        <w:rPr>
          <w:color w:val="000000"/>
          <w:sz w:val="0"/>
        </w:rPr>
      </w:pPr>
      <w:r>
        <w:rPr>
          <w:color w:val="000000"/>
        </w:rPr>
        <w:t>Sklic: člen 22(3)(d)(viii) uredbe o skupnih določbah</w:t>
      </w:r>
    </w:p>
    <w:p w14:paraId="3B5919EF" w14:textId="77777777" w:rsidR="00A77B3E" w:rsidRDefault="00B16CCF">
      <w:pPr>
        <w:pStyle w:val="Naslov5"/>
        <w:spacing w:before="5pt" w:after="0pt"/>
        <w:rPr>
          <w:b w:val="0"/>
          <w:i w:val="0"/>
          <w:color w:val="000000"/>
          <w:sz w:val="24"/>
        </w:rPr>
      </w:pPr>
      <w:bookmarkStart w:id="224" w:name="_Toc256000985"/>
      <w:r>
        <w:rPr>
          <w:b w:val="0"/>
          <w:i w:val="0"/>
          <w:color w:val="000000"/>
          <w:sz w:val="24"/>
        </w:rPr>
        <w:t>Tabela 4: Razsežnost 1 – področje ukrepanja</w:t>
      </w:r>
      <w:bookmarkEnd w:id="224"/>
    </w:p>
    <w:p w14:paraId="6444BDC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386"/>
        <w:gridCol w:w="2202"/>
        <w:gridCol w:w="2334"/>
        <w:gridCol w:w="2282"/>
        <w:gridCol w:w="2965"/>
        <w:gridCol w:w="3003"/>
      </w:tblGrid>
      <w:tr w:rsidR="00823317" w14:paraId="0531794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31D1AA"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453415"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EBF4DB"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1D2643"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51B4BB"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8F1BFC" w14:textId="77777777" w:rsidR="00A77B3E" w:rsidRDefault="00B16CCF">
            <w:pPr>
              <w:spacing w:before="5pt"/>
              <w:jc w:val="center"/>
              <w:rPr>
                <w:color w:val="000000"/>
                <w:sz w:val="20"/>
              </w:rPr>
            </w:pPr>
            <w:r>
              <w:rPr>
                <w:color w:val="000000"/>
                <w:sz w:val="20"/>
              </w:rPr>
              <w:t>Znesek (v EUR)</w:t>
            </w:r>
          </w:p>
        </w:tc>
      </w:tr>
      <w:tr w:rsidR="00823317" w14:paraId="0278CD4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064D64"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D3E2CC" w14:textId="77777777" w:rsidR="00A77B3E" w:rsidRDefault="00B16CCF">
            <w:pPr>
              <w:spacing w:before="5pt"/>
              <w:rPr>
                <w:color w:val="000000"/>
                <w:sz w:val="20"/>
              </w:rPr>
            </w:pPr>
            <w:r>
              <w:rPr>
                <w:color w:val="000000"/>
                <w:sz w:val="20"/>
              </w:rPr>
              <w:t>RSO2.2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B09469" w14:textId="77777777" w:rsidR="00A77B3E" w:rsidRDefault="00B16CCF">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3A53F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B4F490" w14:textId="77777777" w:rsidR="00A77B3E" w:rsidRDefault="00B16CCF">
            <w:pPr>
              <w:spacing w:before="5pt"/>
              <w:rPr>
                <w:color w:val="000000"/>
                <w:sz w:val="20"/>
              </w:rPr>
            </w:pPr>
            <w:r>
              <w:rPr>
                <w:color w:val="000000"/>
                <w:sz w:val="20"/>
              </w:rPr>
              <w:t>055. Visoko učinkovita soproizvodnja toplote in električne energije, daljinsko ogrevanje in hlajenje z nizkimi emisijami v življenjskem ciklu</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17287B" w14:textId="77777777" w:rsidR="00A77B3E" w:rsidRDefault="00B16CCF">
            <w:pPr>
              <w:spacing w:before="5pt"/>
              <w:jc w:val="end"/>
              <w:rPr>
                <w:color w:val="000000"/>
                <w:sz w:val="20"/>
              </w:rPr>
            </w:pPr>
            <w:r>
              <w:rPr>
                <w:color w:val="000000"/>
                <w:sz w:val="20"/>
              </w:rPr>
              <w:t>30.683.041,00</w:t>
            </w:r>
          </w:p>
        </w:tc>
      </w:tr>
      <w:tr w:rsidR="00823317" w14:paraId="6D13B45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68DBE9"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C96ACA" w14:textId="77777777" w:rsidR="00A77B3E" w:rsidRDefault="00B16CCF">
            <w:pPr>
              <w:spacing w:before="5pt"/>
              <w:rPr>
                <w:color w:val="000000"/>
                <w:sz w:val="20"/>
              </w:rPr>
            </w:pPr>
            <w:r>
              <w:rPr>
                <w:color w:val="000000"/>
                <w:sz w:val="20"/>
              </w:rPr>
              <w:t>RSO2.2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129C93"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0DA167"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F59269"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FE7D23" w14:textId="77777777" w:rsidR="00A77B3E" w:rsidRDefault="00B16CCF">
            <w:pPr>
              <w:spacing w:before="5pt"/>
              <w:jc w:val="end"/>
              <w:rPr>
                <w:color w:val="000000"/>
                <w:sz w:val="20"/>
              </w:rPr>
            </w:pPr>
            <w:r>
              <w:rPr>
                <w:color w:val="000000"/>
                <w:sz w:val="20"/>
              </w:rPr>
              <w:t>30.683.041,00</w:t>
            </w:r>
          </w:p>
        </w:tc>
      </w:tr>
    </w:tbl>
    <w:p w14:paraId="27FADEA7" w14:textId="77777777" w:rsidR="00A77B3E" w:rsidRDefault="00A77B3E">
      <w:pPr>
        <w:spacing w:before="5pt"/>
        <w:rPr>
          <w:color w:val="000000"/>
          <w:sz w:val="20"/>
        </w:rPr>
      </w:pPr>
    </w:p>
    <w:p w14:paraId="5E3C6D2E" w14:textId="77777777" w:rsidR="00A77B3E" w:rsidRDefault="00B16CCF">
      <w:pPr>
        <w:pStyle w:val="Naslov5"/>
        <w:spacing w:before="5pt" w:after="0pt"/>
        <w:rPr>
          <w:b w:val="0"/>
          <w:i w:val="0"/>
          <w:color w:val="000000"/>
          <w:sz w:val="24"/>
        </w:rPr>
      </w:pPr>
      <w:bookmarkStart w:id="225" w:name="_Toc256000986"/>
      <w:r>
        <w:rPr>
          <w:b w:val="0"/>
          <w:i w:val="0"/>
          <w:color w:val="000000"/>
          <w:sz w:val="24"/>
        </w:rPr>
        <w:t>Tabela 5: Razsežnost 2 – oblika financiranja</w:t>
      </w:r>
      <w:bookmarkEnd w:id="225"/>
    </w:p>
    <w:p w14:paraId="4F35669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63"/>
        <w:gridCol w:w="2273"/>
        <w:gridCol w:w="2409"/>
        <w:gridCol w:w="2356"/>
        <w:gridCol w:w="2571"/>
        <w:gridCol w:w="3100"/>
      </w:tblGrid>
      <w:tr w:rsidR="00823317" w14:paraId="1A23A48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AE53E6"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D5879B"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C0121C"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839CFA"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2A16BD"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B70410" w14:textId="77777777" w:rsidR="00A77B3E" w:rsidRDefault="00B16CCF">
            <w:pPr>
              <w:spacing w:before="5pt"/>
              <w:jc w:val="center"/>
              <w:rPr>
                <w:color w:val="000000"/>
                <w:sz w:val="20"/>
              </w:rPr>
            </w:pPr>
            <w:r>
              <w:rPr>
                <w:color w:val="000000"/>
                <w:sz w:val="20"/>
              </w:rPr>
              <w:t>Znesek (v EUR)</w:t>
            </w:r>
          </w:p>
        </w:tc>
      </w:tr>
      <w:tr w:rsidR="00823317" w14:paraId="7AA87ED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6B3976"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885816" w14:textId="77777777" w:rsidR="00A77B3E" w:rsidRDefault="00B16CCF">
            <w:pPr>
              <w:spacing w:before="5pt"/>
              <w:rPr>
                <w:color w:val="000000"/>
                <w:sz w:val="20"/>
              </w:rPr>
            </w:pPr>
            <w:r>
              <w:rPr>
                <w:color w:val="000000"/>
                <w:sz w:val="20"/>
              </w:rPr>
              <w:t>RSO2.2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A7ECE8" w14:textId="77777777" w:rsidR="00A77B3E" w:rsidRDefault="00B16CCF">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383A8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292B03" w14:textId="77777777" w:rsidR="00A77B3E" w:rsidRDefault="00B16CCF">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63E082" w14:textId="77777777" w:rsidR="00A77B3E" w:rsidRDefault="00B16CCF">
            <w:pPr>
              <w:spacing w:before="5pt"/>
              <w:jc w:val="end"/>
              <w:rPr>
                <w:color w:val="000000"/>
                <w:sz w:val="20"/>
              </w:rPr>
            </w:pPr>
            <w:r>
              <w:rPr>
                <w:color w:val="000000"/>
                <w:sz w:val="20"/>
              </w:rPr>
              <w:t>30.683.041,00</w:t>
            </w:r>
          </w:p>
        </w:tc>
      </w:tr>
      <w:tr w:rsidR="00823317" w14:paraId="39D27F9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176C6B"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A70070" w14:textId="77777777" w:rsidR="00A77B3E" w:rsidRDefault="00B16CCF">
            <w:pPr>
              <w:spacing w:before="5pt"/>
              <w:rPr>
                <w:color w:val="000000"/>
                <w:sz w:val="20"/>
              </w:rPr>
            </w:pPr>
            <w:r>
              <w:rPr>
                <w:color w:val="000000"/>
                <w:sz w:val="20"/>
              </w:rPr>
              <w:t>RSO2.2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C8B208"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62EC1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08330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9B6DDC" w14:textId="77777777" w:rsidR="00A77B3E" w:rsidRDefault="00B16CCF">
            <w:pPr>
              <w:spacing w:before="5pt"/>
              <w:jc w:val="end"/>
              <w:rPr>
                <w:color w:val="000000"/>
                <w:sz w:val="20"/>
              </w:rPr>
            </w:pPr>
            <w:r>
              <w:rPr>
                <w:color w:val="000000"/>
                <w:sz w:val="20"/>
              </w:rPr>
              <w:t>30.683.041,00</w:t>
            </w:r>
          </w:p>
        </w:tc>
      </w:tr>
    </w:tbl>
    <w:p w14:paraId="5B75A88F" w14:textId="77777777" w:rsidR="00A77B3E" w:rsidRDefault="00A77B3E">
      <w:pPr>
        <w:spacing w:before="5pt"/>
        <w:rPr>
          <w:color w:val="000000"/>
          <w:sz w:val="20"/>
        </w:rPr>
      </w:pPr>
    </w:p>
    <w:p w14:paraId="4BD05495" w14:textId="77777777" w:rsidR="00A77B3E" w:rsidRDefault="00B16CCF">
      <w:pPr>
        <w:pStyle w:val="Naslov5"/>
        <w:spacing w:before="5pt" w:after="0pt"/>
        <w:rPr>
          <w:b w:val="0"/>
          <w:i w:val="0"/>
          <w:color w:val="000000"/>
          <w:sz w:val="24"/>
        </w:rPr>
      </w:pPr>
      <w:bookmarkStart w:id="226" w:name="_Toc256000987"/>
      <w:r>
        <w:rPr>
          <w:b w:val="0"/>
          <w:i w:val="0"/>
          <w:color w:val="000000"/>
          <w:sz w:val="24"/>
        </w:rPr>
        <w:lastRenderedPageBreak/>
        <w:t>Tabela 6: Razsežnost 3 – mehanizem za ozemeljsko izvrševanje in ozemeljski pristop</w:t>
      </w:r>
      <w:bookmarkEnd w:id="226"/>
    </w:p>
    <w:p w14:paraId="1249C1C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04"/>
        <w:gridCol w:w="2217"/>
        <w:gridCol w:w="2350"/>
        <w:gridCol w:w="2298"/>
        <w:gridCol w:w="2879"/>
        <w:gridCol w:w="3024"/>
      </w:tblGrid>
      <w:tr w:rsidR="00823317" w14:paraId="29D2D58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29BCD7B"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26A786"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F5903A"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AAE507"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20FCDC"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914A0E" w14:textId="77777777" w:rsidR="00A77B3E" w:rsidRDefault="00B16CCF">
            <w:pPr>
              <w:spacing w:before="5pt"/>
              <w:jc w:val="center"/>
              <w:rPr>
                <w:color w:val="000000"/>
                <w:sz w:val="20"/>
              </w:rPr>
            </w:pPr>
            <w:r>
              <w:rPr>
                <w:color w:val="000000"/>
                <w:sz w:val="20"/>
              </w:rPr>
              <w:t>Znesek (v EUR)</w:t>
            </w:r>
          </w:p>
        </w:tc>
      </w:tr>
      <w:tr w:rsidR="00823317" w14:paraId="1BEE2F3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5658BD"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970315" w14:textId="77777777" w:rsidR="00A77B3E" w:rsidRDefault="00B16CCF">
            <w:pPr>
              <w:spacing w:before="5pt"/>
              <w:rPr>
                <w:color w:val="000000"/>
                <w:sz w:val="20"/>
              </w:rPr>
            </w:pPr>
            <w:r>
              <w:rPr>
                <w:color w:val="000000"/>
                <w:sz w:val="20"/>
              </w:rPr>
              <w:t>RSO2.2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5E0DDB" w14:textId="77777777" w:rsidR="00A77B3E" w:rsidRDefault="00B16CCF">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463A24"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3137AB" w14:textId="77777777" w:rsidR="00A77B3E" w:rsidRDefault="00B16CCF">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3164A0" w14:textId="77777777" w:rsidR="00A77B3E" w:rsidRDefault="00B16CCF">
            <w:pPr>
              <w:spacing w:before="5pt"/>
              <w:jc w:val="end"/>
              <w:rPr>
                <w:color w:val="000000"/>
                <w:sz w:val="20"/>
              </w:rPr>
            </w:pPr>
            <w:r>
              <w:rPr>
                <w:color w:val="000000"/>
                <w:sz w:val="20"/>
              </w:rPr>
              <w:t>30.683.041,00</w:t>
            </w:r>
          </w:p>
        </w:tc>
      </w:tr>
      <w:tr w:rsidR="00823317" w14:paraId="1E3F335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96D3DC"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4A6835" w14:textId="77777777" w:rsidR="00A77B3E" w:rsidRDefault="00B16CCF">
            <w:pPr>
              <w:spacing w:before="5pt"/>
              <w:rPr>
                <w:color w:val="000000"/>
                <w:sz w:val="20"/>
              </w:rPr>
            </w:pPr>
            <w:r>
              <w:rPr>
                <w:color w:val="000000"/>
                <w:sz w:val="20"/>
              </w:rPr>
              <w:t>RSO2.2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8C5F18"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28EB24"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D1B29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BD6E5A" w14:textId="77777777" w:rsidR="00A77B3E" w:rsidRDefault="00B16CCF">
            <w:pPr>
              <w:spacing w:before="5pt"/>
              <w:jc w:val="end"/>
              <w:rPr>
                <w:color w:val="000000"/>
                <w:sz w:val="20"/>
              </w:rPr>
            </w:pPr>
            <w:r>
              <w:rPr>
                <w:color w:val="000000"/>
                <w:sz w:val="20"/>
              </w:rPr>
              <w:t>30.683.041,00</w:t>
            </w:r>
          </w:p>
        </w:tc>
      </w:tr>
    </w:tbl>
    <w:p w14:paraId="79A220E4" w14:textId="77777777" w:rsidR="00A77B3E" w:rsidRDefault="00A77B3E">
      <w:pPr>
        <w:spacing w:before="5pt"/>
        <w:rPr>
          <w:color w:val="000000"/>
          <w:sz w:val="20"/>
        </w:rPr>
      </w:pPr>
    </w:p>
    <w:p w14:paraId="5BD4CE2D" w14:textId="77777777" w:rsidR="00A77B3E" w:rsidRDefault="00B16CCF">
      <w:pPr>
        <w:pStyle w:val="Naslov5"/>
        <w:spacing w:before="5pt" w:after="0pt"/>
        <w:rPr>
          <w:b w:val="0"/>
          <w:i w:val="0"/>
          <w:color w:val="000000"/>
          <w:sz w:val="24"/>
        </w:rPr>
      </w:pPr>
      <w:bookmarkStart w:id="227" w:name="_Toc256000988"/>
      <w:r>
        <w:rPr>
          <w:b w:val="0"/>
          <w:i w:val="0"/>
          <w:color w:val="000000"/>
          <w:sz w:val="24"/>
        </w:rPr>
        <w:t>Tabela 7: Razsežnost 6 – sekundarna področja ESS+</w:t>
      </w:r>
      <w:bookmarkEnd w:id="227"/>
    </w:p>
    <w:p w14:paraId="0DF67E3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117"/>
        <w:gridCol w:w="2877"/>
        <w:gridCol w:w="1780"/>
        <w:gridCol w:w="2982"/>
        <w:gridCol w:w="2259"/>
        <w:gridCol w:w="2157"/>
      </w:tblGrid>
      <w:tr w:rsidR="00823317" w14:paraId="0088FEC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551D6F"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57052B"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6DEDED"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4D9CDA"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87257E"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B64BDC" w14:textId="77777777" w:rsidR="00A77B3E" w:rsidRDefault="00B16CCF">
            <w:pPr>
              <w:spacing w:before="5pt"/>
              <w:jc w:val="center"/>
              <w:rPr>
                <w:color w:val="000000"/>
                <w:sz w:val="20"/>
              </w:rPr>
            </w:pPr>
            <w:r>
              <w:rPr>
                <w:color w:val="000000"/>
                <w:sz w:val="20"/>
              </w:rPr>
              <w:t>Znesek (v EUR)</w:t>
            </w:r>
          </w:p>
        </w:tc>
      </w:tr>
    </w:tbl>
    <w:p w14:paraId="22A2F98D" w14:textId="77777777" w:rsidR="00A77B3E" w:rsidRDefault="00A77B3E">
      <w:pPr>
        <w:spacing w:before="5pt"/>
        <w:rPr>
          <w:color w:val="000000"/>
          <w:sz w:val="20"/>
        </w:rPr>
      </w:pPr>
    </w:p>
    <w:p w14:paraId="614C6738" w14:textId="77777777" w:rsidR="00A77B3E" w:rsidRDefault="00B16CCF">
      <w:pPr>
        <w:pStyle w:val="Naslov5"/>
        <w:spacing w:before="5pt" w:after="0pt"/>
        <w:rPr>
          <w:b w:val="0"/>
          <w:i w:val="0"/>
          <w:color w:val="000000"/>
          <w:sz w:val="24"/>
        </w:rPr>
      </w:pPr>
      <w:bookmarkStart w:id="228" w:name="_Toc256000989"/>
      <w:r>
        <w:rPr>
          <w:b w:val="0"/>
          <w:i w:val="0"/>
          <w:color w:val="000000"/>
          <w:sz w:val="24"/>
        </w:rPr>
        <w:t>Tabela 8: Razsežnost 7 – razsežnost enakosti spolov v okviru ESS+*, ESRR, Kohezijskega sklada in SPP</w:t>
      </w:r>
      <w:bookmarkEnd w:id="228"/>
    </w:p>
    <w:p w14:paraId="4B20C23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80"/>
        <w:gridCol w:w="2289"/>
        <w:gridCol w:w="2427"/>
        <w:gridCol w:w="2373"/>
        <w:gridCol w:w="2481"/>
        <w:gridCol w:w="3122"/>
      </w:tblGrid>
      <w:tr w:rsidR="00823317" w14:paraId="4CC4A1F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C8C673"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720245"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CDD866"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F397E6"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171A09"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34EB00D" w14:textId="77777777" w:rsidR="00A77B3E" w:rsidRDefault="00B16CCF">
            <w:pPr>
              <w:spacing w:before="5pt"/>
              <w:jc w:val="center"/>
              <w:rPr>
                <w:color w:val="000000"/>
                <w:sz w:val="20"/>
              </w:rPr>
            </w:pPr>
            <w:r>
              <w:rPr>
                <w:color w:val="000000"/>
                <w:sz w:val="20"/>
              </w:rPr>
              <w:t>Znesek (v EUR)</w:t>
            </w:r>
          </w:p>
        </w:tc>
      </w:tr>
      <w:tr w:rsidR="00823317" w14:paraId="20D399B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863FE5"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4E12C0" w14:textId="77777777" w:rsidR="00A77B3E" w:rsidRDefault="00B16CCF">
            <w:pPr>
              <w:spacing w:before="5pt"/>
              <w:rPr>
                <w:color w:val="000000"/>
                <w:sz w:val="20"/>
              </w:rPr>
            </w:pPr>
            <w:r>
              <w:rPr>
                <w:color w:val="000000"/>
                <w:sz w:val="20"/>
              </w:rPr>
              <w:t>RSO2.2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32326F" w14:textId="77777777" w:rsidR="00A77B3E" w:rsidRDefault="00B16CCF">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C5885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0C5E67" w14:textId="77777777" w:rsidR="00A77B3E" w:rsidRDefault="00B16CCF">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8E655D" w14:textId="77777777" w:rsidR="00A77B3E" w:rsidRDefault="00B16CCF">
            <w:pPr>
              <w:spacing w:before="5pt"/>
              <w:jc w:val="end"/>
              <w:rPr>
                <w:color w:val="000000"/>
                <w:sz w:val="20"/>
              </w:rPr>
            </w:pPr>
            <w:r>
              <w:rPr>
                <w:color w:val="000000"/>
                <w:sz w:val="20"/>
              </w:rPr>
              <w:t>30.683.041,00</w:t>
            </w:r>
          </w:p>
        </w:tc>
      </w:tr>
      <w:tr w:rsidR="00823317" w14:paraId="4C84D25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BD0846"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F35CDE" w14:textId="77777777" w:rsidR="00A77B3E" w:rsidRDefault="00B16CCF">
            <w:pPr>
              <w:spacing w:before="5pt"/>
              <w:rPr>
                <w:color w:val="000000"/>
                <w:sz w:val="20"/>
              </w:rPr>
            </w:pPr>
            <w:r>
              <w:rPr>
                <w:color w:val="000000"/>
                <w:sz w:val="20"/>
              </w:rPr>
              <w:t>RSO2.2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3E78CD"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AD4D9A"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86F3F9"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4A6802" w14:textId="77777777" w:rsidR="00A77B3E" w:rsidRDefault="00B16CCF">
            <w:pPr>
              <w:spacing w:before="5pt"/>
              <w:jc w:val="end"/>
              <w:rPr>
                <w:color w:val="000000"/>
                <w:sz w:val="20"/>
              </w:rPr>
            </w:pPr>
            <w:r>
              <w:rPr>
                <w:color w:val="000000"/>
                <w:sz w:val="20"/>
              </w:rPr>
              <w:t>30.683.041,00</w:t>
            </w:r>
          </w:p>
        </w:tc>
      </w:tr>
    </w:tbl>
    <w:p w14:paraId="1E85531B" w14:textId="77777777" w:rsidR="00A77B3E" w:rsidRDefault="00B16CCF">
      <w:pPr>
        <w:spacing w:before="5pt"/>
        <w:rPr>
          <w:color w:val="000000"/>
          <w:sz w:val="20"/>
        </w:rPr>
      </w:pPr>
      <w:r>
        <w:rPr>
          <w:color w:val="000000"/>
          <w:sz w:val="20"/>
        </w:rPr>
        <w:t>* Načeloma 40 % za ESS+ prispeva k spremljanju enakosti spolov. 100 % se uporabi, kadar se država članica odloči za uporabo člena 6 uredbe o ESS+.</w:t>
      </w:r>
    </w:p>
    <w:p w14:paraId="7BD1F8F0" w14:textId="77777777" w:rsidR="00A77B3E" w:rsidRDefault="00B16CCF">
      <w:pPr>
        <w:pStyle w:val="Naslov4"/>
        <w:spacing w:before="5pt" w:after="0pt"/>
        <w:rPr>
          <w:b w:val="0"/>
          <w:color w:val="000000"/>
          <w:sz w:val="24"/>
        </w:rPr>
      </w:pPr>
      <w:r>
        <w:rPr>
          <w:b w:val="0"/>
          <w:color w:val="000000"/>
          <w:sz w:val="24"/>
        </w:rPr>
        <w:br w:type="page"/>
      </w:r>
      <w:bookmarkStart w:id="229" w:name="_Toc256000990"/>
      <w:r>
        <w:rPr>
          <w:b w:val="0"/>
          <w:color w:val="000000"/>
          <w:sz w:val="24"/>
        </w:rPr>
        <w:lastRenderedPageBreak/>
        <w:t>2.1.1.1. Specifični cilj: RSO2.4. Spodbujanje prilagajanja podnebnim spremembam in preprečevanja tveganja nesreč ter odpornosti, ob upoštevanju ekosistemskih pristopov (Kohezijski sklad)</w:t>
      </w:r>
      <w:bookmarkEnd w:id="229"/>
    </w:p>
    <w:p w14:paraId="41480FFD" w14:textId="77777777" w:rsidR="00A77B3E" w:rsidRDefault="00A77B3E">
      <w:pPr>
        <w:spacing w:before="5pt"/>
        <w:rPr>
          <w:color w:val="000000"/>
          <w:sz w:val="0"/>
        </w:rPr>
      </w:pPr>
    </w:p>
    <w:p w14:paraId="049A400B" w14:textId="77777777" w:rsidR="00A77B3E" w:rsidRDefault="00B16CCF">
      <w:pPr>
        <w:pStyle w:val="Naslov4"/>
        <w:spacing w:before="5pt" w:after="0pt"/>
        <w:rPr>
          <w:b w:val="0"/>
          <w:color w:val="000000"/>
          <w:sz w:val="24"/>
        </w:rPr>
      </w:pPr>
      <w:bookmarkStart w:id="230" w:name="_Toc256000991"/>
      <w:r>
        <w:rPr>
          <w:b w:val="0"/>
          <w:color w:val="000000"/>
          <w:sz w:val="24"/>
        </w:rPr>
        <w:t>2.1.1.1.1. Ukrepi skladov</w:t>
      </w:r>
      <w:bookmarkEnd w:id="230"/>
    </w:p>
    <w:p w14:paraId="2C97A563" w14:textId="77777777" w:rsidR="00A77B3E" w:rsidRDefault="00A77B3E">
      <w:pPr>
        <w:spacing w:before="5pt"/>
        <w:rPr>
          <w:color w:val="000000"/>
          <w:sz w:val="0"/>
        </w:rPr>
      </w:pPr>
    </w:p>
    <w:p w14:paraId="50B09411" w14:textId="77777777" w:rsidR="00A77B3E" w:rsidRDefault="00B16CCF">
      <w:pPr>
        <w:spacing w:before="5pt"/>
        <w:rPr>
          <w:color w:val="000000"/>
          <w:sz w:val="0"/>
        </w:rPr>
      </w:pPr>
      <w:r>
        <w:rPr>
          <w:color w:val="000000"/>
        </w:rPr>
        <w:t>Sklic: člen 22(3)(d)(i), (iii), (iv), (v), (vi) in (vii) uredbe o skupnih določbah</w:t>
      </w:r>
    </w:p>
    <w:p w14:paraId="212D267F" w14:textId="77777777" w:rsidR="00A77B3E" w:rsidRDefault="00B16CCF">
      <w:pPr>
        <w:pStyle w:val="Naslov5"/>
        <w:spacing w:before="5pt" w:after="0pt"/>
        <w:rPr>
          <w:b w:val="0"/>
          <w:i w:val="0"/>
          <w:color w:val="000000"/>
          <w:sz w:val="24"/>
        </w:rPr>
      </w:pPr>
      <w:bookmarkStart w:id="231" w:name="_Toc256000992"/>
      <w:r>
        <w:rPr>
          <w:b w:val="0"/>
          <w:i w:val="0"/>
          <w:color w:val="000000"/>
          <w:sz w:val="24"/>
        </w:rPr>
        <w:t>Povezane vrste ukrepov – člen 22(3)(d)(i) uredbe o skupnih določbah in člen 6 uredbe o ESS+:</w:t>
      </w:r>
      <w:bookmarkEnd w:id="231"/>
    </w:p>
    <w:p w14:paraId="5C2A933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269AFD2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5E0D27" w14:textId="77777777" w:rsidR="00A77B3E" w:rsidRDefault="00A77B3E">
            <w:pPr>
              <w:spacing w:before="5pt"/>
              <w:rPr>
                <w:color w:val="000000"/>
                <w:sz w:val="0"/>
              </w:rPr>
            </w:pPr>
          </w:p>
          <w:p w14:paraId="7B2B7425" w14:textId="77777777" w:rsidR="00A77B3E" w:rsidRDefault="00B16CCF">
            <w:pPr>
              <w:spacing w:before="5pt"/>
              <w:rPr>
                <w:color w:val="000000"/>
              </w:rPr>
            </w:pPr>
            <w:r>
              <w:rPr>
                <w:color w:val="000000"/>
              </w:rPr>
              <w:t>Naraščanje trenda podnebno pogojenih nesreč, tako po pogostosti, intenzivnosti, kot tudi obsegu povzročene škode, je na ozemlju Slovenije po napovedih strokovnjakov pričakovano tudi v prihodnje. Navkljub preventivnemu delovanju teh nesreč ne moremo v celoti preprečiti ali napovedati, zato se moramo nanje dobro pripraviti z ustreznimi preventivnimi gradbenimi in negradbenimi ukrepi ter okrepiti pripravljenost in se pravočasno ter ustrezno odzvati v primeru njihovega pojava. Osredotočili se bomo na podnebno pogojene nesreče, ki predstavljajo pomembno tveganje [4], in sicer poplave, požari v naravnem okolju, žled z ujmami, ter izvedli naslednje ukrepe:</w:t>
            </w:r>
          </w:p>
          <w:p w14:paraId="4D13AD9F" w14:textId="77777777" w:rsidR="00A77B3E" w:rsidRDefault="00B16CCF">
            <w:pPr>
              <w:spacing w:before="5pt"/>
              <w:rPr>
                <w:color w:val="000000"/>
              </w:rPr>
            </w:pPr>
            <w:r>
              <w:rPr>
                <w:color w:val="000000"/>
              </w:rPr>
              <w:t>1.</w:t>
            </w:r>
          </w:p>
          <w:p w14:paraId="06F8821C" w14:textId="77777777" w:rsidR="00A77B3E" w:rsidRDefault="00A77B3E">
            <w:pPr>
              <w:numPr>
                <w:ilvl w:val="0"/>
                <w:numId w:val="25"/>
              </w:numPr>
              <w:spacing w:before="5pt"/>
              <w:rPr>
                <w:color w:val="000000"/>
              </w:rPr>
            </w:pPr>
          </w:p>
          <w:p w14:paraId="06A41B61" w14:textId="77777777" w:rsidR="00A77B3E" w:rsidRDefault="00B16CCF">
            <w:pPr>
              <w:numPr>
                <w:ilvl w:val="1"/>
                <w:numId w:val="25"/>
              </w:numPr>
              <w:spacing w:before="5pt"/>
              <w:rPr>
                <w:color w:val="000000"/>
              </w:rPr>
            </w:pPr>
            <w:r>
              <w:rPr>
                <w:i/>
                <w:iCs/>
                <w:color w:val="000000"/>
              </w:rPr>
              <w:t>nadgradnja sistema za opozarjanje in osveščanje na vremensko pogojene izredne razmere ter prilagajanje nanje v spremenjenem podnebju</w:t>
            </w:r>
            <w:r>
              <w:rPr>
                <w:color w:val="000000"/>
              </w:rPr>
              <w:t>: glavni cilj ukrepa je nadgradnja in razširitev operativnega sistema z novimi produkti (tudi mobilno aplikacijo) za zgodnje obveščanje državljanov o vremensko pogojenih nevarnih dogodkih ter za zagotavljanje podnebnih podatkov in predvidevanj za dolgoročno prilagajanje na spremenjene podnebne razmere. Ključno je spremljanje in napovedovanje takšnih dogodkov, opozarjanje prebivalcev pred njimi ter zagotavljanje primernih tehničnih, infrastrukturnih in drugih zmogljivosti za pripravljenost in odziv na izredne dogodke. Te zmogljivosti zajemajo prenovo spletnih vsebin za obveščanje in opozarjanje javnosti, izdelavo ocene tveganja za izredne dogodke, nadgradnjo merilne in informacijske infrastrukture za stalno spremljanje in napovedovanje meteoroloških, hidroloških in oceanografskih razmer (prenovljenih 19 merilnih mest, razvoj in nadgradnja orodij za učinkovito obveščanje in opozarjanje, prenova infrastrukture radarskega centra na Lisci, postavljen visokogorski podnebni observatorij, idr.). Ukrep je komplementaren z ostalima dvema na tem specifičnem cilju, zajema pa področje, ki ga ostala dva ukrepa ne pokrivata. Obveščanje o vremensko pogojenih izrednih obsega vse podnebno pogojene izredne dogodke, med katerimi velja posebna pozornost poplavam;</w:t>
            </w:r>
          </w:p>
          <w:p w14:paraId="60BB1C59" w14:textId="77777777" w:rsidR="00A77B3E" w:rsidRDefault="00B16CCF">
            <w:pPr>
              <w:numPr>
                <w:ilvl w:val="1"/>
                <w:numId w:val="25"/>
              </w:numPr>
              <w:spacing w:before="5pt"/>
              <w:rPr>
                <w:color w:val="000000"/>
              </w:rPr>
            </w:pPr>
            <w:r>
              <w:rPr>
                <w:i/>
                <w:iCs/>
                <w:color w:val="000000"/>
              </w:rPr>
              <w:t xml:space="preserve">ukrepi za odziv na podnebno pogojene nesreče: </w:t>
            </w:r>
            <w:r>
              <w:rPr>
                <w:color w:val="000000"/>
              </w:rPr>
              <w:t xml:space="preserve">cilj ukrepa je skladno z Državno oceno zmožnosti obvladovanja tveganj za nesreče, verzija 3.0 [3] zagotoviti pogoje za učinkovit, pravočasen in varen odziv v primeru podnebno pogojenih nesreč, ki jih predstavljajo ustrezna oprema, dobra usposobljenost in infrastruktura, ki podpira delovanje enot za odziv na podnebno pogojene nesreče. Ukrep bo skladno z Državno oceno tveganj za nesreče, verzija 3.0 [4] in preteklimi izkušnjami osredotočen na poplave, velike požare v naravnem okolju in žled z ujmami, ki predstavljajo najvišje oz. visoko tveganje, hkrati pa so pogoji za odziv nanje nezadostno zagotovljeni. Zagotovljena bo specializirana oprema in tehnična sredstva, ki bo omogočila odziv na poplave in velike požare v naravnem okolju (nakup 4 manjših letal za gašenje iz zraka in na nedostopnem terenu ter nadgrajena oprema za zgodnje zaznavanje požarov) na žled z ujmami (do 10 specializiranih vozil (avtolestve) in do 40 specializiranih kotalnih zabojnikov za žled z ujmami). Za odziv na različne vrste nesreč je potrebna različna specializirana oprema, ki se uporablja glede na vrsto nesreče, kot npr. (črpalke za vodo v primeru poplav, motorne žage, agregati ob žledu itd.), ki bo razporejena na </w:t>
            </w:r>
            <w:r>
              <w:rPr>
                <w:color w:val="000000"/>
              </w:rPr>
              <w:lastRenderedPageBreak/>
              <w:t>območjih, kjer je tveganje tovrstnih nesreč najvišje. Prav tako bo zagotovljena primerna infrastruktura, kjer se bodo usposabljale enote, ki se odzivajo na žled z ujmami. Infrastruktura za usposabljanje za žled z ujmami bo umeščena v območje pomembnega vpliva žleda in ujm (J Slovenija), torej v območje, ki je najbolj gozdnato in kjer so posledice tovrstnih nesreč (v smislu verižnih nesreč in gospodarske škode, ki nastanejo kot posledica žleda z ujmami) največje.</w:t>
            </w:r>
          </w:p>
          <w:p w14:paraId="053B6072" w14:textId="77777777" w:rsidR="00A77B3E" w:rsidRDefault="00B16CCF">
            <w:pPr>
              <w:spacing w:before="5pt"/>
              <w:rPr>
                <w:color w:val="000000"/>
              </w:rPr>
            </w:pPr>
            <w:r>
              <w:rPr>
                <w:color w:val="000000"/>
              </w:rPr>
              <w:t>Na podlagi izkušenj iz EKP v obdobju 2007-2013 in 2014-2020 bo posebna pozornost namenjena vidiku pripravljenosti projektov za zagotovitev njihove kakovostne izvedbe brez bistvenih zamud.</w:t>
            </w:r>
          </w:p>
          <w:p w14:paraId="51EFAE49" w14:textId="77777777" w:rsidR="00A77B3E" w:rsidRDefault="00B16CCF">
            <w:pPr>
              <w:spacing w:before="5pt"/>
              <w:rPr>
                <w:color w:val="000000"/>
              </w:rPr>
            </w:pPr>
            <w:r>
              <w:rPr>
                <w:color w:val="000000"/>
              </w:rPr>
              <w:t>Glede na razpoložljiva sredstva se bodo s sredstvi KS v obdobju 2021-2027 podprli projekte za zmanjševanje poplavne ogroženosti na območjih OPVP, posebej tistih, kjer preti največja nevarnost erozij in poplavljanja na vodotokih in projektna dokumentacija izkazuje najvišjo stopnjo pripravljenosti naložbe za izvedbo ter so prioritetno nujno potrebne in vključene v NZPO, ob upoštevanju poplavnih dogodkov v letu 2023;</w:t>
            </w:r>
          </w:p>
          <w:p w14:paraId="72FDFB30" w14:textId="77777777" w:rsidR="00A77B3E" w:rsidRDefault="00B16CCF">
            <w:pPr>
              <w:spacing w:before="5pt"/>
              <w:rPr>
                <w:color w:val="000000"/>
              </w:rPr>
            </w:pPr>
            <w:r>
              <w:rPr>
                <w:color w:val="000000"/>
              </w:rPr>
              <w:t>2.</w:t>
            </w:r>
          </w:p>
          <w:p w14:paraId="149A4405" w14:textId="77777777" w:rsidR="00A77B3E" w:rsidRDefault="00A77B3E">
            <w:pPr>
              <w:numPr>
                <w:ilvl w:val="0"/>
                <w:numId w:val="26"/>
              </w:numPr>
              <w:spacing w:before="5pt"/>
              <w:rPr>
                <w:color w:val="000000"/>
              </w:rPr>
            </w:pPr>
          </w:p>
          <w:p w14:paraId="7D3036B9" w14:textId="77777777" w:rsidR="00A77B3E" w:rsidRDefault="00B16CCF">
            <w:pPr>
              <w:numPr>
                <w:ilvl w:val="1"/>
                <w:numId w:val="26"/>
              </w:numPr>
              <w:spacing w:before="5pt"/>
              <w:rPr>
                <w:color w:val="000000"/>
              </w:rPr>
            </w:pPr>
            <w:r>
              <w:rPr>
                <w:i/>
                <w:iCs/>
                <w:color w:val="000000"/>
              </w:rPr>
              <w:t>zmanjšanje poplavne ogroženosti na območjih pomembnega vpliva poplav, ki izkazujejo najvišjo stopnjo pripravljenosti za izvedbo</w:t>
            </w:r>
            <w:r>
              <w:rPr>
                <w:color w:val="000000"/>
              </w:rPr>
              <w:t>: v skladu z Direktivo 2007/60/ES Evropskega parlamenta in Sveta z dne 23. oktobra 2007 o oceni in obvladovanju poplavne ogroženosti je Slovenija naslovila poplavno ogroženost s Predhodno oceno poplavne ogroženosti (2011) ter Načrtom zmanjševanja poplavne ogroženosti (julij 2017) (v nadaljevanju: NZPO) in posodobljenim Načrtom zmanjševanja poplavne ogroženosti, ki je v pripravi. Leta 2019 je Slovenija sprejela novo Predhodno oceno poplavne ogroženosti,. V Sloveniji je bilo tako prepoznanih 86 območij pomembnega vpliva poplav (v nadaljevanju: OPVP).V septembru 2024 je Slovenija v javno obravnavo posredovala posodobljen predlog Predhodne ocene poplavne ogroženosti 2024[1] s posodobljenim naborom območij pomembnega vpliva poplav, ki sledi preveritvam vpliva podnebnih sprememb, poplavnemu dogodku v avgustu 2023 in podrobnejšemu evidentiranju škodnega potenciala. Posamezni ukrepi se bodo izvajali tako, da bodo usklajeni z NZPO[2], da bodo načrtovani z ekosistemskimi pristopi, ki bodo kar najbolje upoštevali hkratno ohranjanje dobrega stanja voda. Tako kot v obdobju 2014-2020 se bodo v okviru evropske kohezijske politike izvajali večji ukrepi (hidrotehnični, ekosistemski in negradbeni), ki bodo najbolj prispevali k zmanjšanju poplavne ogroženosti na OPVP in drugih vodotokih, ki so za Slovenijo izjemnega pomena. Smiselno se bodo ti ukrepi komplementarno dopolnjevali z izvedbo manjših ukrepov v okviru NOO in nacionalnih virov. Ukrepi bodo upoštevali vse potrebne omilitvene ukrepe za ohranjanje dobrega stanja voda, za varstvo okolja ter za zaščito razlivnih površin s prilagajanjem rabe tal, upoštevaje usmeritve NZPO in Načrta upravljanja voda. V okviru negradbenih ukrepov se bo pripravila tudi dokumentacija za pripravo projektov za zmanjšanje poplavne ogroženosti, s pripadajočimi podlagami in pridobivanjem pravice graditi za njihovo bodočo gradbeno izvedbo. Pri načrtovanju se že na nivoju hidrološko hidravličnih študij in analiz v območju Natura 2000 upošteva cilje PUN in določila, ki izhajajo iz načrtov upravljanja zavarovanih območij oz. določila iz aktov njihovega zavarovanja. V okviru podprtih naložb za gradbene protipoplavne ukrepe se iščejo na naravi temelječe rešitve, del sredstev pa bo namenjen izvajanju ekosistemskih ukrepov, predvsem prednostno v območjih Nature 2000 (renaturacije vodotokov, zaščita razlivnih površin s prilagajanjem rabe tal itd.).</w:t>
            </w:r>
          </w:p>
          <w:p w14:paraId="3DB05F47" w14:textId="77777777" w:rsidR="00A77B3E" w:rsidRDefault="00B16CCF">
            <w:pPr>
              <w:spacing w:before="5pt"/>
              <w:rPr>
                <w:color w:val="000000"/>
              </w:rPr>
            </w:pPr>
            <w:r>
              <w:rPr>
                <w:color w:val="000000"/>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Noben izmed predvidenih ukrepov po svoji naravi nima bistvenega škodljivega vpliva na katerega koli od šestih okoljskih ciljev ob upoštevanju tehničnih meril, navedenih v Prilogi: DNSH.</w:t>
            </w:r>
          </w:p>
          <w:p w14:paraId="3243FB3D" w14:textId="77777777" w:rsidR="00A77B3E" w:rsidRDefault="00B16CCF">
            <w:pPr>
              <w:spacing w:before="5pt"/>
              <w:rPr>
                <w:color w:val="000000"/>
              </w:rPr>
            </w:pPr>
            <w:r>
              <w:rPr>
                <w:color w:val="000000"/>
              </w:rPr>
              <w:lastRenderedPageBreak/>
              <w:t>[1] Predhodna ocena poplavne ogroženosti 2019, posodobitev 2024. Dostopno na: Predhodna_ocena_poplavne_ogrozenosti_2024.pdf</w:t>
            </w:r>
          </w:p>
          <w:p w14:paraId="750A21D5" w14:textId="77777777" w:rsidR="00A77B3E" w:rsidRDefault="00B16CCF">
            <w:pPr>
              <w:spacing w:before="5pt"/>
              <w:rPr>
                <w:color w:val="000000"/>
              </w:rPr>
            </w:pPr>
            <w:r>
              <w:rPr>
                <w:color w:val="000000"/>
              </w:rPr>
              <w:t>[2] Načrt zmanjševanja poplavne ogroženosti 2023-2027(št.35500-2/2023/5 z dne 30.3.2023)Dostopno na: https://www.gov.si/assets/ministrstva/MNVP/Dokumenti/Voda/NZPO/NZPO_II_2023.docx.</w:t>
            </w:r>
          </w:p>
          <w:p w14:paraId="20C0DDF2" w14:textId="77777777" w:rsidR="00A77B3E" w:rsidRDefault="00B16CCF">
            <w:pPr>
              <w:spacing w:before="5pt"/>
              <w:rPr>
                <w:color w:val="000000"/>
              </w:rPr>
            </w:pPr>
            <w:r>
              <w:rPr>
                <w:color w:val="000000"/>
              </w:rPr>
              <w:t>[3] Državna ocena zmožnosti obvladovanja tveganj za nesreče (št. 84000-1/2023/4 z dne 21.12.2023) Dostopno na https://www.gov.si/assets/organi-v-sestavi/URSZR/Datoteke/Ocene-zmoznosti-obvladovanja-tveganj/drzavna-ocena-2024.pdf</w:t>
            </w:r>
          </w:p>
          <w:p w14:paraId="220F403E" w14:textId="77777777" w:rsidR="00A77B3E" w:rsidRDefault="00B16CCF">
            <w:pPr>
              <w:spacing w:before="5pt"/>
              <w:rPr>
                <w:color w:val="000000"/>
              </w:rPr>
            </w:pPr>
            <w:r>
              <w:rPr>
                <w:color w:val="000000"/>
              </w:rPr>
              <w:t>[4] Državna oceno tveganj za nesreče (št. 84000-2/2023/6 z dne21.12.2023) Dostopno na https:// drzavna-ocena-tveganj-za-nesrece-3.0_2023_za-splet.pdf</w:t>
            </w:r>
          </w:p>
          <w:p w14:paraId="3E204E42" w14:textId="77777777" w:rsidR="00A77B3E" w:rsidRDefault="00A77B3E">
            <w:pPr>
              <w:spacing w:before="5pt"/>
              <w:rPr>
                <w:color w:val="000000"/>
                <w:sz w:val="6"/>
              </w:rPr>
            </w:pPr>
          </w:p>
          <w:p w14:paraId="78671B9B" w14:textId="77777777" w:rsidR="00A77B3E" w:rsidRDefault="00A77B3E">
            <w:pPr>
              <w:spacing w:before="5pt"/>
              <w:rPr>
                <w:color w:val="000000"/>
                <w:sz w:val="6"/>
              </w:rPr>
            </w:pPr>
          </w:p>
        </w:tc>
      </w:tr>
    </w:tbl>
    <w:p w14:paraId="22EE6DC1" w14:textId="77777777" w:rsidR="00A77B3E" w:rsidRDefault="00A77B3E">
      <w:pPr>
        <w:spacing w:before="5pt"/>
        <w:rPr>
          <w:color w:val="000000"/>
        </w:rPr>
      </w:pPr>
    </w:p>
    <w:p w14:paraId="2FF53B83" w14:textId="77777777" w:rsidR="00A77B3E" w:rsidRDefault="00B16CCF">
      <w:pPr>
        <w:pStyle w:val="Naslov5"/>
        <w:spacing w:before="5pt" w:after="0pt"/>
        <w:rPr>
          <w:b w:val="0"/>
          <w:i w:val="0"/>
          <w:color w:val="000000"/>
          <w:sz w:val="24"/>
        </w:rPr>
      </w:pPr>
      <w:bookmarkStart w:id="232" w:name="_Toc256000993"/>
      <w:r>
        <w:rPr>
          <w:b w:val="0"/>
          <w:i w:val="0"/>
          <w:color w:val="000000"/>
          <w:sz w:val="24"/>
        </w:rPr>
        <w:t>Glavne ciljne skupine – člen 22(3)(d)(iii) uredbe o skupnih določbah:</w:t>
      </w:r>
      <w:bookmarkEnd w:id="232"/>
    </w:p>
    <w:p w14:paraId="6DF8E57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0A547B78"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88982C" w14:textId="77777777" w:rsidR="00A77B3E" w:rsidRDefault="00A77B3E">
            <w:pPr>
              <w:spacing w:before="5pt"/>
              <w:rPr>
                <w:color w:val="000000"/>
                <w:sz w:val="0"/>
              </w:rPr>
            </w:pPr>
          </w:p>
          <w:p w14:paraId="13428676" w14:textId="77777777" w:rsidR="00A77B3E" w:rsidRDefault="00B16CCF">
            <w:pPr>
              <w:spacing w:before="5pt"/>
              <w:rPr>
                <w:color w:val="000000"/>
              </w:rPr>
            </w:pPr>
            <w:r>
              <w:rPr>
                <w:color w:val="000000"/>
              </w:rPr>
              <w:t>Ciljne skupine: prebivalstvo in lokalne skupnosti.</w:t>
            </w:r>
          </w:p>
          <w:p w14:paraId="7A2D125D" w14:textId="77777777" w:rsidR="00A77B3E" w:rsidRDefault="00A77B3E">
            <w:pPr>
              <w:spacing w:before="5pt"/>
              <w:rPr>
                <w:color w:val="000000"/>
              </w:rPr>
            </w:pPr>
          </w:p>
          <w:p w14:paraId="2E2679A7" w14:textId="77777777" w:rsidR="00A77B3E" w:rsidRDefault="00B16CCF">
            <w:pPr>
              <w:spacing w:before="5pt"/>
              <w:rPr>
                <w:color w:val="000000"/>
              </w:rPr>
            </w:pPr>
            <w:r>
              <w:rPr>
                <w:color w:val="000000"/>
              </w:rPr>
              <w:t>Upravičenci: Agencija RS za okolje, Direkcija Republike Slovenije za vode, ministrstva, Uprava RS za zaščito in reševanje, sile za zaščito, reševanje in pomoč, lokalne skupine ter morebitni drugi upravičenci, ki lahko pomembno prispevajo k doseganju ciljev tega specifičnega cilja.</w:t>
            </w:r>
          </w:p>
          <w:p w14:paraId="1515C148" w14:textId="77777777" w:rsidR="00A77B3E" w:rsidRDefault="00A77B3E">
            <w:pPr>
              <w:spacing w:before="5pt"/>
              <w:rPr>
                <w:color w:val="000000"/>
                <w:sz w:val="6"/>
              </w:rPr>
            </w:pPr>
          </w:p>
          <w:p w14:paraId="7EA490D0" w14:textId="77777777" w:rsidR="00A77B3E" w:rsidRDefault="00A77B3E">
            <w:pPr>
              <w:spacing w:before="5pt"/>
              <w:rPr>
                <w:color w:val="000000"/>
                <w:sz w:val="6"/>
              </w:rPr>
            </w:pPr>
          </w:p>
        </w:tc>
      </w:tr>
    </w:tbl>
    <w:p w14:paraId="66116077" w14:textId="77777777" w:rsidR="00A77B3E" w:rsidRDefault="00A77B3E">
      <w:pPr>
        <w:spacing w:before="5pt"/>
        <w:rPr>
          <w:color w:val="000000"/>
        </w:rPr>
      </w:pPr>
    </w:p>
    <w:p w14:paraId="43AEA613" w14:textId="77777777" w:rsidR="00A77B3E" w:rsidRDefault="00B16CCF">
      <w:pPr>
        <w:pStyle w:val="Naslov5"/>
        <w:spacing w:before="5pt" w:after="0pt"/>
        <w:rPr>
          <w:b w:val="0"/>
          <w:i w:val="0"/>
          <w:color w:val="000000"/>
          <w:sz w:val="24"/>
        </w:rPr>
      </w:pPr>
      <w:bookmarkStart w:id="233" w:name="_Toc256000994"/>
      <w:r>
        <w:rPr>
          <w:b w:val="0"/>
          <w:i w:val="0"/>
          <w:color w:val="000000"/>
          <w:sz w:val="24"/>
        </w:rPr>
        <w:t>Ukrepi za zaščito enakosti, vključenosti in nediskriminacije – člen 22(3)(d)(iv) uredbe o skupnih določbah in člen 6 uredbe o ESS+</w:t>
      </w:r>
      <w:bookmarkEnd w:id="233"/>
    </w:p>
    <w:p w14:paraId="1E25EF8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6A3382AD"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622871" w14:textId="77777777" w:rsidR="00A77B3E" w:rsidRDefault="00A77B3E">
            <w:pPr>
              <w:spacing w:before="5pt"/>
              <w:rPr>
                <w:color w:val="000000"/>
                <w:sz w:val="0"/>
              </w:rPr>
            </w:pPr>
          </w:p>
          <w:p w14:paraId="40B64534" w14:textId="77777777" w:rsidR="00A77B3E" w:rsidRDefault="00B16CCF">
            <w:pPr>
              <w:spacing w:before="5pt"/>
              <w:rPr>
                <w:color w:val="000000"/>
              </w:rPr>
            </w:pPr>
            <w:r>
              <w:rPr>
                <w:color w:val="000000"/>
              </w:rPr>
              <w:t>Pri načrtovanju, izvedbi in spremljanju ukrepov bodo spoštovana načela enakosti spolov, enakih možnosti in nediskriminacije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w:t>
            </w:r>
          </w:p>
          <w:p w14:paraId="2B89A0AD" w14:textId="77777777" w:rsidR="00A77B3E" w:rsidRDefault="00A77B3E">
            <w:pPr>
              <w:spacing w:before="5pt"/>
              <w:rPr>
                <w:color w:val="000000"/>
              </w:rPr>
            </w:pPr>
          </w:p>
          <w:p w14:paraId="59E5DCF2" w14:textId="77777777" w:rsidR="00A77B3E" w:rsidRDefault="00B16CCF">
            <w:pPr>
              <w:spacing w:before="5pt"/>
              <w:rPr>
                <w:color w:val="000000"/>
              </w:rPr>
            </w:pPr>
            <w:r>
              <w:rPr>
                <w:color w:val="000000"/>
              </w:rPr>
              <w:t>Dodatno bodo pri izvajanju gradbenih ukrepov objekti izpolnjevali tehnične zahteve, s katerimi se prilagodijo tako, da so nediskriminatorni do vseh oblik začasne ali trajne invalidnosti in so prilagojeni ranljivim skupinam prebivalstva.</w:t>
            </w:r>
          </w:p>
          <w:p w14:paraId="625A106C" w14:textId="77777777" w:rsidR="00A77B3E" w:rsidRDefault="00A77B3E">
            <w:pPr>
              <w:spacing w:before="5pt"/>
              <w:rPr>
                <w:color w:val="000000"/>
                <w:sz w:val="6"/>
              </w:rPr>
            </w:pPr>
          </w:p>
          <w:p w14:paraId="3434D747" w14:textId="77777777" w:rsidR="00A77B3E" w:rsidRDefault="00A77B3E">
            <w:pPr>
              <w:spacing w:before="5pt"/>
              <w:rPr>
                <w:color w:val="000000"/>
                <w:sz w:val="6"/>
              </w:rPr>
            </w:pPr>
          </w:p>
        </w:tc>
      </w:tr>
    </w:tbl>
    <w:p w14:paraId="5529166A" w14:textId="77777777" w:rsidR="00A77B3E" w:rsidRDefault="00A77B3E">
      <w:pPr>
        <w:spacing w:before="5pt"/>
        <w:rPr>
          <w:color w:val="000000"/>
        </w:rPr>
      </w:pPr>
    </w:p>
    <w:p w14:paraId="244DCC1B" w14:textId="77777777" w:rsidR="00A77B3E" w:rsidRDefault="00B16CCF">
      <w:pPr>
        <w:pStyle w:val="Naslov5"/>
        <w:spacing w:before="5pt" w:after="0pt"/>
        <w:rPr>
          <w:b w:val="0"/>
          <w:i w:val="0"/>
          <w:color w:val="000000"/>
          <w:sz w:val="24"/>
        </w:rPr>
      </w:pPr>
      <w:bookmarkStart w:id="234" w:name="_Toc256000995"/>
      <w:r>
        <w:rPr>
          <w:b w:val="0"/>
          <w:i w:val="0"/>
          <w:color w:val="000000"/>
          <w:sz w:val="24"/>
        </w:rPr>
        <w:t>Navedba specifičnih ciljnih ozemelj, vključno z načrtovano uporabo teritorialnih orodij – člen 22(3)(d)(v) uredbe o skupnih določbah</w:t>
      </w:r>
      <w:bookmarkEnd w:id="234"/>
    </w:p>
    <w:p w14:paraId="579BFB5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0D456F9F"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0699D8" w14:textId="77777777" w:rsidR="00A77B3E" w:rsidRDefault="00A77B3E">
            <w:pPr>
              <w:spacing w:before="5pt"/>
              <w:rPr>
                <w:color w:val="000000"/>
                <w:sz w:val="0"/>
              </w:rPr>
            </w:pPr>
          </w:p>
          <w:p w14:paraId="1648A766" w14:textId="77777777" w:rsidR="00A77B3E" w:rsidRDefault="00B16CCF">
            <w:pPr>
              <w:spacing w:before="5pt"/>
              <w:rPr>
                <w:color w:val="000000"/>
              </w:rPr>
            </w:pPr>
            <w:r>
              <w:rPr>
                <w:color w:val="000000"/>
              </w:rPr>
              <w:t>V okviru specifičnega cilja uporaba teritorialnih pristopov ni predvidena.</w:t>
            </w:r>
          </w:p>
          <w:p w14:paraId="7C4AA2CE" w14:textId="77777777" w:rsidR="00A77B3E" w:rsidRDefault="00A77B3E">
            <w:pPr>
              <w:spacing w:before="5pt"/>
              <w:rPr>
                <w:color w:val="000000"/>
                <w:sz w:val="6"/>
              </w:rPr>
            </w:pPr>
          </w:p>
          <w:p w14:paraId="5654C639" w14:textId="77777777" w:rsidR="00A77B3E" w:rsidRDefault="00A77B3E">
            <w:pPr>
              <w:spacing w:before="5pt"/>
              <w:rPr>
                <w:color w:val="000000"/>
                <w:sz w:val="6"/>
              </w:rPr>
            </w:pPr>
          </w:p>
        </w:tc>
      </w:tr>
    </w:tbl>
    <w:p w14:paraId="3BD7E45A" w14:textId="77777777" w:rsidR="00A77B3E" w:rsidRDefault="00A77B3E">
      <w:pPr>
        <w:spacing w:before="5pt"/>
        <w:rPr>
          <w:color w:val="000000"/>
        </w:rPr>
      </w:pPr>
    </w:p>
    <w:p w14:paraId="6460365F" w14:textId="77777777" w:rsidR="00A77B3E" w:rsidRDefault="00B16CCF">
      <w:pPr>
        <w:pStyle w:val="Naslov5"/>
        <w:spacing w:before="5pt" w:after="0pt"/>
        <w:rPr>
          <w:b w:val="0"/>
          <w:i w:val="0"/>
          <w:color w:val="000000"/>
          <w:sz w:val="24"/>
        </w:rPr>
      </w:pPr>
      <w:bookmarkStart w:id="235" w:name="_Toc256000996"/>
      <w:r>
        <w:rPr>
          <w:b w:val="0"/>
          <w:i w:val="0"/>
          <w:color w:val="000000"/>
          <w:sz w:val="24"/>
        </w:rPr>
        <w:t>Medregionalni, čezmejni in transnacionalni ukrepi – člen 22(3)(d)(vi) uredbe o skupnih določbah</w:t>
      </w:r>
      <w:bookmarkEnd w:id="235"/>
    </w:p>
    <w:p w14:paraId="5A12C70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57C4F7E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69722B" w14:textId="77777777" w:rsidR="00A77B3E" w:rsidRDefault="00A77B3E">
            <w:pPr>
              <w:spacing w:before="5pt"/>
              <w:rPr>
                <w:color w:val="000000"/>
                <w:sz w:val="0"/>
              </w:rPr>
            </w:pPr>
          </w:p>
          <w:p w14:paraId="714D984F" w14:textId="77777777" w:rsidR="00A77B3E" w:rsidRDefault="00B16CCF">
            <w:pPr>
              <w:spacing w:before="5pt"/>
              <w:rPr>
                <w:color w:val="000000"/>
              </w:rPr>
            </w:pPr>
            <w:r>
              <w:rPr>
                <w:color w:val="000000"/>
              </w:rPr>
              <w:t>Ukrepi zmanjšanja poplavne ogroženosti na območjih pomembnega vpliva poplav, ki izkazujejo najvišjo stopnjo pripravljenosti za izvedbo bodo imeli največji učinek na območju izvajanja Strategije EU za Podonavje (EUSDR) in prioritetnega področja 5 »upravljanje z okoljskimi tveganji« ter tretjega stebra »kvaliteta okolja« Strategije EU za jadransko-jonsko regijo (EUSAIR). Ukrep nadgradnje sistema za opozarjanje in osveščanje na vremensko pogojene izredne razmere ter prilagajanje nanje v spremenjenem podnebju bo prispeval k izvajanju vseh treh makroregionalnih strategij, v katerih sodeluje Slovenija, in sicer EUSAIR, EUSDR in Strategije EU za alpsko regijo (EUSALP), saj je ukrep načrtovan na ravni države. Ukrepi za odziv na podnebno pogojene nesreče</w:t>
            </w:r>
            <w:r>
              <w:rPr>
                <w:i/>
                <w:iCs/>
                <w:color w:val="000000"/>
              </w:rPr>
              <w:t xml:space="preserve"> </w:t>
            </w:r>
            <w:r>
              <w:rPr>
                <w:color w:val="000000"/>
              </w:rPr>
              <w:t>so načrtovani na ravni države oz. posameznih območij pomembnega vpliva podnebno pogojenih nesreč, ki pa so geografsko razpršeni znotraj vseh treh makroregij, v katere spada RS. Ukrepi, povezani z zagotovitvijo specializirane opreme za poplave, bodo imeli največji učinek v Podonavski makroregiji, kar je skladno z aktivnostmi v sklopu prioritetnega področja 5 »upravljanje z okoljskimi tveganji« EUSDR. Največji pozitivni učinki ukrepov za krepitev usposobljenosti, pripravljenosti in odziv na velike požare v naravi ter žled z ujmami pa so pričakovani predvsem na območjih, kjer se izvaja EUSAIR, v določenem obsegu pa tudi na območjih, kjer se izvaja EUSALP (aktivnosti, povezane s pripravljenostjo in odzivom na žled z ujmami). Pričakovan je tudi čezmejni učinek ukrepa, konkretno podcentra za žled z ujmami, v katerem bi se usposabljale tudi tuje enote. Predvideni čezmejni oz. makroregionalni učinki ukrepa so skladni tudi s stališčem delovne skupine na ravni Strategije EU za Podonavsko makroregijo in stališčem DG REGIO o vzpostavljanju infrastrukture za usposabljanje. Vzporedno izvajanju ukrepov iz EKP 2021-2027 se bodo na bilateralni ravni izvajale aktivnosti za pripravo ali nadgradnjo čezmejnih protokolov oz. načrtov za odziv na poplave, velike požare v naravnem okolju in žled z ujmami.</w:t>
            </w:r>
          </w:p>
          <w:p w14:paraId="48D913D9" w14:textId="77777777" w:rsidR="00A77B3E" w:rsidRDefault="00A77B3E">
            <w:pPr>
              <w:spacing w:before="5pt"/>
              <w:rPr>
                <w:color w:val="000000"/>
                <w:sz w:val="6"/>
              </w:rPr>
            </w:pPr>
          </w:p>
          <w:p w14:paraId="4ADB3D21" w14:textId="77777777" w:rsidR="00A77B3E" w:rsidRDefault="00A77B3E">
            <w:pPr>
              <w:spacing w:before="5pt"/>
              <w:rPr>
                <w:color w:val="000000"/>
                <w:sz w:val="6"/>
              </w:rPr>
            </w:pPr>
          </w:p>
        </w:tc>
      </w:tr>
    </w:tbl>
    <w:p w14:paraId="3A671563" w14:textId="77777777" w:rsidR="00A77B3E" w:rsidRDefault="00A77B3E">
      <w:pPr>
        <w:spacing w:before="5pt"/>
        <w:rPr>
          <w:color w:val="000000"/>
        </w:rPr>
      </w:pPr>
    </w:p>
    <w:p w14:paraId="1FAC40D9" w14:textId="77777777" w:rsidR="00A77B3E" w:rsidRDefault="00B16CCF">
      <w:pPr>
        <w:pStyle w:val="Naslov5"/>
        <w:spacing w:before="5pt" w:after="0pt"/>
        <w:rPr>
          <w:b w:val="0"/>
          <w:i w:val="0"/>
          <w:color w:val="000000"/>
          <w:sz w:val="24"/>
        </w:rPr>
      </w:pPr>
      <w:bookmarkStart w:id="236" w:name="_Toc256000997"/>
      <w:r>
        <w:rPr>
          <w:b w:val="0"/>
          <w:i w:val="0"/>
          <w:color w:val="000000"/>
          <w:sz w:val="24"/>
        </w:rPr>
        <w:t>Načrtovana uporaba finančnih instrumentov – člen 22(3)(d)(vii) uredbe o skupnih določbah</w:t>
      </w:r>
      <w:bookmarkEnd w:id="236"/>
    </w:p>
    <w:p w14:paraId="2E407C0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6E56D55A"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E3F9E7" w14:textId="77777777" w:rsidR="00A77B3E" w:rsidRDefault="00A77B3E">
            <w:pPr>
              <w:spacing w:before="5pt"/>
              <w:rPr>
                <w:color w:val="000000"/>
                <w:sz w:val="0"/>
              </w:rPr>
            </w:pPr>
          </w:p>
          <w:p w14:paraId="16F70470" w14:textId="77777777" w:rsidR="00A77B3E" w:rsidRDefault="00B16CCF">
            <w:pPr>
              <w:spacing w:before="5pt"/>
              <w:rPr>
                <w:color w:val="000000"/>
              </w:rPr>
            </w:pPr>
            <w:r>
              <w:rPr>
                <w:color w:val="000000"/>
              </w:rPr>
              <w:t xml:space="preserve">Predvidena je uporaba nepovratnih virov. V okviru specifičnega cilja uporaba finančnih instrumentov v skladu z izsledki analize Predhodnih ocen potreb trga in vrzeli financiranja na trgu za izvajanje finančnih instrumentov v programskem obdobju 2021-2027 (julij 2022) ni predvidena. Predlagani ukrepi po svoji vsebini ne ustvarjajo prihodkov oziroma prihrankov, kar smo ugotovili tudi na podlagi preteklih izkušenj izvajanja primerljivih ukrepov v finančnih perspektivah 2007-2013 in 2014-2020, zaradi česar uporaba finančnih instrumentov ni smiselna oziroma ustrezna. Gre za ukrepe, ki se nanašajo na </w:t>
            </w:r>
            <w:r>
              <w:rPr>
                <w:color w:val="000000"/>
              </w:rPr>
              <w:lastRenderedPageBreak/>
              <w:t>aktivnosti institucij, ki so del javne uprave in sistema zaščite, reševanja in pomoči ter ne izvajajo tržnih dejavnosti, sredstva za njihovo delovanje pa se zagotavljajo v omejenem obsegu iz državnega proračuna.</w:t>
            </w:r>
          </w:p>
          <w:p w14:paraId="1D71F75C" w14:textId="77777777" w:rsidR="00A77B3E" w:rsidRDefault="00A77B3E">
            <w:pPr>
              <w:spacing w:before="5pt"/>
              <w:rPr>
                <w:color w:val="000000"/>
                <w:sz w:val="6"/>
              </w:rPr>
            </w:pPr>
          </w:p>
          <w:p w14:paraId="382B4084" w14:textId="77777777" w:rsidR="00A77B3E" w:rsidRDefault="00A77B3E">
            <w:pPr>
              <w:spacing w:before="5pt"/>
              <w:rPr>
                <w:color w:val="000000"/>
                <w:sz w:val="6"/>
              </w:rPr>
            </w:pPr>
          </w:p>
        </w:tc>
      </w:tr>
    </w:tbl>
    <w:p w14:paraId="1443CFE4" w14:textId="77777777" w:rsidR="00A77B3E" w:rsidRDefault="00A77B3E">
      <w:pPr>
        <w:spacing w:before="5pt"/>
        <w:rPr>
          <w:color w:val="000000"/>
        </w:rPr>
      </w:pPr>
    </w:p>
    <w:p w14:paraId="088B0A6A" w14:textId="77777777" w:rsidR="00A77B3E" w:rsidRDefault="00B16CCF">
      <w:pPr>
        <w:pStyle w:val="Naslov4"/>
        <w:spacing w:before="5pt" w:after="0pt"/>
        <w:rPr>
          <w:b w:val="0"/>
          <w:color w:val="000000"/>
          <w:sz w:val="24"/>
        </w:rPr>
      </w:pPr>
      <w:bookmarkStart w:id="237" w:name="_Toc256000998"/>
      <w:r>
        <w:rPr>
          <w:b w:val="0"/>
          <w:color w:val="000000"/>
          <w:sz w:val="24"/>
        </w:rPr>
        <w:t>2.1.1.1.2. Kazalniki</w:t>
      </w:r>
      <w:bookmarkEnd w:id="237"/>
    </w:p>
    <w:p w14:paraId="591B3AE8" w14:textId="77777777" w:rsidR="00A77B3E" w:rsidRDefault="00A77B3E">
      <w:pPr>
        <w:spacing w:before="5pt"/>
        <w:rPr>
          <w:color w:val="000000"/>
          <w:sz w:val="0"/>
        </w:rPr>
      </w:pPr>
    </w:p>
    <w:p w14:paraId="04AFAB2E" w14:textId="77777777" w:rsidR="00A77B3E" w:rsidRDefault="00B16CCF">
      <w:pPr>
        <w:spacing w:before="5pt"/>
        <w:rPr>
          <w:color w:val="000000"/>
          <w:sz w:val="0"/>
        </w:rPr>
      </w:pPr>
      <w:r>
        <w:rPr>
          <w:color w:val="000000"/>
        </w:rPr>
        <w:t>Sklic: člen 22(3)(d)(ii) uredbe o skupnih določbah in člen 8 uredbe o ESRR in Kohezijskem skladu</w:t>
      </w:r>
    </w:p>
    <w:p w14:paraId="6246AF78" w14:textId="77777777" w:rsidR="00A77B3E" w:rsidRDefault="00B16CCF">
      <w:pPr>
        <w:pStyle w:val="Naslov5"/>
        <w:spacing w:before="5pt" w:after="0pt"/>
        <w:rPr>
          <w:b w:val="0"/>
          <w:i w:val="0"/>
          <w:color w:val="000000"/>
          <w:sz w:val="24"/>
        </w:rPr>
      </w:pPr>
      <w:bookmarkStart w:id="238" w:name="_Toc256000999"/>
      <w:r>
        <w:rPr>
          <w:b w:val="0"/>
          <w:i w:val="0"/>
          <w:color w:val="000000"/>
          <w:sz w:val="24"/>
        </w:rPr>
        <w:t>Tabela 2: Kazalniki učinka</w:t>
      </w:r>
      <w:bookmarkEnd w:id="238"/>
    </w:p>
    <w:p w14:paraId="4CC66B6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619"/>
        <w:gridCol w:w="1494"/>
        <w:gridCol w:w="1584"/>
        <w:gridCol w:w="1549"/>
        <w:gridCol w:w="1798"/>
        <w:gridCol w:w="2056"/>
        <w:gridCol w:w="1156"/>
        <w:gridCol w:w="1878"/>
        <w:gridCol w:w="2038"/>
      </w:tblGrid>
      <w:tr w:rsidR="00823317" w14:paraId="7523129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1436D2"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880AA7"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0D85F5"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D8C0F3"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6F05EB"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42C177"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004DBCF"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71450D" w14:textId="77777777" w:rsidR="00A77B3E" w:rsidRDefault="00B16CCF">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72EE0D" w14:textId="77777777" w:rsidR="00A77B3E" w:rsidRDefault="00B16CCF">
            <w:pPr>
              <w:spacing w:before="5pt"/>
              <w:jc w:val="center"/>
              <w:rPr>
                <w:color w:val="000000"/>
                <w:sz w:val="20"/>
              </w:rPr>
            </w:pPr>
            <w:r>
              <w:rPr>
                <w:color w:val="000000"/>
                <w:sz w:val="20"/>
              </w:rPr>
              <w:t>Cilj (2029)</w:t>
            </w:r>
          </w:p>
        </w:tc>
      </w:tr>
      <w:tr w:rsidR="00823317" w14:paraId="62B0637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8DB2C0"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0F6610" w14:textId="77777777" w:rsidR="00A77B3E" w:rsidRDefault="00B16CCF">
            <w:pPr>
              <w:spacing w:before="5pt"/>
              <w:rPr>
                <w:color w:val="000000"/>
                <w:sz w:val="20"/>
              </w:rPr>
            </w:pPr>
            <w:r>
              <w:rPr>
                <w:color w:val="000000"/>
                <w:sz w:val="20"/>
              </w:rPr>
              <w:t>RSO2.4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CB4663" w14:textId="77777777" w:rsidR="00A77B3E" w:rsidRDefault="00B16CCF">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57FDE2"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B3B09B" w14:textId="77777777" w:rsidR="00A77B3E" w:rsidRDefault="00B16CCF">
            <w:pPr>
              <w:spacing w:before="5pt"/>
              <w:rPr>
                <w:color w:val="000000"/>
                <w:sz w:val="20"/>
              </w:rPr>
            </w:pPr>
            <w:r>
              <w:rPr>
                <w:color w:val="000000"/>
                <w:sz w:val="20"/>
              </w:rPr>
              <w:t>RCO24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8AD431" w14:textId="77777777" w:rsidR="00A77B3E" w:rsidRDefault="00B16CCF">
            <w:pPr>
              <w:spacing w:before="5pt"/>
              <w:rPr>
                <w:color w:val="000000"/>
                <w:sz w:val="20"/>
              </w:rPr>
            </w:pPr>
            <w:r>
              <w:rPr>
                <w:color w:val="000000"/>
                <w:sz w:val="20"/>
              </w:rPr>
              <w:t>Naložbe v nove ali nadgrajene sisteme za spremljanje nesreč ter za pripravljenost, opozarjanje in odzivanje na naravne nesreče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FB4A3F" w14:textId="77777777" w:rsidR="00A77B3E" w:rsidRDefault="00B16CCF">
            <w:pPr>
              <w:spacing w:before="5pt"/>
              <w:rPr>
                <w:color w:val="000000"/>
                <w:sz w:val="20"/>
              </w:rPr>
            </w:pPr>
            <w:r>
              <w:rPr>
                <w:color w:val="000000"/>
                <w:sz w:val="20"/>
              </w:rPr>
              <w:t>euro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5C22D5" w14:textId="77777777" w:rsidR="00A77B3E" w:rsidRDefault="00B16CCF">
            <w:pPr>
              <w:spacing w:before="5pt"/>
              <w:jc w:val="end"/>
              <w:rPr>
                <w:color w:val="000000"/>
                <w:sz w:val="20"/>
              </w:rPr>
            </w:pPr>
            <w:r>
              <w:rPr>
                <w:color w:val="000000"/>
                <w:sz w:val="20"/>
              </w:rPr>
              <w:t>1.300.000,00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B13E51" w14:textId="77777777" w:rsidR="00A77B3E" w:rsidRDefault="00B16CCF">
            <w:pPr>
              <w:spacing w:before="5pt"/>
              <w:jc w:val="end"/>
              <w:rPr>
                <w:color w:val="000000"/>
                <w:sz w:val="20"/>
              </w:rPr>
            </w:pPr>
            <w:r>
              <w:rPr>
                <w:color w:val="000000"/>
                <w:sz w:val="20"/>
              </w:rPr>
              <w:t>24.900.000,00</w:t>
            </w:r>
          </w:p>
        </w:tc>
      </w:tr>
      <w:tr w:rsidR="00823317" w14:paraId="0643936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E5D036"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716FA0" w14:textId="77777777" w:rsidR="00A77B3E" w:rsidRDefault="00B16CCF">
            <w:pPr>
              <w:spacing w:before="5pt"/>
              <w:rPr>
                <w:color w:val="000000"/>
                <w:sz w:val="20"/>
              </w:rPr>
            </w:pPr>
            <w:r>
              <w:rPr>
                <w:color w:val="000000"/>
                <w:sz w:val="20"/>
              </w:rPr>
              <w:t>RSO2.4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D415F5" w14:textId="77777777" w:rsidR="00A77B3E" w:rsidRDefault="00B16CCF">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5B20C3"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049AA0" w14:textId="77777777" w:rsidR="00A77B3E" w:rsidRDefault="00B16CCF">
            <w:pPr>
              <w:spacing w:before="5pt"/>
              <w:rPr>
                <w:color w:val="000000"/>
                <w:sz w:val="20"/>
              </w:rPr>
            </w:pPr>
            <w:r>
              <w:rPr>
                <w:color w:val="000000"/>
                <w:sz w:val="20"/>
              </w:rPr>
              <w:t>RCO25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ACD866" w14:textId="77777777" w:rsidR="00A77B3E" w:rsidRDefault="00B16CCF">
            <w:pPr>
              <w:spacing w:before="5pt"/>
              <w:rPr>
                <w:color w:val="000000"/>
                <w:sz w:val="20"/>
              </w:rPr>
            </w:pPr>
            <w:r>
              <w:rPr>
                <w:color w:val="000000"/>
                <w:sz w:val="20"/>
              </w:rPr>
              <w:t>Novozgrajena ali utrjena zaščita pred poplavami za obalni pas, rečne bregove in bregove jezer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F686AA" w14:textId="77777777" w:rsidR="00A77B3E" w:rsidRDefault="00B16CCF">
            <w:pPr>
              <w:spacing w:before="5pt"/>
              <w:rPr>
                <w:color w:val="000000"/>
                <w:sz w:val="20"/>
              </w:rPr>
            </w:pPr>
            <w:r>
              <w:rPr>
                <w:color w:val="000000"/>
                <w:sz w:val="20"/>
              </w:rPr>
              <w:t>km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98F7C7"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668D31" w14:textId="77777777" w:rsidR="00A77B3E" w:rsidRDefault="00B16CCF">
            <w:pPr>
              <w:spacing w:before="5pt"/>
              <w:jc w:val="end"/>
              <w:rPr>
                <w:color w:val="000000"/>
                <w:sz w:val="20"/>
              </w:rPr>
            </w:pPr>
            <w:r>
              <w:rPr>
                <w:color w:val="000000"/>
                <w:sz w:val="20"/>
              </w:rPr>
              <w:t>11,00</w:t>
            </w:r>
          </w:p>
        </w:tc>
      </w:tr>
      <w:tr w:rsidR="00823317" w14:paraId="4E0A4F1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7AA0F8"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7E4008" w14:textId="77777777" w:rsidR="00A77B3E" w:rsidRDefault="00B16CCF">
            <w:pPr>
              <w:spacing w:before="5pt"/>
              <w:rPr>
                <w:color w:val="000000"/>
                <w:sz w:val="20"/>
              </w:rPr>
            </w:pPr>
            <w:r>
              <w:rPr>
                <w:color w:val="000000"/>
                <w:sz w:val="20"/>
              </w:rPr>
              <w:t>RSO2.4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6B4900" w14:textId="77777777" w:rsidR="00A77B3E" w:rsidRDefault="00B16CCF">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DC5385"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7D234F" w14:textId="77777777" w:rsidR="00A77B3E" w:rsidRDefault="00B16CCF">
            <w:pPr>
              <w:spacing w:before="5pt"/>
              <w:rPr>
                <w:color w:val="000000"/>
                <w:sz w:val="20"/>
              </w:rPr>
            </w:pPr>
            <w:r>
              <w:rPr>
                <w:color w:val="000000"/>
                <w:sz w:val="20"/>
              </w:rPr>
              <w:t>RCO26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C04944" w14:textId="77777777" w:rsidR="00A77B3E" w:rsidRDefault="00B16CCF">
            <w:pPr>
              <w:spacing w:before="5pt"/>
              <w:rPr>
                <w:color w:val="000000"/>
                <w:sz w:val="20"/>
              </w:rPr>
            </w:pPr>
            <w:r>
              <w:rPr>
                <w:color w:val="000000"/>
                <w:sz w:val="20"/>
              </w:rPr>
              <w:t>Zgrajena ali nadgrajena zelena infrastruktura za prilagajanje podnebnim spremembam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C79F0E" w14:textId="77777777" w:rsidR="00A77B3E" w:rsidRDefault="00B16CCF">
            <w:pPr>
              <w:spacing w:before="5pt"/>
              <w:rPr>
                <w:color w:val="000000"/>
                <w:sz w:val="20"/>
              </w:rPr>
            </w:pPr>
            <w:r>
              <w:rPr>
                <w:color w:val="000000"/>
                <w:sz w:val="20"/>
              </w:rPr>
              <w:t>hektari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2D9E8C"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283F1F" w14:textId="77777777" w:rsidR="00A77B3E" w:rsidRDefault="00B16CCF">
            <w:pPr>
              <w:spacing w:before="5pt"/>
              <w:jc w:val="end"/>
              <w:rPr>
                <w:color w:val="000000"/>
                <w:sz w:val="20"/>
              </w:rPr>
            </w:pPr>
            <w:r>
              <w:rPr>
                <w:color w:val="000000"/>
                <w:sz w:val="20"/>
              </w:rPr>
              <w:t>126.690,00</w:t>
            </w:r>
          </w:p>
        </w:tc>
      </w:tr>
      <w:tr w:rsidR="00823317" w14:paraId="759192D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8831F6"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F1B510" w14:textId="77777777" w:rsidR="00A77B3E" w:rsidRDefault="00B16CCF">
            <w:pPr>
              <w:spacing w:before="5pt"/>
              <w:rPr>
                <w:color w:val="000000"/>
                <w:sz w:val="20"/>
              </w:rPr>
            </w:pPr>
            <w:r>
              <w:rPr>
                <w:color w:val="000000"/>
                <w:sz w:val="20"/>
              </w:rPr>
              <w:t>RSO2.4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BBE2AE" w14:textId="77777777" w:rsidR="00A77B3E" w:rsidRDefault="00B16CCF">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F40C12"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7FE6BB" w14:textId="77777777" w:rsidR="00A77B3E" w:rsidRDefault="00B16CCF">
            <w:pPr>
              <w:spacing w:before="5pt"/>
              <w:rPr>
                <w:color w:val="000000"/>
                <w:sz w:val="20"/>
              </w:rPr>
            </w:pPr>
            <w:r>
              <w:rPr>
                <w:color w:val="000000"/>
                <w:sz w:val="20"/>
              </w:rPr>
              <w:t>RCO28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C365C1" w14:textId="77777777" w:rsidR="00A77B3E" w:rsidRDefault="00B16CCF">
            <w:pPr>
              <w:spacing w:before="5pt"/>
              <w:rPr>
                <w:color w:val="000000"/>
                <w:sz w:val="20"/>
              </w:rPr>
            </w:pPr>
            <w:r>
              <w:rPr>
                <w:color w:val="000000"/>
                <w:sz w:val="20"/>
              </w:rPr>
              <w:t>Območje, na katerem se izvajajo zaščitni ukrepi proti požarom v naravi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238471" w14:textId="77777777" w:rsidR="00A77B3E" w:rsidRDefault="00B16CCF">
            <w:pPr>
              <w:spacing w:before="5pt"/>
              <w:rPr>
                <w:color w:val="000000"/>
                <w:sz w:val="20"/>
              </w:rPr>
            </w:pPr>
            <w:r>
              <w:rPr>
                <w:color w:val="000000"/>
                <w:sz w:val="20"/>
              </w:rPr>
              <w:t>hektari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9CA909"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0D8AC5" w14:textId="77777777" w:rsidR="00A77B3E" w:rsidRDefault="00B16CCF">
            <w:pPr>
              <w:spacing w:before="5pt"/>
              <w:jc w:val="end"/>
              <w:rPr>
                <w:color w:val="000000"/>
                <w:sz w:val="20"/>
              </w:rPr>
            </w:pPr>
            <w:r>
              <w:rPr>
                <w:color w:val="000000"/>
                <w:sz w:val="20"/>
              </w:rPr>
              <w:t>128.827,00</w:t>
            </w:r>
          </w:p>
        </w:tc>
      </w:tr>
      <w:tr w:rsidR="00823317" w14:paraId="720FABA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BC0651"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4B5022" w14:textId="77777777" w:rsidR="00A77B3E" w:rsidRDefault="00B16CCF">
            <w:pPr>
              <w:spacing w:before="5pt"/>
              <w:rPr>
                <w:color w:val="000000"/>
                <w:sz w:val="20"/>
              </w:rPr>
            </w:pPr>
            <w:r>
              <w:rPr>
                <w:color w:val="000000"/>
                <w:sz w:val="20"/>
              </w:rPr>
              <w:t>RSO2.4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4DE1D2" w14:textId="77777777" w:rsidR="00A77B3E" w:rsidRDefault="00B16CCF">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DD1B57"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6EC195" w14:textId="77777777" w:rsidR="00A77B3E" w:rsidRDefault="00B16CCF">
            <w:pPr>
              <w:spacing w:before="5pt"/>
              <w:rPr>
                <w:color w:val="000000"/>
                <w:sz w:val="20"/>
              </w:rPr>
            </w:pPr>
            <w:r>
              <w:rPr>
                <w:color w:val="000000"/>
                <w:sz w:val="20"/>
              </w:rPr>
              <w:t>RCO121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0536F7" w14:textId="77777777" w:rsidR="00A77B3E" w:rsidRDefault="00B16CCF">
            <w:pPr>
              <w:spacing w:before="5pt"/>
              <w:rPr>
                <w:color w:val="000000"/>
                <w:sz w:val="20"/>
              </w:rPr>
            </w:pPr>
            <w:r>
              <w:rPr>
                <w:color w:val="000000"/>
                <w:sz w:val="20"/>
              </w:rPr>
              <w:t>Območje, na katerem se izvajajo zaščitni ukrepi proti naravnim nesrečam, ki so povezane s podnebjem (razen poplav in gozdnih požarov)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1A604B" w14:textId="77777777" w:rsidR="00A77B3E" w:rsidRDefault="00B16CCF">
            <w:pPr>
              <w:spacing w:before="5pt"/>
              <w:rPr>
                <w:color w:val="000000"/>
                <w:sz w:val="20"/>
              </w:rPr>
            </w:pPr>
            <w:r>
              <w:rPr>
                <w:color w:val="000000"/>
                <w:sz w:val="20"/>
              </w:rPr>
              <w:t>hektari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ED10CA"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A9CC4F" w14:textId="77777777" w:rsidR="00A77B3E" w:rsidRDefault="00B16CCF">
            <w:pPr>
              <w:spacing w:before="5pt"/>
              <w:jc w:val="end"/>
              <w:rPr>
                <w:color w:val="000000"/>
                <w:sz w:val="20"/>
              </w:rPr>
            </w:pPr>
            <w:r>
              <w:rPr>
                <w:color w:val="000000"/>
                <w:sz w:val="20"/>
              </w:rPr>
              <w:t>126.690,00</w:t>
            </w:r>
          </w:p>
        </w:tc>
      </w:tr>
      <w:tr w:rsidR="00823317" w14:paraId="1ED0C1B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38B494" w14:textId="77777777" w:rsidR="00A77B3E" w:rsidRDefault="00B16CCF">
            <w:pPr>
              <w:spacing w:before="5pt"/>
              <w:rPr>
                <w:color w:val="000000"/>
                <w:sz w:val="20"/>
              </w:rPr>
            </w:pPr>
            <w:r>
              <w:rPr>
                <w:color w:val="000000"/>
                <w:sz w:val="20"/>
              </w:rPr>
              <w:lastRenderedPageBreak/>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74714D" w14:textId="77777777" w:rsidR="00A77B3E" w:rsidRDefault="00B16CCF">
            <w:pPr>
              <w:spacing w:before="5pt"/>
              <w:rPr>
                <w:color w:val="000000"/>
                <w:sz w:val="20"/>
              </w:rPr>
            </w:pPr>
            <w:r>
              <w:rPr>
                <w:color w:val="000000"/>
                <w:sz w:val="20"/>
              </w:rPr>
              <w:t>RSO2.4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2B6127" w14:textId="77777777" w:rsidR="00A77B3E" w:rsidRDefault="00B16CCF">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3AE843"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ED3D09"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4B7549" w14:textId="77777777" w:rsidR="00A77B3E" w:rsidRDefault="00B16CCF">
            <w:pPr>
              <w:spacing w:before="5pt"/>
              <w:rPr>
                <w:color w:val="000000"/>
                <w:sz w:val="20"/>
              </w:rPr>
            </w:pPr>
            <w:r>
              <w:rPr>
                <w:color w:val="000000"/>
                <w:sz w:val="20"/>
              </w:rPr>
              <w:t>Območje, na katerem se izvajajo zaščitni ukrepi proti poplavam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DF4478" w14:textId="77777777" w:rsidR="00A77B3E" w:rsidRDefault="00B16CCF">
            <w:pPr>
              <w:spacing w:before="5pt"/>
              <w:rPr>
                <w:color w:val="000000"/>
                <w:sz w:val="20"/>
              </w:rPr>
            </w:pPr>
            <w:r>
              <w:rPr>
                <w:color w:val="000000"/>
                <w:sz w:val="20"/>
              </w:rPr>
              <w:t>hektar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5265FF" w14:textId="77777777" w:rsidR="00A77B3E" w:rsidRDefault="00B16CCF">
            <w:pPr>
              <w:spacing w:before="5pt"/>
              <w:jc w:val="end"/>
              <w:rPr>
                <w:color w:val="000000"/>
                <w:sz w:val="20"/>
              </w:rPr>
            </w:pPr>
            <w:r>
              <w:rPr>
                <w:color w:val="000000"/>
                <w:sz w:val="20"/>
              </w:rPr>
              <w:t>2.820,00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1F962A" w14:textId="77777777" w:rsidR="00A77B3E" w:rsidRDefault="00B16CCF">
            <w:pPr>
              <w:spacing w:before="5pt"/>
              <w:jc w:val="end"/>
              <w:rPr>
                <w:color w:val="000000"/>
                <w:sz w:val="20"/>
              </w:rPr>
            </w:pPr>
            <w:r>
              <w:rPr>
                <w:color w:val="000000"/>
                <w:sz w:val="20"/>
              </w:rPr>
              <w:t>4.700,00</w:t>
            </w:r>
          </w:p>
        </w:tc>
      </w:tr>
    </w:tbl>
    <w:p w14:paraId="49A572DC" w14:textId="77777777" w:rsidR="00A77B3E" w:rsidRDefault="00A77B3E">
      <w:pPr>
        <w:spacing w:before="5pt"/>
        <w:rPr>
          <w:color w:val="000000"/>
          <w:sz w:val="20"/>
        </w:rPr>
      </w:pPr>
    </w:p>
    <w:p w14:paraId="6B343DC8" w14:textId="77777777" w:rsidR="00A77B3E" w:rsidRDefault="00B16CCF">
      <w:pPr>
        <w:spacing w:before="5pt"/>
        <w:rPr>
          <w:color w:val="000000"/>
          <w:sz w:val="0"/>
        </w:rPr>
      </w:pPr>
      <w:r>
        <w:rPr>
          <w:color w:val="000000"/>
        </w:rPr>
        <w:t>Sklic: člen 22(3)(d)(ii) uredbe o skupnih določbah</w:t>
      </w:r>
    </w:p>
    <w:p w14:paraId="4E331605" w14:textId="77777777" w:rsidR="00A77B3E" w:rsidRDefault="00B16CCF">
      <w:pPr>
        <w:pStyle w:val="Naslov5"/>
        <w:spacing w:before="5pt" w:after="0pt"/>
        <w:rPr>
          <w:b w:val="0"/>
          <w:i w:val="0"/>
          <w:color w:val="000000"/>
          <w:sz w:val="24"/>
        </w:rPr>
      </w:pPr>
      <w:bookmarkStart w:id="239" w:name="_Toc256001000"/>
      <w:r>
        <w:rPr>
          <w:b w:val="0"/>
          <w:i w:val="0"/>
          <w:color w:val="000000"/>
          <w:sz w:val="24"/>
        </w:rPr>
        <w:t>Tabela 3: Kazalniki rezultatov</w:t>
      </w:r>
      <w:bookmarkEnd w:id="239"/>
    </w:p>
    <w:p w14:paraId="18E09B1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74"/>
        <w:gridCol w:w="1176"/>
        <w:gridCol w:w="1247"/>
        <w:gridCol w:w="1219"/>
        <w:gridCol w:w="1415"/>
        <w:gridCol w:w="1275"/>
        <w:gridCol w:w="910"/>
        <w:gridCol w:w="1247"/>
        <w:gridCol w:w="1316"/>
        <w:gridCol w:w="1289"/>
        <w:gridCol w:w="1332"/>
        <w:gridCol w:w="1472"/>
      </w:tblGrid>
      <w:tr w:rsidR="00823317" w14:paraId="68FA706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AB13C0"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21AEC0"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39DB49"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69E49C7"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810AFF"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8F98DA"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E7B038"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605585" w14:textId="77777777" w:rsidR="00A77B3E" w:rsidRDefault="00B16CCF">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BDAEDA" w14:textId="77777777" w:rsidR="00A77B3E" w:rsidRDefault="00B16CCF">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E9AB60" w14:textId="77777777" w:rsidR="00A77B3E" w:rsidRDefault="00B16CCF">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6054F9" w14:textId="77777777" w:rsidR="00A77B3E" w:rsidRDefault="00B16CCF">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A898CB" w14:textId="77777777" w:rsidR="00A77B3E" w:rsidRDefault="00B16CCF">
            <w:pPr>
              <w:spacing w:before="5pt"/>
              <w:jc w:val="center"/>
              <w:rPr>
                <w:color w:val="000000"/>
                <w:sz w:val="20"/>
              </w:rPr>
            </w:pPr>
            <w:r>
              <w:rPr>
                <w:color w:val="000000"/>
                <w:sz w:val="20"/>
              </w:rPr>
              <w:t>Opombe</w:t>
            </w:r>
          </w:p>
        </w:tc>
      </w:tr>
      <w:tr w:rsidR="00823317" w14:paraId="4D42BEF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B6CBEC"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BA18E5" w14:textId="77777777" w:rsidR="00A77B3E" w:rsidRDefault="00B16CCF">
            <w:pPr>
              <w:spacing w:before="5pt"/>
              <w:rPr>
                <w:color w:val="000000"/>
                <w:sz w:val="20"/>
              </w:rPr>
            </w:pPr>
            <w:r>
              <w:rPr>
                <w:color w:val="000000"/>
                <w:sz w:val="20"/>
              </w:rPr>
              <w:t>RSO2.4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59BBD7" w14:textId="77777777" w:rsidR="00A77B3E" w:rsidRDefault="00B16CCF">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881F3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227858" w14:textId="77777777" w:rsidR="00A77B3E" w:rsidRDefault="00B16CCF">
            <w:pPr>
              <w:spacing w:before="5pt"/>
              <w:rPr>
                <w:color w:val="000000"/>
                <w:sz w:val="20"/>
              </w:rPr>
            </w:pPr>
            <w:r>
              <w:rPr>
                <w:color w:val="000000"/>
                <w:sz w:val="20"/>
              </w:rPr>
              <w:t>RCR35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6F8902" w14:textId="77777777" w:rsidR="00A77B3E" w:rsidRDefault="00B16CCF">
            <w:pPr>
              <w:spacing w:before="5pt"/>
              <w:rPr>
                <w:color w:val="000000"/>
                <w:sz w:val="20"/>
              </w:rPr>
            </w:pPr>
            <w:r>
              <w:rPr>
                <w:color w:val="000000"/>
                <w:sz w:val="20"/>
              </w:rPr>
              <w:t>Prebivalci, deležni zaščitnih ukrepov proti poplavami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E7DEAE" w14:textId="77777777" w:rsidR="00A77B3E" w:rsidRDefault="00B16CCF">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568197"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B66986" w14:textId="77777777" w:rsidR="00A77B3E" w:rsidRDefault="00B16CCF">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FB3A8E" w14:textId="77777777" w:rsidR="00A77B3E" w:rsidRDefault="00B16CCF">
            <w:pPr>
              <w:spacing w:before="5pt"/>
              <w:jc w:val="end"/>
              <w:rPr>
                <w:color w:val="000000"/>
                <w:sz w:val="20"/>
              </w:rPr>
            </w:pPr>
            <w:r>
              <w:rPr>
                <w:color w:val="000000"/>
                <w:sz w:val="20"/>
              </w:rPr>
              <w:t>9.540,00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02439B" w14:textId="77777777" w:rsidR="00A77B3E" w:rsidRDefault="00B16CCF">
            <w:pPr>
              <w:spacing w:before="5pt"/>
              <w:rPr>
                <w:color w:val="000000"/>
                <w:sz w:val="20"/>
              </w:rPr>
            </w:pPr>
            <w:r>
              <w:rPr>
                <w:color w:val="000000"/>
                <w:sz w:val="20"/>
              </w:rPr>
              <w:t>Predhodna ocena poplavne ogroženosti Republike Slovenije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E89256" w14:textId="77777777" w:rsidR="00A77B3E" w:rsidRDefault="00B16CCF">
            <w:pPr>
              <w:spacing w:before="5pt"/>
              <w:rPr>
                <w:color w:val="000000"/>
                <w:sz w:val="20"/>
              </w:rPr>
            </w:pPr>
            <w:r>
              <w:rPr>
                <w:color w:val="000000"/>
                <w:sz w:val="20"/>
              </w:rPr>
              <w:t>Znižanje je izvedeno na podlagi rezultatov celovite HHŠ za Vipavo, kjer je bilo na podlagi podrobnejših podatkov in analiz ugotovljeno, da j poplavno ogroženih manj prebivalcev glede na obseg načrtovanih investicij.</w:t>
            </w:r>
          </w:p>
        </w:tc>
      </w:tr>
      <w:tr w:rsidR="00823317" w14:paraId="0C0DA22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A5D045"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33B12C" w14:textId="77777777" w:rsidR="00A77B3E" w:rsidRDefault="00B16CCF">
            <w:pPr>
              <w:spacing w:before="5pt"/>
              <w:rPr>
                <w:color w:val="000000"/>
                <w:sz w:val="20"/>
              </w:rPr>
            </w:pPr>
            <w:r>
              <w:rPr>
                <w:color w:val="000000"/>
                <w:sz w:val="20"/>
              </w:rPr>
              <w:t>RSO2.4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20B11D" w14:textId="77777777" w:rsidR="00A77B3E" w:rsidRDefault="00B16CCF">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376DFE"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83758E" w14:textId="77777777" w:rsidR="00A77B3E" w:rsidRDefault="00B16CCF">
            <w:pPr>
              <w:spacing w:before="5pt"/>
              <w:rPr>
                <w:color w:val="000000"/>
                <w:sz w:val="20"/>
              </w:rPr>
            </w:pPr>
            <w:r>
              <w:rPr>
                <w:color w:val="000000"/>
                <w:sz w:val="20"/>
              </w:rPr>
              <w:t>RCR36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41789E" w14:textId="77777777" w:rsidR="00A77B3E" w:rsidRDefault="00B16CCF">
            <w:pPr>
              <w:spacing w:before="5pt"/>
              <w:rPr>
                <w:color w:val="000000"/>
                <w:sz w:val="20"/>
              </w:rPr>
            </w:pPr>
            <w:r>
              <w:rPr>
                <w:color w:val="000000"/>
                <w:sz w:val="20"/>
              </w:rPr>
              <w:t>Prebivalci, deležni zaščitnih ukrepov proti požarom v naravi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BD0970" w14:textId="77777777" w:rsidR="00A77B3E" w:rsidRDefault="00B16CCF">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1FBE77"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DABE95" w14:textId="77777777" w:rsidR="00A77B3E" w:rsidRDefault="00B16CCF">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CE54CA" w14:textId="77777777" w:rsidR="00A77B3E" w:rsidRDefault="00B16CCF">
            <w:pPr>
              <w:spacing w:before="5pt"/>
              <w:jc w:val="end"/>
              <w:rPr>
                <w:color w:val="000000"/>
                <w:sz w:val="20"/>
              </w:rPr>
            </w:pPr>
            <w:r>
              <w:rPr>
                <w:color w:val="000000"/>
                <w:sz w:val="20"/>
              </w:rPr>
              <w:t>209.884,00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978A33" w14:textId="77777777" w:rsidR="00A77B3E" w:rsidRDefault="00B16CCF">
            <w:pPr>
              <w:spacing w:before="5pt"/>
              <w:rPr>
                <w:color w:val="000000"/>
                <w:sz w:val="20"/>
              </w:rPr>
            </w:pPr>
            <w:r>
              <w:rPr>
                <w:color w:val="000000"/>
                <w:sz w:val="20"/>
              </w:rPr>
              <w:t>Državna ocena tveganj za nesreče (verzija 3.0)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9D7E93" w14:textId="77777777" w:rsidR="00A77B3E" w:rsidRDefault="00B16CCF">
            <w:pPr>
              <w:spacing w:before="5pt"/>
              <w:rPr>
                <w:color w:val="000000"/>
                <w:sz w:val="20"/>
              </w:rPr>
            </w:pPr>
            <w:r>
              <w:rPr>
                <w:color w:val="000000"/>
                <w:sz w:val="20"/>
              </w:rPr>
              <w:t>izvzeti dvakrat šteti prebivalci</w:t>
            </w:r>
          </w:p>
        </w:tc>
      </w:tr>
      <w:tr w:rsidR="00823317" w14:paraId="0A1898A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124FFE"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9381FE" w14:textId="77777777" w:rsidR="00A77B3E" w:rsidRDefault="00B16CCF">
            <w:pPr>
              <w:spacing w:before="5pt"/>
              <w:rPr>
                <w:color w:val="000000"/>
                <w:sz w:val="20"/>
              </w:rPr>
            </w:pPr>
            <w:r>
              <w:rPr>
                <w:color w:val="000000"/>
                <w:sz w:val="20"/>
              </w:rPr>
              <w:t>RSO2.4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EEA207" w14:textId="77777777" w:rsidR="00A77B3E" w:rsidRDefault="00B16CCF">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CAAC3B"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3E0410" w14:textId="77777777" w:rsidR="00A77B3E" w:rsidRDefault="00B16CCF">
            <w:pPr>
              <w:spacing w:before="5pt"/>
              <w:rPr>
                <w:color w:val="000000"/>
                <w:sz w:val="20"/>
              </w:rPr>
            </w:pPr>
            <w:r>
              <w:rPr>
                <w:color w:val="000000"/>
                <w:sz w:val="20"/>
              </w:rPr>
              <w:t>RCR37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2EAF3B" w14:textId="77777777" w:rsidR="00A77B3E" w:rsidRDefault="00B16CCF">
            <w:pPr>
              <w:spacing w:before="5pt"/>
              <w:rPr>
                <w:color w:val="000000"/>
                <w:sz w:val="20"/>
              </w:rPr>
            </w:pPr>
            <w:r>
              <w:rPr>
                <w:color w:val="000000"/>
                <w:sz w:val="20"/>
              </w:rPr>
              <w:t xml:space="preserve">Prebivalci, deležni zaščitnih ukrepov proti naravnim nesrečam, </w:t>
            </w:r>
            <w:r>
              <w:rPr>
                <w:color w:val="000000"/>
                <w:sz w:val="20"/>
              </w:rPr>
              <w:lastRenderedPageBreak/>
              <w:t>povezanim s podnebjem (razen poplav ali požarov v naravi)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0546F9" w14:textId="77777777" w:rsidR="00A77B3E" w:rsidRDefault="00B16CCF">
            <w:pPr>
              <w:spacing w:before="5pt"/>
              <w:rPr>
                <w:color w:val="000000"/>
                <w:sz w:val="20"/>
              </w:rPr>
            </w:pPr>
            <w:r>
              <w:rPr>
                <w:color w:val="000000"/>
                <w:sz w:val="20"/>
              </w:rPr>
              <w:lastRenderedPageBreak/>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807E73"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7FB9E6" w14:textId="77777777" w:rsidR="00A77B3E" w:rsidRDefault="00B16CCF">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0B8845" w14:textId="77777777" w:rsidR="00A77B3E" w:rsidRDefault="00B16CCF">
            <w:pPr>
              <w:spacing w:before="5pt"/>
              <w:jc w:val="end"/>
              <w:rPr>
                <w:color w:val="000000"/>
                <w:sz w:val="20"/>
              </w:rPr>
            </w:pPr>
            <w:r>
              <w:rPr>
                <w:color w:val="000000"/>
                <w:sz w:val="20"/>
              </w:rPr>
              <w:t>45.943,00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777F21" w14:textId="77777777" w:rsidR="00A77B3E" w:rsidRDefault="00B16CCF">
            <w:pPr>
              <w:spacing w:before="5pt"/>
              <w:rPr>
                <w:color w:val="000000"/>
                <w:sz w:val="20"/>
              </w:rPr>
            </w:pPr>
            <w:r>
              <w:rPr>
                <w:color w:val="000000"/>
                <w:sz w:val="20"/>
              </w:rPr>
              <w:t>Državna ocena tveganj za nesreče (verzija 3.0)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54FA71" w14:textId="77777777" w:rsidR="00A77B3E" w:rsidRDefault="00B16CCF">
            <w:pPr>
              <w:spacing w:before="5pt"/>
              <w:rPr>
                <w:color w:val="000000"/>
                <w:sz w:val="20"/>
              </w:rPr>
            </w:pPr>
            <w:r>
              <w:rPr>
                <w:color w:val="000000"/>
                <w:sz w:val="20"/>
              </w:rPr>
              <w:t>Prebivalci deležni zaščitnih ukrepov za žled in ujme</w:t>
            </w:r>
          </w:p>
        </w:tc>
      </w:tr>
    </w:tbl>
    <w:p w14:paraId="6CA4B261" w14:textId="77777777" w:rsidR="00A77B3E" w:rsidRDefault="00A77B3E">
      <w:pPr>
        <w:spacing w:before="5pt"/>
        <w:rPr>
          <w:color w:val="000000"/>
          <w:sz w:val="20"/>
        </w:rPr>
      </w:pPr>
    </w:p>
    <w:p w14:paraId="055C152C" w14:textId="77777777" w:rsidR="00A77B3E" w:rsidRDefault="00B16CCF">
      <w:pPr>
        <w:pStyle w:val="Naslov4"/>
        <w:spacing w:before="5pt" w:after="0pt"/>
        <w:rPr>
          <w:b w:val="0"/>
          <w:color w:val="000000"/>
          <w:sz w:val="24"/>
        </w:rPr>
      </w:pPr>
      <w:bookmarkStart w:id="240" w:name="_Toc256001001"/>
      <w:r>
        <w:rPr>
          <w:b w:val="0"/>
          <w:color w:val="000000"/>
          <w:sz w:val="24"/>
        </w:rPr>
        <w:t>2.1.1.1.3. Okvirna razčlenitev načrtovanih sredstev (EU) glede na vrsto ukrepa</w:t>
      </w:r>
      <w:bookmarkEnd w:id="240"/>
    </w:p>
    <w:p w14:paraId="38A4FC0C" w14:textId="77777777" w:rsidR="00A77B3E" w:rsidRDefault="00A77B3E">
      <w:pPr>
        <w:spacing w:before="5pt"/>
        <w:rPr>
          <w:color w:val="000000"/>
          <w:sz w:val="0"/>
        </w:rPr>
      </w:pPr>
    </w:p>
    <w:p w14:paraId="2C6621A4" w14:textId="77777777" w:rsidR="00A77B3E" w:rsidRDefault="00B16CCF">
      <w:pPr>
        <w:spacing w:before="5pt"/>
        <w:rPr>
          <w:color w:val="000000"/>
          <w:sz w:val="0"/>
        </w:rPr>
      </w:pPr>
      <w:r>
        <w:rPr>
          <w:color w:val="000000"/>
        </w:rPr>
        <w:t>Sklic: člen 22(3)(d)(viii) uredbe o skupnih določbah</w:t>
      </w:r>
    </w:p>
    <w:p w14:paraId="65255CC7" w14:textId="77777777" w:rsidR="00A77B3E" w:rsidRDefault="00B16CCF">
      <w:pPr>
        <w:pStyle w:val="Naslov5"/>
        <w:spacing w:before="5pt" w:after="0pt"/>
        <w:rPr>
          <w:b w:val="0"/>
          <w:i w:val="0"/>
          <w:color w:val="000000"/>
          <w:sz w:val="24"/>
        </w:rPr>
      </w:pPr>
      <w:bookmarkStart w:id="241" w:name="_Toc256001002"/>
      <w:r>
        <w:rPr>
          <w:b w:val="0"/>
          <w:i w:val="0"/>
          <w:color w:val="000000"/>
          <w:sz w:val="24"/>
        </w:rPr>
        <w:t>Tabela 4: Razsežnost 1 – področje ukrepanja</w:t>
      </w:r>
      <w:bookmarkEnd w:id="241"/>
    </w:p>
    <w:p w14:paraId="6565341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346"/>
        <w:gridCol w:w="2164"/>
        <w:gridCol w:w="2294"/>
        <w:gridCol w:w="2243"/>
        <w:gridCol w:w="3173"/>
        <w:gridCol w:w="2952"/>
      </w:tblGrid>
      <w:tr w:rsidR="00823317" w14:paraId="4F12B07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8BD1C8"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FBE2C9"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38200C"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323CE9"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57743C"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13077B" w14:textId="77777777" w:rsidR="00A77B3E" w:rsidRDefault="00B16CCF">
            <w:pPr>
              <w:spacing w:before="5pt"/>
              <w:jc w:val="center"/>
              <w:rPr>
                <w:color w:val="000000"/>
                <w:sz w:val="20"/>
              </w:rPr>
            </w:pPr>
            <w:r>
              <w:rPr>
                <w:color w:val="000000"/>
                <w:sz w:val="20"/>
              </w:rPr>
              <w:t>Znesek (v EUR)</w:t>
            </w:r>
          </w:p>
        </w:tc>
      </w:tr>
      <w:tr w:rsidR="00823317" w14:paraId="2619C16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0849E1"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06FA42" w14:textId="77777777" w:rsidR="00A77B3E" w:rsidRDefault="00B16CCF">
            <w:pPr>
              <w:spacing w:before="5pt"/>
              <w:rPr>
                <w:color w:val="000000"/>
                <w:sz w:val="20"/>
              </w:rPr>
            </w:pPr>
            <w:r>
              <w:rPr>
                <w:color w:val="000000"/>
                <w:sz w:val="20"/>
              </w:rPr>
              <w:t>RSO2.4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BB6E53" w14:textId="77777777" w:rsidR="00A77B3E" w:rsidRDefault="00B16CCF">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843067"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41DFD8" w14:textId="77777777" w:rsidR="00A77B3E" w:rsidRDefault="00B16CCF">
            <w:pPr>
              <w:spacing w:before="5pt"/>
              <w:rPr>
                <w:color w:val="000000"/>
                <w:sz w:val="20"/>
              </w:rPr>
            </w:pPr>
            <w:r>
              <w:rPr>
                <w:color w:val="000000"/>
                <w:sz w:val="20"/>
              </w:rPr>
              <w:t>058. Ukrepi za prilagoditev podnebnim spremembam ter preprečevanje in upravljanje podnebnih tveganj: poplave in plazovi (vključno z ozaveščanjem, civilno zaščito in sistemi za obvladovanje nesreč, infrastrukturo in ekosistemskimi pristopi)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35480B" w14:textId="77777777" w:rsidR="00A77B3E" w:rsidRDefault="00B16CCF">
            <w:pPr>
              <w:spacing w:before="5pt"/>
              <w:jc w:val="end"/>
              <w:rPr>
                <w:color w:val="000000"/>
                <w:sz w:val="20"/>
              </w:rPr>
            </w:pPr>
            <w:r>
              <w:rPr>
                <w:color w:val="000000"/>
                <w:sz w:val="20"/>
              </w:rPr>
              <w:t>49.452.000,00</w:t>
            </w:r>
          </w:p>
        </w:tc>
      </w:tr>
      <w:tr w:rsidR="00823317" w14:paraId="1503A2F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1CC250"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575E9C" w14:textId="77777777" w:rsidR="00A77B3E" w:rsidRDefault="00B16CCF">
            <w:pPr>
              <w:spacing w:before="5pt"/>
              <w:rPr>
                <w:color w:val="000000"/>
                <w:sz w:val="20"/>
              </w:rPr>
            </w:pPr>
            <w:r>
              <w:rPr>
                <w:color w:val="000000"/>
                <w:sz w:val="20"/>
              </w:rPr>
              <w:t>RSO2.4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D587EC" w14:textId="77777777" w:rsidR="00A77B3E" w:rsidRDefault="00B16CCF">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CC4F4F"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0B7D16" w14:textId="77777777" w:rsidR="00A77B3E" w:rsidRDefault="00B16CCF">
            <w:pPr>
              <w:spacing w:before="5pt"/>
              <w:rPr>
                <w:color w:val="000000"/>
                <w:sz w:val="20"/>
              </w:rPr>
            </w:pPr>
            <w:r>
              <w:rPr>
                <w:color w:val="000000"/>
                <w:sz w:val="20"/>
              </w:rPr>
              <w:t>059. Ukrepi za prilagoditev podnebnim spremembam ter preprečevanje in upravljanje podnebnih tveganj: požari (vključno z ozaveščanjem, civilno zaščito in sistemi za obvladovanje nesreč, infrastrukturo in ekosistemskimi pristopi)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CAAAB4" w14:textId="77777777" w:rsidR="00A77B3E" w:rsidRDefault="00B16CCF">
            <w:pPr>
              <w:spacing w:before="5pt"/>
              <w:jc w:val="end"/>
              <w:rPr>
                <w:color w:val="000000"/>
                <w:sz w:val="20"/>
              </w:rPr>
            </w:pPr>
            <w:r>
              <w:rPr>
                <w:color w:val="000000"/>
                <w:sz w:val="20"/>
              </w:rPr>
              <w:t>19.317.000,00</w:t>
            </w:r>
          </w:p>
        </w:tc>
      </w:tr>
      <w:tr w:rsidR="00823317" w14:paraId="66FD3D2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8ED270"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2BF930" w14:textId="77777777" w:rsidR="00A77B3E" w:rsidRDefault="00B16CCF">
            <w:pPr>
              <w:spacing w:before="5pt"/>
              <w:rPr>
                <w:color w:val="000000"/>
                <w:sz w:val="20"/>
              </w:rPr>
            </w:pPr>
            <w:r>
              <w:rPr>
                <w:color w:val="000000"/>
                <w:sz w:val="20"/>
              </w:rPr>
              <w:t>RSO2.4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0392DC" w14:textId="77777777" w:rsidR="00A77B3E" w:rsidRDefault="00B16CCF">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25D564"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784482" w14:textId="77777777" w:rsidR="00A77B3E" w:rsidRDefault="00B16CCF">
            <w:pPr>
              <w:spacing w:before="5pt"/>
              <w:rPr>
                <w:color w:val="000000"/>
                <w:sz w:val="20"/>
              </w:rPr>
            </w:pPr>
            <w:r>
              <w:rPr>
                <w:color w:val="000000"/>
                <w:sz w:val="20"/>
              </w:rPr>
              <w:t>060. Ukrepi za prilagoditev podnebnim spremembam ter preprečevanje in upravljanje podnebnih tveganj: drugo, npr. neurja in suša (vključno z ozaveščanjem, civilno zaščito in sistemi za obvladovanje nesreč, infrastrukturo in ekosistemskimi pristopi)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E8E746" w14:textId="77777777" w:rsidR="00A77B3E" w:rsidRDefault="00B16CCF">
            <w:pPr>
              <w:spacing w:before="5pt"/>
              <w:jc w:val="end"/>
              <w:rPr>
                <w:color w:val="000000"/>
                <w:sz w:val="20"/>
              </w:rPr>
            </w:pPr>
            <w:r>
              <w:rPr>
                <w:color w:val="000000"/>
                <w:sz w:val="20"/>
              </w:rPr>
              <w:t>7.651.000,00</w:t>
            </w:r>
          </w:p>
        </w:tc>
      </w:tr>
      <w:tr w:rsidR="00823317" w14:paraId="337FF94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20AB89"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61657C" w14:textId="77777777" w:rsidR="00A77B3E" w:rsidRDefault="00B16CCF">
            <w:pPr>
              <w:spacing w:before="5pt"/>
              <w:rPr>
                <w:color w:val="000000"/>
                <w:sz w:val="20"/>
              </w:rPr>
            </w:pPr>
            <w:r>
              <w:rPr>
                <w:color w:val="000000"/>
                <w:sz w:val="20"/>
              </w:rPr>
              <w:t>RSO2.4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7F2129"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27F6F0"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393540"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BC867B" w14:textId="77777777" w:rsidR="00A77B3E" w:rsidRDefault="00B16CCF">
            <w:pPr>
              <w:spacing w:before="5pt"/>
              <w:jc w:val="end"/>
              <w:rPr>
                <w:color w:val="000000"/>
                <w:sz w:val="20"/>
              </w:rPr>
            </w:pPr>
            <w:r>
              <w:rPr>
                <w:color w:val="000000"/>
                <w:sz w:val="20"/>
              </w:rPr>
              <w:t>76.420.000,00</w:t>
            </w:r>
          </w:p>
        </w:tc>
      </w:tr>
    </w:tbl>
    <w:p w14:paraId="4F8B9F91" w14:textId="77777777" w:rsidR="00A77B3E" w:rsidRDefault="00A77B3E">
      <w:pPr>
        <w:spacing w:before="5pt"/>
        <w:rPr>
          <w:color w:val="000000"/>
          <w:sz w:val="20"/>
        </w:rPr>
      </w:pPr>
    </w:p>
    <w:p w14:paraId="3A75580A" w14:textId="77777777" w:rsidR="00A77B3E" w:rsidRDefault="00B16CCF">
      <w:pPr>
        <w:pStyle w:val="Naslov5"/>
        <w:spacing w:before="5pt" w:after="0pt"/>
        <w:rPr>
          <w:b w:val="0"/>
          <w:i w:val="0"/>
          <w:color w:val="000000"/>
          <w:sz w:val="24"/>
        </w:rPr>
      </w:pPr>
      <w:bookmarkStart w:id="242" w:name="_Toc256001003"/>
      <w:r>
        <w:rPr>
          <w:b w:val="0"/>
          <w:i w:val="0"/>
          <w:color w:val="000000"/>
          <w:sz w:val="24"/>
        </w:rPr>
        <w:lastRenderedPageBreak/>
        <w:t>Tabela 5: Razsežnost 2 – oblika financiranja</w:t>
      </w:r>
      <w:bookmarkEnd w:id="242"/>
    </w:p>
    <w:p w14:paraId="42BF53B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63"/>
        <w:gridCol w:w="2273"/>
        <w:gridCol w:w="2409"/>
        <w:gridCol w:w="2356"/>
        <w:gridCol w:w="2571"/>
        <w:gridCol w:w="3100"/>
      </w:tblGrid>
      <w:tr w:rsidR="00823317" w14:paraId="471C770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FB9CC0"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B9429A"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3CC10C"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C6BE8E"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D891538"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FFD1B2" w14:textId="77777777" w:rsidR="00A77B3E" w:rsidRDefault="00B16CCF">
            <w:pPr>
              <w:spacing w:before="5pt"/>
              <w:jc w:val="center"/>
              <w:rPr>
                <w:color w:val="000000"/>
                <w:sz w:val="20"/>
              </w:rPr>
            </w:pPr>
            <w:r>
              <w:rPr>
                <w:color w:val="000000"/>
                <w:sz w:val="20"/>
              </w:rPr>
              <w:t>Znesek (v EUR)</w:t>
            </w:r>
          </w:p>
        </w:tc>
      </w:tr>
      <w:tr w:rsidR="00823317" w14:paraId="284B356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0F0775"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9DEB06" w14:textId="77777777" w:rsidR="00A77B3E" w:rsidRDefault="00B16CCF">
            <w:pPr>
              <w:spacing w:before="5pt"/>
              <w:rPr>
                <w:color w:val="000000"/>
                <w:sz w:val="20"/>
              </w:rPr>
            </w:pPr>
            <w:r>
              <w:rPr>
                <w:color w:val="000000"/>
                <w:sz w:val="20"/>
              </w:rPr>
              <w:t>RSO2.4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4DFEA6" w14:textId="77777777" w:rsidR="00A77B3E" w:rsidRDefault="00B16CCF">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2F0C5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F9E809" w14:textId="77777777" w:rsidR="00A77B3E" w:rsidRDefault="00B16CCF">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47671B" w14:textId="77777777" w:rsidR="00A77B3E" w:rsidRDefault="00B16CCF">
            <w:pPr>
              <w:spacing w:before="5pt"/>
              <w:jc w:val="end"/>
              <w:rPr>
                <w:color w:val="000000"/>
                <w:sz w:val="20"/>
              </w:rPr>
            </w:pPr>
            <w:r>
              <w:rPr>
                <w:color w:val="000000"/>
                <w:sz w:val="20"/>
              </w:rPr>
              <w:t>76.420.000,00</w:t>
            </w:r>
          </w:p>
        </w:tc>
      </w:tr>
      <w:tr w:rsidR="00823317" w14:paraId="14B7251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4B710D"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3CDD02" w14:textId="77777777" w:rsidR="00A77B3E" w:rsidRDefault="00B16CCF">
            <w:pPr>
              <w:spacing w:before="5pt"/>
              <w:rPr>
                <w:color w:val="000000"/>
                <w:sz w:val="20"/>
              </w:rPr>
            </w:pPr>
            <w:r>
              <w:rPr>
                <w:color w:val="000000"/>
                <w:sz w:val="20"/>
              </w:rPr>
              <w:t>RSO2.4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F7750A"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51B5E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BC64B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71903B" w14:textId="77777777" w:rsidR="00A77B3E" w:rsidRDefault="00B16CCF">
            <w:pPr>
              <w:spacing w:before="5pt"/>
              <w:jc w:val="end"/>
              <w:rPr>
                <w:color w:val="000000"/>
                <w:sz w:val="20"/>
              </w:rPr>
            </w:pPr>
            <w:r>
              <w:rPr>
                <w:color w:val="000000"/>
                <w:sz w:val="20"/>
              </w:rPr>
              <w:t>76.420.000,00</w:t>
            </w:r>
          </w:p>
        </w:tc>
      </w:tr>
    </w:tbl>
    <w:p w14:paraId="5116AE5C" w14:textId="77777777" w:rsidR="00A77B3E" w:rsidRDefault="00A77B3E">
      <w:pPr>
        <w:spacing w:before="5pt"/>
        <w:rPr>
          <w:color w:val="000000"/>
          <w:sz w:val="20"/>
        </w:rPr>
      </w:pPr>
    </w:p>
    <w:p w14:paraId="6E2BD271" w14:textId="77777777" w:rsidR="00A77B3E" w:rsidRDefault="00B16CCF">
      <w:pPr>
        <w:pStyle w:val="Naslov5"/>
        <w:spacing w:before="5pt" w:after="0pt"/>
        <w:rPr>
          <w:b w:val="0"/>
          <w:i w:val="0"/>
          <w:color w:val="000000"/>
          <w:sz w:val="24"/>
        </w:rPr>
      </w:pPr>
      <w:bookmarkStart w:id="243" w:name="_Toc256001004"/>
      <w:r>
        <w:rPr>
          <w:b w:val="0"/>
          <w:i w:val="0"/>
          <w:color w:val="000000"/>
          <w:sz w:val="24"/>
        </w:rPr>
        <w:t>Tabela 6: Razsežnost 3 – mehanizem za ozemeljsko izvrševanje in ozemeljski pristop</w:t>
      </w:r>
      <w:bookmarkEnd w:id="243"/>
    </w:p>
    <w:p w14:paraId="22351CC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04"/>
        <w:gridCol w:w="2217"/>
        <w:gridCol w:w="2350"/>
        <w:gridCol w:w="2298"/>
        <w:gridCol w:w="2879"/>
        <w:gridCol w:w="3024"/>
      </w:tblGrid>
      <w:tr w:rsidR="00823317" w14:paraId="2E49001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9DF580"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E02F54"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847EB5"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FDD3C1"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B1391B"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E877CE" w14:textId="77777777" w:rsidR="00A77B3E" w:rsidRDefault="00B16CCF">
            <w:pPr>
              <w:spacing w:before="5pt"/>
              <w:jc w:val="center"/>
              <w:rPr>
                <w:color w:val="000000"/>
                <w:sz w:val="20"/>
              </w:rPr>
            </w:pPr>
            <w:r>
              <w:rPr>
                <w:color w:val="000000"/>
                <w:sz w:val="20"/>
              </w:rPr>
              <w:t>Znesek (v EUR)</w:t>
            </w:r>
          </w:p>
        </w:tc>
      </w:tr>
      <w:tr w:rsidR="00823317" w14:paraId="60C8AED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96300D"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BE428F" w14:textId="77777777" w:rsidR="00A77B3E" w:rsidRDefault="00B16CCF">
            <w:pPr>
              <w:spacing w:before="5pt"/>
              <w:rPr>
                <w:color w:val="000000"/>
                <w:sz w:val="20"/>
              </w:rPr>
            </w:pPr>
            <w:r>
              <w:rPr>
                <w:color w:val="000000"/>
                <w:sz w:val="20"/>
              </w:rPr>
              <w:t>RSO2.4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0C27A3" w14:textId="77777777" w:rsidR="00A77B3E" w:rsidRDefault="00B16CCF">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59813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BDFAA2" w14:textId="77777777" w:rsidR="00A77B3E" w:rsidRDefault="00B16CCF">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44FDC8" w14:textId="77777777" w:rsidR="00A77B3E" w:rsidRDefault="00B16CCF">
            <w:pPr>
              <w:spacing w:before="5pt"/>
              <w:jc w:val="end"/>
              <w:rPr>
                <w:color w:val="000000"/>
                <w:sz w:val="20"/>
              </w:rPr>
            </w:pPr>
            <w:r>
              <w:rPr>
                <w:color w:val="000000"/>
                <w:sz w:val="20"/>
              </w:rPr>
              <w:t>76.420.000,00</w:t>
            </w:r>
          </w:p>
        </w:tc>
      </w:tr>
      <w:tr w:rsidR="00823317" w14:paraId="456A97D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E7FEAB"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219F12" w14:textId="77777777" w:rsidR="00A77B3E" w:rsidRDefault="00B16CCF">
            <w:pPr>
              <w:spacing w:before="5pt"/>
              <w:rPr>
                <w:color w:val="000000"/>
                <w:sz w:val="20"/>
              </w:rPr>
            </w:pPr>
            <w:r>
              <w:rPr>
                <w:color w:val="000000"/>
                <w:sz w:val="20"/>
              </w:rPr>
              <w:t>RSO2.4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E02AD0"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D74D06"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B2A264"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0CAD8C" w14:textId="77777777" w:rsidR="00A77B3E" w:rsidRDefault="00B16CCF">
            <w:pPr>
              <w:spacing w:before="5pt"/>
              <w:jc w:val="end"/>
              <w:rPr>
                <w:color w:val="000000"/>
                <w:sz w:val="20"/>
              </w:rPr>
            </w:pPr>
            <w:r>
              <w:rPr>
                <w:color w:val="000000"/>
                <w:sz w:val="20"/>
              </w:rPr>
              <w:t>76.420.000,00</w:t>
            </w:r>
          </w:p>
        </w:tc>
      </w:tr>
    </w:tbl>
    <w:p w14:paraId="254F2377" w14:textId="77777777" w:rsidR="00A77B3E" w:rsidRDefault="00A77B3E">
      <w:pPr>
        <w:spacing w:before="5pt"/>
        <w:rPr>
          <w:color w:val="000000"/>
          <w:sz w:val="20"/>
        </w:rPr>
      </w:pPr>
    </w:p>
    <w:p w14:paraId="68104D57" w14:textId="77777777" w:rsidR="00A77B3E" w:rsidRDefault="00B16CCF">
      <w:pPr>
        <w:pStyle w:val="Naslov5"/>
        <w:spacing w:before="5pt" w:after="0pt"/>
        <w:rPr>
          <w:b w:val="0"/>
          <w:i w:val="0"/>
          <w:color w:val="000000"/>
          <w:sz w:val="24"/>
        </w:rPr>
      </w:pPr>
      <w:bookmarkStart w:id="244" w:name="_Toc256001005"/>
      <w:r>
        <w:rPr>
          <w:b w:val="0"/>
          <w:i w:val="0"/>
          <w:color w:val="000000"/>
          <w:sz w:val="24"/>
        </w:rPr>
        <w:t>Tabela 7: Razsežnost 6 – sekundarna področja ESS+</w:t>
      </w:r>
      <w:bookmarkEnd w:id="244"/>
    </w:p>
    <w:p w14:paraId="5473FCE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117"/>
        <w:gridCol w:w="2877"/>
        <w:gridCol w:w="1780"/>
        <w:gridCol w:w="2982"/>
        <w:gridCol w:w="2259"/>
        <w:gridCol w:w="2157"/>
      </w:tblGrid>
      <w:tr w:rsidR="00823317" w14:paraId="7197DB7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B97B18"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B3E709"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B341A1"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E97801"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ADB93E"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A87B89" w14:textId="77777777" w:rsidR="00A77B3E" w:rsidRDefault="00B16CCF">
            <w:pPr>
              <w:spacing w:before="5pt"/>
              <w:jc w:val="center"/>
              <w:rPr>
                <w:color w:val="000000"/>
                <w:sz w:val="20"/>
              </w:rPr>
            </w:pPr>
            <w:r>
              <w:rPr>
                <w:color w:val="000000"/>
                <w:sz w:val="20"/>
              </w:rPr>
              <w:t>Znesek (v EUR)</w:t>
            </w:r>
          </w:p>
        </w:tc>
      </w:tr>
    </w:tbl>
    <w:p w14:paraId="69CBFE09" w14:textId="77777777" w:rsidR="00A77B3E" w:rsidRDefault="00A77B3E">
      <w:pPr>
        <w:spacing w:before="5pt"/>
        <w:rPr>
          <w:color w:val="000000"/>
          <w:sz w:val="20"/>
        </w:rPr>
      </w:pPr>
    </w:p>
    <w:p w14:paraId="51DD7EF4" w14:textId="77777777" w:rsidR="00A77B3E" w:rsidRDefault="00B16CCF">
      <w:pPr>
        <w:pStyle w:val="Naslov5"/>
        <w:spacing w:before="5pt" w:after="0pt"/>
        <w:rPr>
          <w:b w:val="0"/>
          <w:i w:val="0"/>
          <w:color w:val="000000"/>
          <w:sz w:val="24"/>
        </w:rPr>
      </w:pPr>
      <w:bookmarkStart w:id="245" w:name="_Toc256001006"/>
      <w:r>
        <w:rPr>
          <w:b w:val="0"/>
          <w:i w:val="0"/>
          <w:color w:val="000000"/>
          <w:sz w:val="24"/>
        </w:rPr>
        <w:t>Tabela 8: Razsežnost 7 – razsežnost enakosti spolov v okviru ESS+*, ESRR, Kohezijskega sklada in SPP</w:t>
      </w:r>
      <w:bookmarkEnd w:id="245"/>
    </w:p>
    <w:p w14:paraId="395C2EC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80"/>
        <w:gridCol w:w="2289"/>
        <w:gridCol w:w="2427"/>
        <w:gridCol w:w="2373"/>
        <w:gridCol w:w="2481"/>
        <w:gridCol w:w="3122"/>
      </w:tblGrid>
      <w:tr w:rsidR="00823317" w14:paraId="338D934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07A9355"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72E8F7"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601156"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8606A1"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B92807"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4170B4" w14:textId="77777777" w:rsidR="00A77B3E" w:rsidRDefault="00B16CCF">
            <w:pPr>
              <w:spacing w:before="5pt"/>
              <w:jc w:val="center"/>
              <w:rPr>
                <w:color w:val="000000"/>
                <w:sz w:val="20"/>
              </w:rPr>
            </w:pPr>
            <w:r>
              <w:rPr>
                <w:color w:val="000000"/>
                <w:sz w:val="20"/>
              </w:rPr>
              <w:t>Znesek (v EUR)</w:t>
            </w:r>
          </w:p>
        </w:tc>
      </w:tr>
      <w:tr w:rsidR="00823317" w14:paraId="0FA5B3C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57646E"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B4A9CE" w14:textId="77777777" w:rsidR="00A77B3E" w:rsidRDefault="00B16CCF">
            <w:pPr>
              <w:spacing w:before="5pt"/>
              <w:rPr>
                <w:color w:val="000000"/>
                <w:sz w:val="20"/>
              </w:rPr>
            </w:pPr>
            <w:r>
              <w:rPr>
                <w:color w:val="000000"/>
                <w:sz w:val="20"/>
              </w:rPr>
              <w:t>RSO2.4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E2EF26" w14:textId="77777777" w:rsidR="00A77B3E" w:rsidRDefault="00B16CCF">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FD37D5"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53B49B" w14:textId="77777777" w:rsidR="00A77B3E" w:rsidRDefault="00B16CCF">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446A10" w14:textId="77777777" w:rsidR="00A77B3E" w:rsidRDefault="00B16CCF">
            <w:pPr>
              <w:spacing w:before="5pt"/>
              <w:jc w:val="end"/>
              <w:rPr>
                <w:color w:val="000000"/>
                <w:sz w:val="20"/>
              </w:rPr>
            </w:pPr>
            <w:r>
              <w:rPr>
                <w:color w:val="000000"/>
                <w:sz w:val="20"/>
              </w:rPr>
              <w:t>76.420.000,00</w:t>
            </w:r>
          </w:p>
        </w:tc>
      </w:tr>
      <w:tr w:rsidR="00823317" w14:paraId="1D7A823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EF2D43"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A85E3A" w14:textId="77777777" w:rsidR="00A77B3E" w:rsidRDefault="00B16CCF">
            <w:pPr>
              <w:spacing w:before="5pt"/>
              <w:rPr>
                <w:color w:val="000000"/>
                <w:sz w:val="20"/>
              </w:rPr>
            </w:pPr>
            <w:r>
              <w:rPr>
                <w:color w:val="000000"/>
                <w:sz w:val="20"/>
              </w:rPr>
              <w:t>RSO2.4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33865A"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B5F5C5"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A286EB"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1EC50F" w14:textId="77777777" w:rsidR="00A77B3E" w:rsidRDefault="00B16CCF">
            <w:pPr>
              <w:spacing w:before="5pt"/>
              <w:jc w:val="end"/>
              <w:rPr>
                <w:color w:val="000000"/>
                <w:sz w:val="20"/>
              </w:rPr>
            </w:pPr>
            <w:r>
              <w:rPr>
                <w:color w:val="000000"/>
                <w:sz w:val="20"/>
              </w:rPr>
              <w:t>76.420.000,00</w:t>
            </w:r>
          </w:p>
        </w:tc>
      </w:tr>
    </w:tbl>
    <w:p w14:paraId="7FE1CFBE" w14:textId="77777777" w:rsidR="00A77B3E" w:rsidRDefault="00B16CCF">
      <w:pPr>
        <w:spacing w:before="5pt"/>
        <w:rPr>
          <w:color w:val="000000"/>
          <w:sz w:val="20"/>
        </w:rPr>
      </w:pPr>
      <w:r>
        <w:rPr>
          <w:color w:val="000000"/>
          <w:sz w:val="20"/>
        </w:rPr>
        <w:t>* Načeloma 40 % za ESS+ prispeva k spremljanju enakosti spolov. 100 % se uporabi, kadar se država članica odloči za uporabo člena 6 uredbe o ESS+.</w:t>
      </w:r>
    </w:p>
    <w:p w14:paraId="14EB9779" w14:textId="77777777" w:rsidR="00A77B3E" w:rsidRDefault="00B16CCF">
      <w:pPr>
        <w:pStyle w:val="Naslov4"/>
        <w:spacing w:before="5pt" w:after="0pt"/>
        <w:rPr>
          <w:b w:val="0"/>
          <w:color w:val="000000"/>
          <w:sz w:val="24"/>
        </w:rPr>
      </w:pPr>
      <w:r>
        <w:rPr>
          <w:b w:val="0"/>
          <w:color w:val="000000"/>
          <w:sz w:val="24"/>
        </w:rPr>
        <w:br w:type="page"/>
      </w:r>
      <w:bookmarkStart w:id="246" w:name="_Toc256001007"/>
      <w:r>
        <w:rPr>
          <w:b w:val="0"/>
          <w:color w:val="000000"/>
          <w:sz w:val="24"/>
        </w:rPr>
        <w:lastRenderedPageBreak/>
        <w:t>2.1.1.1. Specifični cilj: RSO2.5. Spodbujanje dostopa do vode in trajnostnega gospodarjenja z vodnimi viri (Kohezijski sklad)</w:t>
      </w:r>
      <w:bookmarkEnd w:id="246"/>
    </w:p>
    <w:p w14:paraId="2D1EC2B7" w14:textId="77777777" w:rsidR="00A77B3E" w:rsidRDefault="00A77B3E">
      <w:pPr>
        <w:spacing w:before="5pt"/>
        <w:rPr>
          <w:color w:val="000000"/>
          <w:sz w:val="0"/>
        </w:rPr>
      </w:pPr>
    </w:p>
    <w:p w14:paraId="1020C472" w14:textId="77777777" w:rsidR="00A77B3E" w:rsidRDefault="00B16CCF">
      <w:pPr>
        <w:pStyle w:val="Naslov4"/>
        <w:spacing w:before="5pt" w:after="0pt"/>
        <w:rPr>
          <w:b w:val="0"/>
          <w:color w:val="000000"/>
          <w:sz w:val="24"/>
        </w:rPr>
      </w:pPr>
      <w:bookmarkStart w:id="247" w:name="_Toc256001008"/>
      <w:r>
        <w:rPr>
          <w:b w:val="0"/>
          <w:color w:val="000000"/>
          <w:sz w:val="24"/>
        </w:rPr>
        <w:t>2.1.1.1.1. Ukrepi skladov</w:t>
      </w:r>
      <w:bookmarkEnd w:id="247"/>
    </w:p>
    <w:p w14:paraId="541CF459" w14:textId="77777777" w:rsidR="00A77B3E" w:rsidRDefault="00A77B3E">
      <w:pPr>
        <w:spacing w:before="5pt"/>
        <w:rPr>
          <w:color w:val="000000"/>
          <w:sz w:val="0"/>
        </w:rPr>
      </w:pPr>
    </w:p>
    <w:p w14:paraId="75D6D73D" w14:textId="77777777" w:rsidR="00A77B3E" w:rsidRDefault="00B16CCF">
      <w:pPr>
        <w:spacing w:before="5pt"/>
        <w:rPr>
          <w:color w:val="000000"/>
          <w:sz w:val="0"/>
        </w:rPr>
      </w:pPr>
      <w:r>
        <w:rPr>
          <w:color w:val="000000"/>
        </w:rPr>
        <w:t>Sklic: člen 22(3)(d)(i), (iii), (iv), (v), (vi) in (vii) uredbe o skupnih določbah</w:t>
      </w:r>
    </w:p>
    <w:p w14:paraId="4E0C485A" w14:textId="77777777" w:rsidR="00A77B3E" w:rsidRDefault="00B16CCF">
      <w:pPr>
        <w:pStyle w:val="Naslov5"/>
        <w:spacing w:before="5pt" w:after="0pt"/>
        <w:rPr>
          <w:b w:val="0"/>
          <w:i w:val="0"/>
          <w:color w:val="000000"/>
          <w:sz w:val="24"/>
        </w:rPr>
      </w:pPr>
      <w:bookmarkStart w:id="248" w:name="_Toc256001009"/>
      <w:r>
        <w:rPr>
          <w:b w:val="0"/>
          <w:i w:val="0"/>
          <w:color w:val="000000"/>
          <w:sz w:val="24"/>
        </w:rPr>
        <w:t>Povezane vrste ukrepov – člen 22(3)(d)(i) uredbe o skupnih določbah in člen 6 uredbe o ESS+:</w:t>
      </w:r>
      <w:bookmarkEnd w:id="248"/>
    </w:p>
    <w:p w14:paraId="4840950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13B7531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A178A4" w14:textId="77777777" w:rsidR="00A77B3E" w:rsidRDefault="00A77B3E">
            <w:pPr>
              <w:spacing w:before="5pt"/>
              <w:rPr>
                <w:color w:val="000000"/>
                <w:sz w:val="0"/>
              </w:rPr>
            </w:pPr>
          </w:p>
          <w:p w14:paraId="7D9E22A3" w14:textId="77777777" w:rsidR="00A77B3E" w:rsidRDefault="00B16CCF">
            <w:pPr>
              <w:spacing w:before="5pt"/>
              <w:rPr>
                <w:color w:val="000000"/>
              </w:rPr>
            </w:pPr>
            <w:r>
              <w:rPr>
                <w:color w:val="000000"/>
              </w:rPr>
              <w:t>Na področju dostopa do vode in trajnostnega gospodarjenja z vodnimi viri je cilj izboljšanje kakovosti javnih storitev na področju oskrbe s pitno vodo in odvajanja in čiščenja odpadnih voda ter izpolnjevanje zahtev evropskih direktiv, zato se bomo prednostno osredotočili na izgradnjo manjkajoče infrastrukture za odvajanje in čiščenje odpadnih voda ter izgradnjo ustrezne infrastrukture na področju oskrbe s pitno vodo. Načrtovani so naslednji ukrepi:</w:t>
            </w:r>
          </w:p>
          <w:p w14:paraId="36A3B92F" w14:textId="77777777" w:rsidR="00A77B3E" w:rsidRDefault="00A77B3E">
            <w:pPr>
              <w:spacing w:before="5pt"/>
              <w:rPr>
                <w:color w:val="000000"/>
              </w:rPr>
            </w:pPr>
          </w:p>
          <w:p w14:paraId="4203FE31" w14:textId="77777777" w:rsidR="00A77B3E" w:rsidRDefault="00A77B3E">
            <w:pPr>
              <w:numPr>
                <w:ilvl w:val="0"/>
                <w:numId w:val="27"/>
              </w:numPr>
              <w:spacing w:before="5pt"/>
              <w:rPr>
                <w:color w:val="000000"/>
              </w:rPr>
            </w:pPr>
          </w:p>
          <w:p w14:paraId="2E3B6788" w14:textId="77777777" w:rsidR="00A77B3E" w:rsidRDefault="00B16CCF">
            <w:pPr>
              <w:numPr>
                <w:ilvl w:val="1"/>
                <w:numId w:val="27"/>
              </w:numPr>
              <w:spacing w:before="5pt"/>
              <w:rPr>
                <w:color w:val="000000"/>
              </w:rPr>
            </w:pPr>
            <w:r>
              <w:rPr>
                <w:i/>
                <w:iCs/>
                <w:color w:val="000000"/>
              </w:rPr>
              <w:t xml:space="preserve">odprava neskladij v aglomeracijah s skupno obremenitvijo, enako ali večjo od 2.000 PE </w:t>
            </w:r>
            <w:r>
              <w:rPr>
                <w:color w:val="000000"/>
              </w:rPr>
              <w:t>v skladu z Direktivo o čiščenju komunalne odpadne vode (91/271/EGS) za področje odvajanja in čiščenja odpadnih voda: načrtuje se opremljanje aglomeracij, ki ne izpolnjujejo zahtev iz navedene direktive, in sicer v skladu z Operativnim programom odvajanja in čiščenja komunalne odpadne vode, ki ga je vlada sprejela 17. 9. 2020[1]. Operativni program se nanaša na celotno območje Republike Slovenije in je eden od ključnih izvedbenih aktov za doseganje ciljev na področju varstva voda pred onesnaženjem z odvajanjem komunalne odpadne vode. V okviru ukrepa bodo tako sredstva evropske kohezijske politike v obdobju 2021-2027 namenjena za izgradnjo in obnovo še manjkajoče infrastrukture za odvajanje in čiščenje komunalnih odpadnih voda v aglomeracijah s skupno obremenitvijo, enako ali večjo od 2.000 PE. Tako bomo nadaljevali z izvajanjem investicij iz evropske kohezijske politike v obdobju 2014-2020 in upoštevanjem potreb lokalnih skupnosti, saj bomo ukrepe izvajali preko pristopa regionalnega razvoja. Ukrepi bodo komplementarni ukrepom v okviru NOO, kjer pa bo shema za financiranje namenjena prednostno zagotavljanju sredstev za opremljanje aglomeracij, katerih skupna obremenitev je manjša od 2.000 PE in ki niso bile upravičene do sofinanciranja iz kohezijskih sredstev, pa kljub temu v nacionalni zakonodaji v skladu z Uredbo o odvajanju in čiščenju komunalne odpadne vode in Operativnim programom odvajanja in čiščenja komunalne odpadne vode predstavljajo pomemben delež gospodarske javne infrastrukture, namenjene za izvajanje storitev odvajanja in čiščenja in je zanje predpisano opremljanje z javno kanalizacijo;</w:t>
            </w:r>
          </w:p>
          <w:p w14:paraId="37FF9C0E" w14:textId="77777777" w:rsidR="00A77B3E" w:rsidRDefault="00A77B3E">
            <w:pPr>
              <w:spacing w:before="5pt"/>
              <w:rPr>
                <w:color w:val="000000"/>
              </w:rPr>
            </w:pPr>
          </w:p>
          <w:p w14:paraId="6412A225" w14:textId="77777777" w:rsidR="00A77B3E" w:rsidRDefault="00A77B3E">
            <w:pPr>
              <w:numPr>
                <w:ilvl w:val="0"/>
                <w:numId w:val="28"/>
              </w:numPr>
              <w:spacing w:before="5pt"/>
              <w:rPr>
                <w:color w:val="000000"/>
              </w:rPr>
            </w:pPr>
          </w:p>
          <w:p w14:paraId="39E35636" w14:textId="77777777" w:rsidR="00A77B3E" w:rsidRDefault="00B16CCF">
            <w:pPr>
              <w:numPr>
                <w:ilvl w:val="1"/>
                <w:numId w:val="28"/>
              </w:numPr>
              <w:spacing w:before="5pt"/>
              <w:rPr>
                <w:color w:val="000000"/>
              </w:rPr>
            </w:pPr>
            <w:r>
              <w:rPr>
                <w:i/>
                <w:iCs/>
                <w:color w:val="000000"/>
              </w:rPr>
              <w:t>spodbujanje trajnostnega gospodarjenja z vodnimi viri z urejanjem vodovodnih sistemov nad 10.000 prebivalcev</w:t>
            </w:r>
            <w:r>
              <w:rPr>
                <w:color w:val="000000"/>
              </w:rPr>
              <w:t xml:space="preserve">: sredstva bomo namenili naslavljanju ključnih področij oskrbe s pitno vodo, identificiranih v okviru Operativnega programa oskrbe s pitno vodo za obdobje od 2022 do 2027. Zaradi nezagotovljenih rezervnih zajetij za pitno vodo in nekaterih zajetij za pitno vodo za javne vodovodne sisteme, bomo naslovili zagotovitev le-teh, kjer je problematika najbolj izrazita, zlasti na območju slovenske Istre in kraškega zaledja. Zaradi pomanjkanja rezervnih zajetij za pitno vodo in nekaterih zajetij za pitno vodo prihaja do nezanesljive oskrbe s pitno vodo, ki se kaže v nezadostnih količinah pitne vode, slabi kakovosti in zdravstveni neustreznosti pitne vode ter kot visoka odstopanja povpraševanja po pitni vodi za več kot 30 % v času suše in sezonskih nihanj. Dodatno se bomo posvetili reševanju problematike vodnih izgub in starosti vodovodnih sistemov. </w:t>
            </w:r>
            <w:r>
              <w:rPr>
                <w:color w:val="000000"/>
              </w:rPr>
              <w:lastRenderedPageBreak/>
              <w:t>Sistematična obnova cevovodov je ključnega pomena za zmanjševanje vodnih izgub, ki zaradi starosti in neustreznosti materialov terjajo stroškovno zahtevno odpravo okvar, popravil in obnov infrastrukture. Na območju celotne države bomo spodbujali tudi ukrepe (v okviru Programa EKP ali komplementarno) za zmanjševanje porabe pitne vode z različnimi pristopi, kot so uporaba varčnih in učinkovitih naprav, zajem in uporaba padavinske in odpadne vode in ponovna uporaba sive vode, z namenom učinkovite rabe vode. V okviru NOO bo shema za financiranje prednostno namenjena zagotavljanju sredstev za investicije v vodovodne sisteme, ki oskrbujejo manj kot 10.000 prebivalcev.</w:t>
            </w:r>
          </w:p>
          <w:p w14:paraId="616F1741" w14:textId="77777777" w:rsidR="00A77B3E" w:rsidRDefault="00A77B3E">
            <w:pPr>
              <w:spacing w:before="5pt"/>
              <w:rPr>
                <w:color w:val="000000"/>
              </w:rPr>
            </w:pPr>
          </w:p>
          <w:p w14:paraId="7DDBF6F2" w14:textId="77777777" w:rsidR="00A77B3E" w:rsidRDefault="00B16CCF">
            <w:pPr>
              <w:spacing w:before="5pt"/>
              <w:rPr>
                <w:color w:val="000000"/>
              </w:rPr>
            </w:pPr>
            <w:r>
              <w:rPr>
                <w:color w:val="000000"/>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Noben izmed predvidenih ukrepov v okviru tega specifičnega cilja po svoji naravi nima bistvenega škodljivega vpliva na katerega koli od šestih okoljskih ciljev ob upoštevanju tehničnih meril, navedenih v Prilogi: DNSH.</w:t>
            </w:r>
          </w:p>
          <w:p w14:paraId="7A9D960D" w14:textId="77777777" w:rsidR="00A77B3E" w:rsidRDefault="00A77B3E">
            <w:pPr>
              <w:spacing w:before="5pt"/>
              <w:rPr>
                <w:color w:val="000000"/>
              </w:rPr>
            </w:pPr>
          </w:p>
          <w:p w14:paraId="0A925F8C" w14:textId="77777777" w:rsidR="00A77B3E" w:rsidRDefault="00B16CCF">
            <w:pPr>
              <w:spacing w:before="5pt"/>
              <w:rPr>
                <w:color w:val="000000"/>
              </w:rPr>
            </w:pPr>
            <w:r>
              <w:rPr>
                <w:color w:val="000000"/>
              </w:rPr>
              <w:t>[1] Vlada RS, Operativni program odvajanja in čiščenja komunalne odpadne vode, 2020. Dostopno na: https://www.gov.si/assets/ministrstva/MOP/Dokumenti/Voda/Odvajanje_ciscenje_komunalne_vode/op_odvajanje_ciscenje_komunalne_vode_2020.docx.</w:t>
            </w:r>
          </w:p>
          <w:p w14:paraId="2C6823D9" w14:textId="77777777" w:rsidR="00A77B3E" w:rsidRDefault="00A77B3E">
            <w:pPr>
              <w:spacing w:before="5pt"/>
              <w:rPr>
                <w:color w:val="000000"/>
                <w:sz w:val="6"/>
              </w:rPr>
            </w:pPr>
          </w:p>
          <w:p w14:paraId="32341932" w14:textId="77777777" w:rsidR="00A77B3E" w:rsidRDefault="00A77B3E">
            <w:pPr>
              <w:spacing w:before="5pt"/>
              <w:rPr>
                <w:color w:val="000000"/>
                <w:sz w:val="6"/>
              </w:rPr>
            </w:pPr>
          </w:p>
        </w:tc>
      </w:tr>
    </w:tbl>
    <w:p w14:paraId="7AFAFDC7" w14:textId="77777777" w:rsidR="00A77B3E" w:rsidRDefault="00A77B3E">
      <w:pPr>
        <w:spacing w:before="5pt"/>
        <w:rPr>
          <w:color w:val="000000"/>
        </w:rPr>
      </w:pPr>
    </w:p>
    <w:p w14:paraId="09E6C17E" w14:textId="77777777" w:rsidR="00A77B3E" w:rsidRDefault="00B16CCF">
      <w:pPr>
        <w:pStyle w:val="Naslov5"/>
        <w:spacing w:before="5pt" w:after="0pt"/>
        <w:rPr>
          <w:b w:val="0"/>
          <w:i w:val="0"/>
          <w:color w:val="000000"/>
          <w:sz w:val="24"/>
        </w:rPr>
      </w:pPr>
      <w:bookmarkStart w:id="249" w:name="_Toc256001010"/>
      <w:r>
        <w:rPr>
          <w:b w:val="0"/>
          <w:i w:val="0"/>
          <w:color w:val="000000"/>
          <w:sz w:val="24"/>
        </w:rPr>
        <w:t>Glavne ciljne skupine – člen 22(3)(d)(iii) uredbe o skupnih določbah:</w:t>
      </w:r>
      <w:bookmarkEnd w:id="249"/>
    </w:p>
    <w:p w14:paraId="7499BE8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5F64D9EE"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2F7DB6" w14:textId="77777777" w:rsidR="00A77B3E" w:rsidRDefault="00A77B3E">
            <w:pPr>
              <w:spacing w:before="5pt"/>
              <w:rPr>
                <w:color w:val="000000"/>
                <w:sz w:val="0"/>
              </w:rPr>
            </w:pPr>
          </w:p>
          <w:p w14:paraId="3DF69758" w14:textId="77777777" w:rsidR="00A77B3E" w:rsidRDefault="00B16CCF">
            <w:pPr>
              <w:spacing w:before="5pt"/>
              <w:rPr>
                <w:color w:val="000000"/>
              </w:rPr>
            </w:pPr>
            <w:r>
              <w:rPr>
                <w:color w:val="000000"/>
              </w:rPr>
              <w:t>Ciljne skupine: končni uporabniki storitev (prebivalci).</w:t>
            </w:r>
          </w:p>
          <w:p w14:paraId="3818D7D9" w14:textId="77777777" w:rsidR="00A77B3E" w:rsidRDefault="00A77B3E">
            <w:pPr>
              <w:spacing w:before="5pt"/>
              <w:rPr>
                <w:color w:val="000000"/>
              </w:rPr>
            </w:pPr>
          </w:p>
          <w:p w14:paraId="2C1D613F" w14:textId="77777777" w:rsidR="00A77B3E" w:rsidRDefault="00B16CCF">
            <w:pPr>
              <w:spacing w:before="5pt"/>
              <w:rPr>
                <w:color w:val="000000"/>
              </w:rPr>
            </w:pPr>
            <w:r>
              <w:rPr>
                <w:color w:val="000000"/>
              </w:rPr>
              <w:t>Upravičenci: lokalne skupnosti, izvajalci gospodarskih javnih služb varstva okolja, ministrstva, javni zavodi s področja okolja in upravljanja voda.</w:t>
            </w:r>
          </w:p>
          <w:p w14:paraId="7E287750" w14:textId="77777777" w:rsidR="00A77B3E" w:rsidRDefault="00A77B3E">
            <w:pPr>
              <w:spacing w:before="5pt"/>
              <w:rPr>
                <w:color w:val="000000"/>
                <w:sz w:val="6"/>
              </w:rPr>
            </w:pPr>
          </w:p>
          <w:p w14:paraId="71763890" w14:textId="77777777" w:rsidR="00A77B3E" w:rsidRDefault="00A77B3E">
            <w:pPr>
              <w:spacing w:before="5pt"/>
              <w:rPr>
                <w:color w:val="000000"/>
                <w:sz w:val="6"/>
              </w:rPr>
            </w:pPr>
          </w:p>
        </w:tc>
      </w:tr>
    </w:tbl>
    <w:p w14:paraId="3B0975C6" w14:textId="77777777" w:rsidR="00A77B3E" w:rsidRDefault="00A77B3E">
      <w:pPr>
        <w:spacing w:before="5pt"/>
        <w:rPr>
          <w:color w:val="000000"/>
        </w:rPr>
      </w:pPr>
    </w:p>
    <w:p w14:paraId="74F7FF7F" w14:textId="77777777" w:rsidR="00A77B3E" w:rsidRDefault="00B16CCF">
      <w:pPr>
        <w:pStyle w:val="Naslov5"/>
        <w:spacing w:before="5pt" w:after="0pt"/>
        <w:rPr>
          <w:b w:val="0"/>
          <w:i w:val="0"/>
          <w:color w:val="000000"/>
          <w:sz w:val="24"/>
        </w:rPr>
      </w:pPr>
      <w:bookmarkStart w:id="250" w:name="_Toc256001011"/>
      <w:r>
        <w:rPr>
          <w:b w:val="0"/>
          <w:i w:val="0"/>
          <w:color w:val="000000"/>
          <w:sz w:val="24"/>
        </w:rPr>
        <w:t>Ukrepi za zaščito enakosti, vključenosti in nediskriminacije – člen 22(3)(d)(iv) uredbe o skupnih določbah in člen 6 uredbe o ESS+</w:t>
      </w:r>
      <w:bookmarkEnd w:id="250"/>
    </w:p>
    <w:p w14:paraId="6911B1C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319BADF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DE2F3A" w14:textId="77777777" w:rsidR="00A77B3E" w:rsidRDefault="00A77B3E">
            <w:pPr>
              <w:spacing w:before="5pt"/>
              <w:rPr>
                <w:color w:val="000000"/>
                <w:sz w:val="0"/>
              </w:rPr>
            </w:pPr>
          </w:p>
          <w:p w14:paraId="74C6C1A6" w14:textId="77777777" w:rsidR="00A77B3E" w:rsidRDefault="00B16CCF">
            <w:pPr>
              <w:spacing w:before="5pt"/>
              <w:rPr>
                <w:color w:val="000000"/>
              </w:rPr>
            </w:pPr>
            <w:r>
              <w:rPr>
                <w:color w:val="000000"/>
              </w:rPr>
              <w:t>Pri načrtovanju, izvedbi in spremljanju ukrepov bodo spoštovana načela enakosti spolov, enakih možnosti in nediskriminacije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invalide 2022-</w:t>
            </w:r>
            <w:r>
              <w:rPr>
                <w:color w:val="000000"/>
              </w:rPr>
              <w:lastRenderedPageBreak/>
              <w:t>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w:t>
            </w:r>
          </w:p>
          <w:p w14:paraId="07FFE7A2" w14:textId="77777777" w:rsidR="00A77B3E" w:rsidRDefault="00B16CCF">
            <w:pPr>
              <w:spacing w:before="5pt"/>
              <w:rPr>
                <w:color w:val="000000"/>
              </w:rPr>
            </w:pPr>
            <w:r>
              <w:rPr>
                <w:color w:val="000000"/>
              </w:rPr>
              <w:t>Dodatno bodo pri izvajanju gradbenih ukrepov objekti izpolnjevali tehnične zahteve, s katerimi se prilagodijo tako, da so nediskriminatorni do vseh oblik začasne ali trajne invalidnosti in so prilagojeni ranljivim skupinam prebivalstva.</w:t>
            </w:r>
          </w:p>
          <w:p w14:paraId="7F65DBBC" w14:textId="77777777" w:rsidR="00A77B3E" w:rsidRDefault="00A77B3E">
            <w:pPr>
              <w:spacing w:before="5pt"/>
              <w:rPr>
                <w:color w:val="000000"/>
                <w:sz w:val="6"/>
              </w:rPr>
            </w:pPr>
          </w:p>
          <w:p w14:paraId="01ABA9BF" w14:textId="77777777" w:rsidR="00A77B3E" w:rsidRDefault="00A77B3E">
            <w:pPr>
              <w:spacing w:before="5pt"/>
              <w:rPr>
                <w:color w:val="000000"/>
                <w:sz w:val="6"/>
              </w:rPr>
            </w:pPr>
          </w:p>
        </w:tc>
      </w:tr>
    </w:tbl>
    <w:p w14:paraId="3C6DFC08" w14:textId="77777777" w:rsidR="00A77B3E" w:rsidRDefault="00A77B3E">
      <w:pPr>
        <w:spacing w:before="5pt"/>
        <w:rPr>
          <w:color w:val="000000"/>
        </w:rPr>
      </w:pPr>
    </w:p>
    <w:p w14:paraId="626A8FD4" w14:textId="77777777" w:rsidR="00A77B3E" w:rsidRDefault="00B16CCF">
      <w:pPr>
        <w:pStyle w:val="Naslov5"/>
        <w:spacing w:before="5pt" w:after="0pt"/>
        <w:rPr>
          <w:b w:val="0"/>
          <w:i w:val="0"/>
          <w:color w:val="000000"/>
          <w:sz w:val="24"/>
        </w:rPr>
      </w:pPr>
      <w:bookmarkStart w:id="251" w:name="_Toc256001012"/>
      <w:r>
        <w:rPr>
          <w:b w:val="0"/>
          <w:i w:val="0"/>
          <w:color w:val="000000"/>
          <w:sz w:val="24"/>
        </w:rPr>
        <w:t>Navedba specifičnih ciljnih ozemelj, vključno z načrtovano uporabo teritorialnih orodij – člen 22(3)(d)(v) uredbe o skupnih določbah</w:t>
      </w:r>
      <w:bookmarkEnd w:id="251"/>
    </w:p>
    <w:p w14:paraId="2D1C987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3CECD08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1144DA" w14:textId="77777777" w:rsidR="00A77B3E" w:rsidRDefault="00A77B3E">
            <w:pPr>
              <w:spacing w:before="5pt"/>
              <w:rPr>
                <w:color w:val="000000"/>
                <w:sz w:val="0"/>
              </w:rPr>
            </w:pPr>
          </w:p>
          <w:p w14:paraId="5A8B2733" w14:textId="77777777" w:rsidR="00A77B3E" w:rsidRDefault="00B16CCF">
            <w:pPr>
              <w:spacing w:before="5pt"/>
              <w:rPr>
                <w:color w:val="000000"/>
              </w:rPr>
            </w:pPr>
            <w:r>
              <w:rPr>
                <w:color w:val="000000"/>
              </w:rPr>
              <w:t>V okviru specifičnega cilja se za ukrepe s področja odvajanja in čiščenja odpadnih voda ter oskrbe s pitno vodo načrtuje naslavljanje pristopa regionalnega razvoja skladno s teritorialnimi strategijami (RRP). V izbor operacij so v prvi fazi vključeni nosilci odločanja in predstavniki regij (v okviru svetov regij).</w:t>
            </w:r>
          </w:p>
          <w:p w14:paraId="276BBEB9" w14:textId="77777777" w:rsidR="00A77B3E" w:rsidRDefault="00A77B3E">
            <w:pPr>
              <w:spacing w:before="5pt"/>
              <w:rPr>
                <w:color w:val="000000"/>
                <w:sz w:val="6"/>
              </w:rPr>
            </w:pPr>
          </w:p>
          <w:p w14:paraId="6B8087F6" w14:textId="77777777" w:rsidR="00A77B3E" w:rsidRDefault="00A77B3E">
            <w:pPr>
              <w:spacing w:before="5pt"/>
              <w:rPr>
                <w:color w:val="000000"/>
                <w:sz w:val="6"/>
              </w:rPr>
            </w:pPr>
          </w:p>
        </w:tc>
      </w:tr>
    </w:tbl>
    <w:p w14:paraId="6408445F" w14:textId="77777777" w:rsidR="00A77B3E" w:rsidRDefault="00A77B3E">
      <w:pPr>
        <w:spacing w:before="5pt"/>
        <w:rPr>
          <w:color w:val="000000"/>
        </w:rPr>
      </w:pPr>
    </w:p>
    <w:p w14:paraId="2C33EA59" w14:textId="77777777" w:rsidR="00A77B3E" w:rsidRDefault="00B16CCF">
      <w:pPr>
        <w:pStyle w:val="Naslov5"/>
        <w:spacing w:before="5pt" w:after="0pt"/>
        <w:rPr>
          <w:b w:val="0"/>
          <w:i w:val="0"/>
          <w:color w:val="000000"/>
          <w:sz w:val="24"/>
        </w:rPr>
      </w:pPr>
      <w:bookmarkStart w:id="252" w:name="_Toc256001013"/>
      <w:r>
        <w:rPr>
          <w:b w:val="0"/>
          <w:i w:val="0"/>
          <w:color w:val="000000"/>
          <w:sz w:val="24"/>
        </w:rPr>
        <w:t>Medregionalni, čezmejni in transnacionalni ukrepi – člen 22(3)(d)(vi) uredbe o skupnih določbah</w:t>
      </w:r>
      <w:bookmarkEnd w:id="252"/>
    </w:p>
    <w:p w14:paraId="5EB2192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23EFD6E1"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7B7ED9" w14:textId="77777777" w:rsidR="00A77B3E" w:rsidRDefault="00A77B3E">
            <w:pPr>
              <w:spacing w:before="5pt"/>
              <w:rPr>
                <w:color w:val="000000"/>
                <w:sz w:val="0"/>
              </w:rPr>
            </w:pPr>
          </w:p>
          <w:p w14:paraId="29BE45F1" w14:textId="77777777" w:rsidR="00A77B3E" w:rsidRDefault="00B16CCF">
            <w:pPr>
              <w:spacing w:before="5pt"/>
              <w:rPr>
                <w:color w:val="000000"/>
              </w:rPr>
            </w:pPr>
            <w:r>
              <w:rPr>
                <w:color w:val="000000"/>
              </w:rPr>
              <w:t>Ukrepi bodo prispevali k izvajanju vseh treh makroregionalnih strategij, v katerih sodeluje Slovenija, in sicer k izvajanju ciljev prioritetnega območja 04 »obnova in ohranitev kvalitete voda« v okviru drugega stebra Strategije EU za podonavsko regijo (EUSDR), prioritete Krepitev alpskih naravnih in kulturnih virov kot sredstev za visoko kakovosten bivalni prostor v okviru tretjega cilja »Zagotavljanje trajnosti v Alpah: ohranjanje alpske dediščine in promocija trajnostne rabe naravnih in kulturnih virov« Strategije EU za alpsko regijo (EUSALP) in tretjega stebra »kvaliteta okolja« Strategije EU za jadransko-jonsko regijo (EUSAIR). Izvedba medregionalnih, čezmejnih in transnacionalnih ukrepov v okviru predmetnega specifičnega cilja ni predvidena, saj gre za ukrepe investiranja v sisteme javne infrastrukture na območju Republike Slovenije, ki so prvenstveno namenjeni prebivalcem Slovenije.</w:t>
            </w:r>
          </w:p>
          <w:p w14:paraId="038DF2D1" w14:textId="77777777" w:rsidR="00A77B3E" w:rsidRDefault="00A77B3E">
            <w:pPr>
              <w:spacing w:before="5pt"/>
              <w:rPr>
                <w:color w:val="000000"/>
                <w:sz w:val="6"/>
              </w:rPr>
            </w:pPr>
          </w:p>
          <w:p w14:paraId="77A8DB3E" w14:textId="77777777" w:rsidR="00A77B3E" w:rsidRDefault="00A77B3E">
            <w:pPr>
              <w:spacing w:before="5pt"/>
              <w:rPr>
                <w:color w:val="000000"/>
                <w:sz w:val="6"/>
              </w:rPr>
            </w:pPr>
          </w:p>
        </w:tc>
      </w:tr>
    </w:tbl>
    <w:p w14:paraId="43134B3B" w14:textId="77777777" w:rsidR="00A77B3E" w:rsidRDefault="00A77B3E">
      <w:pPr>
        <w:spacing w:before="5pt"/>
        <w:rPr>
          <w:color w:val="000000"/>
        </w:rPr>
      </w:pPr>
    </w:p>
    <w:p w14:paraId="5639F9F0" w14:textId="77777777" w:rsidR="00A77B3E" w:rsidRDefault="00B16CCF">
      <w:pPr>
        <w:pStyle w:val="Naslov5"/>
        <w:spacing w:before="5pt" w:after="0pt"/>
        <w:rPr>
          <w:b w:val="0"/>
          <w:i w:val="0"/>
          <w:color w:val="000000"/>
          <w:sz w:val="24"/>
        </w:rPr>
      </w:pPr>
      <w:bookmarkStart w:id="253" w:name="_Toc256001014"/>
      <w:r>
        <w:rPr>
          <w:b w:val="0"/>
          <w:i w:val="0"/>
          <w:color w:val="000000"/>
          <w:sz w:val="24"/>
        </w:rPr>
        <w:t>Načrtovana uporaba finančnih instrumentov – člen 22(3)(d)(vii) uredbe o skupnih določbah</w:t>
      </w:r>
      <w:bookmarkEnd w:id="253"/>
    </w:p>
    <w:p w14:paraId="09364E6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4C873302"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6B3DBC" w14:textId="77777777" w:rsidR="00A77B3E" w:rsidRDefault="00A77B3E">
            <w:pPr>
              <w:spacing w:before="5pt"/>
              <w:rPr>
                <w:color w:val="000000"/>
                <w:sz w:val="0"/>
              </w:rPr>
            </w:pPr>
          </w:p>
          <w:p w14:paraId="442C0720" w14:textId="77777777" w:rsidR="00A77B3E" w:rsidRDefault="00B16CCF">
            <w:pPr>
              <w:spacing w:before="5pt"/>
              <w:rPr>
                <w:color w:val="000000"/>
              </w:rPr>
            </w:pPr>
            <w:r>
              <w:rPr>
                <w:color w:val="000000"/>
              </w:rPr>
              <w:t xml:space="preserve">V okviru predmetnega specifičnega cilja uporaba finančnih instrumentov v skladu z izsledki analize Predhodnih ocen potreb trga in vrzeli financiranja na trgu za izvajanje finančnih instrumentov v programskem obdobju 2021-2027 (julij 2022) ni predvidena. Kljub temu, da predvideni ukrepi ustvarjajo prihodke, je predvidena uporaba nepovratnih virov, saj prihodki ne zadoščajo za pokrivanje ocenjenih investicijskih vložkov lokalnih skupnosti, ki so potrebni za nadgradnjo gospodarske javne infrastrukture in opremljanja območij. </w:t>
            </w:r>
          </w:p>
          <w:p w14:paraId="681A2872" w14:textId="77777777" w:rsidR="00A77B3E" w:rsidRDefault="00A77B3E">
            <w:pPr>
              <w:spacing w:before="5pt"/>
              <w:rPr>
                <w:color w:val="000000"/>
                <w:sz w:val="6"/>
              </w:rPr>
            </w:pPr>
          </w:p>
          <w:p w14:paraId="4E8E84BD" w14:textId="77777777" w:rsidR="00A77B3E" w:rsidRDefault="00A77B3E">
            <w:pPr>
              <w:spacing w:before="5pt"/>
              <w:rPr>
                <w:color w:val="000000"/>
                <w:sz w:val="6"/>
              </w:rPr>
            </w:pPr>
          </w:p>
        </w:tc>
      </w:tr>
    </w:tbl>
    <w:p w14:paraId="79BCA03A" w14:textId="77777777" w:rsidR="00A77B3E" w:rsidRDefault="00A77B3E">
      <w:pPr>
        <w:spacing w:before="5pt"/>
        <w:rPr>
          <w:color w:val="000000"/>
        </w:rPr>
      </w:pPr>
    </w:p>
    <w:p w14:paraId="545BBC5E" w14:textId="77777777" w:rsidR="00A77B3E" w:rsidRDefault="00B16CCF">
      <w:pPr>
        <w:pStyle w:val="Naslov4"/>
        <w:spacing w:before="5pt" w:after="0pt"/>
        <w:rPr>
          <w:b w:val="0"/>
          <w:color w:val="000000"/>
          <w:sz w:val="24"/>
        </w:rPr>
      </w:pPr>
      <w:bookmarkStart w:id="254" w:name="_Toc256001015"/>
      <w:r>
        <w:rPr>
          <w:b w:val="0"/>
          <w:color w:val="000000"/>
          <w:sz w:val="24"/>
        </w:rPr>
        <w:lastRenderedPageBreak/>
        <w:t>2.1.1.1.2. Kazalniki</w:t>
      </w:r>
      <w:bookmarkEnd w:id="254"/>
    </w:p>
    <w:p w14:paraId="5E56402F" w14:textId="77777777" w:rsidR="00A77B3E" w:rsidRDefault="00A77B3E">
      <w:pPr>
        <w:spacing w:before="5pt"/>
        <w:rPr>
          <w:color w:val="000000"/>
          <w:sz w:val="0"/>
        </w:rPr>
      </w:pPr>
    </w:p>
    <w:p w14:paraId="2DE92357" w14:textId="77777777" w:rsidR="00A77B3E" w:rsidRDefault="00B16CCF">
      <w:pPr>
        <w:spacing w:before="5pt"/>
        <w:rPr>
          <w:color w:val="000000"/>
          <w:sz w:val="0"/>
        </w:rPr>
      </w:pPr>
      <w:r>
        <w:rPr>
          <w:color w:val="000000"/>
        </w:rPr>
        <w:t>Sklic: člen 22(3)(d)(ii) uredbe o skupnih določbah in člen 8 uredbe o ESRR in Kohezijskem skladu</w:t>
      </w:r>
    </w:p>
    <w:p w14:paraId="63FD9965" w14:textId="77777777" w:rsidR="00A77B3E" w:rsidRDefault="00B16CCF">
      <w:pPr>
        <w:pStyle w:val="Naslov5"/>
        <w:spacing w:before="5pt" w:after="0pt"/>
        <w:rPr>
          <w:b w:val="0"/>
          <w:i w:val="0"/>
          <w:color w:val="000000"/>
          <w:sz w:val="24"/>
        </w:rPr>
      </w:pPr>
      <w:bookmarkStart w:id="255" w:name="_Toc256001016"/>
      <w:r>
        <w:rPr>
          <w:b w:val="0"/>
          <w:i w:val="0"/>
          <w:color w:val="000000"/>
          <w:sz w:val="24"/>
        </w:rPr>
        <w:t>Tabela 2: Kazalniki učinka</w:t>
      </w:r>
      <w:bookmarkEnd w:id="255"/>
    </w:p>
    <w:p w14:paraId="12F29AE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702"/>
        <w:gridCol w:w="1571"/>
        <w:gridCol w:w="1665"/>
        <w:gridCol w:w="1628"/>
        <w:gridCol w:w="1890"/>
        <w:gridCol w:w="2134"/>
        <w:gridCol w:w="1852"/>
        <w:gridCol w:w="1178"/>
        <w:gridCol w:w="1552"/>
      </w:tblGrid>
      <w:tr w:rsidR="00823317" w14:paraId="76A7A71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2D2FEB"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93ECFC"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F77C9B"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740E3E"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532262"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5AFCD7"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A2ABE1"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A8C687" w14:textId="77777777" w:rsidR="00A77B3E" w:rsidRDefault="00B16CCF">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D5298B" w14:textId="77777777" w:rsidR="00A77B3E" w:rsidRDefault="00B16CCF">
            <w:pPr>
              <w:spacing w:before="5pt"/>
              <w:jc w:val="center"/>
              <w:rPr>
                <w:color w:val="000000"/>
                <w:sz w:val="20"/>
              </w:rPr>
            </w:pPr>
            <w:r>
              <w:rPr>
                <w:color w:val="000000"/>
                <w:sz w:val="20"/>
              </w:rPr>
              <w:t>Cilj (2029)</w:t>
            </w:r>
          </w:p>
        </w:tc>
      </w:tr>
      <w:tr w:rsidR="00823317" w14:paraId="39C2274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C2F9DA"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F7CC7B" w14:textId="77777777" w:rsidR="00A77B3E" w:rsidRDefault="00B16CCF">
            <w:pPr>
              <w:spacing w:before="5pt"/>
              <w:rPr>
                <w:color w:val="000000"/>
                <w:sz w:val="20"/>
              </w:rPr>
            </w:pPr>
            <w:r>
              <w:rPr>
                <w:color w:val="000000"/>
                <w:sz w:val="20"/>
              </w:rPr>
              <w:t>RSO2.5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6C4B92" w14:textId="77777777" w:rsidR="00A77B3E" w:rsidRDefault="00B16CCF">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9C056A"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88AA7E" w14:textId="77777777" w:rsidR="00A77B3E" w:rsidRDefault="00B16CCF">
            <w:pPr>
              <w:spacing w:before="5pt"/>
              <w:rPr>
                <w:color w:val="000000"/>
                <w:sz w:val="20"/>
              </w:rPr>
            </w:pPr>
            <w:r>
              <w:rPr>
                <w:color w:val="000000"/>
                <w:sz w:val="20"/>
              </w:rPr>
              <w:t>RCO30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018EB2" w14:textId="77777777" w:rsidR="00A77B3E" w:rsidRDefault="00B16CCF">
            <w:pPr>
              <w:spacing w:before="5pt"/>
              <w:rPr>
                <w:color w:val="000000"/>
                <w:sz w:val="20"/>
              </w:rPr>
            </w:pPr>
            <w:r>
              <w:rPr>
                <w:color w:val="000000"/>
                <w:sz w:val="20"/>
              </w:rPr>
              <w:t>Dolžina novih ali nadgrajenih cevi v distribucijskih sistemih javnega vodovoda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CC244B" w14:textId="77777777" w:rsidR="00A77B3E" w:rsidRDefault="00B16CCF">
            <w:pPr>
              <w:spacing w:before="5pt"/>
              <w:rPr>
                <w:color w:val="000000"/>
                <w:sz w:val="20"/>
              </w:rPr>
            </w:pPr>
            <w:r>
              <w:rPr>
                <w:color w:val="000000"/>
                <w:sz w:val="20"/>
              </w:rPr>
              <w:t>km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994515"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FC2FC9" w14:textId="77777777" w:rsidR="00A77B3E" w:rsidRDefault="00B16CCF">
            <w:pPr>
              <w:spacing w:before="5pt"/>
              <w:jc w:val="end"/>
              <w:rPr>
                <w:color w:val="000000"/>
                <w:sz w:val="20"/>
              </w:rPr>
            </w:pPr>
            <w:r>
              <w:rPr>
                <w:color w:val="000000"/>
                <w:sz w:val="20"/>
              </w:rPr>
              <w:t>50,00</w:t>
            </w:r>
          </w:p>
        </w:tc>
      </w:tr>
      <w:tr w:rsidR="00823317" w14:paraId="18881C3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69D942"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C0AC97" w14:textId="77777777" w:rsidR="00A77B3E" w:rsidRDefault="00B16CCF">
            <w:pPr>
              <w:spacing w:before="5pt"/>
              <w:rPr>
                <w:color w:val="000000"/>
                <w:sz w:val="20"/>
              </w:rPr>
            </w:pPr>
            <w:r>
              <w:rPr>
                <w:color w:val="000000"/>
                <w:sz w:val="20"/>
              </w:rPr>
              <w:t>RSO2.5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AA011C" w14:textId="77777777" w:rsidR="00A77B3E" w:rsidRDefault="00B16CCF">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F96A5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72276F" w14:textId="77777777" w:rsidR="00A77B3E" w:rsidRDefault="00B16CCF">
            <w:pPr>
              <w:spacing w:before="5pt"/>
              <w:rPr>
                <w:color w:val="000000"/>
                <w:sz w:val="20"/>
              </w:rPr>
            </w:pPr>
            <w:r>
              <w:rPr>
                <w:color w:val="000000"/>
                <w:sz w:val="20"/>
              </w:rPr>
              <w:t>RCO31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5FA942" w14:textId="77777777" w:rsidR="00A77B3E" w:rsidRDefault="00B16CCF">
            <w:pPr>
              <w:spacing w:before="5pt"/>
              <w:rPr>
                <w:color w:val="000000"/>
                <w:sz w:val="20"/>
              </w:rPr>
            </w:pPr>
            <w:r>
              <w:rPr>
                <w:color w:val="000000"/>
                <w:sz w:val="20"/>
              </w:rPr>
              <w:t>Dolžina novih ali nadgrajenih cevi v javnem omrežju za zbiranje odpadne vode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ED444E" w14:textId="77777777" w:rsidR="00A77B3E" w:rsidRDefault="00B16CCF">
            <w:pPr>
              <w:spacing w:before="5pt"/>
              <w:rPr>
                <w:color w:val="000000"/>
                <w:sz w:val="20"/>
              </w:rPr>
            </w:pPr>
            <w:r>
              <w:rPr>
                <w:color w:val="000000"/>
                <w:sz w:val="20"/>
              </w:rPr>
              <w:t>km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6263CB"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9B152C" w14:textId="77777777" w:rsidR="00A77B3E" w:rsidRDefault="00B16CCF">
            <w:pPr>
              <w:spacing w:before="5pt"/>
              <w:jc w:val="end"/>
              <w:rPr>
                <w:color w:val="000000"/>
                <w:sz w:val="20"/>
              </w:rPr>
            </w:pPr>
            <w:r>
              <w:rPr>
                <w:color w:val="000000"/>
                <w:sz w:val="20"/>
              </w:rPr>
              <w:t>154,00</w:t>
            </w:r>
          </w:p>
        </w:tc>
      </w:tr>
      <w:tr w:rsidR="00823317" w14:paraId="3CABC22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AE4A29"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5FCFE1" w14:textId="77777777" w:rsidR="00A77B3E" w:rsidRDefault="00B16CCF">
            <w:pPr>
              <w:spacing w:before="5pt"/>
              <w:rPr>
                <w:color w:val="000000"/>
                <w:sz w:val="20"/>
              </w:rPr>
            </w:pPr>
            <w:r>
              <w:rPr>
                <w:color w:val="000000"/>
                <w:sz w:val="20"/>
              </w:rPr>
              <w:t>RSO2.5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B69B12" w14:textId="77777777" w:rsidR="00A77B3E" w:rsidRDefault="00B16CCF">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67BB16"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8101A6" w14:textId="77777777" w:rsidR="00A77B3E" w:rsidRDefault="00B16CCF">
            <w:pPr>
              <w:spacing w:before="5pt"/>
              <w:rPr>
                <w:color w:val="000000"/>
                <w:sz w:val="20"/>
              </w:rPr>
            </w:pPr>
            <w:r>
              <w:rPr>
                <w:color w:val="000000"/>
                <w:sz w:val="20"/>
              </w:rPr>
              <w:t>RCO32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292229" w14:textId="77777777" w:rsidR="00A77B3E" w:rsidRDefault="00B16CCF">
            <w:pPr>
              <w:spacing w:before="5pt"/>
              <w:rPr>
                <w:color w:val="000000"/>
                <w:sz w:val="20"/>
              </w:rPr>
            </w:pPr>
            <w:r>
              <w:rPr>
                <w:color w:val="000000"/>
                <w:sz w:val="20"/>
              </w:rPr>
              <w:t>Nova ali nadgrajena zmogljivost za čiščenje odpadne vode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10451A" w14:textId="77777777" w:rsidR="00A77B3E" w:rsidRDefault="00B16CCF">
            <w:pPr>
              <w:spacing w:before="5pt"/>
              <w:rPr>
                <w:color w:val="000000"/>
                <w:sz w:val="20"/>
              </w:rPr>
            </w:pPr>
            <w:r>
              <w:rPr>
                <w:color w:val="000000"/>
                <w:sz w:val="20"/>
              </w:rPr>
              <w:t>populacijski ekvivalent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37D7DB"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60A521" w14:textId="77777777" w:rsidR="00A77B3E" w:rsidRDefault="00B16CCF">
            <w:pPr>
              <w:spacing w:before="5pt"/>
              <w:jc w:val="end"/>
              <w:rPr>
                <w:color w:val="000000"/>
                <w:sz w:val="20"/>
              </w:rPr>
            </w:pPr>
            <w:r>
              <w:rPr>
                <w:color w:val="000000"/>
                <w:sz w:val="20"/>
              </w:rPr>
              <w:t>34.361,00</w:t>
            </w:r>
          </w:p>
        </w:tc>
      </w:tr>
    </w:tbl>
    <w:p w14:paraId="2443F982" w14:textId="77777777" w:rsidR="00A77B3E" w:rsidRDefault="00A77B3E">
      <w:pPr>
        <w:spacing w:before="5pt"/>
        <w:rPr>
          <w:color w:val="000000"/>
          <w:sz w:val="20"/>
        </w:rPr>
      </w:pPr>
    </w:p>
    <w:p w14:paraId="5EC7B190" w14:textId="77777777" w:rsidR="00A77B3E" w:rsidRDefault="00B16CCF">
      <w:pPr>
        <w:spacing w:before="5pt"/>
        <w:rPr>
          <w:color w:val="000000"/>
          <w:sz w:val="0"/>
        </w:rPr>
      </w:pPr>
      <w:r>
        <w:rPr>
          <w:color w:val="000000"/>
        </w:rPr>
        <w:t>Sklic: člen 22(3)(d)(ii) uredbe o skupnih določbah</w:t>
      </w:r>
    </w:p>
    <w:p w14:paraId="2DF3CA23" w14:textId="77777777" w:rsidR="00A77B3E" w:rsidRDefault="00B16CCF">
      <w:pPr>
        <w:pStyle w:val="Naslov5"/>
        <w:spacing w:before="5pt" w:after="0pt"/>
        <w:rPr>
          <w:b w:val="0"/>
          <w:i w:val="0"/>
          <w:color w:val="000000"/>
          <w:sz w:val="24"/>
        </w:rPr>
      </w:pPr>
      <w:bookmarkStart w:id="256" w:name="_Toc256001017"/>
      <w:r>
        <w:rPr>
          <w:b w:val="0"/>
          <w:i w:val="0"/>
          <w:color w:val="000000"/>
          <w:sz w:val="24"/>
        </w:rPr>
        <w:t>Tabela 3: Kazalniki rezultatov</w:t>
      </w:r>
      <w:bookmarkEnd w:id="256"/>
    </w:p>
    <w:p w14:paraId="7C9E7EF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93"/>
        <w:gridCol w:w="1193"/>
        <w:gridCol w:w="1265"/>
        <w:gridCol w:w="1236"/>
        <w:gridCol w:w="1435"/>
        <w:gridCol w:w="1350"/>
        <w:gridCol w:w="922"/>
        <w:gridCol w:w="1265"/>
        <w:gridCol w:w="1335"/>
        <w:gridCol w:w="1179"/>
        <w:gridCol w:w="1663"/>
        <w:gridCol w:w="1036"/>
      </w:tblGrid>
      <w:tr w:rsidR="00823317" w14:paraId="54FEBC3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7A03A0"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EA03FD"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A7EC36"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1D8B49"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756E27"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0F97AC"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3A8298"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B0C448" w14:textId="77777777" w:rsidR="00A77B3E" w:rsidRDefault="00B16CCF">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66C76F" w14:textId="77777777" w:rsidR="00A77B3E" w:rsidRDefault="00B16CCF">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FDDFE4" w14:textId="77777777" w:rsidR="00A77B3E" w:rsidRDefault="00B16CCF">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82FD54" w14:textId="77777777" w:rsidR="00A77B3E" w:rsidRDefault="00B16CCF">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3D4EA5" w14:textId="77777777" w:rsidR="00A77B3E" w:rsidRDefault="00B16CCF">
            <w:pPr>
              <w:spacing w:before="5pt"/>
              <w:jc w:val="center"/>
              <w:rPr>
                <w:color w:val="000000"/>
                <w:sz w:val="20"/>
              </w:rPr>
            </w:pPr>
            <w:r>
              <w:rPr>
                <w:color w:val="000000"/>
                <w:sz w:val="20"/>
              </w:rPr>
              <w:t>Opombe</w:t>
            </w:r>
          </w:p>
        </w:tc>
      </w:tr>
      <w:tr w:rsidR="00823317" w14:paraId="7769E29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87BDF5"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8F4562" w14:textId="77777777" w:rsidR="00A77B3E" w:rsidRDefault="00B16CCF">
            <w:pPr>
              <w:spacing w:before="5pt"/>
              <w:rPr>
                <w:color w:val="000000"/>
                <w:sz w:val="20"/>
              </w:rPr>
            </w:pPr>
            <w:r>
              <w:rPr>
                <w:color w:val="000000"/>
                <w:sz w:val="20"/>
              </w:rPr>
              <w:t>RSO2.5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659139" w14:textId="77777777" w:rsidR="00A77B3E" w:rsidRDefault="00B16CCF">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8122A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1A5C0B" w14:textId="77777777" w:rsidR="00A77B3E" w:rsidRDefault="00B16CCF">
            <w:pPr>
              <w:spacing w:before="5pt"/>
              <w:rPr>
                <w:color w:val="000000"/>
                <w:sz w:val="20"/>
              </w:rPr>
            </w:pPr>
            <w:r>
              <w:rPr>
                <w:color w:val="000000"/>
                <w:sz w:val="20"/>
              </w:rPr>
              <w:t>RCR41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49FEDF" w14:textId="77777777" w:rsidR="00A77B3E" w:rsidRDefault="00B16CCF">
            <w:pPr>
              <w:spacing w:before="5pt"/>
              <w:rPr>
                <w:color w:val="000000"/>
                <w:sz w:val="20"/>
              </w:rPr>
            </w:pPr>
            <w:r>
              <w:rPr>
                <w:color w:val="000000"/>
                <w:sz w:val="20"/>
              </w:rPr>
              <w:t>Prebivalci, priklopljeni na izboljšan javni vodovod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C361A4" w14:textId="77777777" w:rsidR="00A77B3E" w:rsidRDefault="00B16CCF">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85A600"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3E042D" w14:textId="77777777" w:rsidR="00A77B3E" w:rsidRDefault="00B16CCF">
            <w:pPr>
              <w:spacing w:before="5pt"/>
              <w:jc w:val="center"/>
              <w:rPr>
                <w:color w:val="000000"/>
                <w:sz w:val="20"/>
              </w:rPr>
            </w:pPr>
            <w:r>
              <w:rPr>
                <w:color w:val="000000"/>
                <w:sz w:val="20"/>
              </w:rPr>
              <w:t>2019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32F256" w14:textId="77777777" w:rsidR="00A77B3E" w:rsidRDefault="00B16CCF">
            <w:pPr>
              <w:spacing w:before="5pt"/>
              <w:jc w:val="end"/>
              <w:rPr>
                <w:color w:val="000000"/>
                <w:sz w:val="20"/>
              </w:rPr>
            </w:pPr>
            <w:r>
              <w:rPr>
                <w:color w:val="000000"/>
                <w:sz w:val="20"/>
              </w:rPr>
              <w:t>90.016,00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87ABB9" w14:textId="77777777" w:rsidR="00A77B3E" w:rsidRDefault="00B16CCF">
            <w:pPr>
              <w:spacing w:before="5pt"/>
              <w:rPr>
                <w:color w:val="000000"/>
                <w:sz w:val="20"/>
              </w:rPr>
            </w:pPr>
            <w:r>
              <w:rPr>
                <w:color w:val="000000"/>
                <w:sz w:val="20"/>
              </w:rPr>
              <w:t>Projektna dokumentacija za projekt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D3DA48" w14:textId="77777777" w:rsidR="00A77B3E" w:rsidRDefault="00A77B3E">
            <w:pPr>
              <w:spacing w:before="5pt"/>
              <w:rPr>
                <w:color w:val="000000"/>
                <w:sz w:val="20"/>
              </w:rPr>
            </w:pPr>
          </w:p>
        </w:tc>
      </w:tr>
      <w:tr w:rsidR="00823317" w14:paraId="455FF5A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265395"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6152DF" w14:textId="77777777" w:rsidR="00A77B3E" w:rsidRDefault="00B16CCF">
            <w:pPr>
              <w:spacing w:before="5pt"/>
              <w:rPr>
                <w:color w:val="000000"/>
                <w:sz w:val="20"/>
              </w:rPr>
            </w:pPr>
            <w:r>
              <w:rPr>
                <w:color w:val="000000"/>
                <w:sz w:val="20"/>
              </w:rPr>
              <w:t>RSO2.5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B50363" w14:textId="77777777" w:rsidR="00A77B3E" w:rsidRDefault="00B16CCF">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4FC6A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84DEC4" w14:textId="77777777" w:rsidR="00A77B3E" w:rsidRDefault="00B16CCF">
            <w:pPr>
              <w:spacing w:before="5pt"/>
              <w:rPr>
                <w:color w:val="000000"/>
                <w:sz w:val="20"/>
              </w:rPr>
            </w:pPr>
            <w:r>
              <w:rPr>
                <w:color w:val="000000"/>
                <w:sz w:val="20"/>
              </w:rPr>
              <w:t>RCR42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62E6D7" w14:textId="77777777" w:rsidR="00A77B3E" w:rsidRDefault="00B16CCF">
            <w:pPr>
              <w:spacing w:before="5pt"/>
              <w:rPr>
                <w:color w:val="000000"/>
                <w:sz w:val="20"/>
              </w:rPr>
            </w:pPr>
            <w:r>
              <w:rPr>
                <w:color w:val="000000"/>
                <w:sz w:val="20"/>
              </w:rPr>
              <w:t>Prebivalci, priklopljeni vsaj na sekundarno javno omrežje za čiščenje odpadne vode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3E6D37" w14:textId="77777777" w:rsidR="00A77B3E" w:rsidRDefault="00B16CCF">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F0D025"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6DC3FA" w14:textId="77777777" w:rsidR="00A77B3E" w:rsidRDefault="00B16CCF">
            <w:pPr>
              <w:spacing w:before="5pt"/>
              <w:jc w:val="center"/>
              <w:rPr>
                <w:color w:val="000000"/>
                <w:sz w:val="20"/>
              </w:rPr>
            </w:pPr>
            <w:r>
              <w:rPr>
                <w:color w:val="000000"/>
                <w:sz w:val="20"/>
              </w:rPr>
              <w:t>2018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0431EE" w14:textId="77777777" w:rsidR="00A77B3E" w:rsidRDefault="00B16CCF">
            <w:pPr>
              <w:spacing w:before="5pt"/>
              <w:jc w:val="end"/>
              <w:rPr>
                <w:color w:val="000000"/>
                <w:sz w:val="20"/>
              </w:rPr>
            </w:pPr>
            <w:r>
              <w:rPr>
                <w:color w:val="000000"/>
                <w:sz w:val="20"/>
              </w:rPr>
              <w:t>29.332,00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FC1E5A" w14:textId="77777777" w:rsidR="00A77B3E" w:rsidRDefault="00B16CCF">
            <w:pPr>
              <w:spacing w:before="5pt"/>
              <w:rPr>
                <w:color w:val="000000"/>
                <w:sz w:val="20"/>
              </w:rPr>
            </w:pPr>
            <w:r>
              <w:rPr>
                <w:color w:val="000000"/>
                <w:sz w:val="20"/>
              </w:rPr>
              <w:t>OP odvajanja in čiščenja komunalne odpadne vode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252096" w14:textId="77777777" w:rsidR="00A77B3E" w:rsidRDefault="00A77B3E">
            <w:pPr>
              <w:spacing w:before="5pt"/>
              <w:rPr>
                <w:color w:val="000000"/>
                <w:sz w:val="20"/>
              </w:rPr>
            </w:pPr>
          </w:p>
        </w:tc>
      </w:tr>
    </w:tbl>
    <w:p w14:paraId="0D60F03A" w14:textId="77777777" w:rsidR="00A77B3E" w:rsidRDefault="00A77B3E">
      <w:pPr>
        <w:spacing w:before="5pt"/>
        <w:rPr>
          <w:color w:val="000000"/>
          <w:sz w:val="20"/>
        </w:rPr>
      </w:pPr>
    </w:p>
    <w:p w14:paraId="5AEC96A5" w14:textId="77777777" w:rsidR="00A77B3E" w:rsidRDefault="00B16CCF">
      <w:pPr>
        <w:pStyle w:val="Naslov4"/>
        <w:spacing w:before="5pt" w:after="0pt"/>
        <w:rPr>
          <w:b w:val="0"/>
          <w:color w:val="000000"/>
          <w:sz w:val="24"/>
        </w:rPr>
      </w:pPr>
      <w:bookmarkStart w:id="257" w:name="_Toc256001018"/>
      <w:r>
        <w:rPr>
          <w:b w:val="0"/>
          <w:color w:val="000000"/>
          <w:sz w:val="24"/>
        </w:rPr>
        <w:t>2.1.1.1.3. Okvirna razčlenitev načrtovanih sredstev (EU) glede na vrsto ukrepa</w:t>
      </w:r>
      <w:bookmarkEnd w:id="257"/>
    </w:p>
    <w:p w14:paraId="415C0CE9" w14:textId="77777777" w:rsidR="00A77B3E" w:rsidRDefault="00A77B3E">
      <w:pPr>
        <w:spacing w:before="5pt"/>
        <w:rPr>
          <w:color w:val="000000"/>
          <w:sz w:val="0"/>
        </w:rPr>
      </w:pPr>
    </w:p>
    <w:p w14:paraId="03681FBD" w14:textId="77777777" w:rsidR="00A77B3E" w:rsidRDefault="00B16CCF">
      <w:pPr>
        <w:spacing w:before="5pt"/>
        <w:rPr>
          <w:color w:val="000000"/>
          <w:sz w:val="0"/>
        </w:rPr>
      </w:pPr>
      <w:r>
        <w:rPr>
          <w:color w:val="000000"/>
        </w:rPr>
        <w:t>Sklic: člen 22(3)(d)(viii) uredbe o skupnih določbah</w:t>
      </w:r>
    </w:p>
    <w:p w14:paraId="4C964803" w14:textId="77777777" w:rsidR="00A77B3E" w:rsidRDefault="00B16CCF">
      <w:pPr>
        <w:pStyle w:val="Naslov5"/>
        <w:spacing w:before="5pt" w:after="0pt"/>
        <w:rPr>
          <w:b w:val="0"/>
          <w:i w:val="0"/>
          <w:color w:val="000000"/>
          <w:sz w:val="24"/>
        </w:rPr>
      </w:pPr>
      <w:bookmarkStart w:id="258" w:name="_Toc256001019"/>
      <w:r>
        <w:rPr>
          <w:b w:val="0"/>
          <w:i w:val="0"/>
          <w:color w:val="000000"/>
          <w:sz w:val="24"/>
        </w:rPr>
        <w:t>Tabela 4: Razsežnost 1 – področje ukrepanja</w:t>
      </w:r>
      <w:bookmarkEnd w:id="258"/>
    </w:p>
    <w:p w14:paraId="3C55775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342"/>
        <w:gridCol w:w="2161"/>
        <w:gridCol w:w="2290"/>
        <w:gridCol w:w="2239"/>
        <w:gridCol w:w="2961"/>
        <w:gridCol w:w="3179"/>
      </w:tblGrid>
      <w:tr w:rsidR="00823317" w14:paraId="2303944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CF9BFF"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A04E3D"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E67ABD"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FF72CF"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E45A58"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6AD894" w14:textId="77777777" w:rsidR="00A77B3E" w:rsidRDefault="00B16CCF">
            <w:pPr>
              <w:spacing w:before="5pt"/>
              <w:jc w:val="center"/>
              <w:rPr>
                <w:color w:val="000000"/>
                <w:sz w:val="20"/>
              </w:rPr>
            </w:pPr>
            <w:r>
              <w:rPr>
                <w:color w:val="000000"/>
                <w:sz w:val="20"/>
              </w:rPr>
              <w:t>Znesek (v EUR)</w:t>
            </w:r>
          </w:p>
        </w:tc>
      </w:tr>
      <w:tr w:rsidR="00823317" w14:paraId="5B00E8F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5C8B49"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585666" w14:textId="77777777" w:rsidR="00A77B3E" w:rsidRDefault="00B16CCF">
            <w:pPr>
              <w:spacing w:before="5pt"/>
              <w:rPr>
                <w:color w:val="000000"/>
                <w:sz w:val="20"/>
              </w:rPr>
            </w:pPr>
            <w:r>
              <w:rPr>
                <w:color w:val="000000"/>
                <w:sz w:val="20"/>
              </w:rPr>
              <w:t>RSO2.5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F74997" w14:textId="77777777" w:rsidR="00A77B3E" w:rsidRDefault="00B16CCF">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CF0B16"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E90DAD" w14:textId="77777777" w:rsidR="00A77B3E" w:rsidRDefault="00B16CCF">
            <w:pPr>
              <w:spacing w:before="5pt"/>
              <w:rPr>
                <w:color w:val="000000"/>
                <w:sz w:val="20"/>
              </w:rPr>
            </w:pPr>
            <w:r>
              <w:rPr>
                <w:color w:val="000000"/>
                <w:sz w:val="20"/>
              </w:rPr>
              <w:t>062. Oskrba z vodo za prehrano ljudi (infrastruktura za pridobivanje, čiščenje, shranjevanje in distribucijo, ukrepi za večjo učinkovitost, oskrba s pitno vodo)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BE9903" w14:textId="77777777" w:rsidR="00A77B3E" w:rsidRDefault="00B16CCF">
            <w:pPr>
              <w:spacing w:before="5pt"/>
              <w:jc w:val="end"/>
              <w:rPr>
                <w:color w:val="000000"/>
                <w:sz w:val="20"/>
              </w:rPr>
            </w:pPr>
            <w:r>
              <w:rPr>
                <w:color w:val="000000"/>
                <w:sz w:val="20"/>
              </w:rPr>
              <w:t>61.430.000,00</w:t>
            </w:r>
          </w:p>
        </w:tc>
      </w:tr>
      <w:tr w:rsidR="00823317" w14:paraId="369166D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F66D0D"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C26856" w14:textId="77777777" w:rsidR="00A77B3E" w:rsidRDefault="00B16CCF">
            <w:pPr>
              <w:spacing w:before="5pt"/>
              <w:rPr>
                <w:color w:val="000000"/>
                <w:sz w:val="20"/>
              </w:rPr>
            </w:pPr>
            <w:r>
              <w:rPr>
                <w:color w:val="000000"/>
                <w:sz w:val="20"/>
              </w:rPr>
              <w:t>RSO2.5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297233" w14:textId="77777777" w:rsidR="00A77B3E" w:rsidRDefault="00B16CCF">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0EE8E4"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094EEA" w14:textId="77777777" w:rsidR="00A77B3E" w:rsidRDefault="00B16CCF">
            <w:pPr>
              <w:spacing w:before="5pt"/>
              <w:rPr>
                <w:color w:val="000000"/>
                <w:sz w:val="20"/>
              </w:rPr>
            </w:pPr>
            <w:r>
              <w:rPr>
                <w:color w:val="000000"/>
                <w:sz w:val="20"/>
              </w:rPr>
              <w:t>066. Zbiranje in čiščenje odpadne vode v skladu z merili energijske učinkovitosti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2549EA" w14:textId="77777777" w:rsidR="00A77B3E" w:rsidRDefault="00B16CCF">
            <w:pPr>
              <w:spacing w:before="5pt"/>
              <w:jc w:val="end"/>
              <w:rPr>
                <w:color w:val="000000"/>
                <w:sz w:val="20"/>
              </w:rPr>
            </w:pPr>
            <w:r>
              <w:rPr>
                <w:color w:val="000000"/>
                <w:sz w:val="20"/>
              </w:rPr>
              <w:t>76.920.000,00</w:t>
            </w:r>
          </w:p>
        </w:tc>
      </w:tr>
      <w:tr w:rsidR="00823317" w14:paraId="2E497EF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23B907"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7DF060" w14:textId="77777777" w:rsidR="00A77B3E" w:rsidRDefault="00B16CCF">
            <w:pPr>
              <w:spacing w:before="5pt"/>
              <w:rPr>
                <w:color w:val="000000"/>
                <w:sz w:val="20"/>
              </w:rPr>
            </w:pPr>
            <w:r>
              <w:rPr>
                <w:color w:val="000000"/>
                <w:sz w:val="20"/>
              </w:rPr>
              <w:t>RSO2.5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7B5A82"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4C1092"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249C69"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914D26" w14:textId="77777777" w:rsidR="00A77B3E" w:rsidRDefault="00B16CCF">
            <w:pPr>
              <w:spacing w:before="5pt"/>
              <w:jc w:val="end"/>
              <w:rPr>
                <w:color w:val="000000"/>
                <w:sz w:val="20"/>
              </w:rPr>
            </w:pPr>
            <w:r>
              <w:rPr>
                <w:color w:val="000000"/>
                <w:sz w:val="20"/>
              </w:rPr>
              <w:t>138.350.000,00</w:t>
            </w:r>
          </w:p>
        </w:tc>
      </w:tr>
    </w:tbl>
    <w:p w14:paraId="54980971" w14:textId="77777777" w:rsidR="00A77B3E" w:rsidRDefault="00A77B3E">
      <w:pPr>
        <w:spacing w:before="5pt"/>
        <w:rPr>
          <w:color w:val="000000"/>
          <w:sz w:val="20"/>
        </w:rPr>
      </w:pPr>
    </w:p>
    <w:p w14:paraId="67AF13BB" w14:textId="77777777" w:rsidR="00A77B3E" w:rsidRDefault="00B16CCF">
      <w:pPr>
        <w:pStyle w:val="Naslov5"/>
        <w:spacing w:before="5pt" w:after="0pt"/>
        <w:rPr>
          <w:b w:val="0"/>
          <w:i w:val="0"/>
          <w:color w:val="000000"/>
          <w:sz w:val="24"/>
        </w:rPr>
      </w:pPr>
      <w:bookmarkStart w:id="259" w:name="_Toc256001020"/>
      <w:r>
        <w:rPr>
          <w:b w:val="0"/>
          <w:i w:val="0"/>
          <w:color w:val="000000"/>
          <w:sz w:val="24"/>
        </w:rPr>
        <w:t>Tabela 5: Razsežnost 2 – oblika financiranja</w:t>
      </w:r>
      <w:bookmarkEnd w:id="259"/>
    </w:p>
    <w:p w14:paraId="4294EB6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25"/>
        <w:gridCol w:w="2237"/>
        <w:gridCol w:w="2371"/>
        <w:gridCol w:w="2318"/>
        <w:gridCol w:w="2530"/>
        <w:gridCol w:w="3291"/>
      </w:tblGrid>
      <w:tr w:rsidR="00823317" w14:paraId="336CE53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180C5C"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9F10DF"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57009F"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CBFA3C9"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FB2F8E"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5C5D1D" w14:textId="77777777" w:rsidR="00A77B3E" w:rsidRDefault="00B16CCF">
            <w:pPr>
              <w:spacing w:before="5pt"/>
              <w:jc w:val="center"/>
              <w:rPr>
                <w:color w:val="000000"/>
                <w:sz w:val="20"/>
              </w:rPr>
            </w:pPr>
            <w:r>
              <w:rPr>
                <w:color w:val="000000"/>
                <w:sz w:val="20"/>
              </w:rPr>
              <w:t>Znesek (v EUR)</w:t>
            </w:r>
          </w:p>
        </w:tc>
      </w:tr>
      <w:tr w:rsidR="00823317" w14:paraId="7FF4528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A189D3"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315B9E" w14:textId="77777777" w:rsidR="00A77B3E" w:rsidRDefault="00B16CCF">
            <w:pPr>
              <w:spacing w:before="5pt"/>
              <w:rPr>
                <w:color w:val="000000"/>
                <w:sz w:val="20"/>
              </w:rPr>
            </w:pPr>
            <w:r>
              <w:rPr>
                <w:color w:val="000000"/>
                <w:sz w:val="20"/>
              </w:rPr>
              <w:t>RSO2.5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946888" w14:textId="77777777" w:rsidR="00A77B3E" w:rsidRDefault="00B16CCF">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7B02B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243A76" w14:textId="77777777" w:rsidR="00A77B3E" w:rsidRDefault="00B16CCF">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E3B71C" w14:textId="77777777" w:rsidR="00A77B3E" w:rsidRDefault="00B16CCF">
            <w:pPr>
              <w:spacing w:before="5pt"/>
              <w:jc w:val="end"/>
              <w:rPr>
                <w:color w:val="000000"/>
                <w:sz w:val="20"/>
              </w:rPr>
            </w:pPr>
            <w:r>
              <w:rPr>
                <w:color w:val="000000"/>
                <w:sz w:val="20"/>
              </w:rPr>
              <w:t>138.350.000,00</w:t>
            </w:r>
          </w:p>
        </w:tc>
      </w:tr>
      <w:tr w:rsidR="00823317" w14:paraId="1D18DD5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102A4A"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3339EB" w14:textId="77777777" w:rsidR="00A77B3E" w:rsidRDefault="00B16CCF">
            <w:pPr>
              <w:spacing w:before="5pt"/>
              <w:rPr>
                <w:color w:val="000000"/>
                <w:sz w:val="20"/>
              </w:rPr>
            </w:pPr>
            <w:r>
              <w:rPr>
                <w:color w:val="000000"/>
                <w:sz w:val="20"/>
              </w:rPr>
              <w:t>RSO2.5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41A877"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E8AAA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E6D4A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79EA28" w14:textId="77777777" w:rsidR="00A77B3E" w:rsidRDefault="00B16CCF">
            <w:pPr>
              <w:spacing w:before="5pt"/>
              <w:jc w:val="end"/>
              <w:rPr>
                <w:color w:val="000000"/>
                <w:sz w:val="20"/>
              </w:rPr>
            </w:pPr>
            <w:r>
              <w:rPr>
                <w:color w:val="000000"/>
                <w:sz w:val="20"/>
              </w:rPr>
              <w:t>138.350.000,00</w:t>
            </w:r>
          </w:p>
        </w:tc>
      </w:tr>
    </w:tbl>
    <w:p w14:paraId="5DF13B02" w14:textId="77777777" w:rsidR="00A77B3E" w:rsidRDefault="00A77B3E">
      <w:pPr>
        <w:spacing w:before="5pt"/>
        <w:rPr>
          <w:color w:val="000000"/>
          <w:sz w:val="20"/>
        </w:rPr>
      </w:pPr>
    </w:p>
    <w:p w14:paraId="0A71B018" w14:textId="77777777" w:rsidR="00A77B3E" w:rsidRDefault="00B16CCF">
      <w:pPr>
        <w:pStyle w:val="Naslov5"/>
        <w:spacing w:before="5pt" w:after="0pt"/>
        <w:rPr>
          <w:b w:val="0"/>
          <w:i w:val="0"/>
          <w:color w:val="000000"/>
          <w:sz w:val="24"/>
        </w:rPr>
      </w:pPr>
      <w:bookmarkStart w:id="260" w:name="_Toc256001021"/>
      <w:r>
        <w:rPr>
          <w:b w:val="0"/>
          <w:i w:val="0"/>
          <w:color w:val="000000"/>
          <w:sz w:val="24"/>
        </w:rPr>
        <w:t>Tabela 6: Razsežnost 3 – mehanizem za ozemeljsko izvrševanje in ozemeljski pristop</w:t>
      </w:r>
      <w:bookmarkEnd w:id="260"/>
    </w:p>
    <w:p w14:paraId="467D3F9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365"/>
        <w:gridCol w:w="2183"/>
        <w:gridCol w:w="2314"/>
        <w:gridCol w:w="2263"/>
        <w:gridCol w:w="2835"/>
        <w:gridCol w:w="3212"/>
      </w:tblGrid>
      <w:tr w:rsidR="00823317" w14:paraId="148AF13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FC7604"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485736"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4691B4"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506D20"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772A15"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965015" w14:textId="77777777" w:rsidR="00A77B3E" w:rsidRDefault="00B16CCF">
            <w:pPr>
              <w:spacing w:before="5pt"/>
              <w:jc w:val="center"/>
              <w:rPr>
                <w:color w:val="000000"/>
                <w:sz w:val="20"/>
              </w:rPr>
            </w:pPr>
            <w:r>
              <w:rPr>
                <w:color w:val="000000"/>
                <w:sz w:val="20"/>
              </w:rPr>
              <w:t>Znesek (v EUR)</w:t>
            </w:r>
          </w:p>
        </w:tc>
      </w:tr>
      <w:tr w:rsidR="00823317" w14:paraId="7261955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53F484"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D82E43" w14:textId="77777777" w:rsidR="00A77B3E" w:rsidRDefault="00B16CCF">
            <w:pPr>
              <w:spacing w:before="5pt"/>
              <w:rPr>
                <w:color w:val="000000"/>
                <w:sz w:val="20"/>
              </w:rPr>
            </w:pPr>
            <w:r>
              <w:rPr>
                <w:color w:val="000000"/>
                <w:sz w:val="20"/>
              </w:rPr>
              <w:t>RSO2.5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73B708" w14:textId="77777777" w:rsidR="00A77B3E" w:rsidRDefault="00B16CCF">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415697"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A3D0E6" w14:textId="77777777" w:rsidR="00A77B3E" w:rsidRDefault="00B16CCF">
            <w:pPr>
              <w:spacing w:before="5pt"/>
              <w:rPr>
                <w:color w:val="000000"/>
                <w:sz w:val="20"/>
              </w:rPr>
            </w:pPr>
            <w:r>
              <w:rPr>
                <w:color w:val="000000"/>
                <w:sz w:val="20"/>
              </w:rPr>
              <w:t>24. Druge vrste teritorialnega orodja – druge vrste ciljnih ozemelj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91CC91" w14:textId="77777777" w:rsidR="00A77B3E" w:rsidRDefault="00B16CCF">
            <w:pPr>
              <w:spacing w:before="5pt"/>
              <w:jc w:val="end"/>
              <w:rPr>
                <w:color w:val="000000"/>
                <w:sz w:val="20"/>
              </w:rPr>
            </w:pPr>
            <w:r>
              <w:rPr>
                <w:color w:val="000000"/>
                <w:sz w:val="20"/>
              </w:rPr>
              <w:t>76.920.000,00</w:t>
            </w:r>
          </w:p>
        </w:tc>
      </w:tr>
      <w:tr w:rsidR="00823317" w14:paraId="2098740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AA1892"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7D7248" w14:textId="77777777" w:rsidR="00A77B3E" w:rsidRDefault="00B16CCF">
            <w:pPr>
              <w:spacing w:before="5pt"/>
              <w:rPr>
                <w:color w:val="000000"/>
                <w:sz w:val="20"/>
              </w:rPr>
            </w:pPr>
            <w:r>
              <w:rPr>
                <w:color w:val="000000"/>
                <w:sz w:val="20"/>
              </w:rPr>
              <w:t>RSO2.5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95F471" w14:textId="77777777" w:rsidR="00A77B3E" w:rsidRDefault="00B16CCF">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CF8D6A"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70C05F" w14:textId="77777777" w:rsidR="00A77B3E" w:rsidRDefault="00B16CCF">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90E471" w14:textId="77777777" w:rsidR="00A77B3E" w:rsidRDefault="00B16CCF">
            <w:pPr>
              <w:spacing w:before="5pt"/>
              <w:jc w:val="end"/>
              <w:rPr>
                <w:color w:val="000000"/>
                <w:sz w:val="20"/>
              </w:rPr>
            </w:pPr>
            <w:r>
              <w:rPr>
                <w:color w:val="000000"/>
                <w:sz w:val="20"/>
              </w:rPr>
              <w:t>61.430.000,00</w:t>
            </w:r>
          </w:p>
        </w:tc>
      </w:tr>
      <w:tr w:rsidR="00823317" w14:paraId="488324E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A90EFC"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B0A17A" w14:textId="77777777" w:rsidR="00A77B3E" w:rsidRDefault="00B16CCF">
            <w:pPr>
              <w:spacing w:before="5pt"/>
              <w:rPr>
                <w:color w:val="000000"/>
                <w:sz w:val="20"/>
              </w:rPr>
            </w:pPr>
            <w:r>
              <w:rPr>
                <w:color w:val="000000"/>
                <w:sz w:val="20"/>
              </w:rPr>
              <w:t>RSO2.5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2FAD8C"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21A0B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203414"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7A8669" w14:textId="77777777" w:rsidR="00A77B3E" w:rsidRDefault="00B16CCF">
            <w:pPr>
              <w:spacing w:before="5pt"/>
              <w:jc w:val="end"/>
              <w:rPr>
                <w:color w:val="000000"/>
                <w:sz w:val="20"/>
              </w:rPr>
            </w:pPr>
            <w:r>
              <w:rPr>
                <w:color w:val="000000"/>
                <w:sz w:val="20"/>
              </w:rPr>
              <w:t>138.350.000,00</w:t>
            </w:r>
          </w:p>
        </w:tc>
      </w:tr>
    </w:tbl>
    <w:p w14:paraId="6A2B18E1" w14:textId="77777777" w:rsidR="00A77B3E" w:rsidRDefault="00A77B3E">
      <w:pPr>
        <w:spacing w:before="5pt"/>
        <w:rPr>
          <w:color w:val="000000"/>
          <w:sz w:val="20"/>
        </w:rPr>
      </w:pPr>
    </w:p>
    <w:p w14:paraId="12666D65" w14:textId="77777777" w:rsidR="00A77B3E" w:rsidRDefault="00B16CCF">
      <w:pPr>
        <w:pStyle w:val="Naslov5"/>
        <w:spacing w:before="5pt" w:after="0pt"/>
        <w:rPr>
          <w:b w:val="0"/>
          <w:i w:val="0"/>
          <w:color w:val="000000"/>
          <w:sz w:val="24"/>
        </w:rPr>
      </w:pPr>
      <w:bookmarkStart w:id="261" w:name="_Toc256001022"/>
      <w:r>
        <w:rPr>
          <w:b w:val="0"/>
          <w:i w:val="0"/>
          <w:color w:val="000000"/>
          <w:sz w:val="24"/>
        </w:rPr>
        <w:t>Tabela 7: Razsežnost 6 – sekundarna področja ESS+</w:t>
      </w:r>
      <w:bookmarkEnd w:id="261"/>
    </w:p>
    <w:p w14:paraId="7E7F869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117"/>
        <w:gridCol w:w="2877"/>
        <w:gridCol w:w="1780"/>
        <w:gridCol w:w="2982"/>
        <w:gridCol w:w="2259"/>
        <w:gridCol w:w="2157"/>
      </w:tblGrid>
      <w:tr w:rsidR="00823317" w14:paraId="1B64182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5C4DCF"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220C7D"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45EEDB"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E8FA10"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CDFB9E"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3AEB5D" w14:textId="77777777" w:rsidR="00A77B3E" w:rsidRDefault="00B16CCF">
            <w:pPr>
              <w:spacing w:before="5pt"/>
              <w:jc w:val="center"/>
              <w:rPr>
                <w:color w:val="000000"/>
                <w:sz w:val="20"/>
              </w:rPr>
            </w:pPr>
            <w:r>
              <w:rPr>
                <w:color w:val="000000"/>
                <w:sz w:val="20"/>
              </w:rPr>
              <w:t>Znesek (v EUR)</w:t>
            </w:r>
          </w:p>
        </w:tc>
      </w:tr>
    </w:tbl>
    <w:p w14:paraId="69FEF03F" w14:textId="77777777" w:rsidR="00A77B3E" w:rsidRDefault="00A77B3E">
      <w:pPr>
        <w:spacing w:before="5pt"/>
        <w:rPr>
          <w:color w:val="000000"/>
          <w:sz w:val="20"/>
        </w:rPr>
      </w:pPr>
    </w:p>
    <w:p w14:paraId="7453928D" w14:textId="77777777" w:rsidR="00A77B3E" w:rsidRDefault="00B16CCF">
      <w:pPr>
        <w:pStyle w:val="Naslov5"/>
        <w:spacing w:before="5pt" w:after="0pt"/>
        <w:rPr>
          <w:b w:val="0"/>
          <w:i w:val="0"/>
          <w:color w:val="000000"/>
          <w:sz w:val="24"/>
        </w:rPr>
      </w:pPr>
      <w:bookmarkStart w:id="262" w:name="_Toc256001023"/>
      <w:r>
        <w:rPr>
          <w:b w:val="0"/>
          <w:i w:val="0"/>
          <w:color w:val="000000"/>
          <w:sz w:val="24"/>
        </w:rPr>
        <w:t>Tabela 8: Razsežnost 7 – razsežnost enakosti spolov v okviru ESS+*, ESRR, Kohezijskega sklada in SPP</w:t>
      </w:r>
      <w:bookmarkEnd w:id="262"/>
    </w:p>
    <w:p w14:paraId="452A1A1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41"/>
        <w:gridCol w:w="2252"/>
        <w:gridCol w:w="2388"/>
        <w:gridCol w:w="2335"/>
        <w:gridCol w:w="2441"/>
        <w:gridCol w:w="3315"/>
      </w:tblGrid>
      <w:tr w:rsidR="00823317" w14:paraId="076BE5B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38C424"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C991B6"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E7DE0B"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3E0730"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A6A950"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BA12B2" w14:textId="77777777" w:rsidR="00A77B3E" w:rsidRDefault="00B16CCF">
            <w:pPr>
              <w:spacing w:before="5pt"/>
              <w:jc w:val="center"/>
              <w:rPr>
                <w:color w:val="000000"/>
                <w:sz w:val="20"/>
              </w:rPr>
            </w:pPr>
            <w:r>
              <w:rPr>
                <w:color w:val="000000"/>
                <w:sz w:val="20"/>
              </w:rPr>
              <w:t>Znesek (v EUR)</w:t>
            </w:r>
          </w:p>
        </w:tc>
      </w:tr>
      <w:tr w:rsidR="00823317" w14:paraId="4C6EA3E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58A061"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0D8F97" w14:textId="77777777" w:rsidR="00A77B3E" w:rsidRDefault="00B16CCF">
            <w:pPr>
              <w:spacing w:before="5pt"/>
              <w:rPr>
                <w:color w:val="000000"/>
                <w:sz w:val="20"/>
              </w:rPr>
            </w:pPr>
            <w:r>
              <w:rPr>
                <w:color w:val="000000"/>
                <w:sz w:val="20"/>
              </w:rPr>
              <w:t>RSO2.5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4A7257" w14:textId="77777777" w:rsidR="00A77B3E" w:rsidRDefault="00B16CCF">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114F5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1CBCDB" w14:textId="77777777" w:rsidR="00A77B3E" w:rsidRDefault="00B16CCF">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85DCA7" w14:textId="77777777" w:rsidR="00A77B3E" w:rsidRDefault="00B16CCF">
            <w:pPr>
              <w:spacing w:before="5pt"/>
              <w:jc w:val="end"/>
              <w:rPr>
                <w:color w:val="000000"/>
                <w:sz w:val="20"/>
              </w:rPr>
            </w:pPr>
            <w:r>
              <w:rPr>
                <w:color w:val="000000"/>
                <w:sz w:val="20"/>
              </w:rPr>
              <w:t>138.350.000,00</w:t>
            </w:r>
          </w:p>
        </w:tc>
      </w:tr>
      <w:tr w:rsidR="00823317" w14:paraId="77F2F5B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926EFE"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B8E834" w14:textId="77777777" w:rsidR="00A77B3E" w:rsidRDefault="00B16CCF">
            <w:pPr>
              <w:spacing w:before="5pt"/>
              <w:rPr>
                <w:color w:val="000000"/>
                <w:sz w:val="20"/>
              </w:rPr>
            </w:pPr>
            <w:r>
              <w:rPr>
                <w:color w:val="000000"/>
                <w:sz w:val="20"/>
              </w:rPr>
              <w:t>RSO2.5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B0FC3E"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C998D7"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F91A1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69CD39" w14:textId="77777777" w:rsidR="00A77B3E" w:rsidRDefault="00B16CCF">
            <w:pPr>
              <w:spacing w:before="5pt"/>
              <w:jc w:val="end"/>
              <w:rPr>
                <w:color w:val="000000"/>
                <w:sz w:val="20"/>
              </w:rPr>
            </w:pPr>
            <w:r>
              <w:rPr>
                <w:color w:val="000000"/>
                <w:sz w:val="20"/>
              </w:rPr>
              <w:t>138.350.000,00</w:t>
            </w:r>
          </w:p>
        </w:tc>
      </w:tr>
    </w:tbl>
    <w:p w14:paraId="3ECA8BC2" w14:textId="77777777" w:rsidR="00A77B3E" w:rsidRDefault="00B16CCF">
      <w:pPr>
        <w:spacing w:before="5pt"/>
        <w:rPr>
          <w:color w:val="000000"/>
          <w:sz w:val="20"/>
        </w:rPr>
      </w:pPr>
      <w:r>
        <w:rPr>
          <w:color w:val="000000"/>
          <w:sz w:val="20"/>
        </w:rPr>
        <w:t>* Načeloma 40 % za ESS+ prispeva k spremljanju enakosti spolov. 100 % se uporabi, kadar se država članica odloči za uporabo člena 6 uredbe o ESS+.</w:t>
      </w:r>
    </w:p>
    <w:p w14:paraId="7B60768D" w14:textId="77777777" w:rsidR="00A77B3E" w:rsidRDefault="00B16CCF">
      <w:pPr>
        <w:pStyle w:val="Naslov4"/>
        <w:spacing w:before="5pt" w:after="0pt"/>
        <w:rPr>
          <w:b w:val="0"/>
          <w:color w:val="000000"/>
          <w:sz w:val="24"/>
        </w:rPr>
      </w:pPr>
      <w:r>
        <w:rPr>
          <w:b w:val="0"/>
          <w:color w:val="000000"/>
          <w:sz w:val="24"/>
        </w:rPr>
        <w:br w:type="page"/>
      </w:r>
      <w:bookmarkStart w:id="263" w:name="_Toc256001024"/>
      <w:r>
        <w:rPr>
          <w:b w:val="0"/>
          <w:color w:val="000000"/>
          <w:sz w:val="24"/>
        </w:rPr>
        <w:lastRenderedPageBreak/>
        <w:t>2.1.1.1. Specifični cilj: RSO2.7. Izboljšanje varstva in ohranjanja narave ter biotske raznovrstnosti in zelene infrastrukture, tudi v mestnem okolju, in zmanjšanje vseh oblik onesnaževanja (Kohezijski sklad)</w:t>
      </w:r>
      <w:bookmarkEnd w:id="263"/>
    </w:p>
    <w:p w14:paraId="3EB100B3" w14:textId="77777777" w:rsidR="00A77B3E" w:rsidRDefault="00A77B3E">
      <w:pPr>
        <w:spacing w:before="5pt"/>
        <w:rPr>
          <w:color w:val="000000"/>
          <w:sz w:val="0"/>
        </w:rPr>
      </w:pPr>
    </w:p>
    <w:p w14:paraId="2774A813" w14:textId="77777777" w:rsidR="00A77B3E" w:rsidRDefault="00B16CCF">
      <w:pPr>
        <w:pStyle w:val="Naslov4"/>
        <w:spacing w:before="5pt" w:after="0pt"/>
        <w:rPr>
          <w:b w:val="0"/>
          <w:color w:val="000000"/>
          <w:sz w:val="24"/>
        </w:rPr>
      </w:pPr>
      <w:bookmarkStart w:id="264" w:name="_Toc256001025"/>
      <w:r>
        <w:rPr>
          <w:b w:val="0"/>
          <w:color w:val="000000"/>
          <w:sz w:val="24"/>
        </w:rPr>
        <w:t>2.1.1.1.1. Ukrepi skladov</w:t>
      </w:r>
      <w:bookmarkEnd w:id="264"/>
    </w:p>
    <w:p w14:paraId="41609A99" w14:textId="77777777" w:rsidR="00A77B3E" w:rsidRDefault="00A77B3E">
      <w:pPr>
        <w:spacing w:before="5pt"/>
        <w:rPr>
          <w:color w:val="000000"/>
          <w:sz w:val="0"/>
        </w:rPr>
      </w:pPr>
    </w:p>
    <w:p w14:paraId="3217B42D" w14:textId="77777777" w:rsidR="00A77B3E" w:rsidRDefault="00B16CCF">
      <w:pPr>
        <w:spacing w:before="5pt"/>
        <w:rPr>
          <w:color w:val="000000"/>
          <w:sz w:val="0"/>
        </w:rPr>
      </w:pPr>
      <w:r>
        <w:rPr>
          <w:color w:val="000000"/>
        </w:rPr>
        <w:t>Sklic: člen 22(3)(d)(i), (iii), (iv), (v), (vi) in (vii) uredbe o skupnih določbah</w:t>
      </w:r>
    </w:p>
    <w:p w14:paraId="5267FEF5" w14:textId="77777777" w:rsidR="00A77B3E" w:rsidRDefault="00B16CCF">
      <w:pPr>
        <w:pStyle w:val="Naslov5"/>
        <w:spacing w:before="5pt" w:after="0pt"/>
        <w:rPr>
          <w:b w:val="0"/>
          <w:i w:val="0"/>
          <w:color w:val="000000"/>
          <w:sz w:val="24"/>
        </w:rPr>
      </w:pPr>
      <w:bookmarkStart w:id="265" w:name="_Toc256001026"/>
      <w:r>
        <w:rPr>
          <w:b w:val="0"/>
          <w:i w:val="0"/>
          <w:color w:val="000000"/>
          <w:sz w:val="24"/>
        </w:rPr>
        <w:t>Povezane vrste ukrepov – člen 22(3)(d)(i) uredbe o skupnih določbah in člen 6 uredbe o ESS+:</w:t>
      </w:r>
      <w:bookmarkEnd w:id="265"/>
    </w:p>
    <w:p w14:paraId="7AACEA5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779F0602"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A64C84" w14:textId="77777777" w:rsidR="00A77B3E" w:rsidRDefault="00A77B3E">
            <w:pPr>
              <w:spacing w:before="5pt"/>
              <w:rPr>
                <w:color w:val="000000"/>
                <w:sz w:val="0"/>
              </w:rPr>
            </w:pPr>
          </w:p>
          <w:p w14:paraId="44D24031" w14:textId="77777777" w:rsidR="00A77B3E" w:rsidRDefault="00B16CCF">
            <w:pPr>
              <w:spacing w:before="5pt"/>
              <w:rPr>
                <w:color w:val="000000"/>
              </w:rPr>
            </w:pPr>
            <w:r>
              <w:rPr>
                <w:color w:val="000000"/>
              </w:rPr>
              <w:t>V okviru naslavljanja zmanjševanja vseh oblik onesnaževanja, se bomo osredotočili na področje izboljšanja kakovosti zraka. Vlaganja sredstev KS na tem specifičnem cilji bodo zato namenjena za:</w:t>
            </w:r>
          </w:p>
          <w:p w14:paraId="50F56247" w14:textId="77777777" w:rsidR="00A77B3E" w:rsidRDefault="00B16CCF">
            <w:pPr>
              <w:numPr>
                <w:ilvl w:val="0"/>
                <w:numId w:val="29"/>
              </w:numPr>
              <w:spacing w:before="5pt"/>
              <w:rPr>
                <w:color w:val="000000"/>
              </w:rPr>
            </w:pPr>
            <w:r>
              <w:rPr>
                <w:i/>
                <w:iCs/>
                <w:color w:val="000000"/>
              </w:rPr>
              <w:t>izboljšanje sistema seznanjanja in opozarjanja državljanov o onesnaženosti zunanjega zraka:</w:t>
            </w:r>
            <w:r>
              <w:rPr>
                <w:color w:val="000000"/>
              </w:rPr>
              <w:t xml:space="preserve"> za zagotovitev izpolnjevanja obveznosti Slovenije z določbami Direktive (EU) 2016/2284 Evropskega parlamenta in Sveta o zmanjšanju nacionalnih emisij za nekatera onesnaževala zraka (direktiva NEC), skladno z Operativnim programom nadzora nad onesnaževanjem zraka, se bo razširila merilna mreža za spremljanje kakovosti zunanjega zraka. Državna merilna mreža namreč trenutno obsega 21 merilnih mest, to so v večini merilna mesta v večjih slovenskih mestih in mestnih občinah (realizirano v EKP 2014-2020), ostajajo pa tudi bolj naseljena območja Slovenije, kjer meritev še ni zagotovljenih. V novi finančni perspektivi EKP 2021-2027 bo postavljenih 8 novih merilnih mest onesnaženosti zraka na območjih Slovenije, ki do sedaj še niso pokrita. Vse meritve bodo tudi vhodni podatek za modeliranje kakovosti zraka na celotnem območju Slovenije, zato bo izvedba ukrepa omogočila ustrezno načrtovanje politik in ukrepov za varstvo zraka tudi na področjih, kjer jih do sedaj še ni bilo. Za občasno spremljanje kakovosti zunanjega zraka na področjih, kjer ni stalnih meritev ali pa bi prišlo do izrednih dogodkov, se bo vzpostavilo mobilno postajo, ki bo omogočala izvedbo meritev v skladu s standardi kakovosti in obveščanja javnosti. V okviru ukrepa bo vzpostavljena tudi informacijska točka za prikazovanje podatkov o kakovosti zraka, ki bo namenjena vsem državljanom. Omenjeni podatki o kakovosti zraka bodo ključni tudi z vidika preverjanja učinkovitosti ukrepov in identifikacije dodatnih ukrepov za zagotovitev izpolnjevanja obveznosti Slovenije po direktivi NEC, skladno z Operativnim programom nadzora nad onesnaževanjem zraka.</w:t>
            </w:r>
          </w:p>
          <w:p w14:paraId="70C82CC2" w14:textId="77777777" w:rsidR="00A77B3E" w:rsidRDefault="00A77B3E">
            <w:pPr>
              <w:spacing w:before="5pt"/>
              <w:rPr>
                <w:color w:val="000000"/>
              </w:rPr>
            </w:pPr>
          </w:p>
          <w:p w14:paraId="4A6A0F0E" w14:textId="77777777" w:rsidR="00A77B3E" w:rsidRDefault="00B16CCF">
            <w:pPr>
              <w:spacing w:before="5pt"/>
              <w:rPr>
                <w:color w:val="000000"/>
              </w:rPr>
            </w:pPr>
            <w:r>
              <w:rPr>
                <w:color w:val="000000"/>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Noben izmed predvidenih ukrepov v okviru predmetnega specifičnega cilja glede na opravljeno oceno skladnosti z načelom DNSH po svoji naravi nima bistvenega škodljivega vpliva na katerega koli od šestih okoljskih ciljev ob upoštevanju tehničnih meril, navedenih v Prilogi: DNSH.</w:t>
            </w:r>
          </w:p>
          <w:p w14:paraId="61D05A3C" w14:textId="77777777" w:rsidR="00A77B3E" w:rsidRDefault="00A77B3E">
            <w:pPr>
              <w:spacing w:before="5pt"/>
              <w:rPr>
                <w:color w:val="000000"/>
                <w:sz w:val="6"/>
              </w:rPr>
            </w:pPr>
          </w:p>
          <w:p w14:paraId="11229AF3" w14:textId="77777777" w:rsidR="00A77B3E" w:rsidRDefault="00A77B3E">
            <w:pPr>
              <w:spacing w:before="5pt"/>
              <w:rPr>
                <w:color w:val="000000"/>
                <w:sz w:val="6"/>
              </w:rPr>
            </w:pPr>
          </w:p>
        </w:tc>
      </w:tr>
    </w:tbl>
    <w:p w14:paraId="2AB68199" w14:textId="77777777" w:rsidR="00A77B3E" w:rsidRDefault="00A77B3E">
      <w:pPr>
        <w:spacing w:before="5pt"/>
        <w:rPr>
          <w:color w:val="000000"/>
        </w:rPr>
      </w:pPr>
    </w:p>
    <w:p w14:paraId="3696A2A0" w14:textId="77777777" w:rsidR="00A77B3E" w:rsidRDefault="00B16CCF">
      <w:pPr>
        <w:pStyle w:val="Naslov5"/>
        <w:spacing w:before="5pt" w:after="0pt"/>
        <w:rPr>
          <w:b w:val="0"/>
          <w:i w:val="0"/>
          <w:color w:val="000000"/>
          <w:sz w:val="24"/>
        </w:rPr>
      </w:pPr>
      <w:bookmarkStart w:id="266" w:name="_Toc256001027"/>
      <w:r>
        <w:rPr>
          <w:b w:val="0"/>
          <w:i w:val="0"/>
          <w:color w:val="000000"/>
          <w:sz w:val="24"/>
        </w:rPr>
        <w:t>Glavne ciljne skupine – člen 22(3)(d)(iii) uredbe o skupnih določbah:</w:t>
      </w:r>
      <w:bookmarkEnd w:id="266"/>
    </w:p>
    <w:p w14:paraId="4BE9980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525CA111"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79744B" w14:textId="77777777" w:rsidR="00A77B3E" w:rsidRDefault="00A77B3E">
            <w:pPr>
              <w:spacing w:before="5pt"/>
              <w:rPr>
                <w:color w:val="000000"/>
                <w:sz w:val="0"/>
              </w:rPr>
            </w:pPr>
          </w:p>
          <w:p w14:paraId="5D6F4CD7" w14:textId="77777777" w:rsidR="00A77B3E" w:rsidRDefault="00B16CCF">
            <w:pPr>
              <w:spacing w:before="5pt"/>
              <w:rPr>
                <w:color w:val="000000"/>
              </w:rPr>
            </w:pPr>
            <w:r>
              <w:rPr>
                <w:color w:val="000000"/>
              </w:rPr>
              <w:t>Ciljne skupine: Agencija RS za okolje, lokalne skupnosti, gospodarstvo, prebivalci.</w:t>
            </w:r>
          </w:p>
          <w:p w14:paraId="11E3CE04" w14:textId="77777777" w:rsidR="00A77B3E" w:rsidRDefault="00A77B3E">
            <w:pPr>
              <w:spacing w:before="5pt"/>
              <w:rPr>
                <w:color w:val="000000"/>
              </w:rPr>
            </w:pPr>
          </w:p>
          <w:p w14:paraId="6B63373B" w14:textId="77777777" w:rsidR="00A77B3E" w:rsidRDefault="00B16CCF">
            <w:pPr>
              <w:spacing w:before="5pt"/>
              <w:rPr>
                <w:color w:val="000000"/>
              </w:rPr>
            </w:pPr>
            <w:r>
              <w:rPr>
                <w:color w:val="000000"/>
              </w:rPr>
              <w:t>Upravičenci: Agencija RS za okolje.</w:t>
            </w:r>
          </w:p>
          <w:p w14:paraId="584AD316" w14:textId="77777777" w:rsidR="00A77B3E" w:rsidRDefault="00A77B3E">
            <w:pPr>
              <w:spacing w:before="5pt"/>
              <w:rPr>
                <w:color w:val="000000"/>
                <w:sz w:val="6"/>
              </w:rPr>
            </w:pPr>
          </w:p>
          <w:p w14:paraId="4990C82F" w14:textId="77777777" w:rsidR="00A77B3E" w:rsidRDefault="00A77B3E">
            <w:pPr>
              <w:spacing w:before="5pt"/>
              <w:rPr>
                <w:color w:val="000000"/>
                <w:sz w:val="6"/>
              </w:rPr>
            </w:pPr>
          </w:p>
        </w:tc>
      </w:tr>
    </w:tbl>
    <w:p w14:paraId="469BFBE4" w14:textId="77777777" w:rsidR="00A77B3E" w:rsidRDefault="00A77B3E">
      <w:pPr>
        <w:spacing w:before="5pt"/>
        <w:rPr>
          <w:color w:val="000000"/>
        </w:rPr>
      </w:pPr>
    </w:p>
    <w:p w14:paraId="691B3730" w14:textId="77777777" w:rsidR="00A77B3E" w:rsidRDefault="00B16CCF">
      <w:pPr>
        <w:pStyle w:val="Naslov5"/>
        <w:spacing w:before="5pt" w:after="0pt"/>
        <w:rPr>
          <w:b w:val="0"/>
          <w:i w:val="0"/>
          <w:color w:val="000000"/>
          <w:sz w:val="24"/>
        </w:rPr>
      </w:pPr>
      <w:bookmarkStart w:id="267" w:name="_Toc256001028"/>
      <w:r>
        <w:rPr>
          <w:b w:val="0"/>
          <w:i w:val="0"/>
          <w:color w:val="000000"/>
          <w:sz w:val="24"/>
        </w:rPr>
        <w:t>Ukrepi za zaščito enakosti, vključenosti in nediskriminacije – člen 22(3)(d)(iv) uredbe o skupnih določbah in člen 6 uredbe o ESS+</w:t>
      </w:r>
      <w:bookmarkEnd w:id="267"/>
    </w:p>
    <w:p w14:paraId="542112B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0E89053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D7CE00" w14:textId="77777777" w:rsidR="00A77B3E" w:rsidRDefault="00A77B3E">
            <w:pPr>
              <w:spacing w:before="5pt"/>
              <w:rPr>
                <w:color w:val="000000"/>
                <w:sz w:val="0"/>
              </w:rPr>
            </w:pPr>
          </w:p>
          <w:p w14:paraId="59068F78" w14:textId="77777777" w:rsidR="00A77B3E" w:rsidRDefault="00B16CCF">
            <w:pPr>
              <w:spacing w:before="5pt"/>
              <w:rPr>
                <w:color w:val="000000"/>
              </w:rPr>
            </w:pPr>
            <w:r>
              <w:rPr>
                <w:color w:val="000000"/>
              </w:rPr>
              <w:t xml:space="preserve">Pri načrtovanju, izvedbi in spremljanju ukrepov bodo spoštovana načela enakosti spolov, enakih možnosti in nediskriminacije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 </w:t>
            </w:r>
          </w:p>
          <w:p w14:paraId="6BBAD4A5" w14:textId="77777777" w:rsidR="00A77B3E" w:rsidRDefault="00A77B3E">
            <w:pPr>
              <w:spacing w:before="5pt"/>
              <w:rPr>
                <w:color w:val="000000"/>
              </w:rPr>
            </w:pPr>
          </w:p>
          <w:p w14:paraId="797CA6EA" w14:textId="77777777" w:rsidR="00A77B3E" w:rsidRDefault="00B16CCF">
            <w:pPr>
              <w:spacing w:before="5pt"/>
              <w:rPr>
                <w:color w:val="000000"/>
              </w:rPr>
            </w:pPr>
            <w:r>
              <w:rPr>
                <w:color w:val="000000"/>
              </w:rPr>
              <w:t>Dodatno bodo pri izvajanju gradbenih ukrepov objekti izpolnjevali tehnične zahteve, s katerimi se prilagodijo tako, da so nediskriminatorni do vseh oblik začasne ali trajne invalidnosti in so prilagojeni ranljivim skupinam prebivalstva.</w:t>
            </w:r>
          </w:p>
          <w:p w14:paraId="3E1C4B48" w14:textId="77777777" w:rsidR="00A77B3E" w:rsidRDefault="00A77B3E">
            <w:pPr>
              <w:spacing w:before="5pt"/>
              <w:rPr>
                <w:color w:val="000000"/>
                <w:sz w:val="6"/>
              </w:rPr>
            </w:pPr>
          </w:p>
          <w:p w14:paraId="5E80CEC3" w14:textId="77777777" w:rsidR="00A77B3E" w:rsidRDefault="00A77B3E">
            <w:pPr>
              <w:spacing w:before="5pt"/>
              <w:rPr>
                <w:color w:val="000000"/>
                <w:sz w:val="6"/>
              </w:rPr>
            </w:pPr>
          </w:p>
        </w:tc>
      </w:tr>
    </w:tbl>
    <w:p w14:paraId="399A5B9C" w14:textId="77777777" w:rsidR="00A77B3E" w:rsidRDefault="00A77B3E">
      <w:pPr>
        <w:spacing w:before="5pt"/>
        <w:rPr>
          <w:color w:val="000000"/>
        </w:rPr>
      </w:pPr>
    </w:p>
    <w:p w14:paraId="71B94BD5" w14:textId="77777777" w:rsidR="00A77B3E" w:rsidRDefault="00B16CCF">
      <w:pPr>
        <w:pStyle w:val="Naslov5"/>
        <w:spacing w:before="5pt" w:after="0pt"/>
        <w:rPr>
          <w:b w:val="0"/>
          <w:i w:val="0"/>
          <w:color w:val="000000"/>
          <w:sz w:val="24"/>
        </w:rPr>
      </w:pPr>
      <w:bookmarkStart w:id="268" w:name="_Toc256001029"/>
      <w:r>
        <w:rPr>
          <w:b w:val="0"/>
          <w:i w:val="0"/>
          <w:color w:val="000000"/>
          <w:sz w:val="24"/>
        </w:rPr>
        <w:t>Navedba specifičnih ciljnih ozemelj, vključno z načrtovano uporabo teritorialnih orodij – člen 22(3)(d)(v) uredbe o skupnih določbah</w:t>
      </w:r>
      <w:bookmarkEnd w:id="268"/>
    </w:p>
    <w:p w14:paraId="6C9F144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5925127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D8CE6B" w14:textId="77777777" w:rsidR="00A77B3E" w:rsidRDefault="00A77B3E">
            <w:pPr>
              <w:spacing w:before="5pt"/>
              <w:rPr>
                <w:color w:val="000000"/>
                <w:sz w:val="0"/>
              </w:rPr>
            </w:pPr>
          </w:p>
          <w:p w14:paraId="71739963" w14:textId="77777777" w:rsidR="00A77B3E" w:rsidRDefault="00B16CCF">
            <w:pPr>
              <w:spacing w:before="5pt"/>
              <w:rPr>
                <w:color w:val="000000"/>
              </w:rPr>
            </w:pPr>
            <w:r>
              <w:rPr>
                <w:color w:val="000000"/>
              </w:rPr>
              <w:t>V okviru sredstev KS predmetnega specifičnega cilja se ne predvideva uporaba teritorialnih pristopov.</w:t>
            </w:r>
          </w:p>
          <w:p w14:paraId="7AD065D8" w14:textId="77777777" w:rsidR="00A77B3E" w:rsidRDefault="00A77B3E">
            <w:pPr>
              <w:spacing w:before="5pt"/>
              <w:rPr>
                <w:color w:val="000000"/>
                <w:sz w:val="6"/>
              </w:rPr>
            </w:pPr>
          </w:p>
          <w:p w14:paraId="27E00B7A" w14:textId="77777777" w:rsidR="00A77B3E" w:rsidRDefault="00A77B3E">
            <w:pPr>
              <w:spacing w:before="5pt"/>
              <w:rPr>
                <w:color w:val="000000"/>
                <w:sz w:val="6"/>
              </w:rPr>
            </w:pPr>
          </w:p>
        </w:tc>
      </w:tr>
    </w:tbl>
    <w:p w14:paraId="7E428CE9" w14:textId="77777777" w:rsidR="00A77B3E" w:rsidRDefault="00A77B3E">
      <w:pPr>
        <w:spacing w:before="5pt"/>
        <w:rPr>
          <w:color w:val="000000"/>
        </w:rPr>
      </w:pPr>
    </w:p>
    <w:p w14:paraId="5A24C87E" w14:textId="77777777" w:rsidR="00A77B3E" w:rsidRDefault="00B16CCF">
      <w:pPr>
        <w:pStyle w:val="Naslov5"/>
        <w:spacing w:before="5pt" w:after="0pt"/>
        <w:rPr>
          <w:b w:val="0"/>
          <w:i w:val="0"/>
          <w:color w:val="000000"/>
          <w:sz w:val="24"/>
        </w:rPr>
      </w:pPr>
      <w:bookmarkStart w:id="269" w:name="_Toc256001030"/>
      <w:r>
        <w:rPr>
          <w:b w:val="0"/>
          <w:i w:val="0"/>
          <w:color w:val="000000"/>
          <w:sz w:val="24"/>
        </w:rPr>
        <w:t>Medregionalni, čezmejni in transnacionalni ukrepi – člen 22(3)(d)(vi) uredbe o skupnih določbah</w:t>
      </w:r>
      <w:bookmarkEnd w:id="269"/>
    </w:p>
    <w:p w14:paraId="502C81B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343F10AC"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79DBB8" w14:textId="77777777" w:rsidR="00A77B3E" w:rsidRDefault="00A77B3E">
            <w:pPr>
              <w:spacing w:before="5pt"/>
              <w:rPr>
                <w:color w:val="000000"/>
                <w:sz w:val="0"/>
              </w:rPr>
            </w:pPr>
          </w:p>
          <w:p w14:paraId="1BEEF431" w14:textId="77777777" w:rsidR="00A77B3E" w:rsidRDefault="00B16CCF">
            <w:pPr>
              <w:spacing w:before="5pt"/>
              <w:rPr>
                <w:color w:val="000000"/>
              </w:rPr>
            </w:pPr>
            <w:r>
              <w:rPr>
                <w:color w:val="000000"/>
              </w:rPr>
              <w:t xml:space="preserve">Ukrep </w:t>
            </w:r>
            <w:r>
              <w:rPr>
                <w:i/>
                <w:iCs/>
                <w:color w:val="000000"/>
              </w:rPr>
              <w:t>izboljšanja sistema seznanjanja in opozarjanja državljanov o onesnaženosti zunanjega zraka</w:t>
            </w:r>
            <w:r>
              <w:rPr>
                <w:color w:val="000000"/>
              </w:rPr>
              <w:t xml:space="preserve"> je delno komplementaren z LIFE-IP PREPAIR (LIFE15 IPE IT 013) - Učinki ukrepov Dežel Padske nižine na kakovost zraka, kjer Slovenija sodeluje kot partner.</w:t>
            </w:r>
          </w:p>
          <w:p w14:paraId="391AC72E" w14:textId="77777777" w:rsidR="00A77B3E" w:rsidRDefault="00A77B3E">
            <w:pPr>
              <w:spacing w:before="5pt"/>
              <w:rPr>
                <w:color w:val="000000"/>
              </w:rPr>
            </w:pPr>
          </w:p>
          <w:p w14:paraId="5357FF36" w14:textId="77777777" w:rsidR="00A77B3E" w:rsidRDefault="00A77B3E">
            <w:pPr>
              <w:spacing w:before="5pt"/>
              <w:rPr>
                <w:color w:val="000000"/>
                <w:sz w:val="6"/>
              </w:rPr>
            </w:pPr>
          </w:p>
          <w:p w14:paraId="71E689BD" w14:textId="77777777" w:rsidR="00A77B3E" w:rsidRDefault="00A77B3E">
            <w:pPr>
              <w:spacing w:before="5pt"/>
              <w:rPr>
                <w:color w:val="000000"/>
                <w:sz w:val="6"/>
              </w:rPr>
            </w:pPr>
          </w:p>
        </w:tc>
      </w:tr>
    </w:tbl>
    <w:p w14:paraId="726F5772" w14:textId="77777777" w:rsidR="00A77B3E" w:rsidRDefault="00A77B3E">
      <w:pPr>
        <w:spacing w:before="5pt"/>
        <w:rPr>
          <w:color w:val="000000"/>
        </w:rPr>
      </w:pPr>
    </w:p>
    <w:p w14:paraId="347A9CC3" w14:textId="77777777" w:rsidR="00A77B3E" w:rsidRDefault="00B16CCF">
      <w:pPr>
        <w:pStyle w:val="Naslov5"/>
        <w:spacing w:before="5pt" w:after="0pt"/>
        <w:rPr>
          <w:b w:val="0"/>
          <w:i w:val="0"/>
          <w:color w:val="000000"/>
          <w:sz w:val="24"/>
        </w:rPr>
      </w:pPr>
      <w:bookmarkStart w:id="270" w:name="_Toc256001031"/>
      <w:r>
        <w:rPr>
          <w:b w:val="0"/>
          <w:i w:val="0"/>
          <w:color w:val="000000"/>
          <w:sz w:val="24"/>
        </w:rPr>
        <w:t>Načrtovana uporaba finančnih instrumentov – člen 22(3)(d)(vii) uredbe o skupnih določbah</w:t>
      </w:r>
      <w:bookmarkEnd w:id="270"/>
    </w:p>
    <w:p w14:paraId="5EDCB17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4DB6448E"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9201A5" w14:textId="77777777" w:rsidR="00A77B3E" w:rsidRDefault="00A77B3E">
            <w:pPr>
              <w:spacing w:before="5pt"/>
              <w:rPr>
                <w:color w:val="000000"/>
                <w:sz w:val="0"/>
              </w:rPr>
            </w:pPr>
          </w:p>
          <w:p w14:paraId="2355ECBD" w14:textId="77777777" w:rsidR="00A77B3E" w:rsidRDefault="00B16CCF">
            <w:pPr>
              <w:spacing w:before="5pt"/>
              <w:rPr>
                <w:color w:val="000000"/>
              </w:rPr>
            </w:pPr>
            <w:r>
              <w:rPr>
                <w:color w:val="000000"/>
              </w:rPr>
              <w:t xml:space="preserve">Predvidena je uporaba nepovratnih virov. V okviru predmetnega specifičnega cilja uporaba finančnih instrumentov v skladu z izsledki analize Predhodnih ocen potreb trga in vrzeli financiranja na trgu za izvajanje finančnih instrumentov v programskem obdobju 2021-2027 (julij 2022) namreč ni predvidena. </w:t>
            </w:r>
          </w:p>
          <w:p w14:paraId="3267C150" w14:textId="77777777" w:rsidR="00A77B3E" w:rsidRDefault="00A77B3E">
            <w:pPr>
              <w:spacing w:before="5pt"/>
              <w:rPr>
                <w:color w:val="000000"/>
                <w:sz w:val="6"/>
              </w:rPr>
            </w:pPr>
          </w:p>
          <w:p w14:paraId="516FEBCF" w14:textId="77777777" w:rsidR="00A77B3E" w:rsidRDefault="00A77B3E">
            <w:pPr>
              <w:spacing w:before="5pt"/>
              <w:rPr>
                <w:color w:val="000000"/>
                <w:sz w:val="6"/>
              </w:rPr>
            </w:pPr>
          </w:p>
        </w:tc>
      </w:tr>
    </w:tbl>
    <w:p w14:paraId="6470EC0D" w14:textId="77777777" w:rsidR="00A77B3E" w:rsidRDefault="00A77B3E">
      <w:pPr>
        <w:spacing w:before="5pt"/>
        <w:rPr>
          <w:color w:val="000000"/>
        </w:rPr>
      </w:pPr>
    </w:p>
    <w:p w14:paraId="5B1CA136" w14:textId="77777777" w:rsidR="00A77B3E" w:rsidRDefault="00B16CCF">
      <w:pPr>
        <w:pStyle w:val="Naslov4"/>
        <w:spacing w:before="5pt" w:after="0pt"/>
        <w:rPr>
          <w:b w:val="0"/>
          <w:color w:val="000000"/>
          <w:sz w:val="24"/>
        </w:rPr>
      </w:pPr>
      <w:bookmarkStart w:id="271" w:name="_Toc256001032"/>
      <w:r>
        <w:rPr>
          <w:b w:val="0"/>
          <w:color w:val="000000"/>
          <w:sz w:val="24"/>
        </w:rPr>
        <w:t>2.1.1.1.2. Kazalniki</w:t>
      </w:r>
      <w:bookmarkEnd w:id="271"/>
    </w:p>
    <w:p w14:paraId="7461836F" w14:textId="77777777" w:rsidR="00A77B3E" w:rsidRDefault="00A77B3E">
      <w:pPr>
        <w:spacing w:before="5pt"/>
        <w:rPr>
          <w:color w:val="000000"/>
          <w:sz w:val="0"/>
        </w:rPr>
      </w:pPr>
    </w:p>
    <w:p w14:paraId="5BFC2BF7" w14:textId="77777777" w:rsidR="00A77B3E" w:rsidRDefault="00B16CCF">
      <w:pPr>
        <w:spacing w:before="5pt"/>
        <w:rPr>
          <w:color w:val="000000"/>
          <w:sz w:val="0"/>
        </w:rPr>
      </w:pPr>
      <w:r>
        <w:rPr>
          <w:color w:val="000000"/>
        </w:rPr>
        <w:t>Sklic: člen 22(3)(d)(ii) uredbe o skupnih določbah in člen 8 uredbe o ESRR in Kohezijskem skladu</w:t>
      </w:r>
    </w:p>
    <w:p w14:paraId="742F7945" w14:textId="77777777" w:rsidR="00A77B3E" w:rsidRDefault="00B16CCF">
      <w:pPr>
        <w:pStyle w:val="Naslov5"/>
        <w:spacing w:before="5pt" w:after="0pt"/>
        <w:rPr>
          <w:b w:val="0"/>
          <w:i w:val="0"/>
          <w:color w:val="000000"/>
          <w:sz w:val="24"/>
        </w:rPr>
      </w:pPr>
      <w:bookmarkStart w:id="272" w:name="_Toc256001033"/>
      <w:r>
        <w:rPr>
          <w:b w:val="0"/>
          <w:i w:val="0"/>
          <w:color w:val="000000"/>
          <w:sz w:val="24"/>
        </w:rPr>
        <w:t>Tabela 2: Kazalniki učinka</w:t>
      </w:r>
      <w:bookmarkEnd w:id="272"/>
    </w:p>
    <w:p w14:paraId="5C4C446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726"/>
        <w:gridCol w:w="1592"/>
        <w:gridCol w:w="1688"/>
        <w:gridCol w:w="1651"/>
        <w:gridCol w:w="1916"/>
        <w:gridCol w:w="2124"/>
        <w:gridCol w:w="1536"/>
        <w:gridCol w:w="1194"/>
        <w:gridCol w:w="1745"/>
      </w:tblGrid>
      <w:tr w:rsidR="00823317" w14:paraId="0A13834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4E8F277"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AAB146"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5F8F96"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14606F"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C44E39"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4F9E0FB"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38FC2F"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2F92B4" w14:textId="77777777" w:rsidR="00A77B3E" w:rsidRDefault="00B16CCF">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1BF85A" w14:textId="77777777" w:rsidR="00A77B3E" w:rsidRDefault="00B16CCF">
            <w:pPr>
              <w:spacing w:before="5pt"/>
              <w:jc w:val="center"/>
              <w:rPr>
                <w:color w:val="000000"/>
                <w:sz w:val="20"/>
              </w:rPr>
            </w:pPr>
            <w:r>
              <w:rPr>
                <w:color w:val="000000"/>
                <w:sz w:val="20"/>
              </w:rPr>
              <w:t>Cilj (2029)</w:t>
            </w:r>
          </w:p>
        </w:tc>
      </w:tr>
      <w:tr w:rsidR="00823317" w14:paraId="6B6EFAB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A08B9F"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190F28" w14:textId="77777777" w:rsidR="00A77B3E" w:rsidRDefault="00B16CCF">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673471" w14:textId="77777777" w:rsidR="00A77B3E" w:rsidRDefault="00B16CCF">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53B4C2"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4A4AEC" w14:textId="77777777" w:rsidR="00A77B3E" w:rsidRDefault="00B16CCF">
            <w:pPr>
              <w:spacing w:before="5pt"/>
              <w:rPr>
                <w:color w:val="000000"/>
                <w:sz w:val="20"/>
              </w:rPr>
            </w:pPr>
            <w:r>
              <w:rPr>
                <w:color w:val="000000"/>
                <w:sz w:val="20"/>
              </w:rPr>
              <w:t>RCO39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290E69" w14:textId="77777777" w:rsidR="00A77B3E" w:rsidRDefault="00B16CCF">
            <w:pPr>
              <w:spacing w:before="5pt"/>
              <w:rPr>
                <w:color w:val="000000"/>
                <w:sz w:val="20"/>
              </w:rPr>
            </w:pPr>
            <w:r>
              <w:rPr>
                <w:color w:val="000000"/>
                <w:sz w:val="20"/>
              </w:rPr>
              <w:t>Površina, pokrita z nameščenimi sistemi za spremljanje onesnaženosti zraka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1AA159" w14:textId="77777777" w:rsidR="00A77B3E" w:rsidRDefault="00B16CCF">
            <w:pPr>
              <w:spacing w:before="5pt"/>
              <w:rPr>
                <w:color w:val="000000"/>
                <w:sz w:val="20"/>
              </w:rPr>
            </w:pPr>
            <w:r>
              <w:rPr>
                <w:color w:val="000000"/>
                <w:sz w:val="20"/>
              </w:rPr>
              <w:t>območja kakovosti zraka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AC8696"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B3E543" w14:textId="77777777" w:rsidR="00A77B3E" w:rsidRDefault="00B16CCF">
            <w:pPr>
              <w:spacing w:before="5pt"/>
              <w:jc w:val="end"/>
              <w:rPr>
                <w:color w:val="000000"/>
                <w:sz w:val="20"/>
              </w:rPr>
            </w:pPr>
            <w:r>
              <w:rPr>
                <w:color w:val="000000"/>
                <w:sz w:val="20"/>
              </w:rPr>
              <w:t>170.300,00</w:t>
            </w:r>
          </w:p>
        </w:tc>
      </w:tr>
    </w:tbl>
    <w:p w14:paraId="1B95A50A" w14:textId="77777777" w:rsidR="00A77B3E" w:rsidRDefault="00A77B3E">
      <w:pPr>
        <w:spacing w:before="5pt"/>
        <w:rPr>
          <w:color w:val="000000"/>
          <w:sz w:val="20"/>
        </w:rPr>
      </w:pPr>
    </w:p>
    <w:p w14:paraId="56E920A9" w14:textId="77777777" w:rsidR="00A77B3E" w:rsidRDefault="00B16CCF">
      <w:pPr>
        <w:spacing w:before="5pt"/>
        <w:rPr>
          <w:color w:val="000000"/>
          <w:sz w:val="0"/>
        </w:rPr>
      </w:pPr>
      <w:r>
        <w:rPr>
          <w:color w:val="000000"/>
        </w:rPr>
        <w:t>Sklic: člen 22(3)(d)(ii) uredbe o skupnih določbah</w:t>
      </w:r>
    </w:p>
    <w:p w14:paraId="4896DDCB" w14:textId="77777777" w:rsidR="00A77B3E" w:rsidRDefault="00B16CCF">
      <w:pPr>
        <w:pStyle w:val="Naslov5"/>
        <w:spacing w:before="5pt" w:after="0pt"/>
        <w:rPr>
          <w:b w:val="0"/>
          <w:i w:val="0"/>
          <w:color w:val="000000"/>
          <w:sz w:val="24"/>
        </w:rPr>
      </w:pPr>
      <w:bookmarkStart w:id="273" w:name="_Toc256001034"/>
      <w:r>
        <w:rPr>
          <w:b w:val="0"/>
          <w:i w:val="0"/>
          <w:color w:val="000000"/>
          <w:sz w:val="24"/>
        </w:rPr>
        <w:t>Tabela 3: Kazalniki rezultatov</w:t>
      </w:r>
      <w:bookmarkEnd w:id="273"/>
    </w:p>
    <w:p w14:paraId="5EC78BE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88"/>
        <w:gridCol w:w="1188"/>
        <w:gridCol w:w="1259"/>
        <w:gridCol w:w="1231"/>
        <w:gridCol w:w="1429"/>
        <w:gridCol w:w="1252"/>
        <w:gridCol w:w="919"/>
        <w:gridCol w:w="1259"/>
        <w:gridCol w:w="1330"/>
        <w:gridCol w:w="1301"/>
        <w:gridCol w:w="1443"/>
        <w:gridCol w:w="1273"/>
      </w:tblGrid>
      <w:tr w:rsidR="00823317" w14:paraId="48FAD9C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4E66D2"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CB5A95"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5EED3B"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BFC7E1"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63B53D"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2CCF55"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1AD88D"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F28FE9" w14:textId="77777777" w:rsidR="00A77B3E" w:rsidRDefault="00B16CCF">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C87ACB2" w14:textId="77777777" w:rsidR="00A77B3E" w:rsidRDefault="00B16CCF">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F8F458" w14:textId="77777777" w:rsidR="00A77B3E" w:rsidRDefault="00B16CCF">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C298FA" w14:textId="77777777" w:rsidR="00A77B3E" w:rsidRDefault="00B16CCF">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7393D4" w14:textId="77777777" w:rsidR="00A77B3E" w:rsidRDefault="00B16CCF">
            <w:pPr>
              <w:spacing w:before="5pt"/>
              <w:jc w:val="center"/>
              <w:rPr>
                <w:color w:val="000000"/>
                <w:sz w:val="20"/>
              </w:rPr>
            </w:pPr>
            <w:r>
              <w:rPr>
                <w:color w:val="000000"/>
                <w:sz w:val="20"/>
              </w:rPr>
              <w:t>Opombe</w:t>
            </w:r>
          </w:p>
        </w:tc>
      </w:tr>
      <w:tr w:rsidR="00823317" w14:paraId="075AC61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824046"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E89D1D" w14:textId="77777777" w:rsidR="00A77B3E" w:rsidRDefault="00B16CCF">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E039A6" w14:textId="77777777" w:rsidR="00A77B3E" w:rsidRDefault="00B16CCF">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108686"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0587C4" w14:textId="77777777" w:rsidR="00A77B3E" w:rsidRDefault="00B16CCF">
            <w:pPr>
              <w:spacing w:before="5pt"/>
              <w:rPr>
                <w:color w:val="000000"/>
                <w:sz w:val="20"/>
              </w:rPr>
            </w:pPr>
            <w:r>
              <w:rPr>
                <w:color w:val="000000"/>
                <w:sz w:val="20"/>
              </w:rPr>
              <w:t>RCR50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362FD0" w14:textId="77777777" w:rsidR="00A77B3E" w:rsidRDefault="00B16CCF">
            <w:pPr>
              <w:spacing w:before="5pt"/>
              <w:rPr>
                <w:color w:val="000000"/>
                <w:sz w:val="20"/>
              </w:rPr>
            </w:pPr>
            <w:r>
              <w:rPr>
                <w:color w:val="000000"/>
                <w:sz w:val="20"/>
              </w:rPr>
              <w:t>Prebivalci, deležni ukrepov za kakovost zraka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D50E95" w14:textId="77777777" w:rsidR="00A77B3E" w:rsidRDefault="00B16CCF">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9D6A08"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F99111" w14:textId="77777777" w:rsidR="00A77B3E" w:rsidRDefault="00B16CCF">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3F230E" w14:textId="77777777" w:rsidR="00A77B3E" w:rsidRDefault="00B16CCF">
            <w:pPr>
              <w:spacing w:before="5pt"/>
              <w:jc w:val="end"/>
              <w:rPr>
                <w:color w:val="000000"/>
                <w:sz w:val="20"/>
              </w:rPr>
            </w:pPr>
            <w:r>
              <w:rPr>
                <w:color w:val="000000"/>
                <w:sz w:val="20"/>
              </w:rPr>
              <w:t>168.536,00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307674" w14:textId="77777777" w:rsidR="00A77B3E" w:rsidRDefault="00B16CCF">
            <w:pPr>
              <w:spacing w:before="5pt"/>
              <w:rPr>
                <w:color w:val="000000"/>
                <w:sz w:val="20"/>
              </w:rPr>
            </w:pPr>
            <w:r>
              <w:rPr>
                <w:color w:val="000000"/>
                <w:sz w:val="20"/>
              </w:rPr>
              <w:t>Upravičenec (po SURS)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3CF39E" w14:textId="77777777" w:rsidR="00A77B3E" w:rsidRDefault="00B16CCF">
            <w:pPr>
              <w:spacing w:before="5pt"/>
              <w:rPr>
                <w:color w:val="000000"/>
                <w:sz w:val="20"/>
              </w:rPr>
            </w:pPr>
            <w:r>
              <w:rPr>
                <w:color w:val="000000"/>
                <w:sz w:val="20"/>
              </w:rPr>
              <w:t>Št. preb., ki živijo v občinah, kjer bodo nameščene nove naprave</w:t>
            </w:r>
          </w:p>
        </w:tc>
      </w:tr>
    </w:tbl>
    <w:p w14:paraId="406D79EE" w14:textId="77777777" w:rsidR="00A77B3E" w:rsidRDefault="00A77B3E">
      <w:pPr>
        <w:spacing w:before="5pt"/>
        <w:rPr>
          <w:color w:val="000000"/>
          <w:sz w:val="20"/>
        </w:rPr>
      </w:pPr>
    </w:p>
    <w:p w14:paraId="42EB6DB0" w14:textId="77777777" w:rsidR="00A77B3E" w:rsidRDefault="00B16CCF">
      <w:pPr>
        <w:pStyle w:val="Naslov4"/>
        <w:spacing w:before="5pt" w:after="0pt"/>
        <w:rPr>
          <w:b w:val="0"/>
          <w:color w:val="000000"/>
          <w:sz w:val="24"/>
        </w:rPr>
      </w:pPr>
      <w:bookmarkStart w:id="274" w:name="_Toc256001035"/>
      <w:r>
        <w:rPr>
          <w:b w:val="0"/>
          <w:color w:val="000000"/>
          <w:sz w:val="24"/>
        </w:rPr>
        <w:t>2.1.1.1.3. Okvirna razčlenitev načrtovanih sredstev (EU) glede na vrsto ukrepa</w:t>
      </w:r>
      <w:bookmarkEnd w:id="274"/>
    </w:p>
    <w:p w14:paraId="5CDBC4B0" w14:textId="77777777" w:rsidR="00A77B3E" w:rsidRDefault="00A77B3E">
      <w:pPr>
        <w:spacing w:before="5pt"/>
        <w:rPr>
          <w:color w:val="000000"/>
          <w:sz w:val="0"/>
        </w:rPr>
      </w:pPr>
    </w:p>
    <w:p w14:paraId="76158646" w14:textId="77777777" w:rsidR="00A77B3E" w:rsidRDefault="00B16CCF">
      <w:pPr>
        <w:spacing w:before="5pt"/>
        <w:rPr>
          <w:color w:val="000000"/>
          <w:sz w:val="0"/>
        </w:rPr>
      </w:pPr>
      <w:r>
        <w:rPr>
          <w:color w:val="000000"/>
        </w:rPr>
        <w:t>Sklic: člen 22(3)(d)(viii) uredbe o skupnih določbah</w:t>
      </w:r>
    </w:p>
    <w:p w14:paraId="32CD32AD" w14:textId="77777777" w:rsidR="00A77B3E" w:rsidRDefault="00B16CCF">
      <w:pPr>
        <w:pStyle w:val="Naslov5"/>
        <w:spacing w:before="5pt" w:after="0pt"/>
        <w:rPr>
          <w:b w:val="0"/>
          <w:i w:val="0"/>
          <w:color w:val="000000"/>
          <w:sz w:val="24"/>
        </w:rPr>
      </w:pPr>
      <w:bookmarkStart w:id="275" w:name="_Toc256001036"/>
      <w:r>
        <w:rPr>
          <w:b w:val="0"/>
          <w:i w:val="0"/>
          <w:color w:val="000000"/>
          <w:sz w:val="24"/>
        </w:rPr>
        <w:t>Tabela 4: Razsežnost 1 – področje ukrepanja</w:t>
      </w:r>
      <w:bookmarkEnd w:id="275"/>
    </w:p>
    <w:p w14:paraId="051DEB7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18"/>
        <w:gridCol w:w="2322"/>
        <w:gridCol w:w="2462"/>
        <w:gridCol w:w="2407"/>
        <w:gridCol w:w="2544"/>
        <w:gridCol w:w="2919"/>
      </w:tblGrid>
      <w:tr w:rsidR="00823317" w14:paraId="0461F33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DE2AA9"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1782B7"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DFE80D9"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A1BA8D"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7EBC7F"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11FEA0" w14:textId="77777777" w:rsidR="00A77B3E" w:rsidRDefault="00B16CCF">
            <w:pPr>
              <w:spacing w:before="5pt"/>
              <w:jc w:val="center"/>
              <w:rPr>
                <w:color w:val="000000"/>
                <w:sz w:val="20"/>
              </w:rPr>
            </w:pPr>
            <w:r>
              <w:rPr>
                <w:color w:val="000000"/>
                <w:sz w:val="20"/>
              </w:rPr>
              <w:t>Znesek (v EUR)</w:t>
            </w:r>
          </w:p>
        </w:tc>
      </w:tr>
      <w:tr w:rsidR="00823317" w14:paraId="6FD74E6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BCCD44"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1B7156" w14:textId="77777777" w:rsidR="00A77B3E" w:rsidRDefault="00B16CCF">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D7BC98" w14:textId="77777777" w:rsidR="00A77B3E" w:rsidRDefault="00B16CCF">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6AF095"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9C440C" w14:textId="77777777" w:rsidR="00A77B3E" w:rsidRDefault="00B16CCF">
            <w:pPr>
              <w:spacing w:before="5pt"/>
              <w:rPr>
                <w:color w:val="000000"/>
                <w:sz w:val="20"/>
              </w:rPr>
            </w:pPr>
            <w:r>
              <w:rPr>
                <w:color w:val="000000"/>
                <w:sz w:val="20"/>
              </w:rPr>
              <w:t>077. Ukrepi za izboljšanje kakovosti zraka in zmanjšanje hrupa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EB3184" w14:textId="77777777" w:rsidR="00A77B3E" w:rsidRDefault="00B16CCF">
            <w:pPr>
              <w:spacing w:before="5pt"/>
              <w:jc w:val="end"/>
              <w:rPr>
                <w:color w:val="000000"/>
                <w:sz w:val="20"/>
              </w:rPr>
            </w:pPr>
            <w:r>
              <w:rPr>
                <w:color w:val="000000"/>
                <w:sz w:val="20"/>
              </w:rPr>
              <w:t>2.550.000,00</w:t>
            </w:r>
          </w:p>
        </w:tc>
      </w:tr>
      <w:tr w:rsidR="00823317" w14:paraId="50A5A01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E86B4A"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68B8A5" w14:textId="77777777" w:rsidR="00A77B3E" w:rsidRDefault="00B16CCF">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8065B7"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CAD3CF"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2C53C3"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963615" w14:textId="77777777" w:rsidR="00A77B3E" w:rsidRDefault="00B16CCF">
            <w:pPr>
              <w:spacing w:before="5pt"/>
              <w:jc w:val="end"/>
              <w:rPr>
                <w:color w:val="000000"/>
                <w:sz w:val="20"/>
              </w:rPr>
            </w:pPr>
            <w:r>
              <w:rPr>
                <w:color w:val="000000"/>
                <w:sz w:val="20"/>
              </w:rPr>
              <w:t>2.550.000,00</w:t>
            </w:r>
          </w:p>
        </w:tc>
      </w:tr>
    </w:tbl>
    <w:p w14:paraId="7CFB71BC" w14:textId="77777777" w:rsidR="00A77B3E" w:rsidRDefault="00A77B3E">
      <w:pPr>
        <w:spacing w:before="5pt"/>
        <w:rPr>
          <w:color w:val="000000"/>
          <w:sz w:val="20"/>
        </w:rPr>
      </w:pPr>
    </w:p>
    <w:p w14:paraId="55474244" w14:textId="77777777" w:rsidR="00A77B3E" w:rsidRDefault="00B16CCF">
      <w:pPr>
        <w:pStyle w:val="Naslov5"/>
        <w:spacing w:before="5pt" w:after="0pt"/>
        <w:rPr>
          <w:b w:val="0"/>
          <w:i w:val="0"/>
          <w:color w:val="000000"/>
          <w:sz w:val="24"/>
        </w:rPr>
      </w:pPr>
      <w:bookmarkStart w:id="276" w:name="_Toc256001037"/>
      <w:r>
        <w:rPr>
          <w:b w:val="0"/>
          <w:i w:val="0"/>
          <w:color w:val="000000"/>
          <w:sz w:val="24"/>
        </w:rPr>
        <w:t>Tabela 5: Razsežnost 2 – oblika financiranja</w:t>
      </w:r>
      <w:bookmarkEnd w:id="276"/>
    </w:p>
    <w:p w14:paraId="29C6060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03"/>
        <w:gridCol w:w="2310"/>
        <w:gridCol w:w="2449"/>
        <w:gridCol w:w="2394"/>
        <w:gridCol w:w="2613"/>
        <w:gridCol w:w="2903"/>
      </w:tblGrid>
      <w:tr w:rsidR="00823317" w14:paraId="484EF45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E29795"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DE02D4"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1F2E5E"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A42C48F"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E7B77D0"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B06CE8" w14:textId="77777777" w:rsidR="00A77B3E" w:rsidRDefault="00B16CCF">
            <w:pPr>
              <w:spacing w:before="5pt"/>
              <w:jc w:val="center"/>
              <w:rPr>
                <w:color w:val="000000"/>
                <w:sz w:val="20"/>
              </w:rPr>
            </w:pPr>
            <w:r>
              <w:rPr>
                <w:color w:val="000000"/>
                <w:sz w:val="20"/>
              </w:rPr>
              <w:t>Znesek (v EUR)</w:t>
            </w:r>
          </w:p>
        </w:tc>
      </w:tr>
      <w:tr w:rsidR="00823317" w14:paraId="4A3EAE7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00BBAC"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2C77F1" w14:textId="77777777" w:rsidR="00A77B3E" w:rsidRDefault="00B16CCF">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025D2D" w14:textId="77777777" w:rsidR="00A77B3E" w:rsidRDefault="00B16CCF">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BD4E4E"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71E0B3" w14:textId="77777777" w:rsidR="00A77B3E" w:rsidRDefault="00B16CCF">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C60F1C" w14:textId="77777777" w:rsidR="00A77B3E" w:rsidRDefault="00B16CCF">
            <w:pPr>
              <w:spacing w:before="5pt"/>
              <w:jc w:val="end"/>
              <w:rPr>
                <w:color w:val="000000"/>
                <w:sz w:val="20"/>
              </w:rPr>
            </w:pPr>
            <w:r>
              <w:rPr>
                <w:color w:val="000000"/>
                <w:sz w:val="20"/>
              </w:rPr>
              <w:t>2.550.000,00</w:t>
            </w:r>
          </w:p>
        </w:tc>
      </w:tr>
      <w:tr w:rsidR="00823317" w14:paraId="5087F9D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B6F5E6"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045205" w14:textId="77777777" w:rsidR="00A77B3E" w:rsidRDefault="00B16CCF">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CB5F03"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08BDB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632E90"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FE0162" w14:textId="77777777" w:rsidR="00A77B3E" w:rsidRDefault="00B16CCF">
            <w:pPr>
              <w:spacing w:before="5pt"/>
              <w:jc w:val="end"/>
              <w:rPr>
                <w:color w:val="000000"/>
                <w:sz w:val="20"/>
              </w:rPr>
            </w:pPr>
            <w:r>
              <w:rPr>
                <w:color w:val="000000"/>
                <w:sz w:val="20"/>
              </w:rPr>
              <w:t>2.550.000,00</w:t>
            </w:r>
          </w:p>
        </w:tc>
      </w:tr>
    </w:tbl>
    <w:p w14:paraId="0B88CD3B" w14:textId="77777777" w:rsidR="00A77B3E" w:rsidRDefault="00A77B3E">
      <w:pPr>
        <w:spacing w:before="5pt"/>
        <w:rPr>
          <w:color w:val="000000"/>
          <w:sz w:val="20"/>
        </w:rPr>
      </w:pPr>
    </w:p>
    <w:p w14:paraId="1A360A48" w14:textId="77777777" w:rsidR="00A77B3E" w:rsidRDefault="00B16CCF">
      <w:pPr>
        <w:pStyle w:val="Naslov5"/>
        <w:spacing w:before="5pt" w:after="0pt"/>
        <w:rPr>
          <w:b w:val="0"/>
          <w:i w:val="0"/>
          <w:color w:val="000000"/>
          <w:sz w:val="24"/>
        </w:rPr>
      </w:pPr>
      <w:bookmarkStart w:id="277" w:name="_Toc256001038"/>
      <w:r>
        <w:rPr>
          <w:b w:val="0"/>
          <w:i w:val="0"/>
          <w:color w:val="000000"/>
          <w:sz w:val="24"/>
        </w:rPr>
        <w:t>Tabela 6: Razsežnost 3 – mehanizem za ozemeljsko izvrševanje in ozemeljski pristop</w:t>
      </w:r>
      <w:bookmarkEnd w:id="277"/>
    </w:p>
    <w:p w14:paraId="2635285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41"/>
        <w:gridCol w:w="2252"/>
        <w:gridCol w:w="2388"/>
        <w:gridCol w:w="2335"/>
        <w:gridCol w:w="2925"/>
        <w:gridCol w:w="2831"/>
      </w:tblGrid>
      <w:tr w:rsidR="00823317" w14:paraId="27291EC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58CC85"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AAF863"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07C149"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8EE6C3"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378721"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47D0FB" w14:textId="77777777" w:rsidR="00A77B3E" w:rsidRDefault="00B16CCF">
            <w:pPr>
              <w:spacing w:before="5pt"/>
              <w:jc w:val="center"/>
              <w:rPr>
                <w:color w:val="000000"/>
                <w:sz w:val="20"/>
              </w:rPr>
            </w:pPr>
            <w:r>
              <w:rPr>
                <w:color w:val="000000"/>
                <w:sz w:val="20"/>
              </w:rPr>
              <w:t>Znesek (v EUR)</w:t>
            </w:r>
          </w:p>
        </w:tc>
      </w:tr>
      <w:tr w:rsidR="00823317" w14:paraId="32236A4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8E79DA"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E59DED" w14:textId="77777777" w:rsidR="00A77B3E" w:rsidRDefault="00B16CCF">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E85F25" w14:textId="77777777" w:rsidR="00A77B3E" w:rsidRDefault="00B16CCF">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96E44F"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C18AB0" w14:textId="77777777" w:rsidR="00A77B3E" w:rsidRDefault="00B16CCF">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F22933" w14:textId="77777777" w:rsidR="00A77B3E" w:rsidRDefault="00B16CCF">
            <w:pPr>
              <w:spacing w:before="5pt"/>
              <w:jc w:val="end"/>
              <w:rPr>
                <w:color w:val="000000"/>
                <w:sz w:val="20"/>
              </w:rPr>
            </w:pPr>
            <w:r>
              <w:rPr>
                <w:color w:val="000000"/>
                <w:sz w:val="20"/>
              </w:rPr>
              <w:t>2.550.000,00</w:t>
            </w:r>
          </w:p>
        </w:tc>
      </w:tr>
      <w:tr w:rsidR="00823317" w14:paraId="0769E4F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B052ED"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6A059E" w14:textId="77777777" w:rsidR="00A77B3E" w:rsidRDefault="00B16CCF">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666F16"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C0A664"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BC067F"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520A82" w14:textId="77777777" w:rsidR="00A77B3E" w:rsidRDefault="00B16CCF">
            <w:pPr>
              <w:spacing w:before="5pt"/>
              <w:jc w:val="end"/>
              <w:rPr>
                <w:color w:val="000000"/>
                <w:sz w:val="20"/>
              </w:rPr>
            </w:pPr>
            <w:r>
              <w:rPr>
                <w:color w:val="000000"/>
                <w:sz w:val="20"/>
              </w:rPr>
              <w:t>2.550.000,00</w:t>
            </w:r>
          </w:p>
        </w:tc>
      </w:tr>
    </w:tbl>
    <w:p w14:paraId="04807826" w14:textId="77777777" w:rsidR="00A77B3E" w:rsidRDefault="00A77B3E">
      <w:pPr>
        <w:spacing w:before="5pt"/>
        <w:rPr>
          <w:color w:val="000000"/>
          <w:sz w:val="20"/>
        </w:rPr>
      </w:pPr>
    </w:p>
    <w:p w14:paraId="4F8DFCAE" w14:textId="77777777" w:rsidR="00A77B3E" w:rsidRDefault="00B16CCF">
      <w:pPr>
        <w:pStyle w:val="Naslov5"/>
        <w:spacing w:before="5pt" w:after="0pt"/>
        <w:rPr>
          <w:b w:val="0"/>
          <w:i w:val="0"/>
          <w:color w:val="000000"/>
          <w:sz w:val="24"/>
        </w:rPr>
      </w:pPr>
      <w:bookmarkStart w:id="278" w:name="_Toc256001039"/>
      <w:r>
        <w:rPr>
          <w:b w:val="0"/>
          <w:i w:val="0"/>
          <w:color w:val="000000"/>
          <w:sz w:val="24"/>
        </w:rPr>
        <w:t>Tabela 7: Razsežnost 6 – sekundarna področja ESS+</w:t>
      </w:r>
      <w:bookmarkEnd w:id="278"/>
    </w:p>
    <w:p w14:paraId="152385D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117"/>
        <w:gridCol w:w="2877"/>
        <w:gridCol w:w="1780"/>
        <w:gridCol w:w="2982"/>
        <w:gridCol w:w="2259"/>
        <w:gridCol w:w="2157"/>
      </w:tblGrid>
      <w:tr w:rsidR="00823317" w14:paraId="472F804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D34348"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C8EC62"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215388"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8E3968"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3D430A"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41C502" w14:textId="77777777" w:rsidR="00A77B3E" w:rsidRDefault="00B16CCF">
            <w:pPr>
              <w:spacing w:before="5pt"/>
              <w:jc w:val="center"/>
              <w:rPr>
                <w:color w:val="000000"/>
                <w:sz w:val="20"/>
              </w:rPr>
            </w:pPr>
            <w:r>
              <w:rPr>
                <w:color w:val="000000"/>
                <w:sz w:val="20"/>
              </w:rPr>
              <w:t>Znesek (v EUR)</w:t>
            </w:r>
          </w:p>
        </w:tc>
      </w:tr>
    </w:tbl>
    <w:p w14:paraId="0458A6CB" w14:textId="77777777" w:rsidR="00A77B3E" w:rsidRDefault="00A77B3E">
      <w:pPr>
        <w:spacing w:before="5pt"/>
        <w:rPr>
          <w:color w:val="000000"/>
          <w:sz w:val="20"/>
        </w:rPr>
      </w:pPr>
    </w:p>
    <w:p w14:paraId="58037769" w14:textId="77777777" w:rsidR="00A77B3E" w:rsidRDefault="00B16CCF">
      <w:pPr>
        <w:pStyle w:val="Naslov5"/>
        <w:spacing w:before="5pt" w:after="0pt"/>
        <w:rPr>
          <w:b w:val="0"/>
          <w:i w:val="0"/>
          <w:color w:val="000000"/>
          <w:sz w:val="24"/>
        </w:rPr>
      </w:pPr>
      <w:bookmarkStart w:id="279" w:name="_Toc256001040"/>
      <w:r>
        <w:rPr>
          <w:b w:val="0"/>
          <w:i w:val="0"/>
          <w:color w:val="000000"/>
          <w:sz w:val="24"/>
        </w:rPr>
        <w:t>Tabela 8: Razsežnost 7 – razsežnost enakosti spolov v okviru ESS+*, ESRR, Kohezijskega sklada in SPP</w:t>
      </w:r>
      <w:bookmarkEnd w:id="279"/>
    </w:p>
    <w:p w14:paraId="1808E3C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21"/>
        <w:gridCol w:w="2326"/>
        <w:gridCol w:w="2467"/>
        <w:gridCol w:w="2412"/>
        <w:gridCol w:w="2522"/>
        <w:gridCol w:w="2924"/>
      </w:tblGrid>
      <w:tr w:rsidR="00823317" w14:paraId="5A12758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17A4C2"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18814B"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24D36A"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8CF7A0E"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8A17F8"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C6575E" w14:textId="77777777" w:rsidR="00A77B3E" w:rsidRDefault="00B16CCF">
            <w:pPr>
              <w:spacing w:before="5pt"/>
              <w:jc w:val="center"/>
              <w:rPr>
                <w:color w:val="000000"/>
                <w:sz w:val="20"/>
              </w:rPr>
            </w:pPr>
            <w:r>
              <w:rPr>
                <w:color w:val="000000"/>
                <w:sz w:val="20"/>
              </w:rPr>
              <w:t>Znesek (v EUR)</w:t>
            </w:r>
          </w:p>
        </w:tc>
      </w:tr>
      <w:tr w:rsidR="00823317" w14:paraId="1E56772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34C293" w14:textId="77777777" w:rsidR="00A77B3E" w:rsidRDefault="00B16CCF">
            <w:pPr>
              <w:spacing w:before="5pt"/>
              <w:rPr>
                <w:color w:val="000000"/>
                <w:sz w:val="20"/>
              </w:rPr>
            </w:pPr>
            <w:r>
              <w:rPr>
                <w:color w:val="000000"/>
                <w:sz w:val="20"/>
              </w:rPr>
              <w:lastRenderedPageBreak/>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1929CA" w14:textId="77777777" w:rsidR="00A77B3E" w:rsidRDefault="00B16CCF">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65008D" w14:textId="77777777" w:rsidR="00A77B3E" w:rsidRDefault="00B16CCF">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D2F6B7"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4FADFD" w14:textId="77777777" w:rsidR="00A77B3E" w:rsidRDefault="00B16CCF">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D27EC7" w14:textId="77777777" w:rsidR="00A77B3E" w:rsidRDefault="00B16CCF">
            <w:pPr>
              <w:spacing w:before="5pt"/>
              <w:jc w:val="end"/>
              <w:rPr>
                <w:color w:val="000000"/>
                <w:sz w:val="20"/>
              </w:rPr>
            </w:pPr>
            <w:r>
              <w:rPr>
                <w:color w:val="000000"/>
                <w:sz w:val="20"/>
              </w:rPr>
              <w:t>2.550.000,00</w:t>
            </w:r>
          </w:p>
        </w:tc>
      </w:tr>
      <w:tr w:rsidR="00823317" w14:paraId="08E9FDB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25EB5B" w14:textId="77777777" w:rsidR="00A77B3E" w:rsidRDefault="00B16CCF">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C2FA3F" w14:textId="77777777" w:rsidR="00A77B3E" w:rsidRDefault="00B16CCF">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0703D9"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2B882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14195E"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1DD7BA" w14:textId="77777777" w:rsidR="00A77B3E" w:rsidRDefault="00B16CCF">
            <w:pPr>
              <w:spacing w:before="5pt"/>
              <w:jc w:val="end"/>
              <w:rPr>
                <w:color w:val="000000"/>
                <w:sz w:val="20"/>
              </w:rPr>
            </w:pPr>
            <w:r>
              <w:rPr>
                <w:color w:val="000000"/>
                <w:sz w:val="20"/>
              </w:rPr>
              <w:t>2.550.000,00</w:t>
            </w:r>
          </w:p>
        </w:tc>
      </w:tr>
    </w:tbl>
    <w:p w14:paraId="13B66AB6" w14:textId="77777777" w:rsidR="00A77B3E" w:rsidRDefault="00B16CCF">
      <w:pPr>
        <w:spacing w:before="5pt"/>
        <w:rPr>
          <w:color w:val="000000"/>
          <w:sz w:val="20"/>
        </w:rPr>
      </w:pPr>
      <w:r>
        <w:rPr>
          <w:color w:val="000000"/>
          <w:sz w:val="20"/>
        </w:rPr>
        <w:t>* Načeloma 40 % za ESS+ prispeva k spremljanju enakosti spolov. 100 % se uporabi, kadar se država članica odloči za uporabo člena 6 uredbe o ESS+.</w:t>
      </w:r>
    </w:p>
    <w:p w14:paraId="582881D0" w14:textId="77777777" w:rsidR="00A77B3E" w:rsidRDefault="00B16CCF">
      <w:pPr>
        <w:pStyle w:val="Naslov3"/>
        <w:spacing w:before="5pt" w:after="0pt"/>
        <w:rPr>
          <w:rFonts w:ascii="Times New Roman" w:hAnsi="Times New Roman" w:cs="Times New Roman"/>
          <w:b w:val="0"/>
          <w:color w:val="000000"/>
          <w:sz w:val="24"/>
        </w:rPr>
      </w:pPr>
      <w:r>
        <w:rPr>
          <w:rFonts w:ascii="Times New Roman" w:hAnsi="Times New Roman" w:cs="Times New Roman"/>
          <w:b w:val="0"/>
          <w:color w:val="000000"/>
          <w:sz w:val="24"/>
        </w:rPr>
        <w:br w:type="page"/>
      </w:r>
      <w:bookmarkStart w:id="280" w:name="_Toc256001041"/>
      <w:r>
        <w:rPr>
          <w:rFonts w:ascii="Times New Roman" w:hAnsi="Times New Roman" w:cs="Times New Roman"/>
          <w:b w:val="0"/>
          <w:color w:val="000000"/>
          <w:sz w:val="24"/>
        </w:rPr>
        <w:lastRenderedPageBreak/>
        <w:t>2.1.1. Prednostna naloga: 4. Trajnostna mobilnost (Specifični cilj za mestno mobilnost, določen v točki (viii) člena 3(1)(b) uredbe o ESRR in Kohezijskem skladu)</w:t>
      </w:r>
      <w:bookmarkEnd w:id="280"/>
    </w:p>
    <w:p w14:paraId="2508DD29" w14:textId="77777777" w:rsidR="00A77B3E" w:rsidRDefault="00A77B3E">
      <w:pPr>
        <w:spacing w:before="5pt"/>
        <w:rPr>
          <w:color w:val="000000"/>
          <w:sz w:val="0"/>
        </w:rPr>
      </w:pPr>
    </w:p>
    <w:p w14:paraId="60192424" w14:textId="77777777" w:rsidR="00A77B3E" w:rsidRDefault="00B16CCF">
      <w:pPr>
        <w:pStyle w:val="Naslov4"/>
        <w:spacing w:before="5pt" w:after="0pt"/>
        <w:rPr>
          <w:b w:val="0"/>
          <w:color w:val="000000"/>
          <w:sz w:val="24"/>
        </w:rPr>
      </w:pPr>
      <w:bookmarkStart w:id="281" w:name="_Toc256001042"/>
      <w:r>
        <w:rPr>
          <w:b w:val="0"/>
          <w:color w:val="000000"/>
          <w:sz w:val="24"/>
        </w:rPr>
        <w:t>2.1.1.1. Specifični cilj: RSO2.8. Spodbujanje trajnostne večmodalne mestne mobilnosti v okviru prehoda na gospodarstvo z ničelno stopnjo neto emisij ogljika (ESRR)</w:t>
      </w:r>
      <w:bookmarkEnd w:id="281"/>
    </w:p>
    <w:p w14:paraId="3F8C6666" w14:textId="77777777" w:rsidR="00A77B3E" w:rsidRDefault="00A77B3E">
      <w:pPr>
        <w:spacing w:before="5pt"/>
        <w:rPr>
          <w:color w:val="000000"/>
          <w:sz w:val="0"/>
        </w:rPr>
      </w:pPr>
    </w:p>
    <w:p w14:paraId="0841316C" w14:textId="77777777" w:rsidR="00A77B3E" w:rsidRDefault="00B16CCF">
      <w:pPr>
        <w:pStyle w:val="Naslov4"/>
        <w:spacing w:before="5pt" w:after="0pt"/>
        <w:rPr>
          <w:b w:val="0"/>
          <w:color w:val="000000"/>
          <w:sz w:val="24"/>
        </w:rPr>
      </w:pPr>
      <w:bookmarkStart w:id="282" w:name="_Toc256001043"/>
      <w:r>
        <w:rPr>
          <w:b w:val="0"/>
          <w:color w:val="000000"/>
          <w:sz w:val="24"/>
        </w:rPr>
        <w:t>2.1.1.1.1. Ukrepi skladov</w:t>
      </w:r>
      <w:bookmarkEnd w:id="282"/>
    </w:p>
    <w:p w14:paraId="4811B1F5" w14:textId="77777777" w:rsidR="00A77B3E" w:rsidRDefault="00A77B3E">
      <w:pPr>
        <w:spacing w:before="5pt"/>
        <w:rPr>
          <w:color w:val="000000"/>
          <w:sz w:val="0"/>
        </w:rPr>
      </w:pPr>
    </w:p>
    <w:p w14:paraId="69E4E6E8" w14:textId="77777777" w:rsidR="00A77B3E" w:rsidRDefault="00B16CCF">
      <w:pPr>
        <w:spacing w:before="5pt"/>
        <w:rPr>
          <w:color w:val="000000"/>
          <w:sz w:val="0"/>
        </w:rPr>
      </w:pPr>
      <w:r>
        <w:rPr>
          <w:color w:val="000000"/>
        </w:rPr>
        <w:t>Sklic: člen 22(3)(d)(i), (iii), (iv), (v), (vi) in (vii) uredbe o skupnih določbah</w:t>
      </w:r>
    </w:p>
    <w:p w14:paraId="0D7B497F" w14:textId="77777777" w:rsidR="00A77B3E" w:rsidRDefault="00B16CCF">
      <w:pPr>
        <w:pStyle w:val="Naslov5"/>
        <w:spacing w:before="5pt" w:after="0pt"/>
        <w:rPr>
          <w:b w:val="0"/>
          <w:i w:val="0"/>
          <w:color w:val="000000"/>
          <w:sz w:val="24"/>
        </w:rPr>
      </w:pPr>
      <w:bookmarkStart w:id="283" w:name="_Toc256001044"/>
      <w:r>
        <w:rPr>
          <w:b w:val="0"/>
          <w:i w:val="0"/>
          <w:color w:val="000000"/>
          <w:sz w:val="24"/>
        </w:rPr>
        <w:t>Povezane vrste ukrepov – člen 22(3)(d)(i) uredbe o skupnih določbah in člen 6 uredbe o ESS+:</w:t>
      </w:r>
      <w:bookmarkEnd w:id="283"/>
    </w:p>
    <w:p w14:paraId="4DBF403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5B61589C"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10395B" w14:textId="77777777" w:rsidR="00A77B3E" w:rsidRDefault="00A77B3E">
            <w:pPr>
              <w:spacing w:before="5pt"/>
              <w:rPr>
                <w:color w:val="000000"/>
                <w:sz w:val="0"/>
              </w:rPr>
            </w:pPr>
          </w:p>
          <w:p w14:paraId="32751FB1" w14:textId="77777777" w:rsidR="00A77B3E" w:rsidRDefault="00B16CCF">
            <w:pPr>
              <w:spacing w:before="5pt"/>
              <w:rPr>
                <w:color w:val="000000"/>
              </w:rPr>
            </w:pPr>
            <w:r>
              <w:rPr>
                <w:color w:val="000000"/>
              </w:rPr>
              <w:t>Investicije na področju trajnostne urbane mobilnosti bodo pripomogle k dvigu deleža trajnostnih prometnih načinov v dnevnih migracijah prebivalstva ter zmanjšanju emisij TGP. Promet namreč prispeva skoraj tretjino slednjih v Sloveniji in je pomemben vzrok za onesnaženost zraka v mestih. Poleg tega je raba energije v prometu v letu 2020 za 58 % višja kot v 2000, zlasti na račun povečanja cestnega prometa, ki predstavlja kar 97 %. V rabi končne energije je promet leta 2019 predstavljal 40 %. Glede na leto 2005 je delež višji za dobrih 8 odstotnih točk.[1] Trajna rešitev za ta izziv je prehod na trajnostno mobilnost z nizkimi emisijami CO2 in onesnaževal zraka ter z nizko porabo energije s poudarkom na aktivni mobilnosti, zato bodo ukrepi usmerjeni na navedena področja. Pri tem bo imelo ključno vlogo izboljšanje JPP in izboljšanje povezanosti med različnimi prometnimi sistemi, med katerimi je prestopanje še vedno težavno, saj med različnimi prometnimi sistemi ni prestopnih točk, ali pa niso dovolj udobne. Nekatere vstopne točke na JPP tudi niso primerno opremljene s parkirnimi mesti za kolesa in avtomobile. Poseben problem predstavlja tudi čezmejna mobilnost v mestih, ki ležijo v bližini državne meje, saj lokalni prometni sistemi na obeh straneh meje niso usklajeni. Hkrati pa bodo ukrepi usmerjeni v povečanje uporabe vozil na alternativne energente, ki predstavljajo trenutno majhen delež, tako med zasebnimi uporabniki, gospodarskimi in javnimi subjekti. Poleg ukrepov za izboljšanje javnega potniškega prometa z uvajanjem brezemisijskih vozil, je namreč ključno zagotavljanje ustrezne polnilne infrastrukture za alternativne energente za različne vrste vozil (e-kolesa, osebni avtomobili, gospodarska vozila, idr.). Preusmeritev k trajnostni mobilnosti bo pomembno prispevala k zmanjšanju hrupa, raznih onesnaževal in preoblikovanju prostora, kot tudi drugih okoljskih pritiskov in zdravstvenih tveganj, s tem pa prispevala k boljši kvaliteti življenja, zlasti v mestih.</w:t>
            </w:r>
          </w:p>
          <w:p w14:paraId="524D95A7" w14:textId="77777777" w:rsidR="00A77B3E" w:rsidRDefault="00A77B3E">
            <w:pPr>
              <w:spacing w:before="5pt"/>
              <w:rPr>
                <w:color w:val="000000"/>
              </w:rPr>
            </w:pPr>
          </w:p>
          <w:p w14:paraId="05730508" w14:textId="77777777" w:rsidR="00A77B3E" w:rsidRDefault="00B16CCF">
            <w:pPr>
              <w:spacing w:before="5pt"/>
              <w:rPr>
                <w:color w:val="000000"/>
              </w:rPr>
            </w:pPr>
            <w:r>
              <w:rPr>
                <w:color w:val="000000"/>
              </w:rPr>
              <w:t>Prehod v nizkoogljično družbo na področju prometa ureja Strategija na področju razvoja trga za vzpostavitev ustrezne infrastrukture v zvezi z alternativnimi gorivi v prometnem sektorju v Republiki Sloveniji[2], ki jo je Vlada RS sprejela 12. oktobra 2017 (v nadaljevanju: strategija). Skladno s predlogom Uredbe o vzpostavitvi infrastrukture za alternativna goriva (AFIR) bo do leta 2024 prenovljena strategija na področju infrastrukture za alternativna goriva v prometu. Ministrstvo za infrastrukturo v okviru reforme NOO pripravlja sistemski zakon na področju infrastrukture za alternativna goriva v prometu, ki bo v veljavi predvidoma v drugi polovici 2023. Ne gre le za elektrifikacijo prometa, pač pa za vrsto prehodnih tehnološko-tehničnih ukrepov za dosego želenega končnega stanja v prometu, t.j. trajnosten promet brez fosilnih goriv. Strategija predvideva niz pravno-regulativnih ukrepov, izvedbo demonstracijskih projektov, ozaveščevalnih in promocijskih aktivnosti ter neposrednih finančnih spodbud, s katerimi se bo zagotavljala ustrezna polnilna infrastruktura ter sofinanciranje razlike v ceni vozil med vozili na dizelski pogon in vozili na alternativna goriva.</w:t>
            </w:r>
          </w:p>
          <w:p w14:paraId="2894C3D2" w14:textId="77777777" w:rsidR="00A77B3E" w:rsidRDefault="00A77B3E">
            <w:pPr>
              <w:spacing w:before="5pt"/>
              <w:rPr>
                <w:color w:val="000000"/>
              </w:rPr>
            </w:pPr>
          </w:p>
          <w:p w14:paraId="6E2926CE" w14:textId="77777777" w:rsidR="00A77B3E" w:rsidRDefault="00B16CCF">
            <w:pPr>
              <w:spacing w:before="5pt"/>
              <w:rPr>
                <w:color w:val="000000"/>
              </w:rPr>
            </w:pPr>
            <w:r>
              <w:rPr>
                <w:color w:val="000000"/>
              </w:rPr>
              <w:lastRenderedPageBreak/>
              <w:t>V okviru tega specifičnega cilja sta v skladu z navedenim predvidena naslednja 2 sklopa ukrepov:</w:t>
            </w:r>
          </w:p>
          <w:p w14:paraId="3BC28CAB" w14:textId="77777777" w:rsidR="00A77B3E" w:rsidRDefault="00A77B3E">
            <w:pPr>
              <w:spacing w:before="5pt"/>
              <w:rPr>
                <w:color w:val="000000"/>
              </w:rPr>
            </w:pPr>
          </w:p>
          <w:p w14:paraId="319B6240" w14:textId="77777777" w:rsidR="00A77B3E" w:rsidRDefault="00B16CCF">
            <w:pPr>
              <w:spacing w:before="5pt"/>
              <w:rPr>
                <w:color w:val="000000"/>
              </w:rPr>
            </w:pPr>
            <w:r>
              <w:rPr>
                <w:color w:val="000000"/>
              </w:rPr>
              <w:t>•     </w:t>
            </w:r>
            <w:r>
              <w:rPr>
                <w:i/>
                <w:iCs/>
                <w:color w:val="000000"/>
              </w:rPr>
              <w:t xml:space="preserve">infrastruktura za trajnostno mobilnost v urbanih območjih: </w:t>
            </w:r>
            <w:r>
              <w:rPr>
                <w:color w:val="000000"/>
              </w:rPr>
              <w:t>na podlagi novih Celostnih prometnih strategij (ang. Sustainable Urban Mobility Plan - SUMP, v nadaljevanju: CPS) in Trajnostnih urbanih strategij (ang. Sustainable Urban Strategy, v nadaljevanju: TUS) bodo natančno identificirane prioritete, prednostno pa bodo sredstva namenjena infrastrukturi za multimodalni potniški promet od vrat do vrat. Hrbtenica sistema mora biti JPP, dopolnjuje pa se s kolesarskimi povezavami in infrastrukturo za pešce, s poudarkom na dostopu do postajališč JPP ter s točkami prestopa iz osebnega avtomobila na JPP ali sopotništvoali ostale aktivne oblike prevoza. Investicije na področju trajnostne mobilnosti bodo pripomogle k dvigu deleža trajnostnih prometnih načinov v dnevnih migracijah prebivalstva. Večji delež uporabe trajnostnih načinov prevoza bo pripomogel k znižanju emisij TGP in drugih onesnaževal iz prometa ter s tem k izboljšanju kakovosti življenja. Predvideni ukrepi so:</w:t>
            </w:r>
          </w:p>
          <w:p w14:paraId="3114FAD5" w14:textId="77777777" w:rsidR="00A77B3E" w:rsidRDefault="00B16CCF">
            <w:pPr>
              <w:spacing w:before="5pt"/>
              <w:rPr>
                <w:color w:val="000000"/>
              </w:rPr>
            </w:pPr>
            <w:r>
              <w:rPr>
                <w:color w:val="000000"/>
              </w:rPr>
              <w:t>oinvesticije v gradnjo in prilagoditev prometnih površin za trajnostne prometne načine: namenske površine za JPP (npr. rumeni pasovi, postajališča, prilagoditve za prednostno vodenje v križiščih) in infrastruktura multimodalnih vozlišč oziroma prestopnih točk med različnimi oblikami mobilnosti; gradnja in preureditve infrastrukture za pešce, predvsem za dostop do postaj in postajališč JPP in šol, vključno z napravami in ukrepi za umirjanje prometa za varnost pešcev; gradnja kakovostnih ločenih kolesarskih površin in ostale kolesarske infrastrukture, vključno z infrastrukturo za polnjenje e-koles;</w:t>
            </w:r>
          </w:p>
          <w:p w14:paraId="0CE77F18" w14:textId="77777777" w:rsidR="00A77B3E" w:rsidRDefault="00B16CCF">
            <w:pPr>
              <w:spacing w:before="5pt"/>
              <w:rPr>
                <w:color w:val="000000"/>
              </w:rPr>
            </w:pPr>
            <w:r>
              <w:rPr>
                <w:color w:val="000000"/>
              </w:rPr>
              <w:t>oinvesticije v digitalizacijo za trajnostno mobilnost: uporaba inteligentnih prometnih sistemov za upravljanje večmodalne trajnostne mobilnosti; izvedba pilotnih projektov v okviru ukrepa trajnostne parkirne politike, omejevanja prometa v mestnih jedrih in spodbude za uporabo sodobnih tehnologij za učinkovito upravljanje mobilnosti (npr.: vzpostavitev sistemov optimizacije prometa v mestih s prednostno obravnavo JPP, kolesarjev in pešcev; vzpostavitev sistemov dostopa do potovalnih informacij za uporabnika, vključno z informatizacijo upravljanja parkiranja; vzpostavitev pogojev za čezmejno mobilnost oz. predvsem povezavo JPP s prestopnimi točkami v sosednjih državah; vzpostavitev evidence javnih e-polnilnic v prostorskem informacijskem sistemu; vzpostavitev sistema potovalnih podatkov za multimodalne poti, ki bi poleg JPP vključeval tudi alternativne oblike prevoza v mestih, vključno s podatki o storitvah, ki so namenjene ali prilagojene gibalno oviranim ter parkirišči);</w:t>
            </w:r>
          </w:p>
          <w:p w14:paraId="28037AA9" w14:textId="77777777" w:rsidR="00A77B3E" w:rsidRDefault="00A77B3E">
            <w:pPr>
              <w:spacing w:before="5pt"/>
              <w:rPr>
                <w:color w:val="000000"/>
              </w:rPr>
            </w:pPr>
          </w:p>
          <w:p w14:paraId="28856F0D" w14:textId="77777777" w:rsidR="00A77B3E" w:rsidRDefault="00B16CCF">
            <w:pPr>
              <w:spacing w:before="5pt"/>
              <w:rPr>
                <w:color w:val="000000"/>
              </w:rPr>
            </w:pPr>
            <w:r>
              <w:rPr>
                <w:color w:val="000000"/>
              </w:rPr>
              <w:t>•</w:t>
            </w:r>
            <w:r>
              <w:rPr>
                <w:i/>
                <w:iCs/>
                <w:color w:val="000000"/>
              </w:rPr>
              <w:t>spodbujanje uporabe alternativnih goriv v mestih</w:t>
            </w:r>
            <w:r>
              <w:rPr>
                <w:color w:val="000000"/>
              </w:rPr>
              <w:t xml:space="preserve"> (vozila JPP na elektriko ali vodik in polnilna infrastruktura v javni lasti): ukrepi bodo namenjeni vzpostavitvi oz. dopolnitvi mreže polnilnih ali oskrbovalnih mest za vozila na alternativni pogon, s poudarkom na vozilih za izvajanje javnih gospodarskih služb, kot na primer za potrebe izvajanja JPP v mestih, in na vzpostavitvi polnilne ali oskrbovalne infrastrukture za alternativna goriva za potrebe izvajanja zelene mestne logistike. Ukrepi bodo oblikovani na podlagi analize potreb vlaganj na področju uvajanja alternativnih goriv v prometu, ki bo pripravljena do konca leta 2022 v okviru reforme Načrta za okrevanje in odpornost, s ciljem, da bo zagotovljena ustrezna geografska pokritost na celotnem območju Slovenije tudi izven urbanih območij in TEN-T omrežja. Pri tem bodo sredstva za te ukrepe prednostno usmerjena v urbana območja, medtem, ko je s sredstvi NOO in IPE predvideno, da se bodo sredstva usmerjala izven teh območij.</w:t>
            </w:r>
          </w:p>
          <w:p w14:paraId="22020E68" w14:textId="77777777" w:rsidR="00A77B3E" w:rsidRDefault="00A77B3E">
            <w:pPr>
              <w:spacing w:before="5pt"/>
              <w:rPr>
                <w:color w:val="000000"/>
              </w:rPr>
            </w:pPr>
          </w:p>
          <w:p w14:paraId="43EF669A" w14:textId="77777777" w:rsidR="00A77B3E" w:rsidRDefault="00B16CCF">
            <w:pPr>
              <w:spacing w:before="5pt"/>
              <w:rPr>
                <w:color w:val="000000"/>
              </w:rPr>
            </w:pPr>
            <w:r>
              <w:rPr>
                <w:color w:val="000000"/>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Noben izmed predvidenih ukrepov v okviru tega specifičnega cilja po svoji naravi nima bistvenega škodljivega vpliva na katerega koli od šestih okoljskih ciljev pod pogojem upoštevanja tehničnih meril, navedenih v Prilogi: DNSH.</w:t>
            </w:r>
          </w:p>
          <w:p w14:paraId="523FEBF9" w14:textId="77777777" w:rsidR="00A77B3E" w:rsidRDefault="00A77B3E">
            <w:pPr>
              <w:spacing w:before="5pt"/>
              <w:rPr>
                <w:color w:val="000000"/>
              </w:rPr>
            </w:pPr>
          </w:p>
          <w:p w14:paraId="794C9AFA" w14:textId="77777777" w:rsidR="00A77B3E" w:rsidRDefault="00B16CCF">
            <w:pPr>
              <w:spacing w:before="5pt"/>
              <w:rPr>
                <w:color w:val="000000"/>
              </w:rPr>
            </w:pPr>
            <w:r>
              <w:rPr>
                <w:color w:val="000000"/>
              </w:rPr>
              <w:t>[1] http://kazalci.arso.gov.si/sl/content/raba-koncne-energije-v-prometu-3</w:t>
            </w:r>
          </w:p>
          <w:p w14:paraId="0AE25BC4" w14:textId="77777777" w:rsidR="00A77B3E" w:rsidRDefault="00B16CCF">
            <w:pPr>
              <w:spacing w:before="5pt"/>
              <w:rPr>
                <w:color w:val="000000"/>
              </w:rPr>
            </w:pPr>
            <w:r>
              <w:rPr>
                <w:color w:val="000000"/>
              </w:rPr>
              <w:t>[2] Dostopno na: https://www.energetika-portal.si/fileadmin/dokumenti/publikacije/alternativna_goriva/strategija_alternativna_goriva_final.pdf.</w:t>
            </w:r>
          </w:p>
          <w:p w14:paraId="28E713E5" w14:textId="77777777" w:rsidR="00A77B3E" w:rsidRDefault="00A77B3E">
            <w:pPr>
              <w:spacing w:before="5pt"/>
              <w:rPr>
                <w:color w:val="000000"/>
                <w:sz w:val="6"/>
              </w:rPr>
            </w:pPr>
          </w:p>
          <w:p w14:paraId="43F2F9AE" w14:textId="77777777" w:rsidR="00A77B3E" w:rsidRDefault="00A77B3E">
            <w:pPr>
              <w:spacing w:before="5pt"/>
              <w:rPr>
                <w:color w:val="000000"/>
                <w:sz w:val="6"/>
              </w:rPr>
            </w:pPr>
          </w:p>
        </w:tc>
      </w:tr>
    </w:tbl>
    <w:p w14:paraId="40912EB1" w14:textId="77777777" w:rsidR="00A77B3E" w:rsidRDefault="00A77B3E">
      <w:pPr>
        <w:spacing w:before="5pt"/>
        <w:rPr>
          <w:color w:val="000000"/>
        </w:rPr>
      </w:pPr>
    </w:p>
    <w:p w14:paraId="1CB903DC" w14:textId="77777777" w:rsidR="00A77B3E" w:rsidRDefault="00B16CCF">
      <w:pPr>
        <w:pStyle w:val="Naslov5"/>
        <w:spacing w:before="5pt" w:after="0pt"/>
        <w:rPr>
          <w:b w:val="0"/>
          <w:i w:val="0"/>
          <w:color w:val="000000"/>
          <w:sz w:val="24"/>
        </w:rPr>
      </w:pPr>
      <w:bookmarkStart w:id="284" w:name="_Toc256001045"/>
      <w:r>
        <w:rPr>
          <w:b w:val="0"/>
          <w:i w:val="0"/>
          <w:color w:val="000000"/>
          <w:sz w:val="24"/>
        </w:rPr>
        <w:t>Glavne ciljne skupine – člen 22(3)(d)(iii) uredbe o skupnih določbah:</w:t>
      </w:r>
      <w:bookmarkEnd w:id="284"/>
    </w:p>
    <w:p w14:paraId="00D5D44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16BD296C"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3E95D2" w14:textId="77777777" w:rsidR="00A77B3E" w:rsidRDefault="00A77B3E">
            <w:pPr>
              <w:spacing w:before="5pt"/>
              <w:rPr>
                <w:color w:val="000000"/>
                <w:sz w:val="0"/>
              </w:rPr>
            </w:pPr>
          </w:p>
          <w:p w14:paraId="4A0658D4" w14:textId="77777777" w:rsidR="00A77B3E" w:rsidRDefault="00B16CCF">
            <w:pPr>
              <w:spacing w:before="5pt"/>
              <w:rPr>
                <w:color w:val="000000"/>
              </w:rPr>
            </w:pPr>
            <w:r>
              <w:rPr>
                <w:color w:val="000000"/>
              </w:rPr>
              <w:t xml:space="preserve">Ciljne skupine: podjetja, javni sektor, gospodinjstva, lokalne skupnosti, zadruge, zavodi, posamezniki. </w:t>
            </w:r>
          </w:p>
          <w:p w14:paraId="708AA38D" w14:textId="77777777" w:rsidR="00A77B3E" w:rsidRDefault="00A77B3E">
            <w:pPr>
              <w:spacing w:before="5pt"/>
              <w:rPr>
                <w:color w:val="000000"/>
              </w:rPr>
            </w:pPr>
          </w:p>
          <w:p w14:paraId="11B15B5A" w14:textId="77777777" w:rsidR="00A77B3E" w:rsidRDefault="00B16CCF">
            <w:pPr>
              <w:spacing w:before="5pt"/>
              <w:rPr>
                <w:color w:val="000000"/>
              </w:rPr>
            </w:pPr>
            <w:r>
              <w:rPr>
                <w:color w:val="000000"/>
              </w:rPr>
              <w:t>Upravičenci: mestne občine, pravne osebe javnega prava v delni/celotni lasti ali ustanoviteljstvu mestnih občin.</w:t>
            </w:r>
          </w:p>
          <w:p w14:paraId="5C0A3A60" w14:textId="77777777" w:rsidR="00A77B3E" w:rsidRDefault="00A77B3E">
            <w:pPr>
              <w:spacing w:before="5pt"/>
              <w:rPr>
                <w:color w:val="000000"/>
                <w:sz w:val="6"/>
              </w:rPr>
            </w:pPr>
          </w:p>
          <w:p w14:paraId="0F6E54F0" w14:textId="77777777" w:rsidR="00A77B3E" w:rsidRDefault="00A77B3E">
            <w:pPr>
              <w:spacing w:before="5pt"/>
              <w:rPr>
                <w:color w:val="000000"/>
                <w:sz w:val="6"/>
              </w:rPr>
            </w:pPr>
          </w:p>
        </w:tc>
      </w:tr>
    </w:tbl>
    <w:p w14:paraId="71EACA7B" w14:textId="77777777" w:rsidR="00A77B3E" w:rsidRDefault="00A77B3E">
      <w:pPr>
        <w:spacing w:before="5pt"/>
        <w:rPr>
          <w:color w:val="000000"/>
        </w:rPr>
      </w:pPr>
    </w:p>
    <w:p w14:paraId="5766BE01" w14:textId="77777777" w:rsidR="00A77B3E" w:rsidRDefault="00B16CCF">
      <w:pPr>
        <w:pStyle w:val="Naslov5"/>
        <w:spacing w:before="5pt" w:after="0pt"/>
        <w:rPr>
          <w:b w:val="0"/>
          <w:i w:val="0"/>
          <w:color w:val="000000"/>
          <w:sz w:val="24"/>
        </w:rPr>
      </w:pPr>
      <w:bookmarkStart w:id="285" w:name="_Toc256001046"/>
      <w:r>
        <w:rPr>
          <w:b w:val="0"/>
          <w:i w:val="0"/>
          <w:color w:val="000000"/>
          <w:sz w:val="24"/>
        </w:rPr>
        <w:t>Ukrepi za zaščito enakosti, vključenosti in nediskriminacije – člen 22(3)(d)(iv) uredbe o skupnih določbah in člen 6 uredbe o ESS+</w:t>
      </w:r>
      <w:bookmarkEnd w:id="285"/>
    </w:p>
    <w:p w14:paraId="1B9406C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117C230F"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D5C988" w14:textId="77777777" w:rsidR="00A77B3E" w:rsidRDefault="00A77B3E">
            <w:pPr>
              <w:spacing w:before="5pt"/>
              <w:rPr>
                <w:color w:val="000000"/>
                <w:sz w:val="0"/>
              </w:rPr>
            </w:pPr>
          </w:p>
          <w:p w14:paraId="5CA11ED3" w14:textId="77777777" w:rsidR="00A77B3E" w:rsidRDefault="00B16CCF">
            <w:pPr>
              <w:spacing w:before="5pt"/>
              <w:rPr>
                <w:color w:val="000000"/>
              </w:rPr>
            </w:pPr>
            <w:r>
              <w:rPr>
                <w:color w:val="000000"/>
              </w:rPr>
              <w:t>Pri načrtovanju, izvedbi in spremljanju ukrepov bodo spoštovana načela enakosti spolov, enakih možnosti in nediskriminacije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w:t>
            </w:r>
          </w:p>
          <w:p w14:paraId="2C287C3D" w14:textId="77777777" w:rsidR="00A77B3E" w:rsidRDefault="00A77B3E">
            <w:pPr>
              <w:spacing w:before="5pt"/>
              <w:rPr>
                <w:color w:val="000000"/>
              </w:rPr>
            </w:pPr>
          </w:p>
          <w:p w14:paraId="2833061B" w14:textId="77777777" w:rsidR="00A77B3E" w:rsidRDefault="00B16CCF">
            <w:pPr>
              <w:spacing w:before="5pt"/>
              <w:rPr>
                <w:color w:val="000000"/>
              </w:rPr>
            </w:pPr>
            <w:r>
              <w:rPr>
                <w:color w:val="000000"/>
              </w:rPr>
              <w:t>Dodatno bodo pri izvajanju gradbenih ukrepov objekti izpolnjevali tehnične zahteve, s katerimi se prilagodijo tako, da so nediskriminatorni do vseh oblik začasne ali trajne invalidnosti in so prilagojeni ranljivim skupinam prebivalstva.</w:t>
            </w:r>
          </w:p>
          <w:p w14:paraId="487DFA66" w14:textId="77777777" w:rsidR="00A77B3E" w:rsidRDefault="00A77B3E">
            <w:pPr>
              <w:spacing w:before="5pt"/>
              <w:rPr>
                <w:color w:val="000000"/>
                <w:sz w:val="6"/>
              </w:rPr>
            </w:pPr>
          </w:p>
          <w:p w14:paraId="23FBE490" w14:textId="77777777" w:rsidR="00A77B3E" w:rsidRDefault="00A77B3E">
            <w:pPr>
              <w:spacing w:before="5pt"/>
              <w:rPr>
                <w:color w:val="000000"/>
                <w:sz w:val="6"/>
              </w:rPr>
            </w:pPr>
          </w:p>
        </w:tc>
      </w:tr>
    </w:tbl>
    <w:p w14:paraId="6259B982" w14:textId="77777777" w:rsidR="00A77B3E" w:rsidRDefault="00A77B3E">
      <w:pPr>
        <w:spacing w:before="5pt"/>
        <w:rPr>
          <w:color w:val="000000"/>
        </w:rPr>
      </w:pPr>
    </w:p>
    <w:p w14:paraId="272E9FDF" w14:textId="77777777" w:rsidR="00A77B3E" w:rsidRDefault="00B16CCF">
      <w:pPr>
        <w:pStyle w:val="Naslov5"/>
        <w:spacing w:before="5pt" w:after="0pt"/>
        <w:rPr>
          <w:b w:val="0"/>
          <w:i w:val="0"/>
          <w:color w:val="000000"/>
          <w:sz w:val="24"/>
        </w:rPr>
      </w:pPr>
      <w:bookmarkStart w:id="286" w:name="_Toc256001047"/>
      <w:r>
        <w:rPr>
          <w:b w:val="0"/>
          <w:i w:val="0"/>
          <w:color w:val="000000"/>
          <w:sz w:val="24"/>
        </w:rPr>
        <w:t>Navedba specifičnih ciljnih ozemelj, vključno z načrtovano uporabo teritorialnih orodij – člen 22(3)(d)(v) uredbe o skupnih določbah</w:t>
      </w:r>
      <w:bookmarkEnd w:id="286"/>
    </w:p>
    <w:p w14:paraId="42B7FA3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7EF7C0D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06DF68" w14:textId="77777777" w:rsidR="00A77B3E" w:rsidRDefault="00A77B3E">
            <w:pPr>
              <w:spacing w:before="5pt"/>
              <w:rPr>
                <w:color w:val="000000"/>
                <w:sz w:val="0"/>
              </w:rPr>
            </w:pPr>
          </w:p>
          <w:p w14:paraId="4DB560F0" w14:textId="77777777" w:rsidR="00A77B3E" w:rsidRDefault="00B16CCF">
            <w:pPr>
              <w:spacing w:before="5pt"/>
              <w:rPr>
                <w:color w:val="000000"/>
              </w:rPr>
            </w:pPr>
            <w:r>
              <w:rPr>
                <w:color w:val="000000"/>
              </w:rPr>
              <w:t>V okviru specifičnega cilja se načrtuje naslavljanje urbanega razvoja v vseh 12 mestnih občinah s pomočjo teritorialnega pristopa CTN, upoštevaje izkazane potrebe v okviru pripravljenih teritorialnih strategij (novelirani/novi CPS in TUS). V izbor operacij so v prvi fazi vključeni predstavniki mest (v okviru ZMOS in mestnih svetov mestnih občin).</w:t>
            </w:r>
          </w:p>
          <w:p w14:paraId="4254ADF4" w14:textId="77777777" w:rsidR="00A77B3E" w:rsidRDefault="00A77B3E">
            <w:pPr>
              <w:spacing w:before="5pt"/>
              <w:rPr>
                <w:color w:val="000000"/>
                <w:sz w:val="6"/>
              </w:rPr>
            </w:pPr>
          </w:p>
          <w:p w14:paraId="45A25084" w14:textId="77777777" w:rsidR="00A77B3E" w:rsidRDefault="00A77B3E">
            <w:pPr>
              <w:spacing w:before="5pt"/>
              <w:rPr>
                <w:color w:val="000000"/>
                <w:sz w:val="6"/>
              </w:rPr>
            </w:pPr>
          </w:p>
        </w:tc>
      </w:tr>
    </w:tbl>
    <w:p w14:paraId="01AE506D" w14:textId="77777777" w:rsidR="00A77B3E" w:rsidRDefault="00A77B3E">
      <w:pPr>
        <w:spacing w:before="5pt"/>
        <w:rPr>
          <w:color w:val="000000"/>
        </w:rPr>
      </w:pPr>
    </w:p>
    <w:p w14:paraId="1750285D" w14:textId="77777777" w:rsidR="00A77B3E" w:rsidRDefault="00B16CCF">
      <w:pPr>
        <w:pStyle w:val="Naslov5"/>
        <w:spacing w:before="5pt" w:after="0pt"/>
        <w:rPr>
          <w:b w:val="0"/>
          <w:i w:val="0"/>
          <w:color w:val="000000"/>
          <w:sz w:val="24"/>
        </w:rPr>
      </w:pPr>
      <w:bookmarkStart w:id="287" w:name="_Toc256001048"/>
      <w:r>
        <w:rPr>
          <w:b w:val="0"/>
          <w:i w:val="0"/>
          <w:color w:val="000000"/>
          <w:sz w:val="24"/>
        </w:rPr>
        <w:t>Medregionalni, čezmejni in transnacionalni ukrepi – člen 22(3)(d)(vi) uredbe o skupnih določbah</w:t>
      </w:r>
      <w:bookmarkEnd w:id="287"/>
    </w:p>
    <w:p w14:paraId="7929253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394F50E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84BC7E" w14:textId="77777777" w:rsidR="00A77B3E" w:rsidRDefault="00A77B3E">
            <w:pPr>
              <w:spacing w:before="5pt"/>
              <w:rPr>
                <w:color w:val="000000"/>
                <w:sz w:val="0"/>
              </w:rPr>
            </w:pPr>
          </w:p>
          <w:p w14:paraId="113FF2A3" w14:textId="77777777" w:rsidR="00A77B3E" w:rsidRDefault="00B16CCF">
            <w:pPr>
              <w:spacing w:before="5pt"/>
              <w:rPr>
                <w:color w:val="000000"/>
              </w:rPr>
            </w:pPr>
            <w:r>
              <w:rPr>
                <w:color w:val="000000"/>
              </w:rPr>
              <w:t>Ukrepi so naslovljeni tudi v okviru Jadransko-jonske makroregije (EUSAIR), kjer je v okviru teme Intermodalne povezave z zaledjem flagship Jadransko-jonski multimodalni koridorji, ki se osredotoča na jadransko-jonsko kolesarsko pot, ki naj bi potekala vzdolž celotnega jadranskega bazena, vključujoč intermodalne storitve za podporo kolesarskim potovanjem. Ministrstvo za infrastrukturo ima tri tematske koordinatorje na ministrski ravni za EUSAIR, ki sodelujejo na sestankih EUSAIR in koordinirajo prenos informacij v obe smeri.</w:t>
            </w:r>
          </w:p>
          <w:p w14:paraId="5D4C07EB" w14:textId="77777777" w:rsidR="00A77B3E" w:rsidRDefault="00A77B3E">
            <w:pPr>
              <w:spacing w:before="5pt"/>
              <w:rPr>
                <w:color w:val="000000"/>
                <w:sz w:val="6"/>
              </w:rPr>
            </w:pPr>
          </w:p>
          <w:p w14:paraId="48D89EC2" w14:textId="77777777" w:rsidR="00A77B3E" w:rsidRDefault="00A77B3E">
            <w:pPr>
              <w:spacing w:before="5pt"/>
              <w:rPr>
                <w:color w:val="000000"/>
                <w:sz w:val="6"/>
              </w:rPr>
            </w:pPr>
          </w:p>
        </w:tc>
      </w:tr>
    </w:tbl>
    <w:p w14:paraId="32DF218E" w14:textId="77777777" w:rsidR="00A77B3E" w:rsidRDefault="00A77B3E">
      <w:pPr>
        <w:spacing w:before="5pt"/>
        <w:rPr>
          <w:color w:val="000000"/>
        </w:rPr>
      </w:pPr>
    </w:p>
    <w:p w14:paraId="35171F8D" w14:textId="77777777" w:rsidR="00A77B3E" w:rsidRDefault="00B16CCF">
      <w:pPr>
        <w:pStyle w:val="Naslov5"/>
        <w:spacing w:before="5pt" w:after="0pt"/>
        <w:rPr>
          <w:b w:val="0"/>
          <w:i w:val="0"/>
          <w:color w:val="000000"/>
          <w:sz w:val="24"/>
        </w:rPr>
      </w:pPr>
      <w:bookmarkStart w:id="288" w:name="_Toc256001049"/>
      <w:r>
        <w:rPr>
          <w:b w:val="0"/>
          <w:i w:val="0"/>
          <w:color w:val="000000"/>
          <w:sz w:val="24"/>
        </w:rPr>
        <w:t>Načrtovana uporaba finančnih instrumentov – člen 22(3)(d)(vii) uredbe o skupnih določbah</w:t>
      </w:r>
      <w:bookmarkEnd w:id="288"/>
    </w:p>
    <w:p w14:paraId="53222B5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04A5D33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E51DD0" w14:textId="77777777" w:rsidR="00A77B3E" w:rsidRDefault="00A77B3E">
            <w:pPr>
              <w:spacing w:before="5pt"/>
              <w:rPr>
                <w:color w:val="000000"/>
                <w:sz w:val="0"/>
              </w:rPr>
            </w:pPr>
          </w:p>
          <w:p w14:paraId="50B5AEC5" w14:textId="77777777" w:rsidR="00A77B3E" w:rsidRDefault="00B16CCF">
            <w:pPr>
              <w:spacing w:before="5pt"/>
              <w:rPr>
                <w:color w:val="000000"/>
              </w:rPr>
            </w:pPr>
            <w:r>
              <w:rPr>
                <w:color w:val="000000"/>
              </w:rPr>
              <w:t>Predvidena je uporaba nepovratnih virov. V okviru predmetnega specifičnega cilja uporaba finančnih instrumentov v skladu z izsledki analize Predhodnih ocen potreb trga in vrzeli financiranja na trgu za izvajanje finančnih instrumentov v programskem obdobju 2021-2027 (julij 2022) namreč ni predvidena. Predlagani ukrepi ne ustvarjajo prihodkov oziroma prihrankov, zaradi česar uporaba finančnih instrumentov ni smiselna oziroma ustrezna.</w:t>
            </w:r>
          </w:p>
          <w:p w14:paraId="64FE9F38" w14:textId="77777777" w:rsidR="00A77B3E" w:rsidRDefault="00A77B3E">
            <w:pPr>
              <w:spacing w:before="5pt"/>
              <w:rPr>
                <w:color w:val="000000"/>
                <w:sz w:val="6"/>
              </w:rPr>
            </w:pPr>
          </w:p>
          <w:p w14:paraId="172F1784" w14:textId="77777777" w:rsidR="00A77B3E" w:rsidRDefault="00A77B3E">
            <w:pPr>
              <w:spacing w:before="5pt"/>
              <w:rPr>
                <w:color w:val="000000"/>
                <w:sz w:val="6"/>
              </w:rPr>
            </w:pPr>
          </w:p>
        </w:tc>
      </w:tr>
    </w:tbl>
    <w:p w14:paraId="68A47131" w14:textId="77777777" w:rsidR="00A77B3E" w:rsidRDefault="00A77B3E">
      <w:pPr>
        <w:spacing w:before="5pt"/>
        <w:rPr>
          <w:color w:val="000000"/>
        </w:rPr>
      </w:pPr>
    </w:p>
    <w:p w14:paraId="079755F2" w14:textId="77777777" w:rsidR="00A77B3E" w:rsidRDefault="00B16CCF">
      <w:pPr>
        <w:pStyle w:val="Naslov4"/>
        <w:spacing w:before="5pt" w:after="0pt"/>
        <w:rPr>
          <w:b w:val="0"/>
          <w:color w:val="000000"/>
          <w:sz w:val="24"/>
        </w:rPr>
      </w:pPr>
      <w:bookmarkStart w:id="289" w:name="_Toc256001050"/>
      <w:r>
        <w:rPr>
          <w:b w:val="0"/>
          <w:color w:val="000000"/>
          <w:sz w:val="24"/>
        </w:rPr>
        <w:t>2.1.1.1.2. Kazalniki</w:t>
      </w:r>
      <w:bookmarkEnd w:id="289"/>
    </w:p>
    <w:p w14:paraId="53C8E307" w14:textId="77777777" w:rsidR="00A77B3E" w:rsidRDefault="00A77B3E">
      <w:pPr>
        <w:spacing w:before="5pt"/>
        <w:rPr>
          <w:color w:val="000000"/>
          <w:sz w:val="0"/>
        </w:rPr>
      </w:pPr>
    </w:p>
    <w:p w14:paraId="5CBA73A2" w14:textId="77777777" w:rsidR="00A77B3E" w:rsidRDefault="00B16CCF">
      <w:pPr>
        <w:spacing w:before="5pt"/>
        <w:rPr>
          <w:color w:val="000000"/>
          <w:sz w:val="0"/>
        </w:rPr>
      </w:pPr>
      <w:r>
        <w:rPr>
          <w:color w:val="000000"/>
        </w:rPr>
        <w:t>Sklic: člen 22(3)(d)(ii) uredbe o skupnih določbah in člen 8 uredbe o ESRR in Kohezijskem skladu</w:t>
      </w:r>
    </w:p>
    <w:p w14:paraId="77F303DC" w14:textId="77777777" w:rsidR="00A77B3E" w:rsidRDefault="00B16CCF">
      <w:pPr>
        <w:pStyle w:val="Naslov5"/>
        <w:spacing w:before="5pt" w:after="0pt"/>
        <w:rPr>
          <w:b w:val="0"/>
          <w:i w:val="0"/>
          <w:color w:val="000000"/>
          <w:sz w:val="24"/>
        </w:rPr>
      </w:pPr>
      <w:bookmarkStart w:id="290" w:name="_Toc256001051"/>
      <w:r>
        <w:rPr>
          <w:b w:val="0"/>
          <w:i w:val="0"/>
          <w:color w:val="000000"/>
          <w:sz w:val="24"/>
        </w:rPr>
        <w:t>Tabela 2: Kazalniki učinka</w:t>
      </w:r>
      <w:bookmarkEnd w:id="290"/>
    </w:p>
    <w:p w14:paraId="40E8125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81"/>
        <w:gridCol w:w="1459"/>
        <w:gridCol w:w="973"/>
        <w:gridCol w:w="1512"/>
        <w:gridCol w:w="1755"/>
        <w:gridCol w:w="2939"/>
        <w:gridCol w:w="2834"/>
        <w:gridCol w:w="1094"/>
        <w:gridCol w:w="1025"/>
      </w:tblGrid>
      <w:tr w:rsidR="00823317" w14:paraId="011D0B9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14AAE3"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DEC960B"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44D3BA"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37B5519"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7C6157"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AF4ED4"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6FD730"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9EFA71" w14:textId="77777777" w:rsidR="00A77B3E" w:rsidRDefault="00B16CCF">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FAAF1F" w14:textId="77777777" w:rsidR="00A77B3E" w:rsidRDefault="00B16CCF">
            <w:pPr>
              <w:spacing w:before="5pt"/>
              <w:jc w:val="center"/>
              <w:rPr>
                <w:color w:val="000000"/>
                <w:sz w:val="20"/>
              </w:rPr>
            </w:pPr>
            <w:r>
              <w:rPr>
                <w:color w:val="000000"/>
                <w:sz w:val="20"/>
              </w:rPr>
              <w:t>Cilj (2029)</w:t>
            </w:r>
          </w:p>
        </w:tc>
      </w:tr>
      <w:tr w:rsidR="00823317" w14:paraId="4C65CF6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522C5E" w14:textId="77777777" w:rsidR="00A77B3E" w:rsidRDefault="00B16CCF">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7CF8CD" w14:textId="77777777" w:rsidR="00A77B3E" w:rsidRDefault="00B16CCF">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61AFEF"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A72709"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915B7C" w14:textId="77777777" w:rsidR="00A77B3E" w:rsidRDefault="00B16CCF">
            <w:pPr>
              <w:spacing w:before="5pt"/>
              <w:rPr>
                <w:color w:val="000000"/>
                <w:sz w:val="20"/>
              </w:rPr>
            </w:pPr>
            <w:r>
              <w:rPr>
                <w:color w:val="000000"/>
                <w:sz w:val="20"/>
              </w:rPr>
              <w:t>RCO58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6F8E5F" w14:textId="77777777" w:rsidR="00A77B3E" w:rsidRDefault="00B16CCF">
            <w:pPr>
              <w:spacing w:before="5pt"/>
              <w:rPr>
                <w:color w:val="000000"/>
                <w:sz w:val="20"/>
              </w:rPr>
            </w:pPr>
            <w:r>
              <w:rPr>
                <w:color w:val="000000"/>
                <w:sz w:val="20"/>
              </w:rPr>
              <w:t>Namenska kolesarska infrastruktura, ki je prejela podporo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B5A2C3" w14:textId="77777777" w:rsidR="00A77B3E" w:rsidRDefault="00B16CCF">
            <w:pPr>
              <w:spacing w:before="5pt"/>
              <w:rPr>
                <w:color w:val="000000"/>
                <w:sz w:val="20"/>
              </w:rPr>
            </w:pPr>
            <w:r>
              <w:rPr>
                <w:color w:val="000000"/>
                <w:sz w:val="20"/>
              </w:rPr>
              <w:t>km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31DAEC"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A85F88" w14:textId="77777777" w:rsidR="00A77B3E" w:rsidRDefault="00B16CCF">
            <w:pPr>
              <w:spacing w:before="5pt"/>
              <w:jc w:val="end"/>
              <w:rPr>
                <w:color w:val="000000"/>
                <w:sz w:val="20"/>
              </w:rPr>
            </w:pPr>
            <w:r>
              <w:rPr>
                <w:color w:val="000000"/>
                <w:sz w:val="20"/>
              </w:rPr>
              <w:t>10,00</w:t>
            </w:r>
          </w:p>
        </w:tc>
      </w:tr>
      <w:tr w:rsidR="00823317" w14:paraId="59B361C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D28AF1" w14:textId="77777777" w:rsidR="00A77B3E" w:rsidRDefault="00B16CCF">
            <w:pPr>
              <w:spacing w:before="5pt"/>
              <w:rPr>
                <w:color w:val="000000"/>
                <w:sz w:val="20"/>
              </w:rPr>
            </w:pPr>
            <w:r>
              <w:rPr>
                <w:color w:val="000000"/>
                <w:sz w:val="20"/>
              </w:rPr>
              <w:lastRenderedPageBreak/>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29284D" w14:textId="77777777" w:rsidR="00A77B3E" w:rsidRDefault="00B16CCF">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FBE96B"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366060"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1C06B0" w14:textId="77777777" w:rsidR="00A77B3E" w:rsidRDefault="00B16CCF">
            <w:pPr>
              <w:spacing w:before="5pt"/>
              <w:rPr>
                <w:color w:val="000000"/>
                <w:sz w:val="20"/>
              </w:rPr>
            </w:pPr>
            <w:r>
              <w:rPr>
                <w:color w:val="000000"/>
                <w:sz w:val="20"/>
              </w:rPr>
              <w:t>RCO59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39502C" w14:textId="77777777" w:rsidR="00A77B3E" w:rsidRDefault="00B16CCF">
            <w:pPr>
              <w:spacing w:before="5pt"/>
              <w:rPr>
                <w:color w:val="000000"/>
                <w:sz w:val="20"/>
              </w:rPr>
            </w:pPr>
            <w:r>
              <w:rPr>
                <w:color w:val="000000"/>
                <w:sz w:val="20"/>
              </w:rPr>
              <w:t>Infrastruktura za alternativno gorivo (oskrbovalna/polnilna mesta)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C597B3" w14:textId="77777777" w:rsidR="00A77B3E" w:rsidRDefault="00B16CCF">
            <w:pPr>
              <w:spacing w:before="5pt"/>
              <w:rPr>
                <w:color w:val="000000"/>
                <w:sz w:val="20"/>
              </w:rPr>
            </w:pPr>
            <w:r>
              <w:rPr>
                <w:color w:val="000000"/>
                <w:sz w:val="20"/>
              </w:rPr>
              <w:t>oskrbovalna/polnilna mesta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59A7A2"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80EA8F" w14:textId="77777777" w:rsidR="00A77B3E" w:rsidRDefault="00B16CCF">
            <w:pPr>
              <w:spacing w:before="5pt"/>
              <w:jc w:val="end"/>
              <w:rPr>
                <w:color w:val="000000"/>
                <w:sz w:val="20"/>
              </w:rPr>
            </w:pPr>
            <w:r>
              <w:rPr>
                <w:color w:val="000000"/>
                <w:sz w:val="20"/>
              </w:rPr>
              <w:t>2,00</w:t>
            </w:r>
          </w:p>
        </w:tc>
      </w:tr>
      <w:tr w:rsidR="00823317" w14:paraId="0C568EA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BA72AB" w14:textId="77777777" w:rsidR="00A77B3E" w:rsidRDefault="00B16CCF">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CDFB7C" w14:textId="77777777" w:rsidR="00A77B3E" w:rsidRDefault="00B16CCF">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35BD6F"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B108B1"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A73F14" w14:textId="77777777" w:rsidR="00A77B3E" w:rsidRDefault="00B16CCF">
            <w:pPr>
              <w:spacing w:before="5pt"/>
              <w:rPr>
                <w:color w:val="000000"/>
                <w:sz w:val="20"/>
              </w:rPr>
            </w:pPr>
            <w:r>
              <w:rPr>
                <w:color w:val="000000"/>
                <w:sz w:val="20"/>
              </w:rPr>
              <w:t>RCO60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2B8E66" w14:textId="77777777" w:rsidR="00A77B3E" w:rsidRDefault="00B16CCF">
            <w:pPr>
              <w:spacing w:before="5pt"/>
              <w:rPr>
                <w:color w:val="000000"/>
                <w:sz w:val="20"/>
              </w:rPr>
            </w:pPr>
            <w:r>
              <w:rPr>
                <w:color w:val="000000"/>
                <w:sz w:val="20"/>
              </w:rPr>
              <w:t>Mesta z novimi ali posodobljenimi digitaliziranimi sistemi mestnega prometa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02B85F" w14:textId="77777777" w:rsidR="00A77B3E" w:rsidRDefault="00B16CCF">
            <w:pPr>
              <w:spacing w:before="5pt"/>
              <w:rPr>
                <w:color w:val="000000"/>
                <w:sz w:val="20"/>
              </w:rPr>
            </w:pPr>
            <w:r>
              <w:rPr>
                <w:color w:val="000000"/>
                <w:sz w:val="20"/>
              </w:rPr>
              <w:t>mesta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67DBC5"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66E471" w14:textId="77777777" w:rsidR="00A77B3E" w:rsidRDefault="00B16CCF">
            <w:pPr>
              <w:spacing w:before="5pt"/>
              <w:jc w:val="end"/>
              <w:rPr>
                <w:color w:val="000000"/>
                <w:sz w:val="20"/>
              </w:rPr>
            </w:pPr>
            <w:r>
              <w:rPr>
                <w:color w:val="000000"/>
                <w:sz w:val="20"/>
              </w:rPr>
              <w:t>2,00</w:t>
            </w:r>
          </w:p>
        </w:tc>
      </w:tr>
      <w:tr w:rsidR="00823317" w14:paraId="7969AE1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AB8112" w14:textId="77777777" w:rsidR="00A77B3E" w:rsidRDefault="00B16CCF">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8378AA" w14:textId="77777777" w:rsidR="00A77B3E" w:rsidRDefault="00B16CCF">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B8E59A"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4D289A"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1B65C1" w14:textId="77777777" w:rsidR="00A77B3E" w:rsidRDefault="00B16CCF">
            <w:pPr>
              <w:spacing w:before="5pt"/>
              <w:rPr>
                <w:color w:val="000000"/>
                <w:sz w:val="20"/>
              </w:rPr>
            </w:pPr>
            <w:r>
              <w:rPr>
                <w:color w:val="000000"/>
                <w:sz w:val="20"/>
              </w:rPr>
              <w:t>RCO58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1B4D5F" w14:textId="77777777" w:rsidR="00A77B3E" w:rsidRDefault="00B16CCF">
            <w:pPr>
              <w:spacing w:before="5pt"/>
              <w:rPr>
                <w:color w:val="000000"/>
                <w:sz w:val="20"/>
              </w:rPr>
            </w:pPr>
            <w:r>
              <w:rPr>
                <w:color w:val="000000"/>
                <w:sz w:val="20"/>
              </w:rPr>
              <w:t>Namenska kolesarska infrastruktura, ki je prejela podporo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73E816" w14:textId="77777777" w:rsidR="00A77B3E" w:rsidRDefault="00B16CCF">
            <w:pPr>
              <w:spacing w:before="5pt"/>
              <w:rPr>
                <w:color w:val="000000"/>
                <w:sz w:val="20"/>
              </w:rPr>
            </w:pPr>
            <w:r>
              <w:rPr>
                <w:color w:val="000000"/>
                <w:sz w:val="20"/>
              </w:rPr>
              <w:t>km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9B8523"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4F4DD5" w14:textId="77777777" w:rsidR="00A77B3E" w:rsidRDefault="00B16CCF">
            <w:pPr>
              <w:spacing w:before="5pt"/>
              <w:jc w:val="end"/>
              <w:rPr>
                <w:color w:val="000000"/>
                <w:sz w:val="20"/>
              </w:rPr>
            </w:pPr>
            <w:r>
              <w:rPr>
                <w:color w:val="000000"/>
                <w:sz w:val="20"/>
              </w:rPr>
              <w:t>10,00</w:t>
            </w:r>
          </w:p>
        </w:tc>
      </w:tr>
      <w:tr w:rsidR="00823317" w14:paraId="7674E04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4937D2" w14:textId="77777777" w:rsidR="00A77B3E" w:rsidRDefault="00B16CCF">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EF506D" w14:textId="77777777" w:rsidR="00A77B3E" w:rsidRDefault="00B16CCF">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ED36F8"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62ABF9"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6C4E3E" w14:textId="77777777" w:rsidR="00A77B3E" w:rsidRDefault="00B16CCF">
            <w:pPr>
              <w:spacing w:before="5pt"/>
              <w:rPr>
                <w:color w:val="000000"/>
                <w:sz w:val="20"/>
              </w:rPr>
            </w:pPr>
            <w:r>
              <w:rPr>
                <w:color w:val="000000"/>
                <w:sz w:val="20"/>
              </w:rPr>
              <w:t>RCO59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0271C0" w14:textId="77777777" w:rsidR="00A77B3E" w:rsidRDefault="00B16CCF">
            <w:pPr>
              <w:spacing w:before="5pt"/>
              <w:rPr>
                <w:color w:val="000000"/>
                <w:sz w:val="20"/>
              </w:rPr>
            </w:pPr>
            <w:r>
              <w:rPr>
                <w:color w:val="000000"/>
                <w:sz w:val="20"/>
              </w:rPr>
              <w:t>Infrastruktura za alternativno gorivo (oskrbovalna/polnilna mesta)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D28255" w14:textId="77777777" w:rsidR="00A77B3E" w:rsidRDefault="00B16CCF">
            <w:pPr>
              <w:spacing w:before="5pt"/>
              <w:rPr>
                <w:color w:val="000000"/>
                <w:sz w:val="20"/>
              </w:rPr>
            </w:pPr>
            <w:r>
              <w:rPr>
                <w:color w:val="000000"/>
                <w:sz w:val="20"/>
              </w:rPr>
              <w:t>oskrbovalna/polnilna mesta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DEB777"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314019" w14:textId="77777777" w:rsidR="00A77B3E" w:rsidRDefault="00B16CCF">
            <w:pPr>
              <w:spacing w:before="5pt"/>
              <w:jc w:val="end"/>
              <w:rPr>
                <w:color w:val="000000"/>
                <w:sz w:val="20"/>
              </w:rPr>
            </w:pPr>
            <w:r>
              <w:rPr>
                <w:color w:val="000000"/>
                <w:sz w:val="20"/>
              </w:rPr>
              <w:t>5,00</w:t>
            </w:r>
          </w:p>
        </w:tc>
      </w:tr>
      <w:tr w:rsidR="00823317" w14:paraId="2950072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CC5ABB" w14:textId="77777777" w:rsidR="00A77B3E" w:rsidRDefault="00B16CCF">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C1A375" w14:textId="77777777" w:rsidR="00A77B3E" w:rsidRDefault="00B16CCF">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A88C29"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15AD68"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AA1E36" w14:textId="77777777" w:rsidR="00A77B3E" w:rsidRDefault="00B16CCF">
            <w:pPr>
              <w:spacing w:before="5pt"/>
              <w:rPr>
                <w:color w:val="000000"/>
                <w:sz w:val="20"/>
              </w:rPr>
            </w:pPr>
            <w:r>
              <w:rPr>
                <w:color w:val="000000"/>
                <w:sz w:val="20"/>
              </w:rPr>
              <w:t>RCO60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55D6A3" w14:textId="77777777" w:rsidR="00A77B3E" w:rsidRDefault="00B16CCF">
            <w:pPr>
              <w:spacing w:before="5pt"/>
              <w:rPr>
                <w:color w:val="000000"/>
                <w:sz w:val="20"/>
              </w:rPr>
            </w:pPr>
            <w:r>
              <w:rPr>
                <w:color w:val="000000"/>
                <w:sz w:val="20"/>
              </w:rPr>
              <w:t>Mesta z novimi ali posodobljenimi digitaliziranimi sistemi mestnega prometa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17D69A" w14:textId="77777777" w:rsidR="00A77B3E" w:rsidRDefault="00B16CCF">
            <w:pPr>
              <w:spacing w:before="5pt"/>
              <w:rPr>
                <w:color w:val="000000"/>
                <w:sz w:val="20"/>
              </w:rPr>
            </w:pPr>
            <w:r>
              <w:rPr>
                <w:color w:val="000000"/>
                <w:sz w:val="20"/>
              </w:rPr>
              <w:t>mesta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908BF1"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5566A8" w14:textId="77777777" w:rsidR="00A77B3E" w:rsidRDefault="00B16CCF">
            <w:pPr>
              <w:spacing w:before="5pt"/>
              <w:jc w:val="end"/>
              <w:rPr>
                <w:color w:val="000000"/>
                <w:sz w:val="20"/>
              </w:rPr>
            </w:pPr>
            <w:r>
              <w:rPr>
                <w:color w:val="000000"/>
                <w:sz w:val="20"/>
              </w:rPr>
              <w:t>2,00</w:t>
            </w:r>
          </w:p>
        </w:tc>
      </w:tr>
    </w:tbl>
    <w:p w14:paraId="7E2F7859" w14:textId="77777777" w:rsidR="00A77B3E" w:rsidRDefault="00A77B3E">
      <w:pPr>
        <w:spacing w:before="5pt"/>
        <w:rPr>
          <w:color w:val="000000"/>
          <w:sz w:val="20"/>
        </w:rPr>
      </w:pPr>
    </w:p>
    <w:p w14:paraId="7E28E0F8" w14:textId="77777777" w:rsidR="00A77B3E" w:rsidRDefault="00B16CCF">
      <w:pPr>
        <w:spacing w:before="5pt"/>
        <w:rPr>
          <w:color w:val="000000"/>
          <w:sz w:val="0"/>
        </w:rPr>
      </w:pPr>
      <w:r>
        <w:rPr>
          <w:color w:val="000000"/>
        </w:rPr>
        <w:t>Sklic: člen 22(3)(d)(ii) uredbe o skupnih določbah</w:t>
      </w:r>
    </w:p>
    <w:p w14:paraId="014B8701" w14:textId="77777777" w:rsidR="00A77B3E" w:rsidRDefault="00B16CCF">
      <w:pPr>
        <w:pStyle w:val="Naslov5"/>
        <w:spacing w:before="5pt" w:after="0pt"/>
        <w:rPr>
          <w:b w:val="0"/>
          <w:i w:val="0"/>
          <w:color w:val="000000"/>
          <w:sz w:val="24"/>
        </w:rPr>
      </w:pPr>
      <w:bookmarkStart w:id="291" w:name="_Toc256001052"/>
      <w:r>
        <w:rPr>
          <w:b w:val="0"/>
          <w:i w:val="0"/>
          <w:color w:val="000000"/>
          <w:sz w:val="24"/>
        </w:rPr>
        <w:t>Tabela 3: Kazalniki rezultatov</w:t>
      </w:r>
      <w:bookmarkEnd w:id="291"/>
    </w:p>
    <w:p w14:paraId="4986DD0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83"/>
        <w:gridCol w:w="1184"/>
        <w:gridCol w:w="790"/>
        <w:gridCol w:w="1227"/>
        <w:gridCol w:w="1424"/>
        <w:gridCol w:w="1551"/>
        <w:gridCol w:w="1707"/>
        <w:gridCol w:w="1255"/>
        <w:gridCol w:w="1325"/>
        <w:gridCol w:w="1297"/>
        <w:gridCol w:w="1100"/>
        <w:gridCol w:w="1029"/>
      </w:tblGrid>
      <w:tr w:rsidR="00823317" w14:paraId="79F6C29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DAEB3A"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A7EFB84"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83E2EE"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A56E1F"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7E74CD"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53B8A3"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DF08BA"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5E944C" w14:textId="77777777" w:rsidR="00A77B3E" w:rsidRDefault="00B16CCF">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6C0173" w14:textId="77777777" w:rsidR="00A77B3E" w:rsidRDefault="00B16CCF">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806A73" w14:textId="77777777" w:rsidR="00A77B3E" w:rsidRDefault="00B16CCF">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80972B" w14:textId="77777777" w:rsidR="00A77B3E" w:rsidRDefault="00B16CCF">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341AD8" w14:textId="77777777" w:rsidR="00A77B3E" w:rsidRDefault="00B16CCF">
            <w:pPr>
              <w:spacing w:before="5pt"/>
              <w:jc w:val="center"/>
              <w:rPr>
                <w:color w:val="000000"/>
                <w:sz w:val="20"/>
              </w:rPr>
            </w:pPr>
            <w:r>
              <w:rPr>
                <w:color w:val="000000"/>
                <w:sz w:val="20"/>
              </w:rPr>
              <w:t>Opombe</w:t>
            </w:r>
          </w:p>
        </w:tc>
      </w:tr>
      <w:tr w:rsidR="00823317" w14:paraId="6671F79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93C079" w14:textId="77777777" w:rsidR="00A77B3E" w:rsidRDefault="00B16CCF">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4B9CA0" w14:textId="77777777" w:rsidR="00A77B3E" w:rsidRDefault="00B16CCF">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C48895"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B88989"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80F23B" w14:textId="77777777" w:rsidR="00A77B3E" w:rsidRDefault="00B16CCF">
            <w:pPr>
              <w:spacing w:before="5pt"/>
              <w:rPr>
                <w:color w:val="000000"/>
                <w:sz w:val="20"/>
              </w:rPr>
            </w:pPr>
            <w:r>
              <w:rPr>
                <w:color w:val="000000"/>
                <w:sz w:val="20"/>
              </w:rPr>
              <w:t>RCR62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D9BABE" w14:textId="77777777" w:rsidR="00A77B3E" w:rsidRDefault="00B16CCF">
            <w:pPr>
              <w:spacing w:before="5pt"/>
              <w:rPr>
                <w:color w:val="000000"/>
                <w:sz w:val="20"/>
              </w:rPr>
            </w:pPr>
            <w:r>
              <w:rPr>
                <w:color w:val="000000"/>
                <w:sz w:val="20"/>
              </w:rPr>
              <w:t>Število potnikov na leto, ki uporabljajo novi ali posodobljeni javni prevoz</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DDE7C9" w14:textId="77777777" w:rsidR="00A77B3E" w:rsidRDefault="00B16CCF">
            <w:pPr>
              <w:spacing w:before="5pt"/>
              <w:rPr>
                <w:color w:val="000000"/>
                <w:sz w:val="20"/>
              </w:rPr>
            </w:pPr>
            <w:r>
              <w:rPr>
                <w:color w:val="000000"/>
                <w:sz w:val="20"/>
              </w:rPr>
              <w:t>uporabniki/leto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11DEEA"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A18921" w14:textId="77777777" w:rsidR="00A77B3E" w:rsidRDefault="00B16CCF">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1693D2" w14:textId="77777777" w:rsidR="00A77B3E" w:rsidRDefault="00B16CCF">
            <w:pPr>
              <w:spacing w:before="5pt"/>
              <w:jc w:val="end"/>
              <w:rPr>
                <w:color w:val="000000"/>
                <w:sz w:val="20"/>
              </w:rPr>
            </w:pPr>
            <w:r>
              <w:rPr>
                <w:color w:val="000000"/>
                <w:sz w:val="20"/>
              </w:rPr>
              <w:t>735.000,00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31E184" w14:textId="77777777" w:rsidR="00A77B3E" w:rsidRDefault="00B16CCF">
            <w:pPr>
              <w:spacing w:before="5pt"/>
              <w:rPr>
                <w:color w:val="000000"/>
                <w:sz w:val="20"/>
              </w:rPr>
            </w:pPr>
            <w:r>
              <w:rPr>
                <w:color w:val="000000"/>
                <w:sz w:val="20"/>
              </w:rPr>
              <w:t>MZI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A5531A" w14:textId="77777777" w:rsidR="00A77B3E" w:rsidRDefault="00A77B3E">
            <w:pPr>
              <w:spacing w:before="5pt"/>
              <w:rPr>
                <w:color w:val="000000"/>
                <w:sz w:val="20"/>
              </w:rPr>
            </w:pPr>
          </w:p>
        </w:tc>
      </w:tr>
      <w:tr w:rsidR="00823317" w14:paraId="409CA02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345251" w14:textId="77777777" w:rsidR="00A77B3E" w:rsidRDefault="00B16CCF">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46CDF0" w14:textId="77777777" w:rsidR="00A77B3E" w:rsidRDefault="00B16CCF">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5721DE"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BB0588"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D021FA" w14:textId="77777777" w:rsidR="00A77B3E" w:rsidRDefault="00B16CCF">
            <w:pPr>
              <w:spacing w:before="5pt"/>
              <w:rPr>
                <w:color w:val="000000"/>
                <w:sz w:val="20"/>
              </w:rPr>
            </w:pPr>
            <w:r>
              <w:rPr>
                <w:color w:val="000000"/>
                <w:sz w:val="20"/>
              </w:rPr>
              <w:t>RCR64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B4390F" w14:textId="77777777" w:rsidR="00A77B3E" w:rsidRDefault="00B16CCF">
            <w:pPr>
              <w:spacing w:before="5pt"/>
              <w:rPr>
                <w:color w:val="000000"/>
                <w:sz w:val="20"/>
              </w:rPr>
            </w:pPr>
            <w:r>
              <w:rPr>
                <w:color w:val="000000"/>
                <w:sz w:val="20"/>
              </w:rPr>
              <w:t>Število potnikov na leto, ki uporabljajo namensko kolesarsko infrastrukturo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FDA1A1" w14:textId="77777777" w:rsidR="00A77B3E" w:rsidRDefault="00B16CCF">
            <w:pPr>
              <w:spacing w:before="5pt"/>
              <w:rPr>
                <w:color w:val="000000"/>
                <w:sz w:val="20"/>
              </w:rPr>
            </w:pPr>
            <w:r>
              <w:rPr>
                <w:color w:val="000000"/>
                <w:sz w:val="20"/>
              </w:rPr>
              <w:t>uporabniki/leto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2E8BA2"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AFA04B" w14:textId="77777777" w:rsidR="00A77B3E" w:rsidRDefault="00B16CCF">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A519F0" w14:textId="77777777" w:rsidR="00A77B3E" w:rsidRDefault="00B16CCF">
            <w:pPr>
              <w:spacing w:before="5pt"/>
              <w:jc w:val="end"/>
              <w:rPr>
                <w:color w:val="000000"/>
                <w:sz w:val="20"/>
              </w:rPr>
            </w:pPr>
            <w:r>
              <w:rPr>
                <w:color w:val="000000"/>
                <w:sz w:val="20"/>
              </w:rPr>
              <w:t>400.000,00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E0EAFA" w14:textId="77777777" w:rsidR="00A77B3E" w:rsidRDefault="00B16CCF">
            <w:pPr>
              <w:spacing w:before="5pt"/>
              <w:rPr>
                <w:color w:val="000000"/>
                <w:sz w:val="20"/>
              </w:rPr>
            </w:pPr>
            <w:r>
              <w:rPr>
                <w:color w:val="000000"/>
                <w:sz w:val="20"/>
              </w:rPr>
              <w:t>MZI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A323AE" w14:textId="77777777" w:rsidR="00A77B3E" w:rsidRDefault="00A77B3E">
            <w:pPr>
              <w:spacing w:before="5pt"/>
              <w:rPr>
                <w:color w:val="000000"/>
                <w:sz w:val="20"/>
              </w:rPr>
            </w:pPr>
          </w:p>
        </w:tc>
      </w:tr>
      <w:tr w:rsidR="00823317" w14:paraId="2893745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B8EA95" w14:textId="77777777" w:rsidR="00A77B3E" w:rsidRDefault="00B16CCF">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0C3DFA" w14:textId="77777777" w:rsidR="00A77B3E" w:rsidRDefault="00B16CCF">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B29696"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47A839"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0D613B" w14:textId="77777777" w:rsidR="00A77B3E" w:rsidRDefault="00B16CCF">
            <w:pPr>
              <w:spacing w:before="5pt"/>
              <w:rPr>
                <w:color w:val="000000"/>
                <w:sz w:val="20"/>
              </w:rPr>
            </w:pPr>
            <w:r>
              <w:rPr>
                <w:color w:val="000000"/>
                <w:sz w:val="20"/>
              </w:rPr>
              <w:t>RCR62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57FC10" w14:textId="77777777" w:rsidR="00A77B3E" w:rsidRDefault="00B16CCF">
            <w:pPr>
              <w:spacing w:before="5pt"/>
              <w:rPr>
                <w:color w:val="000000"/>
                <w:sz w:val="20"/>
              </w:rPr>
            </w:pPr>
            <w:r>
              <w:rPr>
                <w:color w:val="000000"/>
                <w:sz w:val="20"/>
              </w:rPr>
              <w:t xml:space="preserve">Število potnikov na leto, ki uporabljajo novi </w:t>
            </w:r>
            <w:r>
              <w:rPr>
                <w:color w:val="000000"/>
                <w:sz w:val="20"/>
              </w:rPr>
              <w:lastRenderedPageBreak/>
              <w:t>ali posodobljeni javni prevoz</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6DAD4E" w14:textId="77777777" w:rsidR="00A77B3E" w:rsidRDefault="00B16CCF">
            <w:pPr>
              <w:spacing w:before="5pt"/>
              <w:rPr>
                <w:color w:val="000000"/>
                <w:sz w:val="20"/>
              </w:rPr>
            </w:pPr>
            <w:r>
              <w:rPr>
                <w:color w:val="000000"/>
                <w:sz w:val="20"/>
              </w:rPr>
              <w:lastRenderedPageBreak/>
              <w:t>uporabniki/leto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9E6BB7"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97385A" w14:textId="77777777" w:rsidR="00A77B3E" w:rsidRDefault="00B16CCF">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59AB9D" w14:textId="77777777" w:rsidR="00A77B3E" w:rsidRDefault="00B16CCF">
            <w:pPr>
              <w:spacing w:before="5pt"/>
              <w:jc w:val="end"/>
              <w:rPr>
                <w:color w:val="000000"/>
                <w:sz w:val="20"/>
              </w:rPr>
            </w:pPr>
            <w:r>
              <w:rPr>
                <w:color w:val="000000"/>
                <w:sz w:val="20"/>
              </w:rPr>
              <w:t>405.000,00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19747C" w14:textId="77777777" w:rsidR="00A77B3E" w:rsidRDefault="00B16CCF">
            <w:pPr>
              <w:spacing w:before="5pt"/>
              <w:rPr>
                <w:color w:val="000000"/>
                <w:sz w:val="20"/>
              </w:rPr>
            </w:pPr>
            <w:r>
              <w:rPr>
                <w:color w:val="000000"/>
                <w:sz w:val="20"/>
              </w:rPr>
              <w:t>MZI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9699B5" w14:textId="77777777" w:rsidR="00A77B3E" w:rsidRDefault="00A77B3E">
            <w:pPr>
              <w:spacing w:before="5pt"/>
              <w:rPr>
                <w:color w:val="000000"/>
                <w:sz w:val="20"/>
              </w:rPr>
            </w:pPr>
          </w:p>
        </w:tc>
      </w:tr>
      <w:tr w:rsidR="00823317" w14:paraId="06CA2A8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E41C28" w14:textId="77777777" w:rsidR="00A77B3E" w:rsidRDefault="00B16CCF">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18F47C" w14:textId="77777777" w:rsidR="00A77B3E" w:rsidRDefault="00B16CCF">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681D9B"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446DA4"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2F1E78" w14:textId="77777777" w:rsidR="00A77B3E" w:rsidRDefault="00B16CCF">
            <w:pPr>
              <w:spacing w:before="5pt"/>
              <w:rPr>
                <w:color w:val="000000"/>
                <w:sz w:val="20"/>
              </w:rPr>
            </w:pPr>
            <w:r>
              <w:rPr>
                <w:color w:val="000000"/>
                <w:sz w:val="20"/>
              </w:rPr>
              <w:t>RCR64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B0BF07" w14:textId="77777777" w:rsidR="00A77B3E" w:rsidRDefault="00B16CCF">
            <w:pPr>
              <w:spacing w:before="5pt"/>
              <w:rPr>
                <w:color w:val="000000"/>
                <w:sz w:val="20"/>
              </w:rPr>
            </w:pPr>
            <w:r>
              <w:rPr>
                <w:color w:val="000000"/>
                <w:sz w:val="20"/>
              </w:rPr>
              <w:t>Število potnikov na leto, ki uporabljajo namensko kolesarsko infrastrukturo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9D5CCA" w14:textId="77777777" w:rsidR="00A77B3E" w:rsidRDefault="00B16CCF">
            <w:pPr>
              <w:spacing w:before="5pt"/>
              <w:rPr>
                <w:color w:val="000000"/>
                <w:sz w:val="20"/>
              </w:rPr>
            </w:pPr>
            <w:r>
              <w:rPr>
                <w:color w:val="000000"/>
                <w:sz w:val="20"/>
              </w:rPr>
              <w:t>uporabniki/leto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FD84EE"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E1663D" w14:textId="77777777" w:rsidR="00A77B3E" w:rsidRDefault="00B16CCF">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1C32D0" w14:textId="77777777" w:rsidR="00A77B3E" w:rsidRDefault="00B16CCF">
            <w:pPr>
              <w:spacing w:before="5pt"/>
              <w:jc w:val="end"/>
              <w:rPr>
                <w:color w:val="000000"/>
                <w:sz w:val="20"/>
              </w:rPr>
            </w:pPr>
            <w:r>
              <w:rPr>
                <w:color w:val="000000"/>
                <w:sz w:val="20"/>
              </w:rPr>
              <w:t>200.000,00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D62AC1" w14:textId="77777777" w:rsidR="00A77B3E" w:rsidRDefault="00B16CCF">
            <w:pPr>
              <w:spacing w:before="5pt"/>
              <w:rPr>
                <w:color w:val="000000"/>
                <w:sz w:val="20"/>
              </w:rPr>
            </w:pPr>
            <w:r>
              <w:rPr>
                <w:color w:val="000000"/>
                <w:sz w:val="20"/>
              </w:rPr>
              <w:t>MZI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331C1C" w14:textId="77777777" w:rsidR="00A77B3E" w:rsidRDefault="00A77B3E">
            <w:pPr>
              <w:spacing w:before="5pt"/>
              <w:rPr>
                <w:color w:val="000000"/>
                <w:sz w:val="20"/>
              </w:rPr>
            </w:pPr>
          </w:p>
        </w:tc>
      </w:tr>
    </w:tbl>
    <w:p w14:paraId="14CE340B" w14:textId="77777777" w:rsidR="00A77B3E" w:rsidRDefault="00A77B3E">
      <w:pPr>
        <w:spacing w:before="5pt"/>
        <w:rPr>
          <w:color w:val="000000"/>
          <w:sz w:val="20"/>
        </w:rPr>
      </w:pPr>
    </w:p>
    <w:p w14:paraId="45AF49E9" w14:textId="77777777" w:rsidR="00A77B3E" w:rsidRDefault="00B16CCF">
      <w:pPr>
        <w:pStyle w:val="Naslov4"/>
        <w:spacing w:before="5pt" w:after="0pt"/>
        <w:rPr>
          <w:b w:val="0"/>
          <w:color w:val="000000"/>
          <w:sz w:val="24"/>
        </w:rPr>
      </w:pPr>
      <w:bookmarkStart w:id="292" w:name="_Toc256001053"/>
      <w:r>
        <w:rPr>
          <w:b w:val="0"/>
          <w:color w:val="000000"/>
          <w:sz w:val="24"/>
        </w:rPr>
        <w:t>2.1.1.1.3. Okvirna razčlenitev načrtovanih sredstev (EU) glede na vrsto ukrepa</w:t>
      </w:r>
      <w:bookmarkEnd w:id="292"/>
    </w:p>
    <w:p w14:paraId="70B34728" w14:textId="77777777" w:rsidR="00A77B3E" w:rsidRDefault="00A77B3E">
      <w:pPr>
        <w:spacing w:before="5pt"/>
        <w:rPr>
          <w:color w:val="000000"/>
          <w:sz w:val="0"/>
        </w:rPr>
      </w:pPr>
    </w:p>
    <w:p w14:paraId="28BDCFBB" w14:textId="77777777" w:rsidR="00A77B3E" w:rsidRDefault="00B16CCF">
      <w:pPr>
        <w:spacing w:before="5pt"/>
        <w:rPr>
          <w:color w:val="000000"/>
          <w:sz w:val="0"/>
        </w:rPr>
      </w:pPr>
      <w:r>
        <w:rPr>
          <w:color w:val="000000"/>
        </w:rPr>
        <w:t>Sklic: člen 22(3)(d)(viii) uredbe o skupnih določbah</w:t>
      </w:r>
    </w:p>
    <w:p w14:paraId="14D6F8B3" w14:textId="77777777" w:rsidR="00A77B3E" w:rsidRDefault="00B16CCF">
      <w:pPr>
        <w:pStyle w:val="Naslov5"/>
        <w:spacing w:before="5pt" w:after="0pt"/>
        <w:rPr>
          <w:b w:val="0"/>
          <w:i w:val="0"/>
          <w:color w:val="000000"/>
          <w:sz w:val="24"/>
        </w:rPr>
      </w:pPr>
      <w:bookmarkStart w:id="293" w:name="_Toc256001054"/>
      <w:r>
        <w:rPr>
          <w:b w:val="0"/>
          <w:i w:val="0"/>
          <w:color w:val="000000"/>
          <w:sz w:val="24"/>
        </w:rPr>
        <w:t>Tabela 4: Razsežnost 1 – področje ukrepanja</w:t>
      </w:r>
      <w:bookmarkEnd w:id="293"/>
    </w:p>
    <w:p w14:paraId="160FB49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21"/>
        <w:gridCol w:w="2327"/>
        <w:gridCol w:w="1689"/>
        <w:gridCol w:w="2412"/>
        <w:gridCol w:w="3049"/>
        <w:gridCol w:w="3174"/>
      </w:tblGrid>
      <w:tr w:rsidR="00823317" w14:paraId="403F151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908662"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8042E8"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9387EF"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D2CADE"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BD87FB"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E168025" w14:textId="77777777" w:rsidR="00A77B3E" w:rsidRDefault="00B16CCF">
            <w:pPr>
              <w:spacing w:before="5pt"/>
              <w:jc w:val="center"/>
              <w:rPr>
                <w:color w:val="000000"/>
                <w:sz w:val="20"/>
              </w:rPr>
            </w:pPr>
            <w:r>
              <w:rPr>
                <w:color w:val="000000"/>
                <w:sz w:val="20"/>
              </w:rPr>
              <w:t>Znesek (v EUR)</w:t>
            </w:r>
          </w:p>
        </w:tc>
      </w:tr>
      <w:tr w:rsidR="00823317" w14:paraId="7E70E5D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18BA64" w14:textId="77777777" w:rsidR="00A77B3E" w:rsidRDefault="00B16CCF">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B38086" w14:textId="77777777" w:rsidR="00A77B3E" w:rsidRDefault="00B16CCF">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564143"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12841A"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62C558" w14:textId="77777777" w:rsidR="00A77B3E" w:rsidRDefault="00B16CCF">
            <w:pPr>
              <w:spacing w:before="5pt"/>
              <w:rPr>
                <w:color w:val="000000"/>
                <w:sz w:val="20"/>
              </w:rPr>
            </w:pPr>
            <w:r>
              <w:rPr>
                <w:color w:val="000000"/>
                <w:sz w:val="20"/>
              </w:rPr>
              <w:t>081. Infrastruktura za okolju prijazen mestni promet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398A07" w14:textId="77777777" w:rsidR="00A77B3E" w:rsidRDefault="00B16CCF">
            <w:pPr>
              <w:spacing w:before="5pt"/>
              <w:jc w:val="end"/>
              <w:rPr>
                <w:color w:val="000000"/>
                <w:sz w:val="20"/>
              </w:rPr>
            </w:pPr>
            <w:r>
              <w:rPr>
                <w:color w:val="000000"/>
                <w:sz w:val="20"/>
              </w:rPr>
              <w:t>794.692,00</w:t>
            </w:r>
          </w:p>
        </w:tc>
      </w:tr>
      <w:tr w:rsidR="00823317" w14:paraId="1AF7F8C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2E44E4" w14:textId="77777777" w:rsidR="00A77B3E" w:rsidRDefault="00B16CCF">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15CC4D" w14:textId="77777777" w:rsidR="00A77B3E" w:rsidRDefault="00B16CCF">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4B67E9"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DE297D"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EA8411" w14:textId="77777777" w:rsidR="00A77B3E" w:rsidRDefault="00B16CCF">
            <w:pPr>
              <w:spacing w:before="5pt"/>
              <w:rPr>
                <w:color w:val="000000"/>
                <w:sz w:val="20"/>
              </w:rPr>
            </w:pPr>
            <w:r>
              <w:rPr>
                <w:color w:val="000000"/>
                <w:sz w:val="20"/>
              </w:rPr>
              <w:t>082. Vozni park za okolju prijazen mestni promet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D949FB" w14:textId="77777777" w:rsidR="00A77B3E" w:rsidRDefault="00B16CCF">
            <w:pPr>
              <w:spacing w:before="5pt"/>
              <w:jc w:val="end"/>
              <w:rPr>
                <w:color w:val="000000"/>
                <w:sz w:val="20"/>
              </w:rPr>
            </w:pPr>
            <w:r>
              <w:rPr>
                <w:color w:val="000000"/>
                <w:sz w:val="20"/>
              </w:rPr>
              <w:t>7.000.000,00</w:t>
            </w:r>
          </w:p>
        </w:tc>
      </w:tr>
      <w:tr w:rsidR="00823317" w14:paraId="746BA83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10A96A" w14:textId="77777777" w:rsidR="00A77B3E" w:rsidRDefault="00B16CCF">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401249" w14:textId="77777777" w:rsidR="00A77B3E" w:rsidRDefault="00B16CCF">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0A5F00"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EB4CBA"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EB7196" w14:textId="77777777" w:rsidR="00A77B3E" w:rsidRDefault="00B16CCF">
            <w:pPr>
              <w:spacing w:before="5pt"/>
              <w:rPr>
                <w:color w:val="000000"/>
                <w:sz w:val="20"/>
              </w:rPr>
            </w:pPr>
            <w:r>
              <w:rPr>
                <w:color w:val="000000"/>
                <w:sz w:val="20"/>
              </w:rPr>
              <w:t>083. Kolesarska infrastruktura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713E30" w14:textId="77777777" w:rsidR="00A77B3E" w:rsidRDefault="00B16CCF">
            <w:pPr>
              <w:spacing w:before="5pt"/>
              <w:jc w:val="end"/>
              <w:rPr>
                <w:color w:val="000000"/>
                <w:sz w:val="20"/>
              </w:rPr>
            </w:pPr>
            <w:r>
              <w:rPr>
                <w:color w:val="000000"/>
                <w:sz w:val="20"/>
              </w:rPr>
              <w:t>5.000.000,00</w:t>
            </w:r>
          </w:p>
        </w:tc>
      </w:tr>
      <w:tr w:rsidR="00823317" w14:paraId="53D4B3C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20BAE4" w14:textId="77777777" w:rsidR="00A77B3E" w:rsidRDefault="00B16CCF">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AE9B2A" w14:textId="77777777" w:rsidR="00A77B3E" w:rsidRDefault="00B16CCF">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836809"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3AE993"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1F911A" w14:textId="77777777" w:rsidR="00A77B3E" w:rsidRDefault="00B16CCF">
            <w:pPr>
              <w:spacing w:before="5pt"/>
              <w:rPr>
                <w:color w:val="000000"/>
                <w:sz w:val="20"/>
              </w:rPr>
            </w:pPr>
            <w:r>
              <w:rPr>
                <w:color w:val="000000"/>
                <w:sz w:val="20"/>
              </w:rPr>
              <w:t>084. Digitalizacija mestnega prometa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0E9772" w14:textId="77777777" w:rsidR="00A77B3E" w:rsidRDefault="00B16CCF">
            <w:pPr>
              <w:spacing w:before="5pt"/>
              <w:jc w:val="end"/>
              <w:rPr>
                <w:color w:val="000000"/>
                <w:sz w:val="20"/>
              </w:rPr>
            </w:pPr>
            <w:r>
              <w:rPr>
                <w:color w:val="000000"/>
                <w:sz w:val="20"/>
              </w:rPr>
              <w:t>3.000.000,00</w:t>
            </w:r>
          </w:p>
        </w:tc>
      </w:tr>
      <w:tr w:rsidR="00823317" w14:paraId="77F02EC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019816" w14:textId="77777777" w:rsidR="00A77B3E" w:rsidRDefault="00B16CCF">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343FB6" w14:textId="77777777" w:rsidR="00A77B3E" w:rsidRDefault="00B16CCF">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7CFA0B"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913210"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3A873F" w14:textId="77777777" w:rsidR="00A77B3E" w:rsidRDefault="00B16CCF">
            <w:pPr>
              <w:spacing w:before="5pt"/>
              <w:rPr>
                <w:color w:val="000000"/>
                <w:sz w:val="20"/>
              </w:rPr>
            </w:pPr>
            <w:r>
              <w:rPr>
                <w:color w:val="000000"/>
                <w:sz w:val="20"/>
              </w:rPr>
              <w:t>086. Infrastruktura za alternativna goriva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636A41" w14:textId="77777777" w:rsidR="00A77B3E" w:rsidRDefault="00B16CCF">
            <w:pPr>
              <w:spacing w:before="5pt"/>
              <w:jc w:val="end"/>
              <w:rPr>
                <w:color w:val="000000"/>
                <w:sz w:val="20"/>
              </w:rPr>
            </w:pPr>
            <w:r>
              <w:rPr>
                <w:color w:val="000000"/>
                <w:sz w:val="20"/>
              </w:rPr>
              <w:t>850.000,00</w:t>
            </w:r>
          </w:p>
        </w:tc>
      </w:tr>
      <w:tr w:rsidR="00823317" w14:paraId="6F56D5E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4083F4" w14:textId="77777777" w:rsidR="00A77B3E" w:rsidRDefault="00B16CCF">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130FDE" w14:textId="77777777" w:rsidR="00A77B3E" w:rsidRDefault="00B16CCF">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548486"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6CF075"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5181F0" w14:textId="77777777" w:rsidR="00A77B3E" w:rsidRDefault="00B16CCF">
            <w:pPr>
              <w:spacing w:before="5pt"/>
              <w:rPr>
                <w:color w:val="000000"/>
                <w:sz w:val="20"/>
              </w:rPr>
            </w:pPr>
            <w:r>
              <w:rPr>
                <w:color w:val="000000"/>
                <w:sz w:val="20"/>
              </w:rPr>
              <w:t>081. Infrastruktura za okolju prijazen mestni promet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F287F7" w14:textId="77777777" w:rsidR="00A77B3E" w:rsidRDefault="00B16CCF">
            <w:pPr>
              <w:spacing w:before="5pt"/>
              <w:jc w:val="end"/>
              <w:rPr>
                <w:color w:val="000000"/>
                <w:sz w:val="20"/>
              </w:rPr>
            </w:pPr>
            <w:r>
              <w:rPr>
                <w:color w:val="000000"/>
                <w:sz w:val="20"/>
              </w:rPr>
              <w:t>19.572.561,00</w:t>
            </w:r>
          </w:p>
        </w:tc>
      </w:tr>
      <w:tr w:rsidR="00823317" w14:paraId="459E37F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593AE9" w14:textId="77777777" w:rsidR="00A77B3E" w:rsidRDefault="00B16CCF">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35F2CF" w14:textId="77777777" w:rsidR="00A77B3E" w:rsidRDefault="00B16CCF">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B0B3E9"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F2BAC7"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F4228E" w14:textId="77777777" w:rsidR="00A77B3E" w:rsidRDefault="00B16CCF">
            <w:pPr>
              <w:spacing w:before="5pt"/>
              <w:rPr>
                <w:color w:val="000000"/>
                <w:sz w:val="20"/>
              </w:rPr>
            </w:pPr>
            <w:r>
              <w:rPr>
                <w:color w:val="000000"/>
                <w:sz w:val="20"/>
              </w:rPr>
              <w:t>082. Vozni park za okolju prijazen mestni promet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DE9F9E" w14:textId="77777777" w:rsidR="00A77B3E" w:rsidRDefault="00B16CCF">
            <w:pPr>
              <w:spacing w:before="5pt"/>
              <w:jc w:val="end"/>
              <w:rPr>
                <w:color w:val="000000"/>
                <w:sz w:val="20"/>
              </w:rPr>
            </w:pPr>
            <w:r>
              <w:rPr>
                <w:color w:val="000000"/>
                <w:sz w:val="20"/>
              </w:rPr>
              <w:t>9.000.000,00</w:t>
            </w:r>
          </w:p>
        </w:tc>
      </w:tr>
      <w:tr w:rsidR="00823317" w14:paraId="416A05E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D57763" w14:textId="77777777" w:rsidR="00A77B3E" w:rsidRDefault="00B16CCF">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51F272" w14:textId="77777777" w:rsidR="00A77B3E" w:rsidRDefault="00B16CCF">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CEE551"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402F76"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69B64F" w14:textId="77777777" w:rsidR="00A77B3E" w:rsidRDefault="00B16CCF">
            <w:pPr>
              <w:spacing w:before="5pt"/>
              <w:rPr>
                <w:color w:val="000000"/>
                <w:sz w:val="20"/>
              </w:rPr>
            </w:pPr>
            <w:r>
              <w:rPr>
                <w:color w:val="000000"/>
                <w:sz w:val="20"/>
              </w:rPr>
              <w:t>083. Kolesarska infrastruktura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83B2AA" w14:textId="77777777" w:rsidR="00A77B3E" w:rsidRDefault="00B16CCF">
            <w:pPr>
              <w:spacing w:before="5pt"/>
              <w:jc w:val="end"/>
              <w:rPr>
                <w:color w:val="000000"/>
                <w:sz w:val="20"/>
              </w:rPr>
            </w:pPr>
            <w:r>
              <w:rPr>
                <w:color w:val="000000"/>
                <w:sz w:val="20"/>
              </w:rPr>
              <w:t>5.000.000,00</w:t>
            </w:r>
          </w:p>
        </w:tc>
      </w:tr>
      <w:tr w:rsidR="00823317" w14:paraId="190C9A4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71C84A" w14:textId="77777777" w:rsidR="00A77B3E" w:rsidRDefault="00B16CCF">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1D7008" w14:textId="77777777" w:rsidR="00A77B3E" w:rsidRDefault="00B16CCF">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5FE91A"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7E7092"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B180FB" w14:textId="77777777" w:rsidR="00A77B3E" w:rsidRDefault="00B16CCF">
            <w:pPr>
              <w:spacing w:before="5pt"/>
              <w:rPr>
                <w:color w:val="000000"/>
                <w:sz w:val="20"/>
              </w:rPr>
            </w:pPr>
            <w:r>
              <w:rPr>
                <w:color w:val="000000"/>
                <w:sz w:val="20"/>
              </w:rPr>
              <w:t>084. Digitalizacija mestnega prometa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AE0542" w14:textId="77777777" w:rsidR="00A77B3E" w:rsidRDefault="00B16CCF">
            <w:pPr>
              <w:spacing w:before="5pt"/>
              <w:jc w:val="end"/>
              <w:rPr>
                <w:color w:val="000000"/>
                <w:sz w:val="20"/>
              </w:rPr>
            </w:pPr>
            <w:r>
              <w:rPr>
                <w:color w:val="000000"/>
                <w:sz w:val="20"/>
              </w:rPr>
              <w:t>3.000.000,00</w:t>
            </w:r>
          </w:p>
        </w:tc>
      </w:tr>
      <w:tr w:rsidR="00823317" w14:paraId="05EB9CA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8785D0" w14:textId="77777777" w:rsidR="00A77B3E" w:rsidRDefault="00B16CCF">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25453E" w14:textId="77777777" w:rsidR="00A77B3E" w:rsidRDefault="00B16CCF">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DE3CB5"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CBB5C8"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09A52E" w14:textId="77777777" w:rsidR="00A77B3E" w:rsidRDefault="00B16CCF">
            <w:pPr>
              <w:spacing w:before="5pt"/>
              <w:rPr>
                <w:color w:val="000000"/>
                <w:sz w:val="20"/>
              </w:rPr>
            </w:pPr>
            <w:r>
              <w:rPr>
                <w:color w:val="000000"/>
                <w:sz w:val="20"/>
              </w:rPr>
              <w:t>086. Infrastruktura za alternativna goriva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12A25D" w14:textId="77777777" w:rsidR="00A77B3E" w:rsidRDefault="00B16CCF">
            <w:pPr>
              <w:spacing w:before="5pt"/>
              <w:jc w:val="end"/>
              <w:rPr>
                <w:color w:val="000000"/>
                <w:sz w:val="20"/>
              </w:rPr>
            </w:pPr>
            <w:r>
              <w:rPr>
                <w:color w:val="000000"/>
                <w:sz w:val="20"/>
              </w:rPr>
              <w:t>700.000,00</w:t>
            </w:r>
          </w:p>
        </w:tc>
      </w:tr>
      <w:tr w:rsidR="00823317" w14:paraId="391127A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E5AED3" w14:textId="77777777" w:rsidR="00A77B3E" w:rsidRDefault="00B16CCF">
            <w:pPr>
              <w:spacing w:before="5pt"/>
              <w:rPr>
                <w:color w:val="000000"/>
                <w:sz w:val="20"/>
              </w:rPr>
            </w:pPr>
            <w:r>
              <w:rPr>
                <w:color w:val="000000"/>
                <w:sz w:val="20"/>
              </w:rPr>
              <w:lastRenderedPageBreak/>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70ADAB" w14:textId="77777777" w:rsidR="00A77B3E" w:rsidRDefault="00B16CCF">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C34ADE"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1C0702"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45A1D4"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5E3483" w14:textId="77777777" w:rsidR="00A77B3E" w:rsidRDefault="00B16CCF">
            <w:pPr>
              <w:spacing w:before="5pt"/>
              <w:jc w:val="end"/>
              <w:rPr>
                <w:color w:val="000000"/>
                <w:sz w:val="20"/>
              </w:rPr>
            </w:pPr>
            <w:r>
              <w:rPr>
                <w:color w:val="000000"/>
                <w:sz w:val="20"/>
              </w:rPr>
              <w:t>53.917.253,00</w:t>
            </w:r>
          </w:p>
        </w:tc>
      </w:tr>
    </w:tbl>
    <w:p w14:paraId="622C30DA" w14:textId="77777777" w:rsidR="00A77B3E" w:rsidRDefault="00A77B3E">
      <w:pPr>
        <w:spacing w:before="5pt"/>
        <w:rPr>
          <w:color w:val="000000"/>
          <w:sz w:val="20"/>
        </w:rPr>
      </w:pPr>
    </w:p>
    <w:p w14:paraId="545AFFF9" w14:textId="77777777" w:rsidR="00A77B3E" w:rsidRDefault="00B16CCF">
      <w:pPr>
        <w:pStyle w:val="Naslov5"/>
        <w:spacing w:before="5pt" w:after="0pt"/>
        <w:rPr>
          <w:b w:val="0"/>
          <w:i w:val="0"/>
          <w:color w:val="000000"/>
          <w:sz w:val="24"/>
        </w:rPr>
      </w:pPr>
      <w:bookmarkStart w:id="294" w:name="_Toc256001055"/>
      <w:r>
        <w:rPr>
          <w:b w:val="0"/>
          <w:i w:val="0"/>
          <w:color w:val="000000"/>
          <w:sz w:val="24"/>
        </w:rPr>
        <w:t>Tabela 5: Razsežnost 2 – oblika financiranja</w:t>
      </w:r>
      <w:bookmarkEnd w:id="294"/>
    </w:p>
    <w:p w14:paraId="421AD90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93"/>
        <w:gridCol w:w="2392"/>
        <w:gridCol w:w="1737"/>
        <w:gridCol w:w="2480"/>
        <w:gridCol w:w="2706"/>
        <w:gridCol w:w="3264"/>
      </w:tblGrid>
      <w:tr w:rsidR="00823317" w14:paraId="661A85B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05F9FB"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53CA61"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87CDEB"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F392AD"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4EDCAC"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74ACEB" w14:textId="77777777" w:rsidR="00A77B3E" w:rsidRDefault="00B16CCF">
            <w:pPr>
              <w:spacing w:before="5pt"/>
              <w:jc w:val="center"/>
              <w:rPr>
                <w:color w:val="000000"/>
                <w:sz w:val="20"/>
              </w:rPr>
            </w:pPr>
            <w:r>
              <w:rPr>
                <w:color w:val="000000"/>
                <w:sz w:val="20"/>
              </w:rPr>
              <w:t>Znesek (v EUR)</w:t>
            </w:r>
          </w:p>
        </w:tc>
      </w:tr>
      <w:tr w:rsidR="00823317" w14:paraId="5A91E08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88AF39" w14:textId="77777777" w:rsidR="00A77B3E" w:rsidRDefault="00B16CCF">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B6ED34" w14:textId="77777777" w:rsidR="00A77B3E" w:rsidRDefault="00B16CCF">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B6D961"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BE30E2"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66355A" w14:textId="77777777" w:rsidR="00A77B3E" w:rsidRDefault="00B16CCF">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19A314" w14:textId="77777777" w:rsidR="00A77B3E" w:rsidRDefault="00B16CCF">
            <w:pPr>
              <w:spacing w:before="5pt"/>
              <w:jc w:val="end"/>
              <w:rPr>
                <w:color w:val="000000"/>
                <w:sz w:val="20"/>
              </w:rPr>
            </w:pPr>
            <w:r>
              <w:rPr>
                <w:color w:val="000000"/>
                <w:sz w:val="20"/>
              </w:rPr>
              <w:t>16.644.692,00</w:t>
            </w:r>
          </w:p>
        </w:tc>
      </w:tr>
      <w:tr w:rsidR="00823317" w14:paraId="0B84C65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5F5F9B" w14:textId="77777777" w:rsidR="00A77B3E" w:rsidRDefault="00B16CCF">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E37880" w14:textId="77777777" w:rsidR="00A77B3E" w:rsidRDefault="00B16CCF">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92B360"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F81A6D"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1ABC69" w14:textId="77777777" w:rsidR="00A77B3E" w:rsidRDefault="00B16CCF">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BAE8E0" w14:textId="77777777" w:rsidR="00A77B3E" w:rsidRDefault="00B16CCF">
            <w:pPr>
              <w:spacing w:before="5pt"/>
              <w:jc w:val="end"/>
              <w:rPr>
                <w:color w:val="000000"/>
                <w:sz w:val="20"/>
              </w:rPr>
            </w:pPr>
            <w:r>
              <w:rPr>
                <w:color w:val="000000"/>
                <w:sz w:val="20"/>
              </w:rPr>
              <w:t>37.272.561,00</w:t>
            </w:r>
          </w:p>
        </w:tc>
      </w:tr>
      <w:tr w:rsidR="00823317" w14:paraId="718A698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B915AC" w14:textId="77777777" w:rsidR="00A77B3E" w:rsidRDefault="00B16CCF">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81582C" w14:textId="77777777" w:rsidR="00A77B3E" w:rsidRDefault="00B16CCF">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209761"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5C46C5"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13C7EF"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EA09E6" w14:textId="77777777" w:rsidR="00A77B3E" w:rsidRDefault="00B16CCF">
            <w:pPr>
              <w:spacing w:before="5pt"/>
              <w:jc w:val="end"/>
              <w:rPr>
                <w:color w:val="000000"/>
                <w:sz w:val="20"/>
              </w:rPr>
            </w:pPr>
            <w:r>
              <w:rPr>
                <w:color w:val="000000"/>
                <w:sz w:val="20"/>
              </w:rPr>
              <w:t>53.917.253,00</w:t>
            </w:r>
          </w:p>
        </w:tc>
      </w:tr>
    </w:tbl>
    <w:p w14:paraId="65FE9FD4" w14:textId="77777777" w:rsidR="00A77B3E" w:rsidRDefault="00A77B3E">
      <w:pPr>
        <w:spacing w:before="5pt"/>
        <w:rPr>
          <w:color w:val="000000"/>
          <w:sz w:val="20"/>
        </w:rPr>
      </w:pPr>
    </w:p>
    <w:p w14:paraId="74466EBD" w14:textId="77777777" w:rsidR="00A77B3E" w:rsidRDefault="00B16CCF">
      <w:pPr>
        <w:pStyle w:val="Naslov5"/>
        <w:spacing w:before="5pt" w:after="0pt"/>
        <w:rPr>
          <w:b w:val="0"/>
          <w:i w:val="0"/>
          <w:color w:val="000000"/>
          <w:sz w:val="24"/>
        </w:rPr>
      </w:pPr>
      <w:bookmarkStart w:id="295" w:name="_Toc256001056"/>
      <w:r>
        <w:rPr>
          <w:b w:val="0"/>
          <w:i w:val="0"/>
          <w:color w:val="000000"/>
          <w:sz w:val="24"/>
        </w:rPr>
        <w:t>Tabela 6: Razsežnost 3 – mehanizem za ozemeljsko izvrševanje in ozemeljski pristop</w:t>
      </w:r>
      <w:bookmarkEnd w:id="295"/>
    </w:p>
    <w:p w14:paraId="4D1349F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17"/>
        <w:gridCol w:w="2415"/>
        <w:gridCol w:w="1754"/>
        <w:gridCol w:w="2503"/>
        <w:gridCol w:w="2589"/>
        <w:gridCol w:w="3294"/>
      </w:tblGrid>
      <w:tr w:rsidR="00823317" w14:paraId="5CDA8B4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0A362A"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CCDF7F"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A6D6E3"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8EB4CD"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BB23B8"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561E71" w14:textId="77777777" w:rsidR="00A77B3E" w:rsidRDefault="00B16CCF">
            <w:pPr>
              <w:spacing w:before="5pt"/>
              <w:jc w:val="center"/>
              <w:rPr>
                <w:color w:val="000000"/>
                <w:sz w:val="20"/>
              </w:rPr>
            </w:pPr>
            <w:r>
              <w:rPr>
                <w:color w:val="000000"/>
                <w:sz w:val="20"/>
              </w:rPr>
              <w:t>Znesek (v EUR)</w:t>
            </w:r>
          </w:p>
        </w:tc>
      </w:tr>
      <w:tr w:rsidR="00823317" w14:paraId="23C307A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1ECFEE" w14:textId="77777777" w:rsidR="00A77B3E" w:rsidRDefault="00B16CCF">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1BB7D4" w14:textId="77777777" w:rsidR="00A77B3E" w:rsidRDefault="00B16CCF">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67F5BD"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4B3691"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792986" w14:textId="77777777" w:rsidR="00A77B3E" w:rsidRDefault="00B16CCF">
            <w:pPr>
              <w:spacing w:before="5pt"/>
              <w:rPr>
                <w:color w:val="000000"/>
                <w:sz w:val="20"/>
              </w:rPr>
            </w:pPr>
            <w:r>
              <w:rPr>
                <w:color w:val="000000"/>
                <w:sz w:val="20"/>
              </w:rPr>
              <w:t>02. Celostne teritorialne naložbe – mesta, kraji in predmestja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3AD326" w14:textId="77777777" w:rsidR="00A77B3E" w:rsidRDefault="00B16CCF">
            <w:pPr>
              <w:spacing w:before="5pt"/>
              <w:jc w:val="end"/>
              <w:rPr>
                <w:color w:val="000000"/>
                <w:sz w:val="20"/>
              </w:rPr>
            </w:pPr>
            <w:r>
              <w:rPr>
                <w:color w:val="000000"/>
                <w:sz w:val="20"/>
              </w:rPr>
              <w:t>16.644.692,00</w:t>
            </w:r>
          </w:p>
        </w:tc>
      </w:tr>
      <w:tr w:rsidR="00823317" w14:paraId="77EE861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08BFDA" w14:textId="77777777" w:rsidR="00A77B3E" w:rsidRDefault="00B16CCF">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B4B42F" w14:textId="77777777" w:rsidR="00A77B3E" w:rsidRDefault="00B16CCF">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714C70"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8E249B"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1EFF76" w14:textId="77777777" w:rsidR="00A77B3E" w:rsidRDefault="00B16CCF">
            <w:pPr>
              <w:spacing w:before="5pt"/>
              <w:rPr>
                <w:color w:val="000000"/>
                <w:sz w:val="20"/>
              </w:rPr>
            </w:pPr>
            <w:r>
              <w:rPr>
                <w:color w:val="000000"/>
                <w:sz w:val="20"/>
              </w:rPr>
              <w:t>02. Celostne teritorialne naložbe – mesta, kraji in predmestja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3B31B4" w14:textId="77777777" w:rsidR="00A77B3E" w:rsidRDefault="00B16CCF">
            <w:pPr>
              <w:spacing w:before="5pt"/>
              <w:jc w:val="end"/>
              <w:rPr>
                <w:color w:val="000000"/>
                <w:sz w:val="20"/>
              </w:rPr>
            </w:pPr>
            <w:r>
              <w:rPr>
                <w:color w:val="000000"/>
                <w:sz w:val="20"/>
              </w:rPr>
              <w:t>37.272.561,00</w:t>
            </w:r>
          </w:p>
        </w:tc>
      </w:tr>
      <w:tr w:rsidR="00823317" w14:paraId="46C375E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9A963E" w14:textId="77777777" w:rsidR="00A77B3E" w:rsidRDefault="00B16CCF">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828E6F" w14:textId="77777777" w:rsidR="00A77B3E" w:rsidRDefault="00B16CCF">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9EFDDB"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7DA9FB"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EEB98E"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515F57" w14:textId="77777777" w:rsidR="00A77B3E" w:rsidRDefault="00B16CCF">
            <w:pPr>
              <w:spacing w:before="5pt"/>
              <w:jc w:val="end"/>
              <w:rPr>
                <w:color w:val="000000"/>
                <w:sz w:val="20"/>
              </w:rPr>
            </w:pPr>
            <w:r>
              <w:rPr>
                <w:color w:val="000000"/>
                <w:sz w:val="20"/>
              </w:rPr>
              <w:t>53.917.253,00</w:t>
            </w:r>
          </w:p>
        </w:tc>
      </w:tr>
    </w:tbl>
    <w:p w14:paraId="538E1A72" w14:textId="77777777" w:rsidR="00A77B3E" w:rsidRDefault="00A77B3E">
      <w:pPr>
        <w:spacing w:before="5pt"/>
        <w:rPr>
          <w:color w:val="000000"/>
          <w:sz w:val="20"/>
        </w:rPr>
      </w:pPr>
    </w:p>
    <w:p w14:paraId="0D995BDD" w14:textId="77777777" w:rsidR="00A77B3E" w:rsidRDefault="00B16CCF">
      <w:pPr>
        <w:pStyle w:val="Naslov5"/>
        <w:spacing w:before="5pt" w:after="0pt"/>
        <w:rPr>
          <w:b w:val="0"/>
          <w:i w:val="0"/>
          <w:color w:val="000000"/>
          <w:sz w:val="24"/>
        </w:rPr>
      </w:pPr>
      <w:bookmarkStart w:id="296" w:name="_Toc256001057"/>
      <w:r>
        <w:rPr>
          <w:b w:val="0"/>
          <w:i w:val="0"/>
          <w:color w:val="000000"/>
          <w:sz w:val="24"/>
        </w:rPr>
        <w:t>Tabela 7: Razsežnost 6 – sekundarna področja ESS+</w:t>
      </w:r>
      <w:bookmarkEnd w:id="296"/>
    </w:p>
    <w:p w14:paraId="4F65D59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117"/>
        <w:gridCol w:w="2877"/>
        <w:gridCol w:w="1780"/>
        <w:gridCol w:w="2982"/>
        <w:gridCol w:w="2259"/>
        <w:gridCol w:w="2157"/>
      </w:tblGrid>
      <w:tr w:rsidR="00823317" w14:paraId="1694F8A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C01DC9"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435B45"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4114932"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31E8EA"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C14C9F"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A55404" w14:textId="77777777" w:rsidR="00A77B3E" w:rsidRDefault="00B16CCF">
            <w:pPr>
              <w:spacing w:before="5pt"/>
              <w:jc w:val="center"/>
              <w:rPr>
                <w:color w:val="000000"/>
                <w:sz w:val="20"/>
              </w:rPr>
            </w:pPr>
            <w:r>
              <w:rPr>
                <w:color w:val="000000"/>
                <w:sz w:val="20"/>
              </w:rPr>
              <w:t>Znesek (v EUR)</w:t>
            </w:r>
          </w:p>
        </w:tc>
      </w:tr>
    </w:tbl>
    <w:p w14:paraId="6C138796" w14:textId="77777777" w:rsidR="00A77B3E" w:rsidRDefault="00A77B3E">
      <w:pPr>
        <w:spacing w:before="5pt"/>
        <w:rPr>
          <w:color w:val="000000"/>
          <w:sz w:val="20"/>
        </w:rPr>
      </w:pPr>
    </w:p>
    <w:p w14:paraId="444587CB" w14:textId="77777777" w:rsidR="00A77B3E" w:rsidRDefault="00B16CCF">
      <w:pPr>
        <w:pStyle w:val="Naslov5"/>
        <w:spacing w:before="5pt" w:after="0pt"/>
        <w:rPr>
          <w:b w:val="0"/>
          <w:i w:val="0"/>
          <w:color w:val="000000"/>
          <w:sz w:val="24"/>
        </w:rPr>
      </w:pPr>
      <w:bookmarkStart w:id="297" w:name="_Toc256001058"/>
      <w:r>
        <w:rPr>
          <w:b w:val="0"/>
          <w:i w:val="0"/>
          <w:color w:val="000000"/>
          <w:sz w:val="24"/>
        </w:rPr>
        <w:t>Tabela 8: Razsežnost 7 – razsežnost enakosti spolov v okviru ESS+*, ESRR, Kohezijskega sklada in SPP</w:t>
      </w:r>
      <w:bookmarkEnd w:id="297"/>
    </w:p>
    <w:p w14:paraId="3A774BC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13"/>
        <w:gridCol w:w="2411"/>
        <w:gridCol w:w="1750"/>
        <w:gridCol w:w="2498"/>
        <w:gridCol w:w="2612"/>
        <w:gridCol w:w="3288"/>
      </w:tblGrid>
      <w:tr w:rsidR="00823317" w14:paraId="04ACD8A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DA36472"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5117A5"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04F18D"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B39B8C"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62FDDC"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B1BD02" w14:textId="77777777" w:rsidR="00A77B3E" w:rsidRDefault="00B16CCF">
            <w:pPr>
              <w:spacing w:before="5pt"/>
              <w:jc w:val="center"/>
              <w:rPr>
                <w:color w:val="000000"/>
                <w:sz w:val="20"/>
              </w:rPr>
            </w:pPr>
            <w:r>
              <w:rPr>
                <w:color w:val="000000"/>
                <w:sz w:val="20"/>
              </w:rPr>
              <w:t>Znesek (v EUR)</w:t>
            </w:r>
          </w:p>
        </w:tc>
      </w:tr>
      <w:tr w:rsidR="00823317" w14:paraId="19583D9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FF8FB2" w14:textId="77777777" w:rsidR="00A77B3E" w:rsidRDefault="00B16CCF">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389F7D" w14:textId="77777777" w:rsidR="00A77B3E" w:rsidRDefault="00B16CCF">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4B7A1D"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98A677"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370DB5" w14:textId="77777777" w:rsidR="00A77B3E" w:rsidRDefault="00B16CCF">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159094" w14:textId="77777777" w:rsidR="00A77B3E" w:rsidRDefault="00B16CCF">
            <w:pPr>
              <w:spacing w:before="5pt"/>
              <w:jc w:val="end"/>
              <w:rPr>
                <w:color w:val="000000"/>
                <w:sz w:val="20"/>
              </w:rPr>
            </w:pPr>
            <w:r>
              <w:rPr>
                <w:color w:val="000000"/>
                <w:sz w:val="20"/>
              </w:rPr>
              <w:t>16.644.692,00</w:t>
            </w:r>
          </w:p>
        </w:tc>
      </w:tr>
      <w:tr w:rsidR="00823317" w14:paraId="1378CDF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4033DB" w14:textId="77777777" w:rsidR="00A77B3E" w:rsidRDefault="00B16CCF">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123C83" w14:textId="77777777" w:rsidR="00A77B3E" w:rsidRDefault="00B16CCF">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A85344"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8F4433"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3832F6" w14:textId="77777777" w:rsidR="00A77B3E" w:rsidRDefault="00B16CCF">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0810CA" w14:textId="77777777" w:rsidR="00A77B3E" w:rsidRDefault="00B16CCF">
            <w:pPr>
              <w:spacing w:before="5pt"/>
              <w:jc w:val="end"/>
              <w:rPr>
                <w:color w:val="000000"/>
                <w:sz w:val="20"/>
              </w:rPr>
            </w:pPr>
            <w:r>
              <w:rPr>
                <w:color w:val="000000"/>
                <w:sz w:val="20"/>
              </w:rPr>
              <w:t>37.272.561,00</w:t>
            </w:r>
          </w:p>
        </w:tc>
      </w:tr>
      <w:tr w:rsidR="00823317" w14:paraId="52FE7A3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81E8CD" w14:textId="77777777" w:rsidR="00A77B3E" w:rsidRDefault="00B16CCF">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CCCE2C" w14:textId="77777777" w:rsidR="00A77B3E" w:rsidRDefault="00B16CCF">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0E55AF"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FA0367"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613E5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A0703C" w14:textId="77777777" w:rsidR="00A77B3E" w:rsidRDefault="00B16CCF">
            <w:pPr>
              <w:spacing w:before="5pt"/>
              <w:jc w:val="end"/>
              <w:rPr>
                <w:color w:val="000000"/>
                <w:sz w:val="20"/>
              </w:rPr>
            </w:pPr>
            <w:r>
              <w:rPr>
                <w:color w:val="000000"/>
                <w:sz w:val="20"/>
              </w:rPr>
              <w:t>53.917.253,00</w:t>
            </w:r>
          </w:p>
        </w:tc>
      </w:tr>
    </w:tbl>
    <w:p w14:paraId="07A3C10A" w14:textId="77777777" w:rsidR="00A77B3E" w:rsidRDefault="00B16CCF">
      <w:pPr>
        <w:spacing w:before="5pt"/>
        <w:rPr>
          <w:color w:val="000000"/>
          <w:sz w:val="20"/>
        </w:rPr>
      </w:pPr>
      <w:r>
        <w:rPr>
          <w:color w:val="000000"/>
          <w:sz w:val="20"/>
        </w:rPr>
        <w:lastRenderedPageBreak/>
        <w:t>* Načeloma 40 % za ESS+ prispeva k spremljanju enakosti spolov. 100 % se uporabi, kadar se država članica odloči za uporabo člena 6 uredbe o ESS+.</w:t>
      </w:r>
    </w:p>
    <w:p w14:paraId="3031586D" w14:textId="77777777" w:rsidR="00A77B3E" w:rsidRDefault="00B16CCF">
      <w:pPr>
        <w:pStyle w:val="Naslov3"/>
        <w:spacing w:before="5pt" w:after="0pt"/>
        <w:rPr>
          <w:rFonts w:ascii="Times New Roman" w:hAnsi="Times New Roman" w:cs="Times New Roman"/>
          <w:b w:val="0"/>
          <w:color w:val="000000"/>
          <w:sz w:val="24"/>
        </w:rPr>
      </w:pPr>
      <w:r>
        <w:rPr>
          <w:rFonts w:ascii="Times New Roman" w:hAnsi="Times New Roman" w:cs="Times New Roman"/>
          <w:b w:val="0"/>
          <w:color w:val="000000"/>
          <w:sz w:val="24"/>
        </w:rPr>
        <w:br w:type="page"/>
      </w:r>
      <w:bookmarkStart w:id="298" w:name="_Toc256001059"/>
      <w:r>
        <w:rPr>
          <w:rFonts w:ascii="Times New Roman" w:hAnsi="Times New Roman" w:cs="Times New Roman"/>
          <w:b w:val="0"/>
          <w:color w:val="000000"/>
          <w:sz w:val="24"/>
        </w:rPr>
        <w:lastRenderedPageBreak/>
        <w:t>2.1.1. Prednostna naloga: 12. Energetski prehod</w:t>
      </w:r>
      <w:bookmarkEnd w:id="298"/>
    </w:p>
    <w:p w14:paraId="701A257C" w14:textId="77777777" w:rsidR="00A77B3E" w:rsidRDefault="00A77B3E">
      <w:pPr>
        <w:spacing w:before="5pt"/>
        <w:rPr>
          <w:color w:val="000000"/>
          <w:sz w:val="0"/>
        </w:rPr>
      </w:pPr>
    </w:p>
    <w:p w14:paraId="361D08B9" w14:textId="77777777" w:rsidR="00A77B3E" w:rsidRDefault="00B16CCF">
      <w:pPr>
        <w:pStyle w:val="Naslov4"/>
        <w:spacing w:before="5pt" w:after="0pt"/>
        <w:rPr>
          <w:b w:val="0"/>
          <w:color w:val="000000"/>
          <w:sz w:val="24"/>
        </w:rPr>
      </w:pPr>
      <w:bookmarkStart w:id="299" w:name="_Toc256001060"/>
      <w:r>
        <w:rPr>
          <w:b w:val="0"/>
          <w:color w:val="000000"/>
          <w:sz w:val="24"/>
        </w:rPr>
        <w:t>2.1.1.1. Specifični cilj: RSO2.12. Promoting energy interconnectors and related transmission, distribution, storage and supportive infrastructure, as well as protection of critical energy infrastructure and the deployment of recharging infrastructure (ESRR)</w:t>
      </w:r>
      <w:bookmarkEnd w:id="299"/>
    </w:p>
    <w:p w14:paraId="12E472A8" w14:textId="77777777" w:rsidR="00A77B3E" w:rsidRDefault="00A77B3E">
      <w:pPr>
        <w:spacing w:before="5pt"/>
        <w:rPr>
          <w:color w:val="000000"/>
          <w:sz w:val="0"/>
        </w:rPr>
      </w:pPr>
    </w:p>
    <w:p w14:paraId="610F5B84" w14:textId="77777777" w:rsidR="00A77B3E" w:rsidRDefault="00B16CCF">
      <w:pPr>
        <w:pStyle w:val="Naslov4"/>
        <w:spacing w:before="5pt" w:after="0pt"/>
        <w:rPr>
          <w:b w:val="0"/>
          <w:color w:val="000000"/>
          <w:sz w:val="24"/>
        </w:rPr>
      </w:pPr>
      <w:bookmarkStart w:id="300" w:name="_Toc256001061"/>
      <w:r>
        <w:rPr>
          <w:b w:val="0"/>
          <w:color w:val="000000"/>
          <w:sz w:val="24"/>
        </w:rPr>
        <w:t>2.1.1.1.1. Ukrepi skladov</w:t>
      </w:r>
      <w:bookmarkEnd w:id="300"/>
    </w:p>
    <w:p w14:paraId="2536B18B" w14:textId="77777777" w:rsidR="00A77B3E" w:rsidRDefault="00A77B3E">
      <w:pPr>
        <w:spacing w:before="5pt"/>
        <w:rPr>
          <w:color w:val="000000"/>
          <w:sz w:val="0"/>
        </w:rPr>
      </w:pPr>
    </w:p>
    <w:p w14:paraId="3E45EC20" w14:textId="77777777" w:rsidR="00A77B3E" w:rsidRDefault="00B16CCF">
      <w:pPr>
        <w:spacing w:before="5pt"/>
        <w:rPr>
          <w:color w:val="000000"/>
          <w:sz w:val="0"/>
        </w:rPr>
      </w:pPr>
      <w:r>
        <w:rPr>
          <w:color w:val="000000"/>
        </w:rPr>
        <w:t>Sklic: člen 22(3)(d)(i), (iii), (iv), (v), (vi) in (vii) uredbe o skupnih določbah</w:t>
      </w:r>
    </w:p>
    <w:p w14:paraId="1B805E2B" w14:textId="77777777" w:rsidR="00A77B3E" w:rsidRDefault="00B16CCF">
      <w:pPr>
        <w:pStyle w:val="Naslov5"/>
        <w:spacing w:before="5pt" w:after="0pt"/>
        <w:rPr>
          <w:b w:val="0"/>
          <w:i w:val="0"/>
          <w:color w:val="000000"/>
          <w:sz w:val="24"/>
        </w:rPr>
      </w:pPr>
      <w:bookmarkStart w:id="301" w:name="_Toc256001062"/>
      <w:r>
        <w:rPr>
          <w:b w:val="0"/>
          <w:i w:val="0"/>
          <w:color w:val="000000"/>
          <w:sz w:val="24"/>
        </w:rPr>
        <w:t>Povezane vrste ukrepov – člen 22(3)(d)(i) uredbe o skupnih določbah in člen 6 uredbe o ESS+:</w:t>
      </w:r>
      <w:bookmarkEnd w:id="301"/>
    </w:p>
    <w:p w14:paraId="26A9699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32D654A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44BB1E" w14:textId="77777777" w:rsidR="00A77B3E" w:rsidRDefault="00A77B3E">
            <w:pPr>
              <w:spacing w:before="5pt"/>
              <w:rPr>
                <w:color w:val="000000"/>
                <w:sz w:val="0"/>
              </w:rPr>
            </w:pPr>
          </w:p>
          <w:p w14:paraId="03CB5202" w14:textId="77777777" w:rsidR="00A77B3E" w:rsidRDefault="00B16CCF">
            <w:pPr>
              <w:spacing w:before="5pt"/>
              <w:rPr>
                <w:color w:val="000000"/>
              </w:rPr>
            </w:pPr>
            <w:r>
              <w:rPr>
                <w:color w:val="000000"/>
              </w:rPr>
              <w:t>Posodobljen NEPN 2024 [1] temelji na predpostavki, da bodo nove energetske tehnologije, zlasti na področjih učinkovite rabe energije (URE), obnovljivih virov energije (OVE) in lokalne oskrbe z energijo, ključnega pomena za uspešen boj proti podnebnim spremembam, v okviru katerega je ključnega pomena elektrifikacija. Te tehnologije morajo omogočati doseganje zastavljenih ciljev ob stroških, ki ne bodo bistveno zmanjševali konkurenčnosti gospodarstva. Ključne so zato naložbe v OVE in krepitev energetske samozadostnosti in avtonomije, ter hkratne pospešene naložbe v krepitev (pametnega) elektroenergetskega omrežja ter razvoj povezovalnih daljnovodov in z njimi povezane infrastrukture.</w:t>
            </w:r>
          </w:p>
          <w:p w14:paraId="2A15BD9E" w14:textId="77777777" w:rsidR="00A77B3E" w:rsidRDefault="00B16CCF">
            <w:pPr>
              <w:spacing w:before="5pt"/>
              <w:rPr>
                <w:color w:val="000000"/>
              </w:rPr>
            </w:pPr>
            <w:r>
              <w:rPr>
                <w:color w:val="000000"/>
              </w:rPr>
              <w:t>V okviru tega ukrepa bo pospešeno vlaganje v celovito posodobitev elektroenergetskega omrežja, prilagojenega naraščajoči porabi električne energije, obvladovanju usklajevanja proizvodnje in porabe energije iz obnovljivih virov ter omogočanju hitrejše emobilnosti. Namen je povečati zmogljivost, odpornost proti motnjam, naprednost, povezljivost in prilagodljivost omrežja. Takšna infrastruktura bo omogočila učinkovitejše izkoriščanje prožnosti virov in bremen, pospešeno uvajanje e-mobilnosti, vključno s polnilnimi mesti za električna vozila, ter vključevanje naprav za proizvodnjo in shranjevanje električne energije iz OVE.</w:t>
            </w:r>
          </w:p>
          <w:p w14:paraId="1F18144B" w14:textId="77777777" w:rsidR="00A77B3E" w:rsidRDefault="00B16CCF">
            <w:pPr>
              <w:spacing w:before="5pt"/>
              <w:rPr>
                <w:color w:val="000000"/>
              </w:rPr>
            </w:pPr>
            <w:r>
              <w:rPr>
                <w:color w:val="000000"/>
              </w:rPr>
              <w:t>Naložbe bodo vsebovale elemente pametnih omrežij, kar bo dodatno okrepilo elektroenergetsko omrežje, izboljšalo njegovo prilagodljivost ter omogočilo napredno integracijo podatkovnih zbirk in nadzor v realnem času. Ta celovit pristop je ključen za doseganje ciljev na področju OVE in za spodbujanje zelenega prehoda v energetskem in prometnem sektorju.</w:t>
            </w:r>
          </w:p>
          <w:p w14:paraId="79CF3611" w14:textId="77777777" w:rsidR="00A77B3E" w:rsidRDefault="00B16CCF">
            <w:pPr>
              <w:spacing w:before="5pt"/>
              <w:rPr>
                <w:color w:val="000000"/>
              </w:rPr>
            </w:pPr>
            <w:r>
              <w:rPr>
                <w:color w:val="000000"/>
              </w:rPr>
              <w:t>Slovenija si prizadeva aktivno vključiti razvoj centraliziranih in decentraliziranih rešitev ter do leta 2030 podpreti izvedbo številnih projektov, ki vključujejo hranilnike energije, kot so baterijske zmogljivosti in druge tehnologije za shranjevanje, povezane s prenosnim in distribucijskim omrežjem. Hranilniki so ključni za zagotavljanje stabilnosti, zanesljivosti in učinkovitosti elektroenergetskega sistema, saj pomagajo uravnavati nihanja proizvodnje iz obnovljivih virov, stabilizirati omrežje, premostiti konice porabe, optimizirati delovanje omrežja, podpirati oskrbo na odročnih območjih ter zagotavljati rezervno energijo.</w:t>
            </w:r>
          </w:p>
          <w:p w14:paraId="1D5A2C8E" w14:textId="77777777" w:rsidR="00A77B3E" w:rsidRDefault="00B16CCF">
            <w:pPr>
              <w:spacing w:before="5pt"/>
              <w:rPr>
                <w:color w:val="000000"/>
              </w:rPr>
            </w:pPr>
            <w:r>
              <w:rPr>
                <w:color w:val="000000"/>
              </w:rPr>
              <w:t>Zaradi doseganja čim večjega deleža OVE v bruto končni rabi energije do leta 2030 se načrtuje vzpostavitev zadostne količine hranilnikov različnih tehnologij, velikosti in časov shranjevanja, priključenih na prenosno ali distribucijsko omrežje. Vzporedno bo potekalo posodabljanje distribucijskega omrežja, vključno z obnovo omrežja in vzpostavitvijo novih transformatorskih postaj, pripravljenih za integracijo v pametna omrežja.</w:t>
            </w:r>
          </w:p>
          <w:p w14:paraId="276BF929" w14:textId="77777777" w:rsidR="00A77B3E" w:rsidRDefault="00B16CCF">
            <w:pPr>
              <w:spacing w:before="5pt"/>
              <w:rPr>
                <w:color w:val="000000"/>
              </w:rPr>
            </w:pPr>
            <w:r>
              <w:rPr>
                <w:color w:val="000000"/>
              </w:rPr>
              <w:t>Projekti bodo izvedeni skladno s časovnico Načrta za okrevanje in odpornost (NOO) do sredine leta 2026, medtem ko bodo komplementarni projekti in projekti po tem obdobju podprti s sredstvi evropske kohezijske politike (EKP), z namenom zagotavljanja stabilnega, predvidljivega investicijskega cikla na elektro energetskem omrežju skladno z NEPN. Razmejitev med obema vrstama podpore bo podrobneje določena na ravni posameznih javnih razpisov.</w:t>
            </w:r>
          </w:p>
          <w:p w14:paraId="74426EDC" w14:textId="77777777" w:rsidR="00A77B3E" w:rsidRDefault="00A77B3E">
            <w:pPr>
              <w:spacing w:before="5pt"/>
              <w:rPr>
                <w:color w:val="000000"/>
                <w:sz w:val="6"/>
              </w:rPr>
            </w:pPr>
          </w:p>
          <w:p w14:paraId="33A3ED60" w14:textId="77777777" w:rsidR="00A77B3E" w:rsidRDefault="00A77B3E">
            <w:pPr>
              <w:spacing w:before="5pt"/>
              <w:rPr>
                <w:color w:val="000000"/>
                <w:sz w:val="6"/>
              </w:rPr>
            </w:pPr>
          </w:p>
        </w:tc>
      </w:tr>
    </w:tbl>
    <w:p w14:paraId="637AE0F6" w14:textId="77777777" w:rsidR="00A77B3E" w:rsidRDefault="00A77B3E">
      <w:pPr>
        <w:spacing w:before="5pt"/>
        <w:rPr>
          <w:color w:val="000000"/>
        </w:rPr>
      </w:pPr>
    </w:p>
    <w:p w14:paraId="7C152A16" w14:textId="77777777" w:rsidR="00A77B3E" w:rsidRDefault="00B16CCF">
      <w:pPr>
        <w:pStyle w:val="Naslov5"/>
        <w:spacing w:before="5pt" w:after="0pt"/>
        <w:rPr>
          <w:b w:val="0"/>
          <w:i w:val="0"/>
          <w:color w:val="000000"/>
          <w:sz w:val="24"/>
        </w:rPr>
      </w:pPr>
      <w:bookmarkStart w:id="302" w:name="_Toc256001063"/>
      <w:r>
        <w:rPr>
          <w:b w:val="0"/>
          <w:i w:val="0"/>
          <w:color w:val="000000"/>
          <w:sz w:val="24"/>
        </w:rPr>
        <w:t>Glavne ciljne skupine – člen 22(3)(d)(iii) uredbe o skupnih določbah:</w:t>
      </w:r>
      <w:bookmarkEnd w:id="302"/>
    </w:p>
    <w:p w14:paraId="52FC7D5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158F2E31"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612316" w14:textId="77777777" w:rsidR="00A77B3E" w:rsidRDefault="00A77B3E">
            <w:pPr>
              <w:spacing w:before="5pt"/>
              <w:rPr>
                <w:color w:val="000000"/>
                <w:sz w:val="0"/>
              </w:rPr>
            </w:pPr>
          </w:p>
          <w:p w14:paraId="188BCA7A" w14:textId="77777777" w:rsidR="00A77B3E" w:rsidRDefault="00B16CCF">
            <w:pPr>
              <w:spacing w:before="5pt"/>
              <w:rPr>
                <w:color w:val="000000"/>
              </w:rPr>
            </w:pPr>
            <w:r>
              <w:rPr>
                <w:color w:val="000000"/>
              </w:rPr>
              <w:t>Ciljne skupine: podjetja</w:t>
            </w:r>
          </w:p>
          <w:p w14:paraId="45E368BC" w14:textId="77777777" w:rsidR="00A77B3E" w:rsidRDefault="00B16CCF">
            <w:pPr>
              <w:spacing w:before="5pt"/>
              <w:rPr>
                <w:color w:val="000000"/>
              </w:rPr>
            </w:pPr>
            <w:r>
              <w:rPr>
                <w:color w:val="000000"/>
              </w:rPr>
              <w:t>Upravičenci: podjetja, sistemski elektrooperater prenosnega in distribucijskega omrežja in distribucijska podjetja.</w:t>
            </w:r>
          </w:p>
          <w:p w14:paraId="4035D9E6" w14:textId="77777777" w:rsidR="00A77B3E" w:rsidRDefault="00A77B3E">
            <w:pPr>
              <w:spacing w:before="5pt"/>
              <w:rPr>
                <w:color w:val="000000"/>
                <w:sz w:val="6"/>
              </w:rPr>
            </w:pPr>
          </w:p>
          <w:p w14:paraId="6CF53215" w14:textId="77777777" w:rsidR="00A77B3E" w:rsidRDefault="00A77B3E">
            <w:pPr>
              <w:spacing w:before="5pt"/>
              <w:rPr>
                <w:color w:val="000000"/>
                <w:sz w:val="6"/>
              </w:rPr>
            </w:pPr>
          </w:p>
        </w:tc>
      </w:tr>
    </w:tbl>
    <w:p w14:paraId="30EBCA45" w14:textId="77777777" w:rsidR="00A77B3E" w:rsidRDefault="00A77B3E">
      <w:pPr>
        <w:spacing w:before="5pt"/>
        <w:rPr>
          <w:color w:val="000000"/>
        </w:rPr>
      </w:pPr>
    </w:p>
    <w:p w14:paraId="60BB82F2" w14:textId="77777777" w:rsidR="00A77B3E" w:rsidRDefault="00B16CCF">
      <w:pPr>
        <w:pStyle w:val="Naslov5"/>
        <w:spacing w:before="5pt" w:after="0pt"/>
        <w:rPr>
          <w:b w:val="0"/>
          <w:i w:val="0"/>
          <w:color w:val="000000"/>
          <w:sz w:val="24"/>
        </w:rPr>
      </w:pPr>
      <w:bookmarkStart w:id="303" w:name="_Toc256001064"/>
      <w:r>
        <w:rPr>
          <w:b w:val="0"/>
          <w:i w:val="0"/>
          <w:color w:val="000000"/>
          <w:sz w:val="24"/>
        </w:rPr>
        <w:t>Ukrepi za zaščito enakosti, vključenosti in nediskriminacije – člen 22(3)(d)(iv) uredbe o skupnih določbah in člen 6 uredbe o ESS+</w:t>
      </w:r>
      <w:bookmarkEnd w:id="303"/>
    </w:p>
    <w:p w14:paraId="149B5B8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4FCABFBE"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121252" w14:textId="77777777" w:rsidR="00A77B3E" w:rsidRDefault="00A77B3E">
            <w:pPr>
              <w:spacing w:before="5pt"/>
              <w:rPr>
                <w:color w:val="000000"/>
                <w:sz w:val="0"/>
              </w:rPr>
            </w:pPr>
          </w:p>
          <w:p w14:paraId="7B559EF0" w14:textId="77777777" w:rsidR="00A77B3E" w:rsidRDefault="00B16CCF">
            <w:pPr>
              <w:spacing w:before="5pt"/>
              <w:rPr>
                <w:color w:val="000000"/>
              </w:rPr>
            </w:pPr>
            <w:r>
              <w:rPr>
                <w:color w:val="000000"/>
              </w:rPr>
              <w:t>Pri načrtovanju, izvedbi in spremljanju ukrepov bodo spoštovana načela enakosti spolov, enakih možnosti in nediskriminacije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w:t>
            </w:r>
          </w:p>
          <w:p w14:paraId="1EBF6483" w14:textId="77777777" w:rsidR="00A77B3E" w:rsidRDefault="00A77B3E">
            <w:pPr>
              <w:spacing w:before="5pt"/>
              <w:rPr>
                <w:color w:val="000000"/>
                <w:sz w:val="6"/>
              </w:rPr>
            </w:pPr>
          </w:p>
          <w:p w14:paraId="2F7FAADD" w14:textId="77777777" w:rsidR="00A77B3E" w:rsidRDefault="00A77B3E">
            <w:pPr>
              <w:spacing w:before="5pt"/>
              <w:rPr>
                <w:color w:val="000000"/>
                <w:sz w:val="6"/>
              </w:rPr>
            </w:pPr>
          </w:p>
        </w:tc>
      </w:tr>
    </w:tbl>
    <w:p w14:paraId="302AC599" w14:textId="77777777" w:rsidR="00A77B3E" w:rsidRDefault="00A77B3E">
      <w:pPr>
        <w:spacing w:before="5pt"/>
        <w:rPr>
          <w:color w:val="000000"/>
        </w:rPr>
      </w:pPr>
    </w:p>
    <w:p w14:paraId="73EB55CC" w14:textId="77777777" w:rsidR="00A77B3E" w:rsidRDefault="00B16CCF">
      <w:pPr>
        <w:pStyle w:val="Naslov5"/>
        <w:spacing w:before="5pt" w:after="0pt"/>
        <w:rPr>
          <w:b w:val="0"/>
          <w:i w:val="0"/>
          <w:color w:val="000000"/>
          <w:sz w:val="24"/>
        </w:rPr>
      </w:pPr>
      <w:bookmarkStart w:id="304" w:name="_Toc256001065"/>
      <w:r>
        <w:rPr>
          <w:b w:val="0"/>
          <w:i w:val="0"/>
          <w:color w:val="000000"/>
          <w:sz w:val="24"/>
        </w:rPr>
        <w:t>Navedba specifičnih ciljnih ozemelj, vključno z načrtovano uporabo teritorialnih orodij – člen 22(3)(d)(v) uredbe o skupnih določbah</w:t>
      </w:r>
      <w:bookmarkEnd w:id="304"/>
    </w:p>
    <w:p w14:paraId="26475D6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688FDCA0"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D83B93" w14:textId="77777777" w:rsidR="00A77B3E" w:rsidRDefault="00A77B3E">
            <w:pPr>
              <w:spacing w:before="5pt"/>
              <w:rPr>
                <w:color w:val="000000"/>
                <w:sz w:val="0"/>
              </w:rPr>
            </w:pPr>
          </w:p>
          <w:p w14:paraId="74723E7B" w14:textId="77777777" w:rsidR="00A77B3E" w:rsidRDefault="00B16CCF">
            <w:pPr>
              <w:spacing w:before="5pt"/>
              <w:rPr>
                <w:color w:val="000000"/>
              </w:rPr>
            </w:pPr>
            <w:r>
              <w:rPr>
                <w:color w:val="000000"/>
              </w:rPr>
              <w:t>V okviru specifičnega cilja ni predvidena uporaba teritorialnih orodij.</w:t>
            </w:r>
          </w:p>
          <w:p w14:paraId="5DD3EAD8" w14:textId="77777777" w:rsidR="00A77B3E" w:rsidRDefault="00A77B3E">
            <w:pPr>
              <w:spacing w:before="5pt"/>
              <w:rPr>
                <w:color w:val="000000"/>
                <w:sz w:val="6"/>
              </w:rPr>
            </w:pPr>
          </w:p>
          <w:p w14:paraId="25E54B8B" w14:textId="77777777" w:rsidR="00A77B3E" w:rsidRDefault="00A77B3E">
            <w:pPr>
              <w:spacing w:before="5pt"/>
              <w:rPr>
                <w:color w:val="000000"/>
                <w:sz w:val="6"/>
              </w:rPr>
            </w:pPr>
          </w:p>
        </w:tc>
      </w:tr>
    </w:tbl>
    <w:p w14:paraId="720FCAC0" w14:textId="77777777" w:rsidR="00A77B3E" w:rsidRDefault="00A77B3E">
      <w:pPr>
        <w:spacing w:before="5pt"/>
        <w:rPr>
          <w:color w:val="000000"/>
        </w:rPr>
      </w:pPr>
    </w:p>
    <w:p w14:paraId="62E225C7" w14:textId="77777777" w:rsidR="00A77B3E" w:rsidRDefault="00B16CCF">
      <w:pPr>
        <w:pStyle w:val="Naslov5"/>
        <w:spacing w:before="5pt" w:after="0pt"/>
        <w:rPr>
          <w:b w:val="0"/>
          <w:i w:val="0"/>
          <w:color w:val="000000"/>
          <w:sz w:val="24"/>
        </w:rPr>
      </w:pPr>
      <w:bookmarkStart w:id="305" w:name="_Toc256001066"/>
      <w:r>
        <w:rPr>
          <w:b w:val="0"/>
          <w:i w:val="0"/>
          <w:color w:val="000000"/>
          <w:sz w:val="24"/>
        </w:rPr>
        <w:t>Medregionalni, čezmejni in transnacionalni ukrepi – člen 22(3)(d)(vi) uredbe o skupnih določbah</w:t>
      </w:r>
      <w:bookmarkEnd w:id="305"/>
    </w:p>
    <w:p w14:paraId="18D0313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6595F07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FCD05E" w14:textId="77777777" w:rsidR="00A77B3E" w:rsidRDefault="00A77B3E">
            <w:pPr>
              <w:spacing w:before="5pt"/>
              <w:rPr>
                <w:color w:val="000000"/>
                <w:sz w:val="0"/>
              </w:rPr>
            </w:pPr>
          </w:p>
          <w:p w14:paraId="4ED26144" w14:textId="77777777" w:rsidR="00A77B3E" w:rsidRDefault="00B16CCF">
            <w:pPr>
              <w:spacing w:before="5pt"/>
              <w:rPr>
                <w:color w:val="000000"/>
              </w:rPr>
            </w:pPr>
            <w:r>
              <w:rPr>
                <w:color w:val="000000"/>
              </w:rPr>
              <w:t>V okviru predmetnega specifičnega cilja ni načrtovana izvedba medregionalnih, čezmejnih in transnacionalnih ukrepov, saj gre za ukrepe razvoja pametnih energetskih sistemov, omrežij ter hrambe zunaj vseevropskega energetskega omrežja, ki so namenjeni prvenstveno ciljnim skupinam na območju Slovenije.</w:t>
            </w:r>
          </w:p>
          <w:p w14:paraId="77EA539A" w14:textId="77777777" w:rsidR="00A77B3E" w:rsidRDefault="00A77B3E">
            <w:pPr>
              <w:spacing w:before="5pt"/>
              <w:rPr>
                <w:color w:val="000000"/>
                <w:sz w:val="6"/>
              </w:rPr>
            </w:pPr>
          </w:p>
          <w:p w14:paraId="73963C58" w14:textId="77777777" w:rsidR="00A77B3E" w:rsidRDefault="00A77B3E">
            <w:pPr>
              <w:spacing w:before="5pt"/>
              <w:rPr>
                <w:color w:val="000000"/>
                <w:sz w:val="6"/>
              </w:rPr>
            </w:pPr>
          </w:p>
        </w:tc>
      </w:tr>
    </w:tbl>
    <w:p w14:paraId="443789E8" w14:textId="77777777" w:rsidR="00A77B3E" w:rsidRDefault="00A77B3E">
      <w:pPr>
        <w:spacing w:before="5pt"/>
        <w:rPr>
          <w:color w:val="000000"/>
        </w:rPr>
      </w:pPr>
    </w:p>
    <w:p w14:paraId="21B2605A" w14:textId="77777777" w:rsidR="00A77B3E" w:rsidRDefault="00B16CCF">
      <w:pPr>
        <w:pStyle w:val="Naslov5"/>
        <w:spacing w:before="5pt" w:after="0pt"/>
        <w:rPr>
          <w:b w:val="0"/>
          <w:i w:val="0"/>
          <w:color w:val="000000"/>
          <w:sz w:val="24"/>
        </w:rPr>
      </w:pPr>
      <w:bookmarkStart w:id="306" w:name="_Toc256001067"/>
      <w:r>
        <w:rPr>
          <w:b w:val="0"/>
          <w:i w:val="0"/>
          <w:color w:val="000000"/>
          <w:sz w:val="24"/>
        </w:rPr>
        <w:t>Načrtovana uporaba finančnih instrumentov – člen 22(3)(d)(vii) uredbe o skupnih določbah</w:t>
      </w:r>
      <w:bookmarkEnd w:id="306"/>
    </w:p>
    <w:p w14:paraId="532712B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4FE3208F"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05F543" w14:textId="77777777" w:rsidR="00A77B3E" w:rsidRDefault="00A77B3E">
            <w:pPr>
              <w:spacing w:before="5pt"/>
              <w:rPr>
                <w:color w:val="000000"/>
                <w:sz w:val="0"/>
              </w:rPr>
            </w:pPr>
          </w:p>
          <w:p w14:paraId="089ECBB5" w14:textId="77777777" w:rsidR="00A77B3E" w:rsidRDefault="00B16CCF">
            <w:pPr>
              <w:spacing w:before="5pt"/>
              <w:rPr>
                <w:color w:val="000000"/>
              </w:rPr>
            </w:pPr>
            <w:r>
              <w:rPr>
                <w:color w:val="000000"/>
              </w:rPr>
              <w:t>Predvidena je uporaba nepovratnih virov. V okviru predmetnega specifičnega cilja uporaba finančnih instrumentov v skladu z izsledki analize Predhodnih ocen potreb trga in vrzeli financiranja na trgu za izvajanje finančnih instrumentov v programskem obdobju 2021-2027 (julij 2022) namreč ni predvidena. Pri uporabi nepovratnih sredstev bo določena ustrezno znižana stopnja sofinanciranja, ki bo upoštevala prihranke/prihodke v ekonomski dobi investicije oziroma skladno s pravili državnih pomoči.</w:t>
            </w:r>
          </w:p>
          <w:p w14:paraId="4EF9935A" w14:textId="77777777" w:rsidR="00A77B3E" w:rsidRDefault="00A77B3E">
            <w:pPr>
              <w:spacing w:before="5pt"/>
              <w:rPr>
                <w:color w:val="000000"/>
                <w:sz w:val="6"/>
              </w:rPr>
            </w:pPr>
          </w:p>
          <w:p w14:paraId="5796D12A" w14:textId="77777777" w:rsidR="00A77B3E" w:rsidRDefault="00A77B3E">
            <w:pPr>
              <w:spacing w:before="5pt"/>
              <w:rPr>
                <w:color w:val="000000"/>
                <w:sz w:val="6"/>
              </w:rPr>
            </w:pPr>
          </w:p>
        </w:tc>
      </w:tr>
    </w:tbl>
    <w:p w14:paraId="5764E1CB" w14:textId="77777777" w:rsidR="00A77B3E" w:rsidRDefault="00A77B3E">
      <w:pPr>
        <w:spacing w:before="5pt"/>
        <w:rPr>
          <w:color w:val="000000"/>
        </w:rPr>
      </w:pPr>
    </w:p>
    <w:p w14:paraId="54370C66" w14:textId="77777777" w:rsidR="00A77B3E" w:rsidRDefault="00B16CCF">
      <w:pPr>
        <w:pStyle w:val="Naslov4"/>
        <w:spacing w:before="5pt" w:after="0pt"/>
        <w:rPr>
          <w:b w:val="0"/>
          <w:color w:val="000000"/>
          <w:sz w:val="24"/>
        </w:rPr>
      </w:pPr>
      <w:bookmarkStart w:id="307" w:name="_Toc256001068"/>
      <w:r>
        <w:rPr>
          <w:b w:val="0"/>
          <w:color w:val="000000"/>
          <w:sz w:val="24"/>
        </w:rPr>
        <w:t>2.1.1.1.2. Kazalniki</w:t>
      </w:r>
      <w:bookmarkEnd w:id="307"/>
    </w:p>
    <w:p w14:paraId="5EE39539" w14:textId="77777777" w:rsidR="00A77B3E" w:rsidRDefault="00A77B3E">
      <w:pPr>
        <w:spacing w:before="5pt"/>
        <w:rPr>
          <w:color w:val="000000"/>
          <w:sz w:val="0"/>
        </w:rPr>
      </w:pPr>
    </w:p>
    <w:p w14:paraId="5BE08253" w14:textId="77777777" w:rsidR="00A77B3E" w:rsidRDefault="00B16CCF">
      <w:pPr>
        <w:spacing w:before="5pt"/>
        <w:rPr>
          <w:color w:val="000000"/>
          <w:sz w:val="0"/>
        </w:rPr>
      </w:pPr>
      <w:r>
        <w:rPr>
          <w:color w:val="000000"/>
        </w:rPr>
        <w:t>Sklic: člen 22(3)(d)(ii) uredbe o skupnih določbah in člen 8 uredbe o ESRR in Kohezijskem skladu</w:t>
      </w:r>
    </w:p>
    <w:p w14:paraId="4EF48317" w14:textId="77777777" w:rsidR="00A77B3E" w:rsidRDefault="00B16CCF">
      <w:pPr>
        <w:pStyle w:val="Naslov5"/>
        <w:spacing w:before="5pt" w:after="0pt"/>
        <w:rPr>
          <w:b w:val="0"/>
          <w:i w:val="0"/>
          <w:color w:val="000000"/>
          <w:sz w:val="24"/>
        </w:rPr>
      </w:pPr>
      <w:bookmarkStart w:id="308" w:name="_Toc256001069"/>
      <w:r>
        <w:rPr>
          <w:b w:val="0"/>
          <w:i w:val="0"/>
          <w:color w:val="000000"/>
          <w:sz w:val="24"/>
        </w:rPr>
        <w:t>Tabela 2: Kazalniki učinka</w:t>
      </w:r>
      <w:bookmarkEnd w:id="308"/>
    </w:p>
    <w:p w14:paraId="1555FA8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972"/>
        <w:gridCol w:w="1820"/>
        <w:gridCol w:w="1214"/>
        <w:gridCol w:w="1887"/>
        <w:gridCol w:w="2190"/>
        <w:gridCol w:w="2037"/>
        <w:gridCol w:w="1408"/>
        <w:gridCol w:w="1365"/>
        <w:gridCol w:w="1279"/>
      </w:tblGrid>
      <w:tr w:rsidR="00823317" w14:paraId="2A12146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77BE9E"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D87D20"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452AA2"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818C5A"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F22A24"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4791ED"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B60BAF"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EB2990" w14:textId="77777777" w:rsidR="00A77B3E" w:rsidRDefault="00B16CCF">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A67638" w14:textId="77777777" w:rsidR="00A77B3E" w:rsidRDefault="00B16CCF">
            <w:pPr>
              <w:spacing w:before="5pt"/>
              <w:jc w:val="center"/>
              <w:rPr>
                <w:color w:val="000000"/>
                <w:sz w:val="20"/>
              </w:rPr>
            </w:pPr>
            <w:r>
              <w:rPr>
                <w:color w:val="000000"/>
                <w:sz w:val="20"/>
              </w:rPr>
              <w:t>Cilj (2029)</w:t>
            </w:r>
          </w:p>
        </w:tc>
      </w:tr>
      <w:tr w:rsidR="00823317" w14:paraId="36DD4E7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A51633" w14:textId="77777777" w:rsidR="00A77B3E" w:rsidRDefault="00B16CCF">
            <w:pPr>
              <w:spacing w:before="5pt"/>
              <w:rPr>
                <w:color w:val="000000"/>
                <w:sz w:val="20"/>
              </w:rPr>
            </w:pPr>
            <w:r>
              <w:rPr>
                <w:color w:val="000000"/>
                <w:sz w:val="20"/>
              </w:rPr>
              <w:t>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515C25" w14:textId="77777777" w:rsidR="00A77B3E" w:rsidRDefault="00B16CCF">
            <w:pPr>
              <w:spacing w:before="5pt"/>
              <w:rPr>
                <w:color w:val="000000"/>
                <w:sz w:val="20"/>
              </w:rPr>
            </w:pPr>
            <w:r>
              <w:rPr>
                <w:color w:val="000000"/>
                <w:sz w:val="20"/>
              </w:rPr>
              <w:t>RSO2.12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48EB6E"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7CBBB2"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39623F" w14:textId="77777777" w:rsidR="00A77B3E" w:rsidRDefault="00B16CCF">
            <w:pPr>
              <w:spacing w:before="5pt"/>
              <w:rPr>
                <w:color w:val="000000"/>
                <w:sz w:val="20"/>
              </w:rPr>
            </w:pPr>
            <w:r>
              <w:rPr>
                <w:color w:val="000000"/>
                <w:sz w:val="20"/>
              </w:rPr>
              <w:t>014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7AE8C6" w14:textId="77777777" w:rsidR="00A77B3E" w:rsidRDefault="00B16CCF">
            <w:pPr>
              <w:spacing w:before="5pt"/>
              <w:rPr>
                <w:color w:val="000000"/>
                <w:sz w:val="20"/>
              </w:rPr>
            </w:pPr>
            <w:r>
              <w:rPr>
                <w:color w:val="000000"/>
                <w:sz w:val="20"/>
              </w:rPr>
              <w:t>Število podprtih ukrepov na področju pametnih elektro-energetskih omrežij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40BE43" w14:textId="77777777" w:rsidR="00A77B3E" w:rsidRDefault="00B16CCF">
            <w:pPr>
              <w:spacing w:before="5pt"/>
              <w:rPr>
                <w:color w:val="000000"/>
                <w:sz w:val="20"/>
              </w:rPr>
            </w:pPr>
            <w:r>
              <w:rPr>
                <w:color w:val="000000"/>
                <w:sz w:val="20"/>
              </w:rPr>
              <w:t>projekt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CFCB02"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ABEE2F" w14:textId="77777777" w:rsidR="00A77B3E" w:rsidRDefault="00B16CCF">
            <w:pPr>
              <w:spacing w:before="5pt"/>
              <w:jc w:val="end"/>
              <w:rPr>
                <w:color w:val="000000"/>
                <w:sz w:val="20"/>
              </w:rPr>
            </w:pPr>
            <w:r>
              <w:rPr>
                <w:color w:val="000000"/>
                <w:sz w:val="20"/>
              </w:rPr>
              <w:t>1,00</w:t>
            </w:r>
          </w:p>
        </w:tc>
      </w:tr>
      <w:tr w:rsidR="00823317" w14:paraId="53B00BB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186A25" w14:textId="77777777" w:rsidR="00A77B3E" w:rsidRDefault="00B16CCF">
            <w:pPr>
              <w:spacing w:before="5pt"/>
              <w:rPr>
                <w:color w:val="000000"/>
                <w:sz w:val="20"/>
              </w:rPr>
            </w:pPr>
            <w:r>
              <w:rPr>
                <w:color w:val="000000"/>
                <w:sz w:val="20"/>
              </w:rPr>
              <w:t>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AD06C0" w14:textId="77777777" w:rsidR="00A77B3E" w:rsidRDefault="00B16CCF">
            <w:pPr>
              <w:spacing w:before="5pt"/>
              <w:rPr>
                <w:color w:val="000000"/>
                <w:sz w:val="20"/>
              </w:rPr>
            </w:pPr>
            <w:r>
              <w:rPr>
                <w:color w:val="000000"/>
                <w:sz w:val="20"/>
              </w:rPr>
              <w:t>RSO2.12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E8D084"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94067B"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C9952A" w14:textId="77777777" w:rsidR="00A77B3E" w:rsidRDefault="00B16CCF">
            <w:pPr>
              <w:spacing w:before="5pt"/>
              <w:rPr>
                <w:color w:val="000000"/>
                <w:sz w:val="20"/>
              </w:rPr>
            </w:pPr>
            <w:r>
              <w:rPr>
                <w:color w:val="000000"/>
                <w:sz w:val="20"/>
              </w:rPr>
              <w:t>014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6C6F75" w14:textId="77777777" w:rsidR="00A77B3E" w:rsidRDefault="00B16CCF">
            <w:pPr>
              <w:spacing w:before="5pt"/>
              <w:rPr>
                <w:color w:val="000000"/>
                <w:sz w:val="20"/>
              </w:rPr>
            </w:pPr>
            <w:r>
              <w:rPr>
                <w:color w:val="000000"/>
                <w:sz w:val="20"/>
              </w:rPr>
              <w:t>Število podprtih ukrepov na področju pametnih elektro-energetskih omrežij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FCB770" w14:textId="77777777" w:rsidR="00A77B3E" w:rsidRDefault="00B16CCF">
            <w:pPr>
              <w:spacing w:before="5pt"/>
              <w:rPr>
                <w:color w:val="000000"/>
                <w:sz w:val="20"/>
              </w:rPr>
            </w:pPr>
            <w:r>
              <w:rPr>
                <w:color w:val="000000"/>
                <w:sz w:val="20"/>
              </w:rPr>
              <w:t>projekt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163F05"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7C7C0E" w14:textId="77777777" w:rsidR="00A77B3E" w:rsidRDefault="00B16CCF">
            <w:pPr>
              <w:spacing w:before="5pt"/>
              <w:jc w:val="end"/>
              <w:rPr>
                <w:color w:val="000000"/>
                <w:sz w:val="20"/>
              </w:rPr>
            </w:pPr>
            <w:r>
              <w:rPr>
                <w:color w:val="000000"/>
                <w:sz w:val="20"/>
              </w:rPr>
              <w:t>2,00</w:t>
            </w:r>
          </w:p>
        </w:tc>
      </w:tr>
    </w:tbl>
    <w:p w14:paraId="23BF25A8" w14:textId="77777777" w:rsidR="00A77B3E" w:rsidRDefault="00A77B3E">
      <w:pPr>
        <w:spacing w:before="5pt"/>
        <w:rPr>
          <w:color w:val="000000"/>
          <w:sz w:val="20"/>
        </w:rPr>
      </w:pPr>
    </w:p>
    <w:p w14:paraId="77146942" w14:textId="77777777" w:rsidR="00A77B3E" w:rsidRDefault="00B16CCF">
      <w:pPr>
        <w:spacing w:before="5pt"/>
        <w:rPr>
          <w:color w:val="000000"/>
          <w:sz w:val="0"/>
        </w:rPr>
      </w:pPr>
      <w:r>
        <w:rPr>
          <w:color w:val="000000"/>
        </w:rPr>
        <w:t>Sklic: člen 22(3)(d)(ii) uredbe o skupnih določbah</w:t>
      </w:r>
    </w:p>
    <w:p w14:paraId="6516F0E6" w14:textId="77777777" w:rsidR="00A77B3E" w:rsidRDefault="00B16CCF">
      <w:pPr>
        <w:pStyle w:val="Naslov5"/>
        <w:spacing w:before="5pt" w:after="0pt"/>
        <w:rPr>
          <w:b w:val="0"/>
          <w:i w:val="0"/>
          <w:color w:val="000000"/>
          <w:sz w:val="24"/>
        </w:rPr>
      </w:pPr>
      <w:bookmarkStart w:id="309" w:name="_Toc256001070"/>
      <w:r>
        <w:rPr>
          <w:b w:val="0"/>
          <w:i w:val="0"/>
          <w:color w:val="000000"/>
          <w:sz w:val="24"/>
        </w:rPr>
        <w:t>Tabela 3: Kazalniki rezultatov</w:t>
      </w:r>
      <w:bookmarkEnd w:id="309"/>
    </w:p>
    <w:p w14:paraId="3C24A55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405"/>
        <w:gridCol w:w="1296"/>
        <w:gridCol w:w="864"/>
        <w:gridCol w:w="1343"/>
        <w:gridCol w:w="1559"/>
        <w:gridCol w:w="1359"/>
        <w:gridCol w:w="1034"/>
        <w:gridCol w:w="1374"/>
        <w:gridCol w:w="1450"/>
        <w:gridCol w:w="910"/>
        <w:gridCol w:w="1452"/>
        <w:gridCol w:w="1126"/>
      </w:tblGrid>
      <w:tr w:rsidR="00823317" w14:paraId="6637694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4E89349"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6741B1"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500BE7"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E56646"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1915E9A"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E70540"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9C130C8"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793BE6" w14:textId="77777777" w:rsidR="00A77B3E" w:rsidRDefault="00B16CCF">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FBDF31" w14:textId="77777777" w:rsidR="00A77B3E" w:rsidRDefault="00B16CCF">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AE1F5C" w14:textId="77777777" w:rsidR="00A77B3E" w:rsidRDefault="00B16CCF">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F5EDFA" w14:textId="77777777" w:rsidR="00A77B3E" w:rsidRDefault="00B16CCF">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B77CB1" w14:textId="77777777" w:rsidR="00A77B3E" w:rsidRDefault="00B16CCF">
            <w:pPr>
              <w:spacing w:before="5pt"/>
              <w:jc w:val="center"/>
              <w:rPr>
                <w:color w:val="000000"/>
                <w:sz w:val="20"/>
              </w:rPr>
            </w:pPr>
            <w:r>
              <w:rPr>
                <w:color w:val="000000"/>
                <w:sz w:val="20"/>
              </w:rPr>
              <w:t>Opombe</w:t>
            </w:r>
          </w:p>
        </w:tc>
      </w:tr>
      <w:tr w:rsidR="00823317" w14:paraId="1949624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CF37A9" w14:textId="77777777" w:rsidR="00A77B3E" w:rsidRDefault="00B16CCF">
            <w:pPr>
              <w:spacing w:before="5pt"/>
              <w:rPr>
                <w:color w:val="000000"/>
                <w:sz w:val="20"/>
              </w:rPr>
            </w:pPr>
            <w:r>
              <w:rPr>
                <w:color w:val="000000"/>
                <w:sz w:val="20"/>
              </w:rPr>
              <w:t>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97514C" w14:textId="77777777" w:rsidR="00A77B3E" w:rsidRDefault="00B16CCF">
            <w:pPr>
              <w:spacing w:before="5pt"/>
              <w:rPr>
                <w:color w:val="000000"/>
                <w:sz w:val="20"/>
              </w:rPr>
            </w:pPr>
            <w:r>
              <w:rPr>
                <w:color w:val="000000"/>
                <w:sz w:val="20"/>
              </w:rPr>
              <w:t>RSO2.12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1690AC"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B8FBF0"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A5FDEF" w14:textId="77777777" w:rsidR="00A77B3E" w:rsidRDefault="00B16CCF">
            <w:pPr>
              <w:spacing w:before="5pt"/>
              <w:rPr>
                <w:color w:val="000000"/>
                <w:sz w:val="20"/>
              </w:rPr>
            </w:pPr>
            <w:r>
              <w:rPr>
                <w:color w:val="000000"/>
                <w:sz w:val="20"/>
              </w:rPr>
              <w:t>RCR34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0B61D6" w14:textId="77777777" w:rsidR="00A77B3E" w:rsidRDefault="00B16CCF">
            <w:pPr>
              <w:spacing w:before="5pt"/>
              <w:rPr>
                <w:color w:val="000000"/>
                <w:sz w:val="20"/>
              </w:rPr>
            </w:pPr>
            <w:r>
              <w:rPr>
                <w:color w:val="000000"/>
                <w:sz w:val="20"/>
              </w:rPr>
              <w:t>Uvedba projektov za pametne energetske sisteme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B5286E" w14:textId="77777777" w:rsidR="00A77B3E" w:rsidRDefault="00B16CCF">
            <w:pPr>
              <w:spacing w:before="5pt"/>
              <w:rPr>
                <w:color w:val="000000"/>
                <w:sz w:val="20"/>
              </w:rPr>
            </w:pPr>
            <w:r>
              <w:rPr>
                <w:color w:val="000000"/>
                <w:sz w:val="20"/>
              </w:rPr>
              <w:t>projekti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DCEE10"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A59714" w14:textId="77777777" w:rsidR="00A77B3E" w:rsidRDefault="00B16CCF">
            <w:pPr>
              <w:spacing w:before="5pt"/>
              <w:jc w:val="center"/>
              <w:rPr>
                <w:color w:val="000000"/>
                <w:sz w:val="20"/>
              </w:rPr>
            </w:pPr>
            <w:r>
              <w:rPr>
                <w:color w:val="000000"/>
                <w:sz w:val="20"/>
              </w:rPr>
              <w:t>2025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A1CE1A" w14:textId="77777777" w:rsidR="00A77B3E" w:rsidRDefault="00B16CCF">
            <w:pPr>
              <w:spacing w:before="5pt"/>
              <w:jc w:val="end"/>
              <w:rPr>
                <w:color w:val="000000"/>
                <w:sz w:val="20"/>
              </w:rPr>
            </w:pPr>
            <w:r>
              <w:rPr>
                <w:color w:val="000000"/>
                <w:sz w:val="20"/>
              </w:rPr>
              <w:t>1,00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6CB4C1" w14:textId="77777777" w:rsidR="00A77B3E" w:rsidRDefault="00B16CCF">
            <w:pPr>
              <w:spacing w:before="5pt"/>
              <w:rPr>
                <w:color w:val="000000"/>
                <w:sz w:val="20"/>
              </w:rPr>
            </w:pPr>
            <w:r>
              <w:rPr>
                <w:color w:val="000000"/>
                <w:sz w:val="20"/>
              </w:rPr>
              <w:t>Ministrstvo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5F2CDF" w14:textId="77777777" w:rsidR="00A77B3E" w:rsidRDefault="00A77B3E">
            <w:pPr>
              <w:spacing w:before="5pt"/>
              <w:rPr>
                <w:color w:val="000000"/>
                <w:sz w:val="20"/>
              </w:rPr>
            </w:pPr>
          </w:p>
        </w:tc>
      </w:tr>
      <w:tr w:rsidR="00823317" w14:paraId="2165EA3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4BC344" w14:textId="77777777" w:rsidR="00A77B3E" w:rsidRDefault="00B16CCF">
            <w:pPr>
              <w:spacing w:before="5pt"/>
              <w:rPr>
                <w:color w:val="000000"/>
                <w:sz w:val="20"/>
              </w:rPr>
            </w:pPr>
            <w:r>
              <w:rPr>
                <w:color w:val="000000"/>
                <w:sz w:val="20"/>
              </w:rPr>
              <w:lastRenderedPageBreak/>
              <w:t>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8EC526" w14:textId="77777777" w:rsidR="00A77B3E" w:rsidRDefault="00B16CCF">
            <w:pPr>
              <w:spacing w:before="5pt"/>
              <w:rPr>
                <w:color w:val="000000"/>
                <w:sz w:val="20"/>
              </w:rPr>
            </w:pPr>
            <w:r>
              <w:rPr>
                <w:color w:val="000000"/>
                <w:sz w:val="20"/>
              </w:rPr>
              <w:t>RSO2.12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2DF42E"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FD7D73"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C27E78" w14:textId="77777777" w:rsidR="00A77B3E" w:rsidRDefault="00B16CCF">
            <w:pPr>
              <w:spacing w:before="5pt"/>
              <w:rPr>
                <w:color w:val="000000"/>
                <w:sz w:val="20"/>
              </w:rPr>
            </w:pPr>
            <w:r>
              <w:rPr>
                <w:color w:val="000000"/>
                <w:sz w:val="20"/>
              </w:rPr>
              <w:t>RCR34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7A8554" w14:textId="77777777" w:rsidR="00A77B3E" w:rsidRDefault="00B16CCF">
            <w:pPr>
              <w:spacing w:before="5pt"/>
              <w:rPr>
                <w:color w:val="000000"/>
                <w:sz w:val="20"/>
              </w:rPr>
            </w:pPr>
            <w:r>
              <w:rPr>
                <w:color w:val="000000"/>
                <w:sz w:val="20"/>
              </w:rPr>
              <w:t>Uvedba projektov za pametne energetske sisteme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59C926" w14:textId="77777777" w:rsidR="00A77B3E" w:rsidRDefault="00B16CCF">
            <w:pPr>
              <w:spacing w:before="5pt"/>
              <w:rPr>
                <w:color w:val="000000"/>
                <w:sz w:val="20"/>
              </w:rPr>
            </w:pPr>
            <w:r>
              <w:rPr>
                <w:color w:val="000000"/>
                <w:sz w:val="20"/>
              </w:rPr>
              <w:t>projekti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868448"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8D90F5" w14:textId="77777777" w:rsidR="00A77B3E" w:rsidRDefault="00B16CCF">
            <w:pPr>
              <w:spacing w:before="5pt"/>
              <w:jc w:val="center"/>
              <w:rPr>
                <w:color w:val="000000"/>
                <w:sz w:val="20"/>
              </w:rPr>
            </w:pPr>
            <w:r>
              <w:rPr>
                <w:color w:val="000000"/>
                <w:sz w:val="20"/>
              </w:rPr>
              <w:t>2025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FEAF78" w14:textId="77777777" w:rsidR="00A77B3E" w:rsidRDefault="00B16CCF">
            <w:pPr>
              <w:spacing w:before="5pt"/>
              <w:jc w:val="end"/>
              <w:rPr>
                <w:color w:val="000000"/>
                <w:sz w:val="20"/>
              </w:rPr>
            </w:pPr>
            <w:r>
              <w:rPr>
                <w:color w:val="000000"/>
                <w:sz w:val="20"/>
              </w:rPr>
              <w:t>2,00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9E455D" w14:textId="77777777" w:rsidR="00A77B3E" w:rsidRDefault="00B16CCF">
            <w:pPr>
              <w:spacing w:before="5pt"/>
              <w:rPr>
                <w:color w:val="000000"/>
                <w:sz w:val="20"/>
              </w:rPr>
            </w:pPr>
            <w:r>
              <w:rPr>
                <w:color w:val="000000"/>
                <w:sz w:val="20"/>
              </w:rPr>
              <w:t>Ministrstvo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D7F885" w14:textId="77777777" w:rsidR="00A77B3E" w:rsidRDefault="00A77B3E">
            <w:pPr>
              <w:spacing w:before="5pt"/>
              <w:rPr>
                <w:color w:val="000000"/>
                <w:sz w:val="20"/>
              </w:rPr>
            </w:pPr>
          </w:p>
        </w:tc>
      </w:tr>
    </w:tbl>
    <w:p w14:paraId="5DD65EDF" w14:textId="77777777" w:rsidR="00A77B3E" w:rsidRDefault="00A77B3E">
      <w:pPr>
        <w:spacing w:before="5pt"/>
        <w:rPr>
          <w:color w:val="000000"/>
          <w:sz w:val="20"/>
        </w:rPr>
      </w:pPr>
    </w:p>
    <w:p w14:paraId="040281A2" w14:textId="77777777" w:rsidR="00A77B3E" w:rsidRDefault="00B16CCF">
      <w:pPr>
        <w:pStyle w:val="Naslov4"/>
        <w:spacing w:before="5pt" w:after="0pt"/>
        <w:rPr>
          <w:b w:val="0"/>
          <w:color w:val="000000"/>
          <w:sz w:val="24"/>
        </w:rPr>
      </w:pPr>
      <w:bookmarkStart w:id="310" w:name="_Toc256001071"/>
      <w:r>
        <w:rPr>
          <w:b w:val="0"/>
          <w:color w:val="000000"/>
          <w:sz w:val="24"/>
        </w:rPr>
        <w:t>2.1.1.1.3. Okvirna razčlenitev načrtovanih sredstev (EU) glede na vrsto ukrepa</w:t>
      </w:r>
      <w:bookmarkEnd w:id="310"/>
    </w:p>
    <w:p w14:paraId="6F33D78D" w14:textId="77777777" w:rsidR="00A77B3E" w:rsidRDefault="00A77B3E">
      <w:pPr>
        <w:spacing w:before="5pt"/>
        <w:rPr>
          <w:color w:val="000000"/>
          <w:sz w:val="0"/>
        </w:rPr>
      </w:pPr>
    </w:p>
    <w:p w14:paraId="32E122CD" w14:textId="77777777" w:rsidR="00A77B3E" w:rsidRDefault="00B16CCF">
      <w:pPr>
        <w:spacing w:before="5pt"/>
        <w:rPr>
          <w:color w:val="000000"/>
          <w:sz w:val="0"/>
        </w:rPr>
      </w:pPr>
      <w:r>
        <w:rPr>
          <w:color w:val="000000"/>
        </w:rPr>
        <w:t>Sklic: člen 22(3)(d)(viii) uredbe o skupnih določbah</w:t>
      </w:r>
    </w:p>
    <w:p w14:paraId="0200DF94" w14:textId="77777777" w:rsidR="00A77B3E" w:rsidRDefault="00B16CCF">
      <w:pPr>
        <w:pStyle w:val="Naslov5"/>
        <w:spacing w:before="5pt" w:after="0pt"/>
        <w:rPr>
          <w:b w:val="0"/>
          <w:i w:val="0"/>
          <w:color w:val="000000"/>
          <w:sz w:val="24"/>
        </w:rPr>
      </w:pPr>
      <w:bookmarkStart w:id="311" w:name="_Toc256001072"/>
      <w:r>
        <w:rPr>
          <w:b w:val="0"/>
          <w:i w:val="0"/>
          <w:color w:val="000000"/>
          <w:sz w:val="24"/>
        </w:rPr>
        <w:t>Tabela 4: Razsežnost 1 – področje ukrepanja</w:t>
      </w:r>
      <w:bookmarkEnd w:id="311"/>
    </w:p>
    <w:p w14:paraId="768DE0B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67"/>
        <w:gridCol w:w="2277"/>
        <w:gridCol w:w="1653"/>
        <w:gridCol w:w="2360"/>
        <w:gridCol w:w="3309"/>
        <w:gridCol w:w="3106"/>
      </w:tblGrid>
      <w:tr w:rsidR="00823317" w14:paraId="630DCF2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F2D647"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132DB1"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CCDF93"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EAA0967"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37B020"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6C9144" w14:textId="77777777" w:rsidR="00A77B3E" w:rsidRDefault="00B16CCF">
            <w:pPr>
              <w:spacing w:before="5pt"/>
              <w:jc w:val="center"/>
              <w:rPr>
                <w:color w:val="000000"/>
                <w:sz w:val="20"/>
              </w:rPr>
            </w:pPr>
            <w:r>
              <w:rPr>
                <w:color w:val="000000"/>
                <w:sz w:val="20"/>
              </w:rPr>
              <w:t>Znesek (v EUR)</w:t>
            </w:r>
          </w:p>
        </w:tc>
      </w:tr>
      <w:tr w:rsidR="00823317" w14:paraId="1A7DE79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D0986F" w14:textId="77777777" w:rsidR="00A77B3E" w:rsidRDefault="00B16CCF">
            <w:pPr>
              <w:spacing w:before="5pt"/>
              <w:rPr>
                <w:color w:val="000000"/>
                <w:sz w:val="20"/>
              </w:rPr>
            </w:pPr>
            <w:r>
              <w:rPr>
                <w:color w:val="000000"/>
                <w:sz w:val="20"/>
              </w:rPr>
              <w:t>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749393" w14:textId="77777777" w:rsidR="00A77B3E" w:rsidRDefault="00B16CCF">
            <w:pPr>
              <w:spacing w:before="5pt"/>
              <w:rPr>
                <w:color w:val="000000"/>
                <w:sz w:val="20"/>
              </w:rPr>
            </w:pPr>
            <w:r>
              <w:rPr>
                <w:color w:val="000000"/>
                <w:sz w:val="20"/>
              </w:rPr>
              <w:t>RSO2.12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4E192F"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291569"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274838" w14:textId="77777777" w:rsidR="00A77B3E" w:rsidRDefault="00B16CCF">
            <w:pPr>
              <w:spacing w:before="5pt"/>
              <w:rPr>
                <w:color w:val="000000"/>
                <w:sz w:val="20"/>
              </w:rPr>
            </w:pPr>
            <w:r>
              <w:rPr>
                <w:color w:val="000000"/>
                <w:sz w:val="20"/>
              </w:rPr>
              <w:t>053. Pametni energetski sistemi (vključno s pametnimi omrežji in sistemi IKT) ter povezano shranjevanje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0A557A" w14:textId="77777777" w:rsidR="00A77B3E" w:rsidRDefault="00B16CCF">
            <w:pPr>
              <w:spacing w:before="5pt"/>
              <w:jc w:val="end"/>
              <w:rPr>
                <w:color w:val="000000"/>
                <w:sz w:val="20"/>
              </w:rPr>
            </w:pPr>
            <w:r>
              <w:rPr>
                <w:color w:val="000000"/>
                <w:sz w:val="20"/>
              </w:rPr>
              <w:t>9.157.285,89</w:t>
            </w:r>
          </w:p>
        </w:tc>
      </w:tr>
      <w:tr w:rsidR="00823317" w14:paraId="2ED85A7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2A3D28" w14:textId="77777777" w:rsidR="00A77B3E" w:rsidRDefault="00B16CCF">
            <w:pPr>
              <w:spacing w:before="5pt"/>
              <w:rPr>
                <w:color w:val="000000"/>
                <w:sz w:val="20"/>
              </w:rPr>
            </w:pPr>
            <w:r>
              <w:rPr>
                <w:color w:val="000000"/>
                <w:sz w:val="20"/>
              </w:rPr>
              <w:t>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79154D" w14:textId="77777777" w:rsidR="00A77B3E" w:rsidRDefault="00B16CCF">
            <w:pPr>
              <w:spacing w:before="5pt"/>
              <w:rPr>
                <w:color w:val="000000"/>
                <w:sz w:val="20"/>
              </w:rPr>
            </w:pPr>
            <w:r>
              <w:rPr>
                <w:color w:val="000000"/>
                <w:sz w:val="20"/>
              </w:rPr>
              <w:t>RSO2.12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3308DC"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E7AA40"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7B3A48" w14:textId="77777777" w:rsidR="00A77B3E" w:rsidRDefault="00B16CCF">
            <w:pPr>
              <w:spacing w:before="5pt"/>
              <w:rPr>
                <w:color w:val="000000"/>
                <w:sz w:val="20"/>
              </w:rPr>
            </w:pPr>
            <w:r>
              <w:rPr>
                <w:color w:val="000000"/>
                <w:sz w:val="20"/>
              </w:rPr>
              <w:t>196. Energy interconnectors and related transmission, distribution, storage and support infrastructure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77BE9E" w14:textId="77777777" w:rsidR="00A77B3E" w:rsidRDefault="00B16CCF">
            <w:pPr>
              <w:spacing w:before="5pt"/>
              <w:jc w:val="end"/>
              <w:rPr>
                <w:color w:val="000000"/>
                <w:sz w:val="20"/>
              </w:rPr>
            </w:pPr>
            <w:r>
              <w:rPr>
                <w:color w:val="000000"/>
                <w:sz w:val="20"/>
              </w:rPr>
              <w:t>4.930.846,25</w:t>
            </w:r>
          </w:p>
        </w:tc>
      </w:tr>
      <w:tr w:rsidR="00823317" w14:paraId="61EA997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124684" w14:textId="77777777" w:rsidR="00A77B3E" w:rsidRDefault="00B16CCF">
            <w:pPr>
              <w:spacing w:before="5pt"/>
              <w:rPr>
                <w:color w:val="000000"/>
                <w:sz w:val="20"/>
              </w:rPr>
            </w:pPr>
            <w:r>
              <w:rPr>
                <w:color w:val="000000"/>
                <w:sz w:val="20"/>
              </w:rPr>
              <w:t>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2808E7" w14:textId="77777777" w:rsidR="00A77B3E" w:rsidRDefault="00B16CCF">
            <w:pPr>
              <w:spacing w:before="5pt"/>
              <w:rPr>
                <w:color w:val="000000"/>
                <w:sz w:val="20"/>
              </w:rPr>
            </w:pPr>
            <w:r>
              <w:rPr>
                <w:color w:val="000000"/>
                <w:sz w:val="20"/>
              </w:rPr>
              <w:t>RSO2.12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EA3C50"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18C451"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305B87" w14:textId="77777777" w:rsidR="00A77B3E" w:rsidRDefault="00B16CCF">
            <w:pPr>
              <w:spacing w:before="5pt"/>
              <w:rPr>
                <w:color w:val="000000"/>
                <w:sz w:val="20"/>
              </w:rPr>
            </w:pPr>
            <w:r>
              <w:rPr>
                <w:color w:val="000000"/>
                <w:sz w:val="20"/>
              </w:rPr>
              <w:t>053. Pametni energetski sistemi (vključno s pametnimi omrežji in sistemi IKT) ter povezano shranjevanje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340683" w14:textId="77777777" w:rsidR="00A77B3E" w:rsidRDefault="00B16CCF">
            <w:pPr>
              <w:spacing w:before="5pt"/>
              <w:jc w:val="end"/>
              <w:rPr>
                <w:color w:val="000000"/>
                <w:sz w:val="20"/>
              </w:rPr>
            </w:pPr>
            <w:r>
              <w:rPr>
                <w:color w:val="000000"/>
                <w:sz w:val="20"/>
              </w:rPr>
              <w:t>14.429.810,43</w:t>
            </w:r>
          </w:p>
        </w:tc>
      </w:tr>
      <w:tr w:rsidR="00823317" w14:paraId="1516015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0E79A6" w14:textId="77777777" w:rsidR="00A77B3E" w:rsidRDefault="00B16CCF">
            <w:pPr>
              <w:spacing w:before="5pt"/>
              <w:rPr>
                <w:color w:val="000000"/>
                <w:sz w:val="20"/>
              </w:rPr>
            </w:pPr>
            <w:r>
              <w:rPr>
                <w:color w:val="000000"/>
                <w:sz w:val="20"/>
              </w:rPr>
              <w:t>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5D7BBE" w14:textId="77777777" w:rsidR="00A77B3E" w:rsidRDefault="00B16CCF">
            <w:pPr>
              <w:spacing w:before="5pt"/>
              <w:rPr>
                <w:color w:val="000000"/>
                <w:sz w:val="20"/>
              </w:rPr>
            </w:pPr>
            <w:r>
              <w:rPr>
                <w:color w:val="000000"/>
                <w:sz w:val="20"/>
              </w:rPr>
              <w:t>RSO2.12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6108D6"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9CAE92"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E1CCB0" w14:textId="77777777" w:rsidR="00A77B3E" w:rsidRDefault="00B16CCF">
            <w:pPr>
              <w:spacing w:before="5pt"/>
              <w:rPr>
                <w:color w:val="000000"/>
                <w:sz w:val="20"/>
              </w:rPr>
            </w:pPr>
            <w:r>
              <w:rPr>
                <w:color w:val="000000"/>
                <w:sz w:val="20"/>
              </w:rPr>
              <w:t>196. Energy interconnectors and related transmission, distribution, storage and support infrastructure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7657E0" w14:textId="77777777" w:rsidR="00A77B3E" w:rsidRDefault="00B16CCF">
            <w:pPr>
              <w:spacing w:before="5pt"/>
              <w:jc w:val="end"/>
              <w:rPr>
                <w:color w:val="000000"/>
                <w:sz w:val="20"/>
              </w:rPr>
            </w:pPr>
            <w:r>
              <w:rPr>
                <w:color w:val="000000"/>
                <w:sz w:val="20"/>
              </w:rPr>
              <w:t>7.769.897,93</w:t>
            </w:r>
          </w:p>
        </w:tc>
      </w:tr>
      <w:tr w:rsidR="00823317" w14:paraId="3C2EC0E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3E6610" w14:textId="77777777" w:rsidR="00A77B3E" w:rsidRDefault="00B16CCF">
            <w:pPr>
              <w:spacing w:before="5pt"/>
              <w:rPr>
                <w:color w:val="000000"/>
                <w:sz w:val="20"/>
              </w:rPr>
            </w:pPr>
            <w:r>
              <w:rPr>
                <w:color w:val="000000"/>
                <w:sz w:val="20"/>
              </w:rPr>
              <w:t>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DE262A" w14:textId="77777777" w:rsidR="00A77B3E" w:rsidRDefault="00B16CCF">
            <w:pPr>
              <w:spacing w:before="5pt"/>
              <w:rPr>
                <w:color w:val="000000"/>
                <w:sz w:val="20"/>
              </w:rPr>
            </w:pPr>
            <w:r>
              <w:rPr>
                <w:color w:val="000000"/>
                <w:sz w:val="20"/>
              </w:rPr>
              <w:t>RSO2.12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6AF57E"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58D39E"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BB1D0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548993" w14:textId="77777777" w:rsidR="00A77B3E" w:rsidRDefault="00B16CCF">
            <w:pPr>
              <w:spacing w:before="5pt"/>
              <w:jc w:val="end"/>
              <w:rPr>
                <w:color w:val="000000"/>
                <w:sz w:val="20"/>
              </w:rPr>
            </w:pPr>
            <w:r>
              <w:rPr>
                <w:color w:val="000000"/>
                <w:sz w:val="20"/>
              </w:rPr>
              <w:t>36.287.840,50</w:t>
            </w:r>
          </w:p>
        </w:tc>
      </w:tr>
    </w:tbl>
    <w:p w14:paraId="68ABBC3A" w14:textId="77777777" w:rsidR="00A77B3E" w:rsidRDefault="00A77B3E">
      <w:pPr>
        <w:spacing w:before="5pt"/>
        <w:rPr>
          <w:color w:val="000000"/>
          <w:sz w:val="20"/>
        </w:rPr>
      </w:pPr>
    </w:p>
    <w:p w14:paraId="1F60FA81" w14:textId="77777777" w:rsidR="00A77B3E" w:rsidRDefault="00B16CCF">
      <w:pPr>
        <w:pStyle w:val="Naslov5"/>
        <w:spacing w:before="5pt" w:after="0pt"/>
        <w:rPr>
          <w:b w:val="0"/>
          <w:i w:val="0"/>
          <w:color w:val="000000"/>
          <w:sz w:val="24"/>
        </w:rPr>
      </w:pPr>
      <w:bookmarkStart w:id="312" w:name="_Toc256001073"/>
      <w:r>
        <w:rPr>
          <w:b w:val="0"/>
          <w:i w:val="0"/>
          <w:color w:val="000000"/>
          <w:sz w:val="24"/>
        </w:rPr>
        <w:t>Tabela 5: Razsežnost 2 – oblika financiranja</w:t>
      </w:r>
      <w:bookmarkEnd w:id="312"/>
    </w:p>
    <w:p w14:paraId="6676DCE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93"/>
        <w:gridCol w:w="2392"/>
        <w:gridCol w:w="1737"/>
        <w:gridCol w:w="2480"/>
        <w:gridCol w:w="2706"/>
        <w:gridCol w:w="3264"/>
      </w:tblGrid>
      <w:tr w:rsidR="00823317" w14:paraId="0846BE4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04C8E1"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9B4677"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AEB1E45"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F50B25"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B94843"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15E032" w14:textId="77777777" w:rsidR="00A77B3E" w:rsidRDefault="00B16CCF">
            <w:pPr>
              <w:spacing w:before="5pt"/>
              <w:jc w:val="center"/>
              <w:rPr>
                <w:color w:val="000000"/>
                <w:sz w:val="20"/>
              </w:rPr>
            </w:pPr>
            <w:r>
              <w:rPr>
                <w:color w:val="000000"/>
                <w:sz w:val="20"/>
              </w:rPr>
              <w:t>Znesek (v EUR)</w:t>
            </w:r>
          </w:p>
        </w:tc>
      </w:tr>
      <w:tr w:rsidR="00823317" w14:paraId="252A520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FF452D" w14:textId="77777777" w:rsidR="00A77B3E" w:rsidRDefault="00B16CCF">
            <w:pPr>
              <w:spacing w:before="5pt"/>
              <w:rPr>
                <w:color w:val="000000"/>
                <w:sz w:val="20"/>
              </w:rPr>
            </w:pPr>
            <w:r>
              <w:rPr>
                <w:color w:val="000000"/>
                <w:sz w:val="20"/>
              </w:rPr>
              <w:t>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0D817A" w14:textId="77777777" w:rsidR="00A77B3E" w:rsidRDefault="00B16CCF">
            <w:pPr>
              <w:spacing w:before="5pt"/>
              <w:rPr>
                <w:color w:val="000000"/>
                <w:sz w:val="20"/>
              </w:rPr>
            </w:pPr>
            <w:r>
              <w:rPr>
                <w:color w:val="000000"/>
                <w:sz w:val="20"/>
              </w:rPr>
              <w:t>RSO2.12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2CECA8"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7F9983"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30FE13" w14:textId="77777777" w:rsidR="00A77B3E" w:rsidRDefault="00B16CCF">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8FDD52" w14:textId="77777777" w:rsidR="00A77B3E" w:rsidRDefault="00B16CCF">
            <w:pPr>
              <w:spacing w:before="5pt"/>
              <w:jc w:val="end"/>
              <w:rPr>
                <w:color w:val="000000"/>
                <w:sz w:val="20"/>
              </w:rPr>
            </w:pPr>
            <w:r>
              <w:rPr>
                <w:color w:val="000000"/>
                <w:sz w:val="20"/>
              </w:rPr>
              <w:t>14.088.132,14</w:t>
            </w:r>
          </w:p>
        </w:tc>
      </w:tr>
      <w:tr w:rsidR="00823317" w14:paraId="00B3F9E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99BC12" w14:textId="77777777" w:rsidR="00A77B3E" w:rsidRDefault="00B16CCF">
            <w:pPr>
              <w:spacing w:before="5pt"/>
              <w:rPr>
                <w:color w:val="000000"/>
                <w:sz w:val="20"/>
              </w:rPr>
            </w:pPr>
            <w:r>
              <w:rPr>
                <w:color w:val="000000"/>
                <w:sz w:val="20"/>
              </w:rPr>
              <w:t>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D0DD1A" w14:textId="77777777" w:rsidR="00A77B3E" w:rsidRDefault="00B16CCF">
            <w:pPr>
              <w:spacing w:before="5pt"/>
              <w:rPr>
                <w:color w:val="000000"/>
                <w:sz w:val="20"/>
              </w:rPr>
            </w:pPr>
            <w:r>
              <w:rPr>
                <w:color w:val="000000"/>
                <w:sz w:val="20"/>
              </w:rPr>
              <w:t>RSO2.12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BEEAC3"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411D25"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07FA45" w14:textId="77777777" w:rsidR="00A77B3E" w:rsidRDefault="00B16CCF">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18FD23" w14:textId="77777777" w:rsidR="00A77B3E" w:rsidRDefault="00B16CCF">
            <w:pPr>
              <w:spacing w:before="5pt"/>
              <w:jc w:val="end"/>
              <w:rPr>
                <w:color w:val="000000"/>
                <w:sz w:val="20"/>
              </w:rPr>
            </w:pPr>
            <w:r>
              <w:rPr>
                <w:color w:val="000000"/>
                <w:sz w:val="20"/>
              </w:rPr>
              <w:t>22.199.708,36</w:t>
            </w:r>
          </w:p>
        </w:tc>
      </w:tr>
      <w:tr w:rsidR="00823317" w14:paraId="49BB34F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874374" w14:textId="77777777" w:rsidR="00A77B3E" w:rsidRDefault="00B16CCF">
            <w:pPr>
              <w:spacing w:before="5pt"/>
              <w:rPr>
                <w:color w:val="000000"/>
                <w:sz w:val="20"/>
              </w:rPr>
            </w:pPr>
            <w:r>
              <w:rPr>
                <w:color w:val="000000"/>
                <w:sz w:val="20"/>
              </w:rPr>
              <w:t>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336A85" w14:textId="77777777" w:rsidR="00A77B3E" w:rsidRDefault="00B16CCF">
            <w:pPr>
              <w:spacing w:before="5pt"/>
              <w:rPr>
                <w:color w:val="000000"/>
                <w:sz w:val="20"/>
              </w:rPr>
            </w:pPr>
            <w:r>
              <w:rPr>
                <w:color w:val="000000"/>
                <w:sz w:val="20"/>
              </w:rPr>
              <w:t>RSO2.12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8A4A32"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4D221A"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22134B"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4AE189" w14:textId="77777777" w:rsidR="00A77B3E" w:rsidRDefault="00B16CCF">
            <w:pPr>
              <w:spacing w:before="5pt"/>
              <w:jc w:val="end"/>
              <w:rPr>
                <w:color w:val="000000"/>
                <w:sz w:val="20"/>
              </w:rPr>
            </w:pPr>
            <w:r>
              <w:rPr>
                <w:color w:val="000000"/>
                <w:sz w:val="20"/>
              </w:rPr>
              <w:t>36.287.840,50</w:t>
            </w:r>
          </w:p>
        </w:tc>
      </w:tr>
    </w:tbl>
    <w:p w14:paraId="2DEAB1E2" w14:textId="77777777" w:rsidR="00A77B3E" w:rsidRDefault="00A77B3E">
      <w:pPr>
        <w:spacing w:before="5pt"/>
        <w:rPr>
          <w:color w:val="000000"/>
          <w:sz w:val="20"/>
        </w:rPr>
      </w:pPr>
    </w:p>
    <w:p w14:paraId="1FB6E4A6" w14:textId="77777777" w:rsidR="00A77B3E" w:rsidRDefault="00B16CCF">
      <w:pPr>
        <w:pStyle w:val="Naslov5"/>
        <w:spacing w:before="5pt" w:after="0pt"/>
        <w:rPr>
          <w:b w:val="0"/>
          <w:i w:val="0"/>
          <w:color w:val="000000"/>
          <w:sz w:val="24"/>
        </w:rPr>
      </w:pPr>
      <w:bookmarkStart w:id="313" w:name="_Toc256001074"/>
      <w:r>
        <w:rPr>
          <w:b w:val="0"/>
          <w:i w:val="0"/>
          <w:color w:val="000000"/>
          <w:sz w:val="24"/>
        </w:rPr>
        <w:lastRenderedPageBreak/>
        <w:t>Tabela 6: Razsežnost 3 – mehanizem za ozemeljsko izvrševanje in ozemeljski pristop</w:t>
      </w:r>
      <w:bookmarkEnd w:id="313"/>
    </w:p>
    <w:p w14:paraId="466E7AF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26"/>
        <w:gridCol w:w="2331"/>
        <w:gridCol w:w="1692"/>
        <w:gridCol w:w="2416"/>
        <w:gridCol w:w="3027"/>
        <w:gridCol w:w="3180"/>
      </w:tblGrid>
      <w:tr w:rsidR="00823317" w14:paraId="2EB2552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701439"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C494EA"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91B66B"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A0FDF71"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FBD135"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095D252" w14:textId="77777777" w:rsidR="00A77B3E" w:rsidRDefault="00B16CCF">
            <w:pPr>
              <w:spacing w:before="5pt"/>
              <w:jc w:val="center"/>
              <w:rPr>
                <w:color w:val="000000"/>
                <w:sz w:val="20"/>
              </w:rPr>
            </w:pPr>
            <w:r>
              <w:rPr>
                <w:color w:val="000000"/>
                <w:sz w:val="20"/>
              </w:rPr>
              <w:t>Znesek (v EUR)</w:t>
            </w:r>
          </w:p>
        </w:tc>
      </w:tr>
      <w:tr w:rsidR="00823317" w14:paraId="76E1F8C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789574" w14:textId="77777777" w:rsidR="00A77B3E" w:rsidRDefault="00B16CCF">
            <w:pPr>
              <w:spacing w:before="5pt"/>
              <w:rPr>
                <w:color w:val="000000"/>
                <w:sz w:val="20"/>
              </w:rPr>
            </w:pPr>
            <w:r>
              <w:rPr>
                <w:color w:val="000000"/>
                <w:sz w:val="20"/>
              </w:rPr>
              <w:t>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0A3B09" w14:textId="77777777" w:rsidR="00A77B3E" w:rsidRDefault="00B16CCF">
            <w:pPr>
              <w:spacing w:before="5pt"/>
              <w:rPr>
                <w:color w:val="000000"/>
                <w:sz w:val="20"/>
              </w:rPr>
            </w:pPr>
            <w:r>
              <w:rPr>
                <w:color w:val="000000"/>
                <w:sz w:val="20"/>
              </w:rPr>
              <w:t>RSO2.12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87B570"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487C7B"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DC38A7" w14:textId="77777777" w:rsidR="00A77B3E" w:rsidRDefault="00B16CCF">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761A76" w14:textId="77777777" w:rsidR="00A77B3E" w:rsidRDefault="00B16CCF">
            <w:pPr>
              <w:spacing w:before="5pt"/>
              <w:jc w:val="end"/>
              <w:rPr>
                <w:color w:val="000000"/>
                <w:sz w:val="20"/>
              </w:rPr>
            </w:pPr>
            <w:r>
              <w:rPr>
                <w:color w:val="000000"/>
                <w:sz w:val="20"/>
              </w:rPr>
              <w:t>14.088.132,14</w:t>
            </w:r>
          </w:p>
        </w:tc>
      </w:tr>
      <w:tr w:rsidR="00823317" w14:paraId="7D06732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1106CA" w14:textId="77777777" w:rsidR="00A77B3E" w:rsidRDefault="00B16CCF">
            <w:pPr>
              <w:spacing w:before="5pt"/>
              <w:rPr>
                <w:color w:val="000000"/>
                <w:sz w:val="20"/>
              </w:rPr>
            </w:pPr>
            <w:r>
              <w:rPr>
                <w:color w:val="000000"/>
                <w:sz w:val="20"/>
              </w:rPr>
              <w:t>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3E44D4" w14:textId="77777777" w:rsidR="00A77B3E" w:rsidRDefault="00B16CCF">
            <w:pPr>
              <w:spacing w:before="5pt"/>
              <w:rPr>
                <w:color w:val="000000"/>
                <w:sz w:val="20"/>
              </w:rPr>
            </w:pPr>
            <w:r>
              <w:rPr>
                <w:color w:val="000000"/>
                <w:sz w:val="20"/>
              </w:rPr>
              <w:t>RSO2.12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E363DC"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7AEFE0"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512F14" w14:textId="77777777" w:rsidR="00A77B3E" w:rsidRDefault="00B16CCF">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87EFC6" w14:textId="77777777" w:rsidR="00A77B3E" w:rsidRDefault="00B16CCF">
            <w:pPr>
              <w:spacing w:before="5pt"/>
              <w:jc w:val="end"/>
              <w:rPr>
                <w:color w:val="000000"/>
                <w:sz w:val="20"/>
              </w:rPr>
            </w:pPr>
            <w:r>
              <w:rPr>
                <w:color w:val="000000"/>
                <w:sz w:val="20"/>
              </w:rPr>
              <w:t>22.199.708,36</w:t>
            </w:r>
          </w:p>
        </w:tc>
      </w:tr>
      <w:tr w:rsidR="00823317" w14:paraId="4D5562A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7C21B6" w14:textId="77777777" w:rsidR="00A77B3E" w:rsidRDefault="00B16CCF">
            <w:pPr>
              <w:spacing w:before="5pt"/>
              <w:rPr>
                <w:color w:val="000000"/>
                <w:sz w:val="20"/>
              </w:rPr>
            </w:pPr>
            <w:r>
              <w:rPr>
                <w:color w:val="000000"/>
                <w:sz w:val="20"/>
              </w:rPr>
              <w:t>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264A36" w14:textId="77777777" w:rsidR="00A77B3E" w:rsidRDefault="00B16CCF">
            <w:pPr>
              <w:spacing w:before="5pt"/>
              <w:rPr>
                <w:color w:val="000000"/>
                <w:sz w:val="20"/>
              </w:rPr>
            </w:pPr>
            <w:r>
              <w:rPr>
                <w:color w:val="000000"/>
                <w:sz w:val="20"/>
              </w:rPr>
              <w:t>RSO2.12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F9E6A4"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11E012"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CDD8C0"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00F8CA" w14:textId="77777777" w:rsidR="00A77B3E" w:rsidRDefault="00B16CCF">
            <w:pPr>
              <w:spacing w:before="5pt"/>
              <w:jc w:val="end"/>
              <w:rPr>
                <w:color w:val="000000"/>
                <w:sz w:val="20"/>
              </w:rPr>
            </w:pPr>
            <w:r>
              <w:rPr>
                <w:color w:val="000000"/>
                <w:sz w:val="20"/>
              </w:rPr>
              <w:t>36.287.840,50</w:t>
            </w:r>
          </w:p>
        </w:tc>
      </w:tr>
    </w:tbl>
    <w:p w14:paraId="5FB78C71" w14:textId="77777777" w:rsidR="00A77B3E" w:rsidRDefault="00A77B3E">
      <w:pPr>
        <w:spacing w:before="5pt"/>
        <w:rPr>
          <w:color w:val="000000"/>
          <w:sz w:val="20"/>
        </w:rPr>
      </w:pPr>
    </w:p>
    <w:p w14:paraId="1F93C616" w14:textId="77777777" w:rsidR="00A77B3E" w:rsidRDefault="00B16CCF">
      <w:pPr>
        <w:pStyle w:val="Naslov5"/>
        <w:spacing w:before="5pt" w:after="0pt"/>
        <w:rPr>
          <w:b w:val="0"/>
          <w:i w:val="0"/>
          <w:color w:val="000000"/>
          <w:sz w:val="24"/>
        </w:rPr>
      </w:pPr>
      <w:bookmarkStart w:id="314" w:name="_Toc256001075"/>
      <w:r>
        <w:rPr>
          <w:b w:val="0"/>
          <w:i w:val="0"/>
          <w:color w:val="000000"/>
          <w:sz w:val="24"/>
        </w:rPr>
        <w:t>Tabela 7: Razsežnost 6 – sekundarna področja ESS+</w:t>
      </w:r>
      <w:bookmarkEnd w:id="314"/>
    </w:p>
    <w:p w14:paraId="0322F73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117"/>
        <w:gridCol w:w="2877"/>
        <w:gridCol w:w="1780"/>
        <w:gridCol w:w="2982"/>
        <w:gridCol w:w="2259"/>
        <w:gridCol w:w="2157"/>
      </w:tblGrid>
      <w:tr w:rsidR="00823317" w14:paraId="67EDC68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729573"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DC5DE2"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0A704F"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834BEF"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04E35E"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937B4B" w14:textId="77777777" w:rsidR="00A77B3E" w:rsidRDefault="00B16CCF">
            <w:pPr>
              <w:spacing w:before="5pt"/>
              <w:jc w:val="center"/>
              <w:rPr>
                <w:color w:val="000000"/>
                <w:sz w:val="20"/>
              </w:rPr>
            </w:pPr>
            <w:r>
              <w:rPr>
                <w:color w:val="000000"/>
                <w:sz w:val="20"/>
              </w:rPr>
              <w:t>Znesek (v EUR)</w:t>
            </w:r>
          </w:p>
        </w:tc>
      </w:tr>
    </w:tbl>
    <w:p w14:paraId="27E64AE4" w14:textId="77777777" w:rsidR="00A77B3E" w:rsidRDefault="00A77B3E">
      <w:pPr>
        <w:spacing w:before="5pt"/>
        <w:rPr>
          <w:color w:val="000000"/>
          <w:sz w:val="20"/>
        </w:rPr>
      </w:pPr>
    </w:p>
    <w:p w14:paraId="48D3CD7E" w14:textId="77777777" w:rsidR="00A77B3E" w:rsidRDefault="00B16CCF">
      <w:pPr>
        <w:pStyle w:val="Naslov5"/>
        <w:spacing w:before="5pt" w:after="0pt"/>
        <w:rPr>
          <w:b w:val="0"/>
          <w:i w:val="0"/>
          <w:color w:val="000000"/>
          <w:sz w:val="24"/>
        </w:rPr>
      </w:pPr>
      <w:bookmarkStart w:id="315" w:name="_Toc256001076"/>
      <w:r>
        <w:rPr>
          <w:b w:val="0"/>
          <w:i w:val="0"/>
          <w:color w:val="000000"/>
          <w:sz w:val="24"/>
        </w:rPr>
        <w:t>Tabela 8: Razsežnost 7 – razsežnost enakosti spolov v okviru ESS+*, ESRR, Kohezijskega sklada in SPP</w:t>
      </w:r>
      <w:bookmarkEnd w:id="315"/>
    </w:p>
    <w:p w14:paraId="007F2B4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13"/>
        <w:gridCol w:w="2411"/>
        <w:gridCol w:w="1750"/>
        <w:gridCol w:w="2498"/>
        <w:gridCol w:w="2612"/>
        <w:gridCol w:w="3288"/>
      </w:tblGrid>
      <w:tr w:rsidR="00823317" w14:paraId="34C2701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9AAECE0"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4E10D0"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E7CCD2"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A980E7"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C2C93B"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AE8F76" w14:textId="77777777" w:rsidR="00A77B3E" w:rsidRDefault="00B16CCF">
            <w:pPr>
              <w:spacing w:before="5pt"/>
              <w:jc w:val="center"/>
              <w:rPr>
                <w:color w:val="000000"/>
                <w:sz w:val="20"/>
              </w:rPr>
            </w:pPr>
            <w:r>
              <w:rPr>
                <w:color w:val="000000"/>
                <w:sz w:val="20"/>
              </w:rPr>
              <w:t>Znesek (v EUR)</w:t>
            </w:r>
          </w:p>
        </w:tc>
      </w:tr>
      <w:tr w:rsidR="00823317" w14:paraId="17137B2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531479" w14:textId="77777777" w:rsidR="00A77B3E" w:rsidRDefault="00B16CCF">
            <w:pPr>
              <w:spacing w:before="5pt"/>
              <w:rPr>
                <w:color w:val="000000"/>
                <w:sz w:val="20"/>
              </w:rPr>
            </w:pPr>
            <w:r>
              <w:rPr>
                <w:color w:val="000000"/>
                <w:sz w:val="20"/>
              </w:rPr>
              <w:t>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4531EF" w14:textId="77777777" w:rsidR="00A77B3E" w:rsidRDefault="00B16CCF">
            <w:pPr>
              <w:spacing w:before="5pt"/>
              <w:rPr>
                <w:color w:val="000000"/>
                <w:sz w:val="20"/>
              </w:rPr>
            </w:pPr>
            <w:r>
              <w:rPr>
                <w:color w:val="000000"/>
                <w:sz w:val="20"/>
              </w:rPr>
              <w:t>RSO2.12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997EB5"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9EBA46"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5CE513" w14:textId="77777777" w:rsidR="00A77B3E" w:rsidRDefault="00B16CCF">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CCD4FB" w14:textId="77777777" w:rsidR="00A77B3E" w:rsidRDefault="00B16CCF">
            <w:pPr>
              <w:spacing w:before="5pt"/>
              <w:jc w:val="end"/>
              <w:rPr>
                <w:color w:val="000000"/>
                <w:sz w:val="20"/>
              </w:rPr>
            </w:pPr>
            <w:r>
              <w:rPr>
                <w:color w:val="000000"/>
                <w:sz w:val="20"/>
              </w:rPr>
              <w:t>14.088.132,14</w:t>
            </w:r>
          </w:p>
        </w:tc>
      </w:tr>
      <w:tr w:rsidR="00823317" w14:paraId="509F78B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692697" w14:textId="77777777" w:rsidR="00A77B3E" w:rsidRDefault="00B16CCF">
            <w:pPr>
              <w:spacing w:before="5pt"/>
              <w:rPr>
                <w:color w:val="000000"/>
                <w:sz w:val="20"/>
              </w:rPr>
            </w:pPr>
            <w:r>
              <w:rPr>
                <w:color w:val="000000"/>
                <w:sz w:val="20"/>
              </w:rPr>
              <w:t>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FA665E" w14:textId="77777777" w:rsidR="00A77B3E" w:rsidRDefault="00B16CCF">
            <w:pPr>
              <w:spacing w:before="5pt"/>
              <w:rPr>
                <w:color w:val="000000"/>
                <w:sz w:val="20"/>
              </w:rPr>
            </w:pPr>
            <w:r>
              <w:rPr>
                <w:color w:val="000000"/>
                <w:sz w:val="20"/>
              </w:rPr>
              <w:t>RSO2.12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35F320"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BCD755"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9DC75F" w14:textId="77777777" w:rsidR="00A77B3E" w:rsidRDefault="00B16CCF">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F66C23" w14:textId="77777777" w:rsidR="00A77B3E" w:rsidRDefault="00B16CCF">
            <w:pPr>
              <w:spacing w:before="5pt"/>
              <w:jc w:val="end"/>
              <w:rPr>
                <w:color w:val="000000"/>
                <w:sz w:val="20"/>
              </w:rPr>
            </w:pPr>
            <w:r>
              <w:rPr>
                <w:color w:val="000000"/>
                <w:sz w:val="20"/>
              </w:rPr>
              <w:t>22.199.708,36</w:t>
            </w:r>
          </w:p>
        </w:tc>
      </w:tr>
      <w:tr w:rsidR="00823317" w14:paraId="223A04B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E7FECC" w14:textId="77777777" w:rsidR="00A77B3E" w:rsidRDefault="00B16CCF">
            <w:pPr>
              <w:spacing w:before="5pt"/>
              <w:rPr>
                <w:color w:val="000000"/>
                <w:sz w:val="20"/>
              </w:rPr>
            </w:pPr>
            <w:r>
              <w:rPr>
                <w:color w:val="000000"/>
                <w:sz w:val="20"/>
              </w:rPr>
              <w:t>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268F8F" w14:textId="77777777" w:rsidR="00A77B3E" w:rsidRDefault="00B16CCF">
            <w:pPr>
              <w:spacing w:before="5pt"/>
              <w:rPr>
                <w:color w:val="000000"/>
                <w:sz w:val="20"/>
              </w:rPr>
            </w:pPr>
            <w:r>
              <w:rPr>
                <w:color w:val="000000"/>
                <w:sz w:val="20"/>
              </w:rPr>
              <w:t>RSO2.12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5E244F"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A3CFDA"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69C06E"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07F475" w14:textId="77777777" w:rsidR="00A77B3E" w:rsidRDefault="00B16CCF">
            <w:pPr>
              <w:spacing w:before="5pt"/>
              <w:jc w:val="end"/>
              <w:rPr>
                <w:color w:val="000000"/>
                <w:sz w:val="20"/>
              </w:rPr>
            </w:pPr>
            <w:r>
              <w:rPr>
                <w:color w:val="000000"/>
                <w:sz w:val="20"/>
              </w:rPr>
              <w:t>36.287.840,50</w:t>
            </w:r>
          </w:p>
        </w:tc>
      </w:tr>
    </w:tbl>
    <w:p w14:paraId="26D2F27D" w14:textId="77777777" w:rsidR="00A77B3E" w:rsidRDefault="00B16CCF">
      <w:pPr>
        <w:spacing w:before="5pt"/>
        <w:rPr>
          <w:color w:val="000000"/>
          <w:sz w:val="20"/>
        </w:rPr>
      </w:pPr>
      <w:r>
        <w:rPr>
          <w:color w:val="000000"/>
          <w:sz w:val="20"/>
        </w:rPr>
        <w:t>* Načeloma 40 % za ESS+ prispeva k spremljanju enakosti spolov. 100 % se uporabi, kadar se država članica odloči za uporabo člena 6 uredbe o ESS+.</w:t>
      </w:r>
    </w:p>
    <w:p w14:paraId="05AD6660" w14:textId="77777777" w:rsidR="00A77B3E" w:rsidRDefault="00B16CCF">
      <w:pPr>
        <w:pStyle w:val="Naslov4"/>
        <w:spacing w:before="5pt" w:after="0pt"/>
        <w:rPr>
          <w:b w:val="0"/>
          <w:color w:val="000000"/>
          <w:sz w:val="24"/>
        </w:rPr>
      </w:pPr>
      <w:r>
        <w:rPr>
          <w:b w:val="0"/>
          <w:color w:val="000000"/>
          <w:sz w:val="24"/>
        </w:rPr>
        <w:br w:type="page"/>
      </w:r>
      <w:bookmarkStart w:id="316" w:name="_Toc256001077"/>
      <w:r>
        <w:rPr>
          <w:b w:val="0"/>
          <w:color w:val="000000"/>
          <w:sz w:val="24"/>
        </w:rPr>
        <w:lastRenderedPageBreak/>
        <w:t>2.1.1.1. Specifični cilj: RSO2.12. Promoting energy interconnectors and related transmission, distribution, storage and supportive infrastructure, as well as protection of critical energy infrastructure and the deployment of recharging infrastructure (Kohezijski sklad)</w:t>
      </w:r>
      <w:bookmarkEnd w:id="316"/>
    </w:p>
    <w:p w14:paraId="683D36DB" w14:textId="77777777" w:rsidR="00A77B3E" w:rsidRDefault="00A77B3E">
      <w:pPr>
        <w:spacing w:before="5pt"/>
        <w:rPr>
          <w:color w:val="000000"/>
          <w:sz w:val="0"/>
        </w:rPr>
      </w:pPr>
    </w:p>
    <w:p w14:paraId="0F6E626D" w14:textId="77777777" w:rsidR="00A77B3E" w:rsidRDefault="00B16CCF">
      <w:pPr>
        <w:pStyle w:val="Naslov4"/>
        <w:spacing w:before="5pt" w:after="0pt"/>
        <w:rPr>
          <w:b w:val="0"/>
          <w:color w:val="000000"/>
          <w:sz w:val="24"/>
        </w:rPr>
      </w:pPr>
      <w:bookmarkStart w:id="317" w:name="_Toc256001078"/>
      <w:r>
        <w:rPr>
          <w:b w:val="0"/>
          <w:color w:val="000000"/>
          <w:sz w:val="24"/>
        </w:rPr>
        <w:t>2.1.1.1.1. Ukrepi skladov</w:t>
      </w:r>
      <w:bookmarkEnd w:id="317"/>
    </w:p>
    <w:p w14:paraId="18C2B489" w14:textId="77777777" w:rsidR="00A77B3E" w:rsidRDefault="00A77B3E">
      <w:pPr>
        <w:spacing w:before="5pt"/>
        <w:rPr>
          <w:color w:val="000000"/>
          <w:sz w:val="0"/>
        </w:rPr>
      </w:pPr>
    </w:p>
    <w:p w14:paraId="0094A372" w14:textId="77777777" w:rsidR="00A77B3E" w:rsidRDefault="00B16CCF">
      <w:pPr>
        <w:spacing w:before="5pt"/>
        <w:rPr>
          <w:color w:val="000000"/>
          <w:sz w:val="0"/>
        </w:rPr>
      </w:pPr>
      <w:r>
        <w:rPr>
          <w:color w:val="000000"/>
        </w:rPr>
        <w:t>Sklic: člen 22(3)(d)(i), (iii), (iv), (v), (vi) in (vii) uredbe o skupnih določbah</w:t>
      </w:r>
    </w:p>
    <w:p w14:paraId="614EFE51" w14:textId="77777777" w:rsidR="00A77B3E" w:rsidRDefault="00B16CCF">
      <w:pPr>
        <w:pStyle w:val="Naslov5"/>
        <w:spacing w:before="5pt" w:after="0pt"/>
        <w:rPr>
          <w:b w:val="0"/>
          <w:i w:val="0"/>
          <w:color w:val="000000"/>
          <w:sz w:val="24"/>
        </w:rPr>
      </w:pPr>
      <w:bookmarkStart w:id="318" w:name="_Toc256001079"/>
      <w:r>
        <w:rPr>
          <w:b w:val="0"/>
          <w:i w:val="0"/>
          <w:color w:val="000000"/>
          <w:sz w:val="24"/>
        </w:rPr>
        <w:t>Povezane vrste ukrepov – člen 22(3)(d)(i) uredbe o skupnih določbah in člen 6 uredbe o ESS+:</w:t>
      </w:r>
      <w:bookmarkEnd w:id="318"/>
    </w:p>
    <w:p w14:paraId="2E7F423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119DC462"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1C26A6" w14:textId="77777777" w:rsidR="00A77B3E" w:rsidRDefault="00A77B3E">
            <w:pPr>
              <w:spacing w:before="5pt"/>
              <w:rPr>
                <w:color w:val="000000"/>
                <w:sz w:val="0"/>
              </w:rPr>
            </w:pPr>
          </w:p>
          <w:p w14:paraId="4A039302" w14:textId="77777777" w:rsidR="00A77B3E" w:rsidRDefault="00B16CCF">
            <w:pPr>
              <w:spacing w:before="5pt"/>
              <w:rPr>
                <w:color w:val="000000"/>
              </w:rPr>
            </w:pPr>
            <w:r>
              <w:rPr>
                <w:color w:val="000000"/>
              </w:rPr>
              <w:t>Posodobljen NEPN 2024 [1] temelji na predpostavki, da bodo nove energetske tehnologije, zlasti na področjih učinkovite rabe energije (URE), obnovljivih virov energije (OVE) in lokalne oskrbe z energijo, ključnega pomena za uspešen boj proti podnebnim spremembam, v okviru katerega je ključnega pomena elektrifikacija. Te tehnologije morajo omogočati doseganje zastavljenih ciljev ob stroških, ki ne bodo bistveno zmanjševali konkurenčnosti gospodarstva. Ključne so zato naložbe v OVE in krepitev energetske samozadostnosti in avtonomije, ter hkratne pospešene naložbe v krepitev (pametnega) elektroenergetskega omrežja ter razvoj povezovalnih daljnovodov in z njimi povezane infrastrukture.</w:t>
            </w:r>
          </w:p>
          <w:p w14:paraId="062B925D" w14:textId="77777777" w:rsidR="00A77B3E" w:rsidRDefault="00B16CCF">
            <w:pPr>
              <w:spacing w:before="5pt"/>
              <w:rPr>
                <w:color w:val="000000"/>
              </w:rPr>
            </w:pPr>
            <w:r>
              <w:rPr>
                <w:color w:val="000000"/>
              </w:rPr>
              <w:t>V okviru tega ukrepa bo pospešeno vlaganje v celovito posodobitev elektroenergetskega omrežja, prilagojenega naraščajoči porabi električne energije, obvladovanju usklajevanja proizvodnje in porabe energije iz obnovljivih virov ter omogočanju hitrejše emobilnosti. Namen je povečati zmogljivost, odpornost proti motnjam, naprednost, povezljivost in prilagodljivost omrežja. Takšna infrastruktura bo omogočila učinkovitejše izkoriščanje prožnosti virov in bremen, pospešeno uvajanje e-mobilnosti, vključno s polnilnimi mesti za električna vozila, ter vključevanje naprav za proizvodnjo in shranjevanje električne energije iz OVE.</w:t>
            </w:r>
          </w:p>
          <w:p w14:paraId="509ABD12" w14:textId="77777777" w:rsidR="00A77B3E" w:rsidRDefault="00B16CCF">
            <w:pPr>
              <w:spacing w:before="5pt"/>
              <w:rPr>
                <w:color w:val="000000"/>
              </w:rPr>
            </w:pPr>
            <w:r>
              <w:rPr>
                <w:color w:val="000000"/>
              </w:rPr>
              <w:t>Naložbe bodo vsebovale elemente pametnih omrežij, kar bo dodatno okrepilo elektroenergetsko omrežje, izboljšalo njegovo prilagodljivost ter omogočilo napredno integracijo podatkovnih zbirk in nadzor v realnem času. Ta celovit pristop je ključen za doseganje ciljev na področju OVE in za spodbujanje zelenega prehoda v energetskem in prometnem sektorju.</w:t>
            </w:r>
          </w:p>
          <w:p w14:paraId="5B5439B9" w14:textId="77777777" w:rsidR="00A77B3E" w:rsidRDefault="00B16CCF">
            <w:pPr>
              <w:spacing w:before="5pt"/>
              <w:rPr>
                <w:color w:val="000000"/>
              </w:rPr>
            </w:pPr>
            <w:r>
              <w:rPr>
                <w:color w:val="000000"/>
              </w:rPr>
              <w:t>Slovenija si prizadeva aktivno vključiti razvoj centraliziranih in decentraliziranih rešitev ter do leta 2030 podpreti izvedbo številnih projektov, ki vključujejo hranilnike energije, kot so baterijske zmogljivosti in druge tehnologije za shranjevanje, povezane s prenosnim in distribucijskim omrežjem. Hranilniki so ključni za zagotavljanje stabilnosti, zanesljivosti in učinkovitosti elektroenergetskega sistema, saj pomagajo uravnavati nihanja proizvodnje iz obnovljivih virov, stabilizirati omrežje, premostiti konice porabe, optimizirati delovanje omrežja, podpirati oskrbo na odročnih območjih ter zagotavljati rezervno energijo.</w:t>
            </w:r>
          </w:p>
          <w:p w14:paraId="49375469" w14:textId="77777777" w:rsidR="00A77B3E" w:rsidRDefault="00B16CCF">
            <w:pPr>
              <w:spacing w:before="5pt"/>
              <w:rPr>
                <w:color w:val="000000"/>
              </w:rPr>
            </w:pPr>
            <w:r>
              <w:rPr>
                <w:color w:val="000000"/>
              </w:rPr>
              <w:t>Zaradi doseganja čim večjega deleža OVE v bruto končni rabi energije do leta 2030 se načrtuje vzpostavitev zadostne količine hranilnikov različnih tehnologij, velikosti in časov shranjevanja, priključenih na prenosno ali distribucijsko omrežje. Vzporedno bo potekalo posodabljanje distribucijskega omrežja, vključno z obnovo omrežja in vzpostavitvijo novih transformatorskih postaj, pripravljenih za integracijo v pametna omrežja.</w:t>
            </w:r>
          </w:p>
          <w:p w14:paraId="6AAE10B1" w14:textId="77777777" w:rsidR="00A77B3E" w:rsidRDefault="00B16CCF">
            <w:pPr>
              <w:spacing w:before="5pt"/>
              <w:rPr>
                <w:color w:val="000000"/>
              </w:rPr>
            </w:pPr>
            <w:r>
              <w:rPr>
                <w:color w:val="000000"/>
              </w:rPr>
              <w:t>Projekti bodo izvedeni skladno s časovnico Načrta za okrevanje in odpornost (NOO) do sredine leta 2026, medtem ko bodo komplementarni projekti in projekti po tem obdobju podprti s sredstvi evropske kohezijske politike (EKP), z namenom zagotavljanja stabilnega, predvidljivega investicijskega cikla na elektro energetskem omrežju skladno z NEPN. Razmejitev med obema vrstama podpore bo podrobneje določena na ravni posameznih javnih razpisov.</w:t>
            </w:r>
          </w:p>
          <w:p w14:paraId="32C33A42" w14:textId="77777777" w:rsidR="00A77B3E" w:rsidRDefault="00A77B3E">
            <w:pPr>
              <w:spacing w:before="5pt"/>
              <w:rPr>
                <w:color w:val="000000"/>
                <w:sz w:val="6"/>
              </w:rPr>
            </w:pPr>
          </w:p>
          <w:p w14:paraId="069EB54B" w14:textId="77777777" w:rsidR="00A77B3E" w:rsidRDefault="00A77B3E">
            <w:pPr>
              <w:spacing w:before="5pt"/>
              <w:rPr>
                <w:color w:val="000000"/>
                <w:sz w:val="6"/>
              </w:rPr>
            </w:pPr>
          </w:p>
        </w:tc>
      </w:tr>
    </w:tbl>
    <w:p w14:paraId="6C8397AD" w14:textId="77777777" w:rsidR="00A77B3E" w:rsidRDefault="00A77B3E">
      <w:pPr>
        <w:spacing w:before="5pt"/>
        <w:rPr>
          <w:color w:val="000000"/>
        </w:rPr>
      </w:pPr>
    </w:p>
    <w:p w14:paraId="0F5EAAE8" w14:textId="77777777" w:rsidR="00A77B3E" w:rsidRDefault="00B16CCF">
      <w:pPr>
        <w:pStyle w:val="Naslov5"/>
        <w:spacing w:before="5pt" w:after="0pt"/>
        <w:rPr>
          <w:b w:val="0"/>
          <w:i w:val="0"/>
          <w:color w:val="000000"/>
          <w:sz w:val="24"/>
        </w:rPr>
      </w:pPr>
      <w:bookmarkStart w:id="319" w:name="_Toc256001080"/>
      <w:r>
        <w:rPr>
          <w:b w:val="0"/>
          <w:i w:val="0"/>
          <w:color w:val="000000"/>
          <w:sz w:val="24"/>
        </w:rPr>
        <w:lastRenderedPageBreak/>
        <w:t>Glavne ciljne skupine – člen 22(3)(d)(iii) uredbe o skupnih določbah:</w:t>
      </w:r>
      <w:bookmarkEnd w:id="319"/>
    </w:p>
    <w:p w14:paraId="3DCF3ED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5F4A56B2"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AB105A" w14:textId="77777777" w:rsidR="00A77B3E" w:rsidRDefault="00A77B3E">
            <w:pPr>
              <w:spacing w:before="5pt"/>
              <w:rPr>
                <w:color w:val="000000"/>
                <w:sz w:val="0"/>
              </w:rPr>
            </w:pPr>
          </w:p>
          <w:p w14:paraId="079F40C3" w14:textId="77777777" w:rsidR="00A77B3E" w:rsidRDefault="00B16CCF">
            <w:pPr>
              <w:spacing w:before="5pt"/>
              <w:rPr>
                <w:color w:val="000000"/>
              </w:rPr>
            </w:pPr>
            <w:r>
              <w:rPr>
                <w:color w:val="000000"/>
              </w:rPr>
              <w:t xml:space="preserve">Ciljne skupine: podjetja. </w:t>
            </w:r>
          </w:p>
          <w:p w14:paraId="03843A2E" w14:textId="77777777" w:rsidR="00A77B3E" w:rsidRDefault="00B16CCF">
            <w:pPr>
              <w:spacing w:before="5pt"/>
              <w:rPr>
                <w:color w:val="000000"/>
              </w:rPr>
            </w:pPr>
            <w:r>
              <w:rPr>
                <w:color w:val="000000"/>
              </w:rPr>
              <w:t>Upravičenci: podjetja, sistemski elektrooperater prenosnega in distribucijskega omrežja in distribucijska podjetja.</w:t>
            </w:r>
          </w:p>
          <w:p w14:paraId="02B8B92D" w14:textId="77777777" w:rsidR="00A77B3E" w:rsidRDefault="00A77B3E">
            <w:pPr>
              <w:spacing w:before="5pt"/>
              <w:rPr>
                <w:color w:val="000000"/>
                <w:sz w:val="6"/>
              </w:rPr>
            </w:pPr>
          </w:p>
          <w:p w14:paraId="03A4AB40" w14:textId="77777777" w:rsidR="00A77B3E" w:rsidRDefault="00A77B3E">
            <w:pPr>
              <w:spacing w:before="5pt"/>
              <w:rPr>
                <w:color w:val="000000"/>
                <w:sz w:val="6"/>
              </w:rPr>
            </w:pPr>
          </w:p>
        </w:tc>
      </w:tr>
    </w:tbl>
    <w:p w14:paraId="41ECCE16" w14:textId="77777777" w:rsidR="00A77B3E" w:rsidRDefault="00A77B3E">
      <w:pPr>
        <w:spacing w:before="5pt"/>
        <w:rPr>
          <w:color w:val="000000"/>
        </w:rPr>
      </w:pPr>
    </w:p>
    <w:p w14:paraId="34AAEDF8" w14:textId="77777777" w:rsidR="00A77B3E" w:rsidRDefault="00B16CCF">
      <w:pPr>
        <w:pStyle w:val="Naslov5"/>
        <w:spacing w:before="5pt" w:after="0pt"/>
        <w:rPr>
          <w:b w:val="0"/>
          <w:i w:val="0"/>
          <w:color w:val="000000"/>
          <w:sz w:val="24"/>
        </w:rPr>
      </w:pPr>
      <w:bookmarkStart w:id="320" w:name="_Toc256001081"/>
      <w:r>
        <w:rPr>
          <w:b w:val="0"/>
          <w:i w:val="0"/>
          <w:color w:val="000000"/>
          <w:sz w:val="24"/>
        </w:rPr>
        <w:t>Ukrepi za zaščito enakosti, vključenosti in nediskriminacije – člen 22(3)(d)(iv) uredbe o skupnih določbah in člen 6 uredbe o ESS+</w:t>
      </w:r>
      <w:bookmarkEnd w:id="320"/>
    </w:p>
    <w:p w14:paraId="1C7823F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5CCCD38C"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090257" w14:textId="77777777" w:rsidR="00A77B3E" w:rsidRDefault="00A77B3E">
            <w:pPr>
              <w:spacing w:before="5pt"/>
              <w:rPr>
                <w:color w:val="000000"/>
                <w:sz w:val="0"/>
              </w:rPr>
            </w:pPr>
          </w:p>
          <w:p w14:paraId="1CAB9940" w14:textId="77777777" w:rsidR="00A77B3E" w:rsidRDefault="00B16CCF">
            <w:pPr>
              <w:spacing w:before="5pt"/>
              <w:rPr>
                <w:color w:val="000000"/>
              </w:rPr>
            </w:pPr>
            <w:r>
              <w:rPr>
                <w:color w:val="000000"/>
              </w:rPr>
              <w:t>Pri načrtovanju, izvedbi in spremljanju ukrepov bodo spoštovana načela enakosti spolov, enakih možnosti in nediskriminacije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w:t>
            </w:r>
          </w:p>
          <w:p w14:paraId="7E22F753" w14:textId="77777777" w:rsidR="00A77B3E" w:rsidRDefault="00A77B3E">
            <w:pPr>
              <w:spacing w:before="5pt"/>
              <w:rPr>
                <w:color w:val="000000"/>
                <w:sz w:val="6"/>
              </w:rPr>
            </w:pPr>
          </w:p>
          <w:p w14:paraId="1E772B82" w14:textId="77777777" w:rsidR="00A77B3E" w:rsidRDefault="00A77B3E">
            <w:pPr>
              <w:spacing w:before="5pt"/>
              <w:rPr>
                <w:color w:val="000000"/>
                <w:sz w:val="6"/>
              </w:rPr>
            </w:pPr>
          </w:p>
        </w:tc>
      </w:tr>
    </w:tbl>
    <w:p w14:paraId="38DC79FA" w14:textId="77777777" w:rsidR="00A77B3E" w:rsidRDefault="00A77B3E">
      <w:pPr>
        <w:spacing w:before="5pt"/>
        <w:rPr>
          <w:color w:val="000000"/>
        </w:rPr>
      </w:pPr>
    </w:p>
    <w:p w14:paraId="7D4036AC" w14:textId="77777777" w:rsidR="00A77B3E" w:rsidRDefault="00B16CCF">
      <w:pPr>
        <w:pStyle w:val="Naslov5"/>
        <w:spacing w:before="5pt" w:after="0pt"/>
        <w:rPr>
          <w:b w:val="0"/>
          <w:i w:val="0"/>
          <w:color w:val="000000"/>
          <w:sz w:val="24"/>
        </w:rPr>
      </w:pPr>
      <w:bookmarkStart w:id="321" w:name="_Toc256001082"/>
      <w:r>
        <w:rPr>
          <w:b w:val="0"/>
          <w:i w:val="0"/>
          <w:color w:val="000000"/>
          <w:sz w:val="24"/>
        </w:rPr>
        <w:t>Navedba specifičnih ciljnih ozemelj, vključno z načrtovano uporabo teritorialnih orodij – člen 22(3)(d)(v) uredbe o skupnih določbah</w:t>
      </w:r>
      <w:bookmarkEnd w:id="321"/>
    </w:p>
    <w:p w14:paraId="237E4FE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618BB598"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CD4995" w14:textId="77777777" w:rsidR="00A77B3E" w:rsidRDefault="00A77B3E">
            <w:pPr>
              <w:spacing w:before="5pt"/>
              <w:rPr>
                <w:color w:val="000000"/>
                <w:sz w:val="0"/>
              </w:rPr>
            </w:pPr>
          </w:p>
          <w:p w14:paraId="418CB717" w14:textId="77777777" w:rsidR="00A77B3E" w:rsidRDefault="00B16CCF">
            <w:pPr>
              <w:spacing w:before="5pt"/>
              <w:rPr>
                <w:color w:val="000000"/>
              </w:rPr>
            </w:pPr>
            <w:r>
              <w:rPr>
                <w:color w:val="000000"/>
              </w:rPr>
              <w:t>V okviru specifičnega cilja ni predvidena uporaba teritorialnih orodij.</w:t>
            </w:r>
          </w:p>
          <w:p w14:paraId="4E58BEA7" w14:textId="77777777" w:rsidR="00A77B3E" w:rsidRDefault="00A77B3E">
            <w:pPr>
              <w:spacing w:before="5pt"/>
              <w:rPr>
                <w:color w:val="000000"/>
                <w:sz w:val="6"/>
              </w:rPr>
            </w:pPr>
          </w:p>
          <w:p w14:paraId="3D96E994" w14:textId="77777777" w:rsidR="00A77B3E" w:rsidRDefault="00A77B3E">
            <w:pPr>
              <w:spacing w:before="5pt"/>
              <w:rPr>
                <w:color w:val="000000"/>
                <w:sz w:val="6"/>
              </w:rPr>
            </w:pPr>
          </w:p>
        </w:tc>
      </w:tr>
    </w:tbl>
    <w:p w14:paraId="47C27876" w14:textId="77777777" w:rsidR="00A77B3E" w:rsidRDefault="00A77B3E">
      <w:pPr>
        <w:spacing w:before="5pt"/>
        <w:rPr>
          <w:color w:val="000000"/>
        </w:rPr>
      </w:pPr>
    </w:p>
    <w:p w14:paraId="0A942475" w14:textId="77777777" w:rsidR="00A77B3E" w:rsidRDefault="00B16CCF">
      <w:pPr>
        <w:pStyle w:val="Naslov5"/>
        <w:spacing w:before="5pt" w:after="0pt"/>
        <w:rPr>
          <w:b w:val="0"/>
          <w:i w:val="0"/>
          <w:color w:val="000000"/>
          <w:sz w:val="24"/>
        </w:rPr>
      </w:pPr>
      <w:bookmarkStart w:id="322" w:name="_Toc256001083"/>
      <w:r>
        <w:rPr>
          <w:b w:val="0"/>
          <w:i w:val="0"/>
          <w:color w:val="000000"/>
          <w:sz w:val="24"/>
        </w:rPr>
        <w:t>Medregionalni, čezmejni in transnacionalni ukrepi – člen 22(3)(d)(vi) uredbe o skupnih določbah</w:t>
      </w:r>
      <w:bookmarkEnd w:id="322"/>
    </w:p>
    <w:p w14:paraId="70474AF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44868BBD"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138A84" w14:textId="77777777" w:rsidR="00A77B3E" w:rsidRDefault="00A77B3E">
            <w:pPr>
              <w:spacing w:before="5pt"/>
              <w:rPr>
                <w:color w:val="000000"/>
                <w:sz w:val="0"/>
              </w:rPr>
            </w:pPr>
          </w:p>
          <w:p w14:paraId="5AB5F159" w14:textId="77777777" w:rsidR="00A77B3E" w:rsidRDefault="00B16CCF">
            <w:pPr>
              <w:spacing w:before="5pt"/>
              <w:rPr>
                <w:color w:val="000000"/>
              </w:rPr>
            </w:pPr>
            <w:r>
              <w:rPr>
                <w:color w:val="000000"/>
              </w:rPr>
              <w:t>V okviru predmetnega specifičnega cilja ni načrtovana izvedba medregionalnih, čezmejnih in transnacionalnih ukrepov, saj gre za ukrepe razvoja pametnih energetskih sistemov, omrežij ter hrambe zunaj vseevropskega energetskega omrežja, ki so namenjeni prvenstveno ciljnim skupinam na območju Slovenije.</w:t>
            </w:r>
          </w:p>
          <w:p w14:paraId="10F8C5DE" w14:textId="77777777" w:rsidR="00A77B3E" w:rsidRDefault="00A77B3E">
            <w:pPr>
              <w:spacing w:before="5pt"/>
              <w:rPr>
                <w:color w:val="000000"/>
                <w:sz w:val="6"/>
              </w:rPr>
            </w:pPr>
          </w:p>
          <w:p w14:paraId="32CB83A8" w14:textId="77777777" w:rsidR="00A77B3E" w:rsidRDefault="00A77B3E">
            <w:pPr>
              <w:spacing w:before="5pt"/>
              <w:rPr>
                <w:color w:val="000000"/>
                <w:sz w:val="6"/>
              </w:rPr>
            </w:pPr>
          </w:p>
        </w:tc>
      </w:tr>
    </w:tbl>
    <w:p w14:paraId="78ABA4FA" w14:textId="77777777" w:rsidR="00A77B3E" w:rsidRDefault="00A77B3E">
      <w:pPr>
        <w:spacing w:before="5pt"/>
        <w:rPr>
          <w:color w:val="000000"/>
        </w:rPr>
      </w:pPr>
    </w:p>
    <w:p w14:paraId="6BE50A6C" w14:textId="77777777" w:rsidR="00A77B3E" w:rsidRDefault="00B16CCF">
      <w:pPr>
        <w:pStyle w:val="Naslov5"/>
        <w:spacing w:before="5pt" w:after="0pt"/>
        <w:rPr>
          <w:b w:val="0"/>
          <w:i w:val="0"/>
          <w:color w:val="000000"/>
          <w:sz w:val="24"/>
        </w:rPr>
      </w:pPr>
      <w:bookmarkStart w:id="323" w:name="_Toc256001084"/>
      <w:r>
        <w:rPr>
          <w:b w:val="0"/>
          <w:i w:val="0"/>
          <w:color w:val="000000"/>
          <w:sz w:val="24"/>
        </w:rPr>
        <w:lastRenderedPageBreak/>
        <w:t>Načrtovana uporaba finančnih instrumentov – člen 22(3)(d)(vii) uredbe o skupnih določbah</w:t>
      </w:r>
      <w:bookmarkEnd w:id="323"/>
    </w:p>
    <w:p w14:paraId="4CCDB7F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46A514DF"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173369" w14:textId="77777777" w:rsidR="00A77B3E" w:rsidRDefault="00A77B3E">
            <w:pPr>
              <w:spacing w:before="5pt"/>
              <w:rPr>
                <w:color w:val="000000"/>
                <w:sz w:val="0"/>
              </w:rPr>
            </w:pPr>
          </w:p>
          <w:p w14:paraId="141BEADC" w14:textId="77777777" w:rsidR="00A77B3E" w:rsidRDefault="00B16CCF">
            <w:pPr>
              <w:spacing w:before="5pt"/>
              <w:rPr>
                <w:color w:val="000000"/>
              </w:rPr>
            </w:pPr>
            <w:r>
              <w:rPr>
                <w:color w:val="000000"/>
              </w:rPr>
              <w:t>Predvidena je uporaba nepovratnih virov. V okviru predmetnega specifičnega cilja uporaba finančnih instrumentov v skladu z izsledki analize Predhodnih ocen potreb trga in vrzeli financiranja na trgu za izvajanje finančnih instrumentov v programskem obdobju 2021-2027 (julij 2022) namreč ni predvidena. Pri uporabi nepovratnih sredstev bo določena ustrezno znižana stopnja sofinanciranja, ki bo upoštevala prihranke/prihodke v ekonomski dobi investicije oziroma skladno s pravili državnih pomoči.</w:t>
            </w:r>
          </w:p>
          <w:p w14:paraId="0E0DB7BE" w14:textId="77777777" w:rsidR="00A77B3E" w:rsidRDefault="00A77B3E">
            <w:pPr>
              <w:spacing w:before="5pt"/>
              <w:rPr>
                <w:color w:val="000000"/>
                <w:sz w:val="6"/>
              </w:rPr>
            </w:pPr>
          </w:p>
          <w:p w14:paraId="3F4EA1E1" w14:textId="77777777" w:rsidR="00A77B3E" w:rsidRDefault="00A77B3E">
            <w:pPr>
              <w:spacing w:before="5pt"/>
              <w:rPr>
                <w:color w:val="000000"/>
                <w:sz w:val="6"/>
              </w:rPr>
            </w:pPr>
          </w:p>
        </w:tc>
      </w:tr>
    </w:tbl>
    <w:p w14:paraId="461E8A93" w14:textId="77777777" w:rsidR="00A77B3E" w:rsidRDefault="00A77B3E">
      <w:pPr>
        <w:spacing w:before="5pt"/>
        <w:rPr>
          <w:color w:val="000000"/>
        </w:rPr>
      </w:pPr>
    </w:p>
    <w:p w14:paraId="1CB701E5" w14:textId="77777777" w:rsidR="00A77B3E" w:rsidRDefault="00B16CCF">
      <w:pPr>
        <w:pStyle w:val="Naslov4"/>
        <w:spacing w:before="5pt" w:after="0pt"/>
        <w:rPr>
          <w:b w:val="0"/>
          <w:color w:val="000000"/>
          <w:sz w:val="24"/>
        </w:rPr>
      </w:pPr>
      <w:bookmarkStart w:id="324" w:name="_Toc256001085"/>
      <w:r>
        <w:rPr>
          <w:b w:val="0"/>
          <w:color w:val="000000"/>
          <w:sz w:val="24"/>
        </w:rPr>
        <w:t>2.1.1.1.2. Kazalniki</w:t>
      </w:r>
      <w:bookmarkEnd w:id="324"/>
    </w:p>
    <w:p w14:paraId="33D07586" w14:textId="77777777" w:rsidR="00A77B3E" w:rsidRDefault="00A77B3E">
      <w:pPr>
        <w:spacing w:before="5pt"/>
        <w:rPr>
          <w:color w:val="000000"/>
          <w:sz w:val="0"/>
        </w:rPr>
      </w:pPr>
    </w:p>
    <w:p w14:paraId="5F396C85" w14:textId="77777777" w:rsidR="00A77B3E" w:rsidRDefault="00B16CCF">
      <w:pPr>
        <w:spacing w:before="5pt"/>
        <w:rPr>
          <w:color w:val="000000"/>
          <w:sz w:val="0"/>
        </w:rPr>
      </w:pPr>
      <w:r>
        <w:rPr>
          <w:color w:val="000000"/>
        </w:rPr>
        <w:t>Sklic: člen 22(3)(d)(ii) uredbe o skupnih določbah in člen 8 uredbe o ESRR in Kohezijskem skladu</w:t>
      </w:r>
    </w:p>
    <w:p w14:paraId="39051829" w14:textId="77777777" w:rsidR="00A77B3E" w:rsidRDefault="00B16CCF">
      <w:pPr>
        <w:pStyle w:val="Naslov5"/>
        <w:spacing w:before="5pt" w:after="0pt"/>
        <w:rPr>
          <w:b w:val="0"/>
          <w:i w:val="0"/>
          <w:color w:val="000000"/>
          <w:sz w:val="24"/>
        </w:rPr>
      </w:pPr>
      <w:bookmarkStart w:id="325" w:name="_Toc256001086"/>
      <w:r>
        <w:rPr>
          <w:b w:val="0"/>
          <w:i w:val="0"/>
          <w:color w:val="000000"/>
          <w:sz w:val="24"/>
        </w:rPr>
        <w:t>Tabela 2: Kazalniki učinka</w:t>
      </w:r>
      <w:bookmarkEnd w:id="325"/>
    </w:p>
    <w:p w14:paraId="137CC1A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84"/>
        <w:gridCol w:w="1738"/>
        <w:gridCol w:w="1843"/>
        <w:gridCol w:w="1802"/>
        <w:gridCol w:w="2091"/>
        <w:gridCol w:w="1946"/>
        <w:gridCol w:w="1344"/>
        <w:gridCol w:w="1303"/>
        <w:gridCol w:w="1221"/>
      </w:tblGrid>
      <w:tr w:rsidR="00823317" w14:paraId="438DB7C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1EC917"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153686"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4D96ADF"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E5F60E"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1D5978"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FE1706"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C6377E"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4BAF59" w14:textId="77777777" w:rsidR="00A77B3E" w:rsidRDefault="00B16CCF">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92A340" w14:textId="77777777" w:rsidR="00A77B3E" w:rsidRDefault="00B16CCF">
            <w:pPr>
              <w:spacing w:before="5pt"/>
              <w:jc w:val="center"/>
              <w:rPr>
                <w:color w:val="000000"/>
                <w:sz w:val="20"/>
              </w:rPr>
            </w:pPr>
            <w:r>
              <w:rPr>
                <w:color w:val="000000"/>
                <w:sz w:val="20"/>
              </w:rPr>
              <w:t>Cilj (2029)</w:t>
            </w:r>
          </w:p>
        </w:tc>
      </w:tr>
      <w:tr w:rsidR="00823317" w14:paraId="4997F7B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CF1100" w14:textId="77777777" w:rsidR="00A77B3E" w:rsidRDefault="00B16CCF">
            <w:pPr>
              <w:spacing w:before="5pt"/>
              <w:rPr>
                <w:color w:val="000000"/>
                <w:sz w:val="20"/>
              </w:rPr>
            </w:pPr>
            <w:r>
              <w:rPr>
                <w:color w:val="000000"/>
                <w:sz w:val="20"/>
              </w:rPr>
              <w:t>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CBF514" w14:textId="77777777" w:rsidR="00A77B3E" w:rsidRDefault="00B16CCF">
            <w:pPr>
              <w:spacing w:before="5pt"/>
              <w:rPr>
                <w:color w:val="000000"/>
                <w:sz w:val="20"/>
              </w:rPr>
            </w:pPr>
            <w:r>
              <w:rPr>
                <w:color w:val="000000"/>
                <w:sz w:val="20"/>
              </w:rPr>
              <w:t>RSO2.12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85F66E" w14:textId="77777777" w:rsidR="00A77B3E" w:rsidRDefault="00B16CCF">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4B9E9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1015BF" w14:textId="77777777" w:rsidR="00A77B3E" w:rsidRDefault="00B16CCF">
            <w:pPr>
              <w:spacing w:before="5pt"/>
              <w:rPr>
                <w:color w:val="000000"/>
                <w:sz w:val="20"/>
              </w:rPr>
            </w:pPr>
            <w:r>
              <w:rPr>
                <w:color w:val="000000"/>
                <w:sz w:val="20"/>
              </w:rPr>
              <w:t>014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1F02C7" w14:textId="77777777" w:rsidR="00A77B3E" w:rsidRDefault="00B16CCF">
            <w:pPr>
              <w:spacing w:before="5pt"/>
              <w:rPr>
                <w:color w:val="000000"/>
                <w:sz w:val="20"/>
              </w:rPr>
            </w:pPr>
            <w:r>
              <w:rPr>
                <w:color w:val="000000"/>
                <w:sz w:val="20"/>
              </w:rPr>
              <w:t>Število podprtih ukrepov na področju pametnih elektro-energetskih omrežij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BA3D39" w14:textId="77777777" w:rsidR="00A77B3E" w:rsidRDefault="00B16CCF">
            <w:pPr>
              <w:spacing w:before="5pt"/>
              <w:rPr>
                <w:color w:val="000000"/>
                <w:sz w:val="20"/>
              </w:rPr>
            </w:pPr>
            <w:r>
              <w:rPr>
                <w:color w:val="000000"/>
                <w:sz w:val="20"/>
              </w:rPr>
              <w:t>projekt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CB7EA4"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C60AC4" w14:textId="77777777" w:rsidR="00A77B3E" w:rsidRDefault="00B16CCF">
            <w:pPr>
              <w:spacing w:before="5pt"/>
              <w:jc w:val="end"/>
              <w:rPr>
                <w:color w:val="000000"/>
                <w:sz w:val="20"/>
              </w:rPr>
            </w:pPr>
            <w:r>
              <w:rPr>
                <w:color w:val="000000"/>
                <w:sz w:val="20"/>
              </w:rPr>
              <w:t>2,00</w:t>
            </w:r>
          </w:p>
        </w:tc>
      </w:tr>
    </w:tbl>
    <w:p w14:paraId="6606853C" w14:textId="77777777" w:rsidR="00A77B3E" w:rsidRDefault="00A77B3E">
      <w:pPr>
        <w:spacing w:before="5pt"/>
        <w:rPr>
          <w:color w:val="000000"/>
          <w:sz w:val="20"/>
        </w:rPr>
      </w:pPr>
    </w:p>
    <w:p w14:paraId="23324EA0" w14:textId="77777777" w:rsidR="00A77B3E" w:rsidRDefault="00B16CCF">
      <w:pPr>
        <w:spacing w:before="5pt"/>
        <w:rPr>
          <w:color w:val="000000"/>
          <w:sz w:val="0"/>
        </w:rPr>
      </w:pPr>
      <w:r>
        <w:rPr>
          <w:color w:val="000000"/>
        </w:rPr>
        <w:t>Sklic: člen 22(3)(d)(ii) uredbe o skupnih določbah</w:t>
      </w:r>
    </w:p>
    <w:p w14:paraId="5BFF2551" w14:textId="77777777" w:rsidR="00A77B3E" w:rsidRDefault="00B16CCF">
      <w:pPr>
        <w:pStyle w:val="Naslov5"/>
        <w:spacing w:before="5pt" w:after="0pt"/>
        <w:rPr>
          <w:b w:val="0"/>
          <w:i w:val="0"/>
          <w:color w:val="000000"/>
          <w:sz w:val="24"/>
        </w:rPr>
      </w:pPr>
      <w:bookmarkStart w:id="326" w:name="_Toc256001087"/>
      <w:r>
        <w:rPr>
          <w:b w:val="0"/>
          <w:i w:val="0"/>
          <w:color w:val="000000"/>
          <w:sz w:val="24"/>
        </w:rPr>
        <w:t>Tabela 3: Kazalniki rezultatov</w:t>
      </w:r>
      <w:bookmarkEnd w:id="326"/>
    </w:p>
    <w:p w14:paraId="6647826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59"/>
        <w:gridCol w:w="1254"/>
        <w:gridCol w:w="1329"/>
        <w:gridCol w:w="1300"/>
        <w:gridCol w:w="1508"/>
        <w:gridCol w:w="1314"/>
        <w:gridCol w:w="1001"/>
        <w:gridCol w:w="1329"/>
        <w:gridCol w:w="1403"/>
        <w:gridCol w:w="881"/>
        <w:gridCol w:w="1405"/>
        <w:gridCol w:w="1089"/>
      </w:tblGrid>
      <w:tr w:rsidR="00823317" w14:paraId="02FD03B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633596"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0B98DA"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F3C979"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84FE7A"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C2347CA"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85F670"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4BE94D"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141F4CF" w14:textId="77777777" w:rsidR="00A77B3E" w:rsidRDefault="00B16CCF">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A597344" w14:textId="77777777" w:rsidR="00A77B3E" w:rsidRDefault="00B16CCF">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4A7D387" w14:textId="77777777" w:rsidR="00A77B3E" w:rsidRDefault="00B16CCF">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6ABFB5" w14:textId="77777777" w:rsidR="00A77B3E" w:rsidRDefault="00B16CCF">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49382E" w14:textId="77777777" w:rsidR="00A77B3E" w:rsidRDefault="00B16CCF">
            <w:pPr>
              <w:spacing w:before="5pt"/>
              <w:jc w:val="center"/>
              <w:rPr>
                <w:color w:val="000000"/>
                <w:sz w:val="20"/>
              </w:rPr>
            </w:pPr>
            <w:r>
              <w:rPr>
                <w:color w:val="000000"/>
                <w:sz w:val="20"/>
              </w:rPr>
              <w:t>Opombe</w:t>
            </w:r>
          </w:p>
        </w:tc>
      </w:tr>
      <w:tr w:rsidR="00823317" w14:paraId="240AFFA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85715B" w14:textId="77777777" w:rsidR="00A77B3E" w:rsidRDefault="00B16CCF">
            <w:pPr>
              <w:spacing w:before="5pt"/>
              <w:rPr>
                <w:color w:val="000000"/>
                <w:sz w:val="20"/>
              </w:rPr>
            </w:pPr>
            <w:r>
              <w:rPr>
                <w:color w:val="000000"/>
                <w:sz w:val="20"/>
              </w:rPr>
              <w:t>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5A8806" w14:textId="77777777" w:rsidR="00A77B3E" w:rsidRDefault="00B16CCF">
            <w:pPr>
              <w:spacing w:before="5pt"/>
              <w:rPr>
                <w:color w:val="000000"/>
                <w:sz w:val="20"/>
              </w:rPr>
            </w:pPr>
            <w:r>
              <w:rPr>
                <w:color w:val="000000"/>
                <w:sz w:val="20"/>
              </w:rPr>
              <w:t>RSO2.12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214877" w14:textId="77777777" w:rsidR="00A77B3E" w:rsidRDefault="00B16CCF">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E5C17E"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3CC474" w14:textId="77777777" w:rsidR="00A77B3E" w:rsidRDefault="00B16CCF">
            <w:pPr>
              <w:spacing w:before="5pt"/>
              <w:rPr>
                <w:color w:val="000000"/>
                <w:sz w:val="20"/>
              </w:rPr>
            </w:pPr>
            <w:r>
              <w:rPr>
                <w:color w:val="000000"/>
                <w:sz w:val="20"/>
              </w:rPr>
              <w:t>RCR34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49937E" w14:textId="77777777" w:rsidR="00A77B3E" w:rsidRDefault="00B16CCF">
            <w:pPr>
              <w:spacing w:before="5pt"/>
              <w:rPr>
                <w:color w:val="000000"/>
                <w:sz w:val="20"/>
              </w:rPr>
            </w:pPr>
            <w:r>
              <w:rPr>
                <w:color w:val="000000"/>
                <w:sz w:val="20"/>
              </w:rPr>
              <w:t>Uvedba projektov za pametne energetske sisteme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AC448E" w14:textId="77777777" w:rsidR="00A77B3E" w:rsidRDefault="00B16CCF">
            <w:pPr>
              <w:spacing w:before="5pt"/>
              <w:rPr>
                <w:color w:val="000000"/>
                <w:sz w:val="20"/>
              </w:rPr>
            </w:pPr>
            <w:r>
              <w:rPr>
                <w:color w:val="000000"/>
                <w:sz w:val="20"/>
              </w:rPr>
              <w:t>projekti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CED820"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46039E" w14:textId="77777777" w:rsidR="00A77B3E" w:rsidRDefault="00B16CCF">
            <w:pPr>
              <w:spacing w:before="5pt"/>
              <w:jc w:val="center"/>
              <w:rPr>
                <w:color w:val="000000"/>
                <w:sz w:val="20"/>
              </w:rPr>
            </w:pPr>
            <w:r>
              <w:rPr>
                <w:color w:val="000000"/>
                <w:sz w:val="20"/>
              </w:rPr>
              <w:t>2025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057C86" w14:textId="77777777" w:rsidR="00A77B3E" w:rsidRDefault="00B16CCF">
            <w:pPr>
              <w:spacing w:before="5pt"/>
              <w:jc w:val="end"/>
              <w:rPr>
                <w:color w:val="000000"/>
                <w:sz w:val="20"/>
              </w:rPr>
            </w:pPr>
            <w:r>
              <w:rPr>
                <w:color w:val="000000"/>
                <w:sz w:val="20"/>
              </w:rPr>
              <w:t>2,00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86D607" w14:textId="77777777" w:rsidR="00A77B3E" w:rsidRDefault="00B16CCF">
            <w:pPr>
              <w:spacing w:before="5pt"/>
              <w:rPr>
                <w:color w:val="000000"/>
                <w:sz w:val="20"/>
              </w:rPr>
            </w:pPr>
            <w:r>
              <w:rPr>
                <w:color w:val="000000"/>
                <w:sz w:val="20"/>
              </w:rPr>
              <w:t>Ministrstvo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CDB0F9" w14:textId="77777777" w:rsidR="00A77B3E" w:rsidRDefault="00A77B3E">
            <w:pPr>
              <w:spacing w:before="5pt"/>
              <w:rPr>
                <w:color w:val="000000"/>
                <w:sz w:val="20"/>
              </w:rPr>
            </w:pPr>
          </w:p>
        </w:tc>
      </w:tr>
    </w:tbl>
    <w:p w14:paraId="54FD5552" w14:textId="77777777" w:rsidR="00A77B3E" w:rsidRDefault="00A77B3E">
      <w:pPr>
        <w:spacing w:before="5pt"/>
        <w:rPr>
          <w:color w:val="000000"/>
          <w:sz w:val="20"/>
        </w:rPr>
      </w:pPr>
    </w:p>
    <w:p w14:paraId="15BF0D79" w14:textId="77777777" w:rsidR="00A77B3E" w:rsidRDefault="00B16CCF">
      <w:pPr>
        <w:pStyle w:val="Naslov4"/>
        <w:spacing w:before="5pt" w:after="0pt"/>
        <w:rPr>
          <w:b w:val="0"/>
          <w:color w:val="000000"/>
          <w:sz w:val="24"/>
        </w:rPr>
      </w:pPr>
      <w:bookmarkStart w:id="327" w:name="_Toc256001088"/>
      <w:r>
        <w:rPr>
          <w:b w:val="0"/>
          <w:color w:val="000000"/>
          <w:sz w:val="24"/>
        </w:rPr>
        <w:t>2.1.1.1.3. Okvirna razčlenitev načrtovanih sredstev (EU) glede na vrsto ukrepa</w:t>
      </w:r>
      <w:bookmarkEnd w:id="327"/>
    </w:p>
    <w:p w14:paraId="5D7496E6" w14:textId="77777777" w:rsidR="00A77B3E" w:rsidRDefault="00A77B3E">
      <w:pPr>
        <w:spacing w:before="5pt"/>
        <w:rPr>
          <w:color w:val="000000"/>
          <w:sz w:val="0"/>
        </w:rPr>
      </w:pPr>
    </w:p>
    <w:p w14:paraId="5CCDDB61" w14:textId="77777777" w:rsidR="00A77B3E" w:rsidRDefault="00B16CCF">
      <w:pPr>
        <w:spacing w:before="5pt"/>
        <w:rPr>
          <w:color w:val="000000"/>
          <w:sz w:val="0"/>
        </w:rPr>
      </w:pPr>
      <w:r>
        <w:rPr>
          <w:color w:val="000000"/>
        </w:rPr>
        <w:t>Sklic: člen 22(3)(d)(viii) uredbe o skupnih določbah</w:t>
      </w:r>
    </w:p>
    <w:p w14:paraId="606612AB" w14:textId="77777777" w:rsidR="00A77B3E" w:rsidRDefault="00B16CCF">
      <w:pPr>
        <w:pStyle w:val="Naslov5"/>
        <w:spacing w:before="5pt" w:after="0pt"/>
        <w:rPr>
          <w:b w:val="0"/>
          <w:i w:val="0"/>
          <w:color w:val="000000"/>
          <w:sz w:val="24"/>
        </w:rPr>
      </w:pPr>
      <w:bookmarkStart w:id="328" w:name="_Toc256001089"/>
      <w:r>
        <w:rPr>
          <w:b w:val="0"/>
          <w:i w:val="0"/>
          <w:color w:val="000000"/>
          <w:sz w:val="24"/>
        </w:rPr>
        <w:lastRenderedPageBreak/>
        <w:t>Tabela 4: Razsežnost 1 – področje ukrepanja</w:t>
      </w:r>
      <w:bookmarkEnd w:id="328"/>
    </w:p>
    <w:p w14:paraId="46E722A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349"/>
        <w:gridCol w:w="2168"/>
        <w:gridCol w:w="2299"/>
        <w:gridCol w:w="2247"/>
        <w:gridCol w:w="3151"/>
        <w:gridCol w:w="2958"/>
      </w:tblGrid>
      <w:tr w:rsidR="00823317" w14:paraId="13CFFD7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2A5104"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72DE31"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C2F28A"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DF71F9"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242F21"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30DE60" w14:textId="77777777" w:rsidR="00A77B3E" w:rsidRDefault="00B16CCF">
            <w:pPr>
              <w:spacing w:before="5pt"/>
              <w:jc w:val="center"/>
              <w:rPr>
                <w:color w:val="000000"/>
                <w:sz w:val="20"/>
              </w:rPr>
            </w:pPr>
            <w:r>
              <w:rPr>
                <w:color w:val="000000"/>
                <w:sz w:val="20"/>
              </w:rPr>
              <w:t>Znesek (v EUR)</w:t>
            </w:r>
          </w:p>
        </w:tc>
      </w:tr>
      <w:tr w:rsidR="00823317" w14:paraId="785064F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3B89FC" w14:textId="77777777" w:rsidR="00A77B3E" w:rsidRDefault="00B16CCF">
            <w:pPr>
              <w:spacing w:before="5pt"/>
              <w:rPr>
                <w:color w:val="000000"/>
                <w:sz w:val="20"/>
              </w:rPr>
            </w:pPr>
            <w:r>
              <w:rPr>
                <w:color w:val="000000"/>
                <w:sz w:val="20"/>
              </w:rPr>
              <w:t>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295486" w14:textId="77777777" w:rsidR="00A77B3E" w:rsidRDefault="00B16CCF">
            <w:pPr>
              <w:spacing w:before="5pt"/>
              <w:rPr>
                <w:color w:val="000000"/>
                <w:sz w:val="20"/>
              </w:rPr>
            </w:pPr>
            <w:r>
              <w:rPr>
                <w:color w:val="000000"/>
                <w:sz w:val="20"/>
              </w:rPr>
              <w:t>RSO2.12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9C7990" w14:textId="77777777" w:rsidR="00A77B3E" w:rsidRDefault="00B16CCF">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F05DD6"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4C8A05" w14:textId="77777777" w:rsidR="00A77B3E" w:rsidRDefault="00B16CCF">
            <w:pPr>
              <w:spacing w:before="5pt"/>
              <w:rPr>
                <w:color w:val="000000"/>
                <w:sz w:val="20"/>
              </w:rPr>
            </w:pPr>
            <w:r>
              <w:rPr>
                <w:color w:val="000000"/>
                <w:sz w:val="20"/>
              </w:rPr>
              <w:t>053. Pametni energetski sistemi (vključno s pametnimi omrežji in sistemi IKT) ter povezano shranjevanje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57D342" w14:textId="77777777" w:rsidR="00A77B3E" w:rsidRDefault="00B16CCF">
            <w:pPr>
              <w:spacing w:before="5pt"/>
              <w:jc w:val="end"/>
              <w:rPr>
                <w:color w:val="000000"/>
                <w:sz w:val="20"/>
              </w:rPr>
            </w:pPr>
            <w:r>
              <w:rPr>
                <w:color w:val="000000"/>
                <w:sz w:val="20"/>
              </w:rPr>
              <w:t>9.628.733,64</w:t>
            </w:r>
          </w:p>
        </w:tc>
      </w:tr>
      <w:tr w:rsidR="00823317" w14:paraId="7F444B7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3E3757" w14:textId="77777777" w:rsidR="00A77B3E" w:rsidRDefault="00B16CCF">
            <w:pPr>
              <w:spacing w:before="5pt"/>
              <w:rPr>
                <w:color w:val="000000"/>
                <w:sz w:val="20"/>
              </w:rPr>
            </w:pPr>
            <w:r>
              <w:rPr>
                <w:color w:val="000000"/>
                <w:sz w:val="20"/>
              </w:rPr>
              <w:t>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DDD5C1" w14:textId="77777777" w:rsidR="00A77B3E" w:rsidRDefault="00B16CCF">
            <w:pPr>
              <w:spacing w:before="5pt"/>
              <w:rPr>
                <w:color w:val="000000"/>
                <w:sz w:val="20"/>
              </w:rPr>
            </w:pPr>
            <w:r>
              <w:rPr>
                <w:color w:val="000000"/>
                <w:sz w:val="20"/>
              </w:rPr>
              <w:t>RSO2.12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5E1C16" w14:textId="77777777" w:rsidR="00A77B3E" w:rsidRDefault="00B16CCF">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686310"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AD4C4E" w14:textId="77777777" w:rsidR="00A77B3E" w:rsidRDefault="00B16CCF">
            <w:pPr>
              <w:spacing w:before="5pt"/>
              <w:rPr>
                <w:color w:val="000000"/>
                <w:sz w:val="20"/>
              </w:rPr>
            </w:pPr>
            <w:r>
              <w:rPr>
                <w:color w:val="000000"/>
                <w:sz w:val="20"/>
              </w:rPr>
              <w:t>196. Energy interconnectors and related transmission, distribution, storage and support infrastructure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5530F8" w14:textId="77777777" w:rsidR="00A77B3E" w:rsidRDefault="00B16CCF">
            <w:pPr>
              <w:spacing w:before="5pt"/>
              <w:jc w:val="end"/>
              <w:rPr>
                <w:color w:val="000000"/>
                <w:sz w:val="20"/>
              </w:rPr>
            </w:pPr>
            <w:r>
              <w:rPr>
                <w:color w:val="000000"/>
                <w:sz w:val="20"/>
              </w:rPr>
              <w:t>5.184.702,73</w:t>
            </w:r>
          </w:p>
        </w:tc>
      </w:tr>
      <w:tr w:rsidR="00823317" w14:paraId="6B310BB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102F54" w14:textId="77777777" w:rsidR="00A77B3E" w:rsidRDefault="00B16CCF">
            <w:pPr>
              <w:spacing w:before="5pt"/>
              <w:rPr>
                <w:color w:val="000000"/>
                <w:sz w:val="20"/>
              </w:rPr>
            </w:pPr>
            <w:r>
              <w:rPr>
                <w:color w:val="000000"/>
                <w:sz w:val="20"/>
              </w:rPr>
              <w:t>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F4A9B7" w14:textId="77777777" w:rsidR="00A77B3E" w:rsidRDefault="00B16CCF">
            <w:pPr>
              <w:spacing w:before="5pt"/>
              <w:rPr>
                <w:color w:val="000000"/>
                <w:sz w:val="20"/>
              </w:rPr>
            </w:pPr>
            <w:r>
              <w:rPr>
                <w:color w:val="000000"/>
                <w:sz w:val="20"/>
              </w:rPr>
              <w:t>RSO2.12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1FC998"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858636"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7AB616"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A8361E" w14:textId="77777777" w:rsidR="00A77B3E" w:rsidRDefault="00B16CCF">
            <w:pPr>
              <w:spacing w:before="5pt"/>
              <w:jc w:val="end"/>
              <w:rPr>
                <w:color w:val="000000"/>
                <w:sz w:val="20"/>
              </w:rPr>
            </w:pPr>
            <w:r>
              <w:rPr>
                <w:color w:val="000000"/>
                <w:sz w:val="20"/>
              </w:rPr>
              <w:t>14.813.436,37</w:t>
            </w:r>
          </w:p>
        </w:tc>
      </w:tr>
    </w:tbl>
    <w:p w14:paraId="539B5E1F" w14:textId="77777777" w:rsidR="00A77B3E" w:rsidRDefault="00A77B3E">
      <w:pPr>
        <w:spacing w:before="5pt"/>
        <w:rPr>
          <w:color w:val="000000"/>
          <w:sz w:val="20"/>
        </w:rPr>
      </w:pPr>
    </w:p>
    <w:p w14:paraId="0A76A1CF" w14:textId="77777777" w:rsidR="00A77B3E" w:rsidRDefault="00B16CCF">
      <w:pPr>
        <w:pStyle w:val="Naslov5"/>
        <w:spacing w:before="5pt" w:after="0pt"/>
        <w:rPr>
          <w:b w:val="0"/>
          <w:i w:val="0"/>
          <w:color w:val="000000"/>
          <w:sz w:val="24"/>
        </w:rPr>
      </w:pPr>
      <w:bookmarkStart w:id="329" w:name="_Toc256001090"/>
      <w:r>
        <w:rPr>
          <w:b w:val="0"/>
          <w:i w:val="0"/>
          <w:color w:val="000000"/>
          <w:sz w:val="24"/>
        </w:rPr>
        <w:t>Tabela 5: Razsežnost 2 – oblika financiranja</w:t>
      </w:r>
      <w:bookmarkEnd w:id="329"/>
    </w:p>
    <w:p w14:paraId="042A2DD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63"/>
        <w:gridCol w:w="2273"/>
        <w:gridCol w:w="2409"/>
        <w:gridCol w:w="2356"/>
        <w:gridCol w:w="2571"/>
        <w:gridCol w:w="3100"/>
      </w:tblGrid>
      <w:tr w:rsidR="00823317" w14:paraId="7D555AF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2C2D19"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CAFC2F"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4398AB0"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8A6645"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8220DB"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1336FD1" w14:textId="77777777" w:rsidR="00A77B3E" w:rsidRDefault="00B16CCF">
            <w:pPr>
              <w:spacing w:before="5pt"/>
              <w:jc w:val="center"/>
              <w:rPr>
                <w:color w:val="000000"/>
                <w:sz w:val="20"/>
              </w:rPr>
            </w:pPr>
            <w:r>
              <w:rPr>
                <w:color w:val="000000"/>
                <w:sz w:val="20"/>
              </w:rPr>
              <w:t>Znesek (v EUR)</w:t>
            </w:r>
          </w:p>
        </w:tc>
      </w:tr>
      <w:tr w:rsidR="00823317" w14:paraId="22CD2E5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8EF4B1" w14:textId="77777777" w:rsidR="00A77B3E" w:rsidRDefault="00B16CCF">
            <w:pPr>
              <w:spacing w:before="5pt"/>
              <w:rPr>
                <w:color w:val="000000"/>
                <w:sz w:val="20"/>
              </w:rPr>
            </w:pPr>
            <w:r>
              <w:rPr>
                <w:color w:val="000000"/>
                <w:sz w:val="20"/>
              </w:rPr>
              <w:t>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4E1107" w14:textId="77777777" w:rsidR="00A77B3E" w:rsidRDefault="00B16CCF">
            <w:pPr>
              <w:spacing w:before="5pt"/>
              <w:rPr>
                <w:color w:val="000000"/>
                <w:sz w:val="20"/>
              </w:rPr>
            </w:pPr>
            <w:r>
              <w:rPr>
                <w:color w:val="000000"/>
                <w:sz w:val="20"/>
              </w:rPr>
              <w:t>RSO2.12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F01482" w14:textId="77777777" w:rsidR="00A77B3E" w:rsidRDefault="00B16CCF">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4F8656"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E1532D" w14:textId="77777777" w:rsidR="00A77B3E" w:rsidRDefault="00B16CCF">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40DF8F" w14:textId="77777777" w:rsidR="00A77B3E" w:rsidRDefault="00B16CCF">
            <w:pPr>
              <w:spacing w:before="5pt"/>
              <w:jc w:val="end"/>
              <w:rPr>
                <w:color w:val="000000"/>
                <w:sz w:val="20"/>
              </w:rPr>
            </w:pPr>
            <w:r>
              <w:rPr>
                <w:color w:val="000000"/>
                <w:sz w:val="20"/>
              </w:rPr>
              <w:t>14.813.436,37</w:t>
            </w:r>
          </w:p>
        </w:tc>
      </w:tr>
      <w:tr w:rsidR="00823317" w14:paraId="629CB70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76AA33" w14:textId="77777777" w:rsidR="00A77B3E" w:rsidRDefault="00B16CCF">
            <w:pPr>
              <w:spacing w:before="5pt"/>
              <w:rPr>
                <w:color w:val="000000"/>
                <w:sz w:val="20"/>
              </w:rPr>
            </w:pPr>
            <w:r>
              <w:rPr>
                <w:color w:val="000000"/>
                <w:sz w:val="20"/>
              </w:rPr>
              <w:t>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6C3906" w14:textId="77777777" w:rsidR="00A77B3E" w:rsidRDefault="00B16CCF">
            <w:pPr>
              <w:spacing w:before="5pt"/>
              <w:rPr>
                <w:color w:val="000000"/>
                <w:sz w:val="20"/>
              </w:rPr>
            </w:pPr>
            <w:r>
              <w:rPr>
                <w:color w:val="000000"/>
                <w:sz w:val="20"/>
              </w:rPr>
              <w:t>RSO2.12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D4747F"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85F364"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D73990"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C83B6D" w14:textId="77777777" w:rsidR="00A77B3E" w:rsidRDefault="00B16CCF">
            <w:pPr>
              <w:spacing w:before="5pt"/>
              <w:jc w:val="end"/>
              <w:rPr>
                <w:color w:val="000000"/>
                <w:sz w:val="20"/>
              </w:rPr>
            </w:pPr>
            <w:r>
              <w:rPr>
                <w:color w:val="000000"/>
                <w:sz w:val="20"/>
              </w:rPr>
              <w:t>14.813.436,37</w:t>
            </w:r>
          </w:p>
        </w:tc>
      </w:tr>
    </w:tbl>
    <w:p w14:paraId="3125D604" w14:textId="77777777" w:rsidR="00A77B3E" w:rsidRDefault="00A77B3E">
      <w:pPr>
        <w:spacing w:before="5pt"/>
        <w:rPr>
          <w:color w:val="000000"/>
          <w:sz w:val="20"/>
        </w:rPr>
      </w:pPr>
    </w:p>
    <w:p w14:paraId="13902ED3" w14:textId="77777777" w:rsidR="00A77B3E" w:rsidRDefault="00B16CCF">
      <w:pPr>
        <w:pStyle w:val="Naslov5"/>
        <w:spacing w:before="5pt" w:after="0pt"/>
        <w:rPr>
          <w:b w:val="0"/>
          <w:i w:val="0"/>
          <w:color w:val="000000"/>
          <w:sz w:val="24"/>
        </w:rPr>
      </w:pPr>
      <w:bookmarkStart w:id="330" w:name="_Toc256001091"/>
      <w:r>
        <w:rPr>
          <w:b w:val="0"/>
          <w:i w:val="0"/>
          <w:color w:val="000000"/>
          <w:sz w:val="24"/>
        </w:rPr>
        <w:t>Tabela 6: Razsežnost 3 – mehanizem za ozemeljsko izvrševanje in ozemeljski pristop</w:t>
      </w:r>
      <w:bookmarkEnd w:id="330"/>
    </w:p>
    <w:p w14:paraId="1D61003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04"/>
        <w:gridCol w:w="2217"/>
        <w:gridCol w:w="2350"/>
        <w:gridCol w:w="2298"/>
        <w:gridCol w:w="2879"/>
        <w:gridCol w:w="3024"/>
      </w:tblGrid>
      <w:tr w:rsidR="00823317" w14:paraId="796A6D4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50F95F"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7B7360"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05F6C1"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D80B87"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3F0379"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751318" w14:textId="77777777" w:rsidR="00A77B3E" w:rsidRDefault="00B16CCF">
            <w:pPr>
              <w:spacing w:before="5pt"/>
              <w:jc w:val="center"/>
              <w:rPr>
                <w:color w:val="000000"/>
                <w:sz w:val="20"/>
              </w:rPr>
            </w:pPr>
            <w:r>
              <w:rPr>
                <w:color w:val="000000"/>
                <w:sz w:val="20"/>
              </w:rPr>
              <w:t>Znesek (v EUR)</w:t>
            </w:r>
          </w:p>
        </w:tc>
      </w:tr>
      <w:tr w:rsidR="00823317" w14:paraId="1FFB3F6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EE92C3" w14:textId="77777777" w:rsidR="00A77B3E" w:rsidRDefault="00B16CCF">
            <w:pPr>
              <w:spacing w:before="5pt"/>
              <w:rPr>
                <w:color w:val="000000"/>
                <w:sz w:val="20"/>
              </w:rPr>
            </w:pPr>
            <w:r>
              <w:rPr>
                <w:color w:val="000000"/>
                <w:sz w:val="20"/>
              </w:rPr>
              <w:t>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80FA37" w14:textId="77777777" w:rsidR="00A77B3E" w:rsidRDefault="00B16CCF">
            <w:pPr>
              <w:spacing w:before="5pt"/>
              <w:rPr>
                <w:color w:val="000000"/>
                <w:sz w:val="20"/>
              </w:rPr>
            </w:pPr>
            <w:r>
              <w:rPr>
                <w:color w:val="000000"/>
                <w:sz w:val="20"/>
              </w:rPr>
              <w:t>RSO2.12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0BCC61" w14:textId="77777777" w:rsidR="00A77B3E" w:rsidRDefault="00B16CCF">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AC58CA"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D71607" w14:textId="77777777" w:rsidR="00A77B3E" w:rsidRDefault="00B16CCF">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74B973" w14:textId="77777777" w:rsidR="00A77B3E" w:rsidRDefault="00B16CCF">
            <w:pPr>
              <w:spacing w:before="5pt"/>
              <w:jc w:val="end"/>
              <w:rPr>
                <w:color w:val="000000"/>
                <w:sz w:val="20"/>
              </w:rPr>
            </w:pPr>
            <w:r>
              <w:rPr>
                <w:color w:val="000000"/>
                <w:sz w:val="20"/>
              </w:rPr>
              <w:t>14.813.436,37</w:t>
            </w:r>
          </w:p>
        </w:tc>
      </w:tr>
      <w:tr w:rsidR="00823317" w14:paraId="436F127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BB4B7A" w14:textId="77777777" w:rsidR="00A77B3E" w:rsidRDefault="00B16CCF">
            <w:pPr>
              <w:spacing w:before="5pt"/>
              <w:rPr>
                <w:color w:val="000000"/>
                <w:sz w:val="20"/>
              </w:rPr>
            </w:pPr>
            <w:r>
              <w:rPr>
                <w:color w:val="000000"/>
                <w:sz w:val="20"/>
              </w:rPr>
              <w:t>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4B35A1" w14:textId="77777777" w:rsidR="00A77B3E" w:rsidRDefault="00B16CCF">
            <w:pPr>
              <w:spacing w:before="5pt"/>
              <w:rPr>
                <w:color w:val="000000"/>
                <w:sz w:val="20"/>
              </w:rPr>
            </w:pPr>
            <w:r>
              <w:rPr>
                <w:color w:val="000000"/>
                <w:sz w:val="20"/>
              </w:rPr>
              <w:t>RSO2.12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551EB5"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87C897"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27239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8D652B" w14:textId="77777777" w:rsidR="00A77B3E" w:rsidRDefault="00B16CCF">
            <w:pPr>
              <w:spacing w:before="5pt"/>
              <w:jc w:val="end"/>
              <w:rPr>
                <w:color w:val="000000"/>
                <w:sz w:val="20"/>
              </w:rPr>
            </w:pPr>
            <w:r>
              <w:rPr>
                <w:color w:val="000000"/>
                <w:sz w:val="20"/>
              </w:rPr>
              <w:t>14.813.436,37</w:t>
            </w:r>
          </w:p>
        </w:tc>
      </w:tr>
    </w:tbl>
    <w:p w14:paraId="17252685" w14:textId="77777777" w:rsidR="00A77B3E" w:rsidRDefault="00A77B3E">
      <w:pPr>
        <w:spacing w:before="5pt"/>
        <w:rPr>
          <w:color w:val="000000"/>
          <w:sz w:val="20"/>
        </w:rPr>
      </w:pPr>
    </w:p>
    <w:p w14:paraId="07437F62" w14:textId="77777777" w:rsidR="00A77B3E" w:rsidRDefault="00B16CCF">
      <w:pPr>
        <w:pStyle w:val="Naslov5"/>
        <w:spacing w:before="5pt" w:after="0pt"/>
        <w:rPr>
          <w:b w:val="0"/>
          <w:i w:val="0"/>
          <w:color w:val="000000"/>
          <w:sz w:val="24"/>
        </w:rPr>
      </w:pPr>
      <w:bookmarkStart w:id="331" w:name="_Toc256001092"/>
      <w:r>
        <w:rPr>
          <w:b w:val="0"/>
          <w:i w:val="0"/>
          <w:color w:val="000000"/>
          <w:sz w:val="24"/>
        </w:rPr>
        <w:t>Tabela 7: Razsežnost 6 – sekundarna področja ESS+</w:t>
      </w:r>
      <w:bookmarkEnd w:id="331"/>
    </w:p>
    <w:p w14:paraId="437A758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117"/>
        <w:gridCol w:w="2877"/>
        <w:gridCol w:w="1780"/>
        <w:gridCol w:w="2982"/>
        <w:gridCol w:w="2259"/>
        <w:gridCol w:w="2157"/>
      </w:tblGrid>
      <w:tr w:rsidR="00823317" w14:paraId="58A75BE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FB3B85"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272CBF"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EC3D2D"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F3E47A"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911196"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95C654F" w14:textId="77777777" w:rsidR="00A77B3E" w:rsidRDefault="00B16CCF">
            <w:pPr>
              <w:spacing w:before="5pt"/>
              <w:jc w:val="center"/>
              <w:rPr>
                <w:color w:val="000000"/>
                <w:sz w:val="20"/>
              </w:rPr>
            </w:pPr>
            <w:r>
              <w:rPr>
                <w:color w:val="000000"/>
                <w:sz w:val="20"/>
              </w:rPr>
              <w:t>Znesek (v EUR)</w:t>
            </w:r>
          </w:p>
        </w:tc>
      </w:tr>
    </w:tbl>
    <w:p w14:paraId="277E2682" w14:textId="77777777" w:rsidR="00A77B3E" w:rsidRDefault="00A77B3E">
      <w:pPr>
        <w:spacing w:before="5pt"/>
        <w:rPr>
          <w:color w:val="000000"/>
          <w:sz w:val="20"/>
        </w:rPr>
      </w:pPr>
    </w:p>
    <w:p w14:paraId="2D97FE6D" w14:textId="77777777" w:rsidR="00A77B3E" w:rsidRDefault="00B16CCF">
      <w:pPr>
        <w:pStyle w:val="Naslov5"/>
        <w:spacing w:before="5pt" w:after="0pt"/>
        <w:rPr>
          <w:b w:val="0"/>
          <w:i w:val="0"/>
          <w:color w:val="000000"/>
          <w:sz w:val="24"/>
        </w:rPr>
      </w:pPr>
      <w:bookmarkStart w:id="332" w:name="_Toc256001093"/>
      <w:r>
        <w:rPr>
          <w:b w:val="0"/>
          <w:i w:val="0"/>
          <w:color w:val="000000"/>
          <w:sz w:val="24"/>
        </w:rPr>
        <w:t>Tabela 8: Razsežnost 7 – razsežnost enakosti spolov v okviru ESS+*, ESRR, Kohezijskega sklada in SPP</w:t>
      </w:r>
      <w:bookmarkEnd w:id="332"/>
    </w:p>
    <w:p w14:paraId="3B08741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80"/>
        <w:gridCol w:w="2289"/>
        <w:gridCol w:w="2427"/>
        <w:gridCol w:w="2373"/>
        <w:gridCol w:w="2481"/>
        <w:gridCol w:w="3122"/>
      </w:tblGrid>
      <w:tr w:rsidR="00823317" w14:paraId="355DD76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5A5DB0"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C8FFC7"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096323"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2D1AA5"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63F91E"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58D12F" w14:textId="77777777" w:rsidR="00A77B3E" w:rsidRDefault="00B16CCF">
            <w:pPr>
              <w:spacing w:before="5pt"/>
              <w:jc w:val="center"/>
              <w:rPr>
                <w:color w:val="000000"/>
                <w:sz w:val="20"/>
              </w:rPr>
            </w:pPr>
            <w:r>
              <w:rPr>
                <w:color w:val="000000"/>
                <w:sz w:val="20"/>
              </w:rPr>
              <w:t>Znesek (v EUR)</w:t>
            </w:r>
          </w:p>
        </w:tc>
      </w:tr>
      <w:tr w:rsidR="00823317" w14:paraId="1226799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1CA63D" w14:textId="77777777" w:rsidR="00A77B3E" w:rsidRDefault="00B16CCF">
            <w:pPr>
              <w:spacing w:before="5pt"/>
              <w:rPr>
                <w:color w:val="000000"/>
                <w:sz w:val="20"/>
              </w:rPr>
            </w:pPr>
            <w:r>
              <w:rPr>
                <w:color w:val="000000"/>
                <w:sz w:val="20"/>
              </w:rPr>
              <w:lastRenderedPageBreak/>
              <w:t>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22519F" w14:textId="77777777" w:rsidR="00A77B3E" w:rsidRDefault="00B16CCF">
            <w:pPr>
              <w:spacing w:before="5pt"/>
              <w:rPr>
                <w:color w:val="000000"/>
                <w:sz w:val="20"/>
              </w:rPr>
            </w:pPr>
            <w:r>
              <w:rPr>
                <w:color w:val="000000"/>
                <w:sz w:val="20"/>
              </w:rPr>
              <w:t>RSO2.12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A20420" w14:textId="77777777" w:rsidR="00A77B3E" w:rsidRDefault="00B16CCF">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84FE69"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210A97" w14:textId="77777777" w:rsidR="00A77B3E" w:rsidRDefault="00B16CCF">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A013DA" w14:textId="77777777" w:rsidR="00A77B3E" w:rsidRDefault="00B16CCF">
            <w:pPr>
              <w:spacing w:before="5pt"/>
              <w:jc w:val="end"/>
              <w:rPr>
                <w:color w:val="000000"/>
                <w:sz w:val="20"/>
              </w:rPr>
            </w:pPr>
            <w:r>
              <w:rPr>
                <w:color w:val="000000"/>
                <w:sz w:val="20"/>
              </w:rPr>
              <w:t>14.813.436,37</w:t>
            </w:r>
          </w:p>
        </w:tc>
      </w:tr>
      <w:tr w:rsidR="00823317" w14:paraId="3D758C8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13AF88" w14:textId="77777777" w:rsidR="00A77B3E" w:rsidRDefault="00B16CCF">
            <w:pPr>
              <w:spacing w:before="5pt"/>
              <w:rPr>
                <w:color w:val="000000"/>
                <w:sz w:val="20"/>
              </w:rPr>
            </w:pPr>
            <w:r>
              <w:rPr>
                <w:color w:val="000000"/>
                <w:sz w:val="20"/>
              </w:rPr>
              <w:t>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41E327" w14:textId="77777777" w:rsidR="00A77B3E" w:rsidRDefault="00B16CCF">
            <w:pPr>
              <w:spacing w:before="5pt"/>
              <w:rPr>
                <w:color w:val="000000"/>
                <w:sz w:val="20"/>
              </w:rPr>
            </w:pPr>
            <w:r>
              <w:rPr>
                <w:color w:val="000000"/>
                <w:sz w:val="20"/>
              </w:rPr>
              <w:t>RSO2.12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B4147B"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8266D5"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AFE36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B3D815" w14:textId="77777777" w:rsidR="00A77B3E" w:rsidRDefault="00B16CCF">
            <w:pPr>
              <w:spacing w:before="5pt"/>
              <w:jc w:val="end"/>
              <w:rPr>
                <w:color w:val="000000"/>
                <w:sz w:val="20"/>
              </w:rPr>
            </w:pPr>
            <w:r>
              <w:rPr>
                <w:color w:val="000000"/>
                <w:sz w:val="20"/>
              </w:rPr>
              <w:t>14.813.436,37</w:t>
            </w:r>
          </w:p>
        </w:tc>
      </w:tr>
    </w:tbl>
    <w:p w14:paraId="619CC3EC" w14:textId="77777777" w:rsidR="00A77B3E" w:rsidRDefault="00B16CCF">
      <w:pPr>
        <w:spacing w:before="5pt"/>
        <w:rPr>
          <w:color w:val="000000"/>
          <w:sz w:val="20"/>
        </w:rPr>
      </w:pPr>
      <w:r>
        <w:rPr>
          <w:color w:val="000000"/>
          <w:sz w:val="20"/>
        </w:rPr>
        <w:t>* Načeloma 40 % za ESS+ prispeva k spremljanju enakosti spolov. 100 % se uporabi, kadar se država članica odloči za uporabo člena 6 uredbe o ESS+.</w:t>
      </w:r>
    </w:p>
    <w:p w14:paraId="56152D5E" w14:textId="77777777" w:rsidR="00A77B3E" w:rsidRDefault="00B16CCF">
      <w:pPr>
        <w:pStyle w:val="Naslov3"/>
        <w:spacing w:before="5pt" w:after="0pt"/>
        <w:rPr>
          <w:rFonts w:ascii="Times New Roman" w:hAnsi="Times New Roman" w:cs="Times New Roman"/>
          <w:b w:val="0"/>
          <w:color w:val="000000"/>
          <w:sz w:val="24"/>
        </w:rPr>
      </w:pPr>
      <w:r>
        <w:rPr>
          <w:rFonts w:ascii="Times New Roman" w:hAnsi="Times New Roman" w:cs="Times New Roman"/>
          <w:b w:val="0"/>
          <w:color w:val="000000"/>
          <w:sz w:val="24"/>
        </w:rPr>
        <w:br w:type="page"/>
      </w:r>
      <w:bookmarkStart w:id="333" w:name="_Toc256001094"/>
      <w:r>
        <w:rPr>
          <w:rFonts w:ascii="Times New Roman" w:hAnsi="Times New Roman" w:cs="Times New Roman"/>
          <w:b w:val="0"/>
          <w:color w:val="000000"/>
          <w:sz w:val="24"/>
        </w:rPr>
        <w:lastRenderedPageBreak/>
        <w:t>2.1.1. Prednostna naloga: 5. Trajnostna (čez)regionalna mobilnost in povezljivost</w:t>
      </w:r>
      <w:bookmarkEnd w:id="333"/>
    </w:p>
    <w:p w14:paraId="057A59ED" w14:textId="77777777" w:rsidR="00A77B3E" w:rsidRDefault="00A77B3E">
      <w:pPr>
        <w:spacing w:before="5pt"/>
        <w:rPr>
          <w:color w:val="000000"/>
          <w:sz w:val="0"/>
        </w:rPr>
      </w:pPr>
    </w:p>
    <w:p w14:paraId="41D8865B" w14:textId="77777777" w:rsidR="00A77B3E" w:rsidRDefault="00B16CCF">
      <w:pPr>
        <w:pStyle w:val="Naslov4"/>
        <w:spacing w:before="5pt" w:after="0pt"/>
        <w:rPr>
          <w:b w:val="0"/>
          <w:color w:val="000000"/>
          <w:sz w:val="24"/>
        </w:rPr>
      </w:pPr>
      <w:bookmarkStart w:id="334" w:name="_Toc256001095"/>
      <w:r>
        <w:rPr>
          <w:b w:val="0"/>
          <w:color w:val="000000"/>
          <w:sz w:val="24"/>
        </w:rPr>
        <w:t>2.1.1.1. Specifični cilj: RSO3.2. Razvoj in krepitev trajnostne, pametne in intermodalne nacionalne, regionalne in lokalne mobilnosti, odporne proti podnebnim spremembam, vključno z boljšim dostopom do omrežja TEN-T in čezmejno mobilnostjo (ESRR)</w:t>
      </w:r>
      <w:bookmarkEnd w:id="334"/>
    </w:p>
    <w:p w14:paraId="2AA71FCF" w14:textId="77777777" w:rsidR="00A77B3E" w:rsidRDefault="00A77B3E">
      <w:pPr>
        <w:spacing w:before="5pt"/>
        <w:rPr>
          <w:color w:val="000000"/>
          <w:sz w:val="0"/>
        </w:rPr>
      </w:pPr>
    </w:p>
    <w:p w14:paraId="687C1E5D" w14:textId="77777777" w:rsidR="00A77B3E" w:rsidRDefault="00B16CCF">
      <w:pPr>
        <w:pStyle w:val="Naslov4"/>
        <w:spacing w:before="5pt" w:after="0pt"/>
        <w:rPr>
          <w:b w:val="0"/>
          <w:color w:val="000000"/>
          <w:sz w:val="24"/>
        </w:rPr>
      </w:pPr>
      <w:bookmarkStart w:id="335" w:name="_Toc256001096"/>
      <w:r>
        <w:rPr>
          <w:b w:val="0"/>
          <w:color w:val="000000"/>
          <w:sz w:val="24"/>
        </w:rPr>
        <w:t>2.1.1.1.1. Ukrepi skladov</w:t>
      </w:r>
      <w:bookmarkEnd w:id="335"/>
    </w:p>
    <w:p w14:paraId="7CA5D1A3" w14:textId="77777777" w:rsidR="00A77B3E" w:rsidRDefault="00A77B3E">
      <w:pPr>
        <w:spacing w:before="5pt"/>
        <w:rPr>
          <w:color w:val="000000"/>
          <w:sz w:val="0"/>
        </w:rPr>
      </w:pPr>
    </w:p>
    <w:p w14:paraId="00686416" w14:textId="77777777" w:rsidR="00A77B3E" w:rsidRDefault="00B16CCF">
      <w:pPr>
        <w:spacing w:before="5pt"/>
        <w:rPr>
          <w:color w:val="000000"/>
          <w:sz w:val="0"/>
        </w:rPr>
      </w:pPr>
      <w:r>
        <w:rPr>
          <w:color w:val="000000"/>
        </w:rPr>
        <w:t>Sklic: člen 22(3)(d)(i), (iii), (iv), (v), (vi) in (vii) uredbe o skupnih določbah</w:t>
      </w:r>
    </w:p>
    <w:p w14:paraId="3FD45BDC" w14:textId="77777777" w:rsidR="00A77B3E" w:rsidRDefault="00B16CCF">
      <w:pPr>
        <w:pStyle w:val="Naslov5"/>
        <w:spacing w:before="5pt" w:after="0pt"/>
        <w:rPr>
          <w:b w:val="0"/>
          <w:i w:val="0"/>
          <w:color w:val="000000"/>
          <w:sz w:val="24"/>
        </w:rPr>
      </w:pPr>
      <w:bookmarkStart w:id="336" w:name="_Toc256001097"/>
      <w:r>
        <w:rPr>
          <w:b w:val="0"/>
          <w:i w:val="0"/>
          <w:color w:val="000000"/>
          <w:sz w:val="24"/>
        </w:rPr>
        <w:t>Povezane vrste ukrepov – člen 22(3)(d)(i) uredbe o skupnih določbah in člen 6 uredbe o ESS+:</w:t>
      </w:r>
      <w:bookmarkEnd w:id="336"/>
    </w:p>
    <w:p w14:paraId="50D4E5C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7B366FB8"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80103C" w14:textId="77777777" w:rsidR="00A77B3E" w:rsidRDefault="00A77B3E">
            <w:pPr>
              <w:spacing w:before="5pt"/>
              <w:rPr>
                <w:color w:val="000000"/>
                <w:sz w:val="0"/>
              </w:rPr>
            </w:pPr>
          </w:p>
          <w:p w14:paraId="55FB9AD2" w14:textId="77777777" w:rsidR="00A77B3E" w:rsidRDefault="00B16CCF">
            <w:pPr>
              <w:spacing w:before="5pt"/>
              <w:rPr>
                <w:color w:val="000000"/>
              </w:rPr>
            </w:pPr>
            <w:r>
              <w:rPr>
                <w:color w:val="000000"/>
              </w:rPr>
              <w:t>Ključni cilj predmetnega specifičnega cilja v skladu s SRP je izboljšati nacionalne in regionalne povezave znotraj Slovenije. Spremembe in dopolnitve Nacionalnega programa razvoja prometa iz 06/2021, dajejo še večji poudarek trajnostnemu prometu, predvsem tistim infrastrukturnim ureditvam, ki bodo pripomogle k zagotavljanju pogojev za večjo uporabo vseh oblik trajnostne mobilnosti in krepitvi razvoja JPP, pri čemer ne sme biti ogrožena dostopnost, kjer sta cesta in avtomobil edina izbira ali omogočata dostop do prvih prestopnih mest JPP.</w:t>
            </w:r>
          </w:p>
          <w:p w14:paraId="306F6001" w14:textId="77777777" w:rsidR="00A77B3E" w:rsidRDefault="00A77B3E">
            <w:pPr>
              <w:spacing w:before="5pt"/>
              <w:rPr>
                <w:color w:val="000000"/>
              </w:rPr>
            </w:pPr>
          </w:p>
          <w:p w14:paraId="3BC2C78D" w14:textId="77777777" w:rsidR="00A77B3E" w:rsidRDefault="00B16CCF">
            <w:pPr>
              <w:spacing w:before="5pt"/>
              <w:rPr>
                <w:color w:val="000000"/>
              </w:rPr>
            </w:pPr>
            <w:r>
              <w:rPr>
                <w:color w:val="000000"/>
              </w:rPr>
              <w:t>Dopolnjen nacionalni program razvoja prometa vključuje projekte na regionalnem železniškem omrežju za zagotavljanje nizkoemisijske, varne in odporne dnevne mobilnosti potnikov v regijah. Ključni cilj je zagotoviti nadgradnjo omrežja, da bo železnica zagotovila t.i. hrbtenično prometno omrežje tam, kjer že obstaja, in ki bo povezano z cestnim prometnim omrežjem, JPP, P + R sistemi ter kolesarsko infrastrukturo. Nadgradnja regionalnih prog se načrtuje predvsem z izvedbo elektrifikacije in povečanja hitrosti ter s sodobnimi sistemi vodenja prometa vlakov, kot tudi z informacijsko opremo in spremljajoči ukrepi (parkirišča, kolesarnice) na postajah in postajališčih za potnikom prijazne storitve. Z nadgradnjo regionalnih železniških prog se bo razbremenilo cestno omrežje, kar bo neposredno pripomoglo k približevanju ogljični nevtralnosti. S krajšimi potovalnimi časi in taktnim voznim redom na železnici ter drugimi ukrepi (prestopne točke, kolesarnice, usklajeni vozni redi itd.), ki so osnova celotnega prometnega sistema (IJPP) se bo povečala atraktivnost JPP in zagotovila trajnostna mobilnost.</w:t>
            </w:r>
          </w:p>
          <w:p w14:paraId="3A6E471D" w14:textId="77777777" w:rsidR="00A77B3E" w:rsidRDefault="00A77B3E">
            <w:pPr>
              <w:spacing w:before="5pt"/>
              <w:rPr>
                <w:color w:val="000000"/>
              </w:rPr>
            </w:pPr>
          </w:p>
          <w:p w14:paraId="33AAE3AD" w14:textId="77777777" w:rsidR="00A77B3E" w:rsidRDefault="00A77B3E">
            <w:pPr>
              <w:spacing w:before="5pt"/>
              <w:rPr>
                <w:color w:val="000000"/>
              </w:rPr>
            </w:pPr>
          </w:p>
          <w:p w14:paraId="3DED29E8" w14:textId="77777777" w:rsidR="00A77B3E" w:rsidRDefault="00B16CCF">
            <w:pPr>
              <w:spacing w:before="5pt"/>
              <w:rPr>
                <w:color w:val="000000"/>
              </w:rPr>
            </w:pPr>
            <w:r>
              <w:rPr>
                <w:color w:val="000000"/>
              </w:rPr>
              <w:t>Tako so izbrani ukrepi, ki se nanašajo na izgradnjo razvojnih osi in drugih regionalnih povezav za izboljšanje dostopa do TEN-T, prioritetni projekti na regionalnem železniškem omrežju. Usklajenost in učinkovitost teh ukrepov bodo zagotavljali horizontali ukrepi prometnega načrtovanja.</w:t>
            </w:r>
          </w:p>
          <w:p w14:paraId="4E6D7CC0" w14:textId="77777777" w:rsidR="00A77B3E" w:rsidRDefault="00A77B3E">
            <w:pPr>
              <w:spacing w:before="5pt"/>
              <w:rPr>
                <w:color w:val="000000"/>
              </w:rPr>
            </w:pPr>
          </w:p>
          <w:p w14:paraId="5957B8ED" w14:textId="77777777" w:rsidR="00A77B3E" w:rsidRDefault="00B16CCF">
            <w:pPr>
              <w:spacing w:before="5pt"/>
              <w:rPr>
                <w:color w:val="000000"/>
              </w:rPr>
            </w:pPr>
            <w:r>
              <w:rPr>
                <w:color w:val="000000"/>
              </w:rPr>
              <w:t>V skladu z navedenim so predvideni naslednji ukrepi:</w:t>
            </w:r>
          </w:p>
          <w:p w14:paraId="155E3A83" w14:textId="77777777" w:rsidR="00A77B3E" w:rsidRDefault="00A77B3E">
            <w:pPr>
              <w:spacing w:before="5pt"/>
              <w:rPr>
                <w:color w:val="000000"/>
              </w:rPr>
            </w:pPr>
          </w:p>
          <w:p w14:paraId="5AF761F8" w14:textId="77777777" w:rsidR="00A77B3E" w:rsidRDefault="00B16CCF">
            <w:pPr>
              <w:spacing w:before="5pt"/>
              <w:rPr>
                <w:color w:val="000000"/>
              </w:rPr>
            </w:pPr>
            <w:r>
              <w:rPr>
                <w:color w:val="000000"/>
              </w:rPr>
              <w:t>•</w:t>
            </w:r>
            <w:r>
              <w:rPr>
                <w:i/>
                <w:iCs/>
                <w:color w:val="000000"/>
              </w:rPr>
              <w:t xml:space="preserve">nadgradnja železniške proge Maribor – Ruše: </w:t>
            </w:r>
            <w:r>
              <w:rPr>
                <w:color w:val="000000"/>
              </w:rPr>
              <w:t>z ukrepom bomo povečali zmogljivost železniške infrastrukture, vključno z nadgradnjami železniških postaj kot večmodalnih vozlišč, kar bo omogočilo bolj trajnosten način prevoza. Istočasno se bo zagotovilo interoperabilnost, učinkovitejše upravljanje in izboljšanje prometne varnosti.</w:t>
            </w:r>
          </w:p>
          <w:p w14:paraId="5F7651A4" w14:textId="77777777" w:rsidR="00A77B3E" w:rsidRDefault="00B16CCF">
            <w:pPr>
              <w:spacing w:before="5pt"/>
              <w:rPr>
                <w:color w:val="000000"/>
              </w:rPr>
            </w:pPr>
            <w:r>
              <w:rPr>
                <w:color w:val="000000"/>
              </w:rPr>
              <w:lastRenderedPageBreak/>
              <w:t>Obseg del predlaganega ukrepa nadgradnje železniške proge Maribor-Ruše je razdeljen v 2 fazi, in sicer: 1. Faza - nadgradnja železniške proge na odseku Maribor Studenci-Ruše in 2. Faza – elektrifikacija železniške proge na odseku Maribor Tezno-Ruše z nadgradnjo odseka Maribor Tezno-Maribor Studenci. 1. Faza projekta, ki bo predlagana za sofinanciranje v okviru Programa EKP 2021-2027, zajema (1) nadgradnjo proge na odseku Maribor Studenci-Ruše v dolžini 11,78 km, (2) nadgradnjo 1 železniške postaje (Maribor Studenci) in 6 postajališč (Maribor Tabor, Maribor Sokolska, Marles, Limbuš, Bistrica ob Dravi, Ruše tovarna) ter (3) preureditev signalno varnostnih in telekomunikacijskih naprav na novo tirno sliko. 2. Faza projekta, ki v tej fazi ni predvidena za sofinanciranje iz sredstev EKP 2021-2027, zajema elektrifikacijo proge na odseku Maribor Tezno-Ruše v dolžini 15,56 km, nadgradnjo proge v železniškem trikotniku Maribor Tezno–Maribor Studenci, nadgradnjo 2 postaj (Ruše in Bistrica ob Dravi, kjer se postajališče nadgradi v železniško postajo) ter preureditev signalno varnostnih in telekomunikacijskih naprav na novo tirno sliko. Izvedba Faze 2 bo sledila izvedbi Faze 1;</w:t>
            </w:r>
          </w:p>
          <w:p w14:paraId="5926E5A8" w14:textId="77777777" w:rsidR="00A77B3E" w:rsidRDefault="00B16CCF">
            <w:pPr>
              <w:spacing w:before="5pt"/>
              <w:rPr>
                <w:color w:val="000000"/>
              </w:rPr>
            </w:pPr>
            <w:r>
              <w:rPr>
                <w:color w:val="000000"/>
              </w:rPr>
              <w:t xml:space="preserve">Kot rezervni projekti za regionalno železniško infrastrukturo so predvideni </w:t>
            </w:r>
            <w:r>
              <w:rPr>
                <w:i/>
                <w:iCs/>
                <w:color w:val="000000"/>
              </w:rPr>
              <w:t xml:space="preserve">nadgradnja Dolenjske proge </w:t>
            </w:r>
            <w:r>
              <w:rPr>
                <w:color w:val="000000"/>
              </w:rPr>
              <w:t>(regionalna proga d.m.–Metlika–Ljubljana) ter nadgradnja postaj in postajališč na območju KRVS od postaje Ivančna Gorica do postaje Birčna vas;</w:t>
            </w:r>
          </w:p>
          <w:p w14:paraId="44453925" w14:textId="77777777" w:rsidR="00A77B3E" w:rsidRDefault="00A77B3E">
            <w:pPr>
              <w:spacing w:before="5pt"/>
              <w:rPr>
                <w:color w:val="000000"/>
              </w:rPr>
            </w:pPr>
          </w:p>
          <w:p w14:paraId="2EAE157D" w14:textId="77777777" w:rsidR="00A77B3E" w:rsidRDefault="00B16CCF">
            <w:pPr>
              <w:spacing w:before="5pt"/>
              <w:rPr>
                <w:color w:val="000000"/>
              </w:rPr>
            </w:pPr>
            <w:r>
              <w:rPr>
                <w:color w:val="000000"/>
              </w:rPr>
              <w:t xml:space="preserve">• </w:t>
            </w:r>
            <w:r>
              <w:rPr>
                <w:i/>
                <w:iCs/>
                <w:color w:val="000000"/>
              </w:rPr>
              <w:t xml:space="preserve">nadaljevanje del na 3. razvojni osi: odsek Dramlje-Šentjur: </w:t>
            </w:r>
            <w:r>
              <w:rPr>
                <w:color w:val="000000"/>
              </w:rPr>
              <w:t>navezovalna cesta Dramlje-Šentjur je del načrtovanega srednjega dela 3. RO – povezava med AC A1 (Savinjska regija) in AC A2 (Dolenjska regija). Cestna povezava predstavlja povezavo Bizeljskega in Kozjanskega z AC omrežjem na eni strani in ter z R Hrvaško in Posavjem na drugi strani. V okviru projekta, se bo izvedlo novogradnjo cestne povezave na odseku priključka Dramlje na AC A1 do ceste R3-687 v skupni dolžini 2,7 km, kar predstavlja 1. in 2. etapo izvedbe navezovalne ceste. Na treh cestnih odsekih, ki se stikajo v Šentjurju, je v letu 2019 PLDP (povprečni letni dnevni promet) znašal od 9.500 do 11.500 vozil, v letu 2020 pa zaradi omejitev v obdobju pandemije od 7.800 do 10.100 vozil. Delež tovornih vozil je bil v letu 2019 od 10 do 13 %, v letu 2020 pa večji, celo od 11 do 24%. Z izgradnjo nove cestne povezave se pričakuje povečanje prometne varnosti. Na cestnih odsekih, ki jih bo nadomestila nova cesta, se je v letih 2016-2020 zgodilo 124 prometnih nesreč, od tega 5 s hujšimi in 43 z lažjimi telesnimi poškodbami. Z obratovanjem navezovalne ceste, se bodo zmanjšale tudi obremenitve s hrupom pri najbližjih stanovanjskih objektih, predvsem v naseljih Trnovec, Dole in Šentjur. Območje ob novi trasi navezovalne ceste je redko poseljeno, na delih kjer bodo mejne vrednosti hrupa eventualno presežene pa bodo izvedeni protihrupni ukrepi;</w:t>
            </w:r>
          </w:p>
          <w:p w14:paraId="677B161A" w14:textId="77777777" w:rsidR="00A77B3E" w:rsidRDefault="00B16CCF">
            <w:pPr>
              <w:spacing w:before="5pt"/>
              <w:rPr>
                <w:color w:val="000000"/>
              </w:rPr>
            </w:pPr>
            <w:r>
              <w:rPr>
                <w:color w:val="000000"/>
              </w:rPr>
              <w:t xml:space="preserve">Kot rezervni projekt na cestnem omrežju je predviden </w:t>
            </w:r>
            <w:r>
              <w:rPr>
                <w:i/>
                <w:iCs/>
                <w:color w:val="000000"/>
              </w:rPr>
              <w:t>projekt na 3. razvojni osi – sever: Velenje-Slovenj Gradec: Sklop B – Škalsko jezero, Sklop C – Škale in Sklop H – Konovo in izgradnja že sprojektiranih navezav v obdobju 2014-2020.</w:t>
            </w:r>
            <w:r>
              <w:rPr>
                <w:color w:val="000000"/>
              </w:rPr>
              <w:t xml:space="preserve"> Glavno povezavo na odseku Velenje-Slovenj Gradec danes predstavlja glavna cesta I. reda Arja vas–Velenje– Slovenj Gradec–Dravograd. Na večjem delu trase obstoječa glavna cesta nima zadovoljivih tehničnih elementov, ne ustreza potrebam sodobnih daljinskih cestnih povezav ter nima zagotovljene ustrezne prometne varnosti. Glede na to ima številna ozka grla in nevarne odseke ter zaradi neustreznih tehničnih elementov na mnogih odsekih omogoča le nizko potovalno hitrost.</w:t>
            </w:r>
          </w:p>
          <w:p w14:paraId="780BDE66" w14:textId="77777777" w:rsidR="00A77B3E" w:rsidRDefault="00B16CCF">
            <w:pPr>
              <w:spacing w:before="5pt"/>
              <w:rPr>
                <w:color w:val="000000"/>
              </w:rPr>
            </w:pPr>
            <w:r>
              <w:rPr>
                <w:color w:val="000000"/>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Noben izmed predvidenih ukrepov po svoji naravi nima bistvenega škodljivega vpliva na katerega koli od šestih okoljskih ciljev pod pogojem upoštevanja tehničnih meril, navedenih v Prilogi: DNSH.</w:t>
            </w:r>
          </w:p>
          <w:p w14:paraId="7A5FF207" w14:textId="77777777" w:rsidR="00A77B3E" w:rsidRDefault="00A77B3E">
            <w:pPr>
              <w:spacing w:before="5pt"/>
              <w:rPr>
                <w:color w:val="000000"/>
                <w:sz w:val="6"/>
              </w:rPr>
            </w:pPr>
          </w:p>
          <w:p w14:paraId="4DD4E3DD" w14:textId="77777777" w:rsidR="00A77B3E" w:rsidRDefault="00A77B3E">
            <w:pPr>
              <w:spacing w:before="5pt"/>
              <w:rPr>
                <w:color w:val="000000"/>
                <w:sz w:val="6"/>
              </w:rPr>
            </w:pPr>
          </w:p>
        </w:tc>
      </w:tr>
    </w:tbl>
    <w:p w14:paraId="7268EF42" w14:textId="77777777" w:rsidR="00A77B3E" w:rsidRDefault="00A77B3E">
      <w:pPr>
        <w:spacing w:before="5pt"/>
        <w:rPr>
          <w:color w:val="000000"/>
        </w:rPr>
      </w:pPr>
    </w:p>
    <w:p w14:paraId="3EAFBC46" w14:textId="77777777" w:rsidR="00A77B3E" w:rsidRDefault="00B16CCF">
      <w:pPr>
        <w:pStyle w:val="Naslov5"/>
        <w:spacing w:before="5pt" w:after="0pt"/>
        <w:rPr>
          <w:b w:val="0"/>
          <w:i w:val="0"/>
          <w:color w:val="000000"/>
          <w:sz w:val="24"/>
        </w:rPr>
      </w:pPr>
      <w:bookmarkStart w:id="337" w:name="_Toc256001098"/>
      <w:r>
        <w:rPr>
          <w:b w:val="0"/>
          <w:i w:val="0"/>
          <w:color w:val="000000"/>
          <w:sz w:val="24"/>
        </w:rPr>
        <w:t>Glavne ciljne skupine – člen 22(3)(d)(iii) uredbe o skupnih določbah:</w:t>
      </w:r>
      <w:bookmarkEnd w:id="337"/>
    </w:p>
    <w:p w14:paraId="76D6A8A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52C9952D"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11566E" w14:textId="77777777" w:rsidR="00A77B3E" w:rsidRDefault="00A77B3E">
            <w:pPr>
              <w:spacing w:before="5pt"/>
              <w:rPr>
                <w:color w:val="000000"/>
                <w:sz w:val="0"/>
              </w:rPr>
            </w:pPr>
          </w:p>
          <w:p w14:paraId="482D7754" w14:textId="77777777" w:rsidR="00A77B3E" w:rsidRDefault="00A77B3E">
            <w:pPr>
              <w:spacing w:before="5pt"/>
              <w:rPr>
                <w:color w:val="000000"/>
              </w:rPr>
            </w:pPr>
          </w:p>
          <w:p w14:paraId="1347A24B" w14:textId="77777777" w:rsidR="00A77B3E" w:rsidRDefault="00A77B3E">
            <w:pPr>
              <w:spacing w:before="5pt"/>
              <w:rPr>
                <w:color w:val="000000"/>
              </w:rPr>
            </w:pPr>
          </w:p>
          <w:p w14:paraId="3E29C361" w14:textId="77777777" w:rsidR="00A77B3E" w:rsidRDefault="00B16CCF">
            <w:pPr>
              <w:spacing w:before="5pt"/>
              <w:rPr>
                <w:color w:val="000000"/>
              </w:rPr>
            </w:pPr>
            <w:r>
              <w:rPr>
                <w:color w:val="000000"/>
              </w:rPr>
              <w:t>Upravičenci: Direkcija za infrastrukturo (DRSI) in Družba za avtoceste v Republiki Sloveniji (DARS).</w:t>
            </w:r>
          </w:p>
          <w:p w14:paraId="6339398D" w14:textId="77777777" w:rsidR="00A77B3E" w:rsidRDefault="00A77B3E">
            <w:pPr>
              <w:spacing w:before="5pt"/>
              <w:rPr>
                <w:color w:val="000000"/>
              </w:rPr>
            </w:pPr>
          </w:p>
          <w:p w14:paraId="2561C3D8" w14:textId="77777777" w:rsidR="00A77B3E" w:rsidRDefault="00B16CCF">
            <w:pPr>
              <w:spacing w:before="5pt"/>
              <w:rPr>
                <w:color w:val="000000"/>
              </w:rPr>
            </w:pPr>
            <w:r>
              <w:rPr>
                <w:color w:val="000000"/>
              </w:rPr>
              <w:t>Ciljne skupine: podjetja, javni sektor, gospodinjstva, lokalne skupnosti, zadruge, zavodi, regionalne razvojne agencije, posamezniki.</w:t>
            </w:r>
          </w:p>
          <w:p w14:paraId="32A30558" w14:textId="77777777" w:rsidR="00A77B3E" w:rsidRDefault="00A77B3E">
            <w:pPr>
              <w:spacing w:before="5pt"/>
              <w:rPr>
                <w:color w:val="000000"/>
              </w:rPr>
            </w:pPr>
          </w:p>
          <w:p w14:paraId="3310CC93" w14:textId="77777777" w:rsidR="00A77B3E" w:rsidRDefault="00A77B3E">
            <w:pPr>
              <w:spacing w:before="5pt"/>
              <w:rPr>
                <w:color w:val="000000"/>
                <w:sz w:val="6"/>
              </w:rPr>
            </w:pPr>
          </w:p>
          <w:p w14:paraId="2684E172" w14:textId="77777777" w:rsidR="00A77B3E" w:rsidRDefault="00A77B3E">
            <w:pPr>
              <w:spacing w:before="5pt"/>
              <w:rPr>
                <w:color w:val="000000"/>
                <w:sz w:val="6"/>
              </w:rPr>
            </w:pPr>
          </w:p>
        </w:tc>
      </w:tr>
    </w:tbl>
    <w:p w14:paraId="1A6CB31F" w14:textId="77777777" w:rsidR="00A77B3E" w:rsidRDefault="00A77B3E">
      <w:pPr>
        <w:spacing w:before="5pt"/>
        <w:rPr>
          <w:color w:val="000000"/>
        </w:rPr>
      </w:pPr>
    </w:p>
    <w:p w14:paraId="57206295" w14:textId="77777777" w:rsidR="00A77B3E" w:rsidRDefault="00B16CCF">
      <w:pPr>
        <w:pStyle w:val="Naslov5"/>
        <w:spacing w:before="5pt" w:after="0pt"/>
        <w:rPr>
          <w:b w:val="0"/>
          <w:i w:val="0"/>
          <w:color w:val="000000"/>
          <w:sz w:val="24"/>
        </w:rPr>
      </w:pPr>
      <w:bookmarkStart w:id="338" w:name="_Toc256001099"/>
      <w:r>
        <w:rPr>
          <w:b w:val="0"/>
          <w:i w:val="0"/>
          <w:color w:val="000000"/>
          <w:sz w:val="24"/>
        </w:rPr>
        <w:t>Ukrepi za zaščito enakosti, vključenosti in nediskriminacije – člen 22(3)(d)(iv) uredbe o skupnih določbah in člen 6 uredbe o ESS+</w:t>
      </w:r>
      <w:bookmarkEnd w:id="338"/>
    </w:p>
    <w:p w14:paraId="1072E26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53AD8E9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64F91E" w14:textId="77777777" w:rsidR="00A77B3E" w:rsidRDefault="00A77B3E">
            <w:pPr>
              <w:spacing w:before="5pt"/>
              <w:rPr>
                <w:color w:val="000000"/>
                <w:sz w:val="0"/>
              </w:rPr>
            </w:pPr>
          </w:p>
          <w:p w14:paraId="16B5AA00" w14:textId="77777777" w:rsidR="00A77B3E" w:rsidRDefault="00B16CCF">
            <w:pPr>
              <w:spacing w:before="5pt"/>
              <w:rPr>
                <w:color w:val="000000"/>
              </w:rPr>
            </w:pPr>
            <w:r>
              <w:rPr>
                <w:color w:val="000000"/>
              </w:rPr>
              <w:t xml:space="preserve">Pri načrtovanju, izvedbi in spremljanju ukrepov bodo spoštovana načela enakosti spolov, enakih možnosti in nediskriminacije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 </w:t>
            </w:r>
          </w:p>
          <w:p w14:paraId="52477B05" w14:textId="77777777" w:rsidR="00A77B3E" w:rsidRDefault="00A77B3E">
            <w:pPr>
              <w:spacing w:before="5pt"/>
              <w:rPr>
                <w:color w:val="000000"/>
              </w:rPr>
            </w:pPr>
          </w:p>
          <w:p w14:paraId="1B47516D" w14:textId="77777777" w:rsidR="00A77B3E" w:rsidRDefault="00B16CCF">
            <w:pPr>
              <w:spacing w:before="5pt"/>
              <w:rPr>
                <w:color w:val="000000"/>
              </w:rPr>
            </w:pPr>
            <w:r>
              <w:rPr>
                <w:color w:val="000000"/>
              </w:rPr>
              <w:t>Dodatno bodo pri izvajanju gradbenih ukrepov objekti izpolnjevali tehnične zahteve, s katerimi se prilagodijo tako, da so nediskriminatorni do vseh oblik začasne ali trajne invalidnosti in so prilagojeni ranljivim skupinam prebivalstva.</w:t>
            </w:r>
          </w:p>
          <w:p w14:paraId="1A0B7793" w14:textId="77777777" w:rsidR="00A77B3E" w:rsidRDefault="00A77B3E">
            <w:pPr>
              <w:spacing w:before="5pt"/>
              <w:rPr>
                <w:color w:val="000000"/>
                <w:sz w:val="6"/>
              </w:rPr>
            </w:pPr>
          </w:p>
          <w:p w14:paraId="44F705FD" w14:textId="77777777" w:rsidR="00A77B3E" w:rsidRDefault="00A77B3E">
            <w:pPr>
              <w:spacing w:before="5pt"/>
              <w:rPr>
                <w:color w:val="000000"/>
                <w:sz w:val="6"/>
              </w:rPr>
            </w:pPr>
          </w:p>
        </w:tc>
      </w:tr>
    </w:tbl>
    <w:p w14:paraId="4444A607" w14:textId="77777777" w:rsidR="00A77B3E" w:rsidRDefault="00A77B3E">
      <w:pPr>
        <w:spacing w:before="5pt"/>
        <w:rPr>
          <w:color w:val="000000"/>
        </w:rPr>
      </w:pPr>
    </w:p>
    <w:p w14:paraId="18A22C98" w14:textId="77777777" w:rsidR="00A77B3E" w:rsidRDefault="00B16CCF">
      <w:pPr>
        <w:pStyle w:val="Naslov5"/>
        <w:spacing w:before="5pt" w:after="0pt"/>
        <w:rPr>
          <w:b w:val="0"/>
          <w:i w:val="0"/>
          <w:color w:val="000000"/>
          <w:sz w:val="24"/>
        </w:rPr>
      </w:pPr>
      <w:bookmarkStart w:id="339" w:name="_Toc256001100"/>
      <w:r>
        <w:rPr>
          <w:b w:val="0"/>
          <w:i w:val="0"/>
          <w:color w:val="000000"/>
          <w:sz w:val="24"/>
        </w:rPr>
        <w:t>Navedba specifičnih ciljnih ozemelj, vključno z načrtovano uporabo teritorialnih orodij – člen 22(3)(d)(v) uredbe o skupnih določbah</w:t>
      </w:r>
      <w:bookmarkEnd w:id="339"/>
    </w:p>
    <w:p w14:paraId="209572B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4050E15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5F0331" w14:textId="77777777" w:rsidR="00A77B3E" w:rsidRDefault="00A77B3E">
            <w:pPr>
              <w:spacing w:before="5pt"/>
              <w:rPr>
                <w:color w:val="000000"/>
                <w:sz w:val="0"/>
              </w:rPr>
            </w:pPr>
          </w:p>
          <w:p w14:paraId="780A3C6C" w14:textId="77777777" w:rsidR="00A77B3E" w:rsidRDefault="00B16CCF">
            <w:pPr>
              <w:spacing w:before="5pt"/>
              <w:rPr>
                <w:color w:val="000000"/>
              </w:rPr>
            </w:pPr>
            <w:r>
              <w:rPr>
                <w:color w:val="000000"/>
              </w:rPr>
              <w:t>V okviru specifičnega cilja se predvideva naslavljanje pristopa regionalnega razvoja izhajajoč iz potreb v pripravljenih teritorialnih strategij (RRP). V izbor operacij so v prvi fazi vključeni nosilci odločanja in predstavniki regij (v okviru svetov regij).</w:t>
            </w:r>
          </w:p>
          <w:p w14:paraId="3BBD0255" w14:textId="77777777" w:rsidR="00A77B3E" w:rsidRDefault="00B16CCF">
            <w:pPr>
              <w:spacing w:before="5pt"/>
              <w:rPr>
                <w:color w:val="000000"/>
              </w:rPr>
            </w:pPr>
            <w:r>
              <w:rPr>
                <w:color w:val="000000"/>
              </w:rPr>
              <w:t>Ukrepi, načrtovani v okviru sredstev ESRR tega specifičnega cilja, so predvideni zgolj v KRVS, saj so izkazane največje potrebe v tej kohezijski regiji.</w:t>
            </w:r>
          </w:p>
          <w:p w14:paraId="5D0F3D89" w14:textId="77777777" w:rsidR="00A77B3E" w:rsidRDefault="00A77B3E">
            <w:pPr>
              <w:spacing w:before="5pt"/>
              <w:rPr>
                <w:color w:val="000000"/>
                <w:sz w:val="6"/>
              </w:rPr>
            </w:pPr>
          </w:p>
          <w:p w14:paraId="2CB895A0" w14:textId="77777777" w:rsidR="00A77B3E" w:rsidRDefault="00A77B3E">
            <w:pPr>
              <w:spacing w:before="5pt"/>
              <w:rPr>
                <w:color w:val="000000"/>
                <w:sz w:val="6"/>
              </w:rPr>
            </w:pPr>
          </w:p>
        </w:tc>
      </w:tr>
    </w:tbl>
    <w:p w14:paraId="79E15B48" w14:textId="77777777" w:rsidR="00A77B3E" w:rsidRDefault="00A77B3E">
      <w:pPr>
        <w:spacing w:before="5pt"/>
        <w:rPr>
          <w:color w:val="000000"/>
        </w:rPr>
      </w:pPr>
    </w:p>
    <w:p w14:paraId="5577DE74" w14:textId="77777777" w:rsidR="00A77B3E" w:rsidRDefault="00B16CCF">
      <w:pPr>
        <w:pStyle w:val="Naslov5"/>
        <w:spacing w:before="5pt" w:after="0pt"/>
        <w:rPr>
          <w:b w:val="0"/>
          <w:i w:val="0"/>
          <w:color w:val="000000"/>
          <w:sz w:val="24"/>
        </w:rPr>
      </w:pPr>
      <w:bookmarkStart w:id="340" w:name="_Toc256001101"/>
      <w:r>
        <w:rPr>
          <w:b w:val="0"/>
          <w:i w:val="0"/>
          <w:color w:val="000000"/>
          <w:sz w:val="24"/>
        </w:rPr>
        <w:t>Medregionalni, čezmejni in transnacionalni ukrepi – člen 22(3)(d)(vi) uredbe o skupnih določbah</w:t>
      </w:r>
      <w:bookmarkEnd w:id="340"/>
    </w:p>
    <w:p w14:paraId="729DE75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226FF00C"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C2228C" w14:textId="77777777" w:rsidR="00A77B3E" w:rsidRDefault="00A77B3E">
            <w:pPr>
              <w:spacing w:before="5pt"/>
              <w:rPr>
                <w:color w:val="000000"/>
                <w:sz w:val="0"/>
              </w:rPr>
            </w:pPr>
          </w:p>
          <w:p w14:paraId="68B41239" w14:textId="77777777" w:rsidR="00A77B3E" w:rsidRDefault="00B16CCF">
            <w:pPr>
              <w:spacing w:before="5pt"/>
              <w:rPr>
                <w:color w:val="000000"/>
              </w:rPr>
            </w:pPr>
            <w:r>
              <w:rPr>
                <w:color w:val="000000"/>
              </w:rPr>
              <w:t>V okviru predmetnega specifičnega cilja ni načrtovana izvedba medregionalnih, čezmejnih in transnacionalnih ukrepov, saj gre za ukrepe vzpodbujanja vseh oblik trajnostne mobilnosti in krepitve javnega potniškega prometa, vključno z zagotavljanjem boljšega dostopa do TEN-T omrežja, ki so namenjeni prvenstveno ciljnim skupinam na območju Slovenije.</w:t>
            </w:r>
          </w:p>
          <w:p w14:paraId="5F2C0BD7" w14:textId="77777777" w:rsidR="00A77B3E" w:rsidRDefault="00A77B3E">
            <w:pPr>
              <w:spacing w:before="5pt"/>
              <w:rPr>
                <w:color w:val="000000"/>
                <w:sz w:val="6"/>
              </w:rPr>
            </w:pPr>
          </w:p>
          <w:p w14:paraId="37CF2FF7" w14:textId="77777777" w:rsidR="00A77B3E" w:rsidRDefault="00A77B3E">
            <w:pPr>
              <w:spacing w:before="5pt"/>
              <w:rPr>
                <w:color w:val="000000"/>
                <w:sz w:val="6"/>
              </w:rPr>
            </w:pPr>
          </w:p>
        </w:tc>
      </w:tr>
    </w:tbl>
    <w:p w14:paraId="3B58C39E" w14:textId="77777777" w:rsidR="00A77B3E" w:rsidRDefault="00A77B3E">
      <w:pPr>
        <w:spacing w:before="5pt"/>
        <w:rPr>
          <w:color w:val="000000"/>
        </w:rPr>
      </w:pPr>
    </w:p>
    <w:p w14:paraId="57555445" w14:textId="77777777" w:rsidR="00A77B3E" w:rsidRDefault="00B16CCF">
      <w:pPr>
        <w:pStyle w:val="Naslov5"/>
        <w:spacing w:before="5pt" w:after="0pt"/>
        <w:rPr>
          <w:b w:val="0"/>
          <w:i w:val="0"/>
          <w:color w:val="000000"/>
          <w:sz w:val="24"/>
        </w:rPr>
      </w:pPr>
      <w:bookmarkStart w:id="341" w:name="_Toc256001102"/>
      <w:r>
        <w:rPr>
          <w:b w:val="0"/>
          <w:i w:val="0"/>
          <w:color w:val="000000"/>
          <w:sz w:val="24"/>
        </w:rPr>
        <w:t>Načrtovana uporaba finančnih instrumentov – člen 22(3)(d)(vii) uredbe o skupnih določbah</w:t>
      </w:r>
      <w:bookmarkEnd w:id="341"/>
    </w:p>
    <w:p w14:paraId="7F8ECD0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2FA3F7BC"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5C9050" w14:textId="77777777" w:rsidR="00A77B3E" w:rsidRDefault="00A77B3E">
            <w:pPr>
              <w:spacing w:before="5pt"/>
              <w:rPr>
                <w:color w:val="000000"/>
                <w:sz w:val="0"/>
              </w:rPr>
            </w:pPr>
          </w:p>
          <w:p w14:paraId="0E190FD4" w14:textId="77777777" w:rsidR="00A77B3E" w:rsidRDefault="00B16CCF">
            <w:pPr>
              <w:spacing w:before="5pt"/>
              <w:rPr>
                <w:color w:val="000000"/>
              </w:rPr>
            </w:pPr>
            <w:r>
              <w:rPr>
                <w:color w:val="000000"/>
              </w:rPr>
              <w:t>V okviru predmetnega specifičnega cilja uporaba finančnih instrumentov v skladu z izsledki analize Predhodnih ocen potreb trga in vrzeli financiranja na trgu za izvajanje finančnih instrumentov v programskem obdobju 2021-2027 (julij 2022) namreč ni predvidena. Predlagani ukrepi ne ustvarjajo dobička, zato ni možnosti prihrankov ali vračila povratnih sredstev, poleg tega pa projekti zaradi različnih okoliščin (npr. nerazvit trg, ipd.) niso zreli za povratna sredstva, zato je v celoti predvidena uporaba nepovratnih virov.</w:t>
            </w:r>
          </w:p>
          <w:p w14:paraId="7280E56B" w14:textId="77777777" w:rsidR="00A77B3E" w:rsidRDefault="00A77B3E">
            <w:pPr>
              <w:spacing w:before="5pt"/>
              <w:rPr>
                <w:color w:val="000000"/>
                <w:sz w:val="6"/>
              </w:rPr>
            </w:pPr>
          </w:p>
          <w:p w14:paraId="55EE3CEB" w14:textId="77777777" w:rsidR="00A77B3E" w:rsidRDefault="00A77B3E">
            <w:pPr>
              <w:spacing w:before="5pt"/>
              <w:rPr>
                <w:color w:val="000000"/>
                <w:sz w:val="6"/>
              </w:rPr>
            </w:pPr>
          </w:p>
        </w:tc>
      </w:tr>
    </w:tbl>
    <w:p w14:paraId="4063C482" w14:textId="77777777" w:rsidR="00A77B3E" w:rsidRDefault="00A77B3E">
      <w:pPr>
        <w:spacing w:before="5pt"/>
        <w:rPr>
          <w:color w:val="000000"/>
        </w:rPr>
      </w:pPr>
    </w:p>
    <w:p w14:paraId="4E768791" w14:textId="77777777" w:rsidR="00A77B3E" w:rsidRDefault="00B16CCF">
      <w:pPr>
        <w:pStyle w:val="Naslov4"/>
        <w:spacing w:before="5pt" w:after="0pt"/>
        <w:rPr>
          <w:b w:val="0"/>
          <w:color w:val="000000"/>
          <w:sz w:val="24"/>
        </w:rPr>
      </w:pPr>
      <w:bookmarkStart w:id="342" w:name="_Toc256001103"/>
      <w:r>
        <w:rPr>
          <w:b w:val="0"/>
          <w:color w:val="000000"/>
          <w:sz w:val="24"/>
        </w:rPr>
        <w:t>2.1.1.1.2. Kazalniki</w:t>
      </w:r>
      <w:bookmarkEnd w:id="342"/>
    </w:p>
    <w:p w14:paraId="343BA56F" w14:textId="77777777" w:rsidR="00A77B3E" w:rsidRDefault="00A77B3E">
      <w:pPr>
        <w:spacing w:before="5pt"/>
        <w:rPr>
          <w:color w:val="000000"/>
          <w:sz w:val="0"/>
        </w:rPr>
      </w:pPr>
    </w:p>
    <w:p w14:paraId="6F467268" w14:textId="77777777" w:rsidR="00A77B3E" w:rsidRDefault="00B16CCF">
      <w:pPr>
        <w:spacing w:before="5pt"/>
        <w:rPr>
          <w:color w:val="000000"/>
          <w:sz w:val="0"/>
        </w:rPr>
      </w:pPr>
      <w:r>
        <w:rPr>
          <w:color w:val="000000"/>
        </w:rPr>
        <w:t>Sklic: člen 22(3)(d)(ii) uredbe o skupnih določbah in člen 8 uredbe o ESRR in Kohezijskem skladu</w:t>
      </w:r>
    </w:p>
    <w:p w14:paraId="7C9FECE0" w14:textId="77777777" w:rsidR="00A77B3E" w:rsidRDefault="00B16CCF">
      <w:pPr>
        <w:pStyle w:val="Naslov5"/>
        <w:spacing w:before="5pt" w:after="0pt"/>
        <w:rPr>
          <w:b w:val="0"/>
          <w:i w:val="0"/>
          <w:color w:val="000000"/>
          <w:sz w:val="24"/>
        </w:rPr>
      </w:pPr>
      <w:bookmarkStart w:id="343" w:name="_Toc256001104"/>
      <w:r>
        <w:rPr>
          <w:b w:val="0"/>
          <w:i w:val="0"/>
          <w:color w:val="000000"/>
          <w:sz w:val="24"/>
        </w:rPr>
        <w:t>Tabela 2: Kazalniki učinka</w:t>
      </w:r>
      <w:bookmarkEnd w:id="343"/>
    </w:p>
    <w:p w14:paraId="1E4F393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59"/>
        <w:gridCol w:w="1714"/>
        <w:gridCol w:w="1144"/>
        <w:gridCol w:w="1777"/>
        <w:gridCol w:w="2062"/>
        <w:gridCol w:w="2186"/>
        <w:gridCol w:w="1941"/>
        <w:gridCol w:w="1285"/>
        <w:gridCol w:w="1204"/>
      </w:tblGrid>
      <w:tr w:rsidR="00823317" w14:paraId="6AFAD35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521BB0"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FD17B0"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82923B"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30AC5D"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5137D7"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D7F498"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CF3B9F"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2EF26B" w14:textId="77777777" w:rsidR="00A77B3E" w:rsidRDefault="00B16CCF">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816BA6E" w14:textId="77777777" w:rsidR="00A77B3E" w:rsidRDefault="00B16CCF">
            <w:pPr>
              <w:spacing w:before="5pt"/>
              <w:jc w:val="center"/>
              <w:rPr>
                <w:color w:val="000000"/>
                <w:sz w:val="20"/>
              </w:rPr>
            </w:pPr>
            <w:r>
              <w:rPr>
                <w:color w:val="000000"/>
                <w:sz w:val="20"/>
              </w:rPr>
              <w:t>Cilj (2029)</w:t>
            </w:r>
          </w:p>
        </w:tc>
      </w:tr>
      <w:tr w:rsidR="00823317" w14:paraId="5EE6F00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8AB874" w14:textId="77777777" w:rsidR="00A77B3E" w:rsidRDefault="00B16CCF">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D2F9C1" w14:textId="77777777" w:rsidR="00A77B3E" w:rsidRDefault="00B16CCF">
            <w:pPr>
              <w:spacing w:before="5pt"/>
              <w:rPr>
                <w:color w:val="000000"/>
                <w:sz w:val="20"/>
              </w:rPr>
            </w:pPr>
            <w:r>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C4431F"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4FC637"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74108A" w14:textId="77777777" w:rsidR="00A77B3E" w:rsidRDefault="00B16CCF">
            <w:pPr>
              <w:spacing w:before="5pt"/>
              <w:rPr>
                <w:color w:val="000000"/>
                <w:sz w:val="20"/>
              </w:rPr>
            </w:pPr>
            <w:r>
              <w:rPr>
                <w:color w:val="000000"/>
                <w:sz w:val="20"/>
              </w:rPr>
              <w:t>RCO44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AB2879" w14:textId="77777777" w:rsidR="00A77B3E" w:rsidRDefault="00B16CCF">
            <w:pPr>
              <w:spacing w:before="5pt"/>
              <w:rPr>
                <w:color w:val="000000"/>
                <w:sz w:val="20"/>
              </w:rPr>
            </w:pPr>
            <w:r>
              <w:rPr>
                <w:color w:val="000000"/>
                <w:sz w:val="20"/>
              </w:rPr>
              <w:t>Dolžina novih ali nadgrajenih cest – zunaj TEN-T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3C4F20" w14:textId="77777777" w:rsidR="00A77B3E" w:rsidRDefault="00B16CCF">
            <w:pPr>
              <w:spacing w:before="5pt"/>
              <w:rPr>
                <w:color w:val="000000"/>
                <w:sz w:val="20"/>
              </w:rPr>
            </w:pPr>
            <w:r>
              <w:rPr>
                <w:color w:val="000000"/>
                <w:sz w:val="20"/>
              </w:rPr>
              <w:t>km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B435B2"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7CDAE8" w14:textId="77777777" w:rsidR="00A77B3E" w:rsidRDefault="00B16CCF">
            <w:pPr>
              <w:spacing w:before="5pt"/>
              <w:jc w:val="end"/>
              <w:rPr>
                <w:color w:val="000000"/>
                <w:sz w:val="20"/>
              </w:rPr>
            </w:pPr>
            <w:r>
              <w:rPr>
                <w:color w:val="000000"/>
                <w:sz w:val="20"/>
              </w:rPr>
              <w:t>2,70</w:t>
            </w:r>
          </w:p>
        </w:tc>
      </w:tr>
      <w:tr w:rsidR="00823317" w14:paraId="26BD4B9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938FD7" w14:textId="77777777" w:rsidR="00A77B3E" w:rsidRDefault="00B16CCF">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020DA3" w14:textId="77777777" w:rsidR="00A77B3E" w:rsidRDefault="00B16CCF">
            <w:pPr>
              <w:spacing w:before="5pt"/>
              <w:rPr>
                <w:color w:val="000000"/>
                <w:sz w:val="20"/>
              </w:rPr>
            </w:pPr>
            <w:r>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D1FA95"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871432"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1EBBED" w14:textId="77777777" w:rsidR="00A77B3E" w:rsidRDefault="00B16CCF">
            <w:pPr>
              <w:spacing w:before="5pt"/>
              <w:rPr>
                <w:color w:val="000000"/>
                <w:sz w:val="20"/>
              </w:rPr>
            </w:pPr>
            <w:r>
              <w:rPr>
                <w:color w:val="000000"/>
                <w:sz w:val="20"/>
              </w:rPr>
              <w:t>RCO48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1C2D05" w14:textId="77777777" w:rsidR="00A77B3E" w:rsidRDefault="00B16CCF">
            <w:pPr>
              <w:spacing w:before="5pt"/>
              <w:rPr>
                <w:color w:val="000000"/>
                <w:sz w:val="20"/>
              </w:rPr>
            </w:pPr>
            <w:r>
              <w:rPr>
                <w:color w:val="000000"/>
                <w:sz w:val="20"/>
              </w:rPr>
              <w:t>Dolžina novih ali nadgrajenih železniških prog – zunaj TEN-T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F7DBF4" w14:textId="77777777" w:rsidR="00A77B3E" w:rsidRDefault="00B16CCF">
            <w:pPr>
              <w:spacing w:before="5pt"/>
              <w:rPr>
                <w:color w:val="000000"/>
                <w:sz w:val="20"/>
              </w:rPr>
            </w:pPr>
            <w:r>
              <w:rPr>
                <w:color w:val="000000"/>
                <w:sz w:val="20"/>
              </w:rPr>
              <w:t>km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BDEFE3"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A8C5E9" w14:textId="77777777" w:rsidR="00A77B3E" w:rsidRDefault="00B16CCF">
            <w:pPr>
              <w:spacing w:before="5pt"/>
              <w:jc w:val="end"/>
              <w:rPr>
                <w:color w:val="000000"/>
                <w:sz w:val="20"/>
              </w:rPr>
            </w:pPr>
            <w:r>
              <w:rPr>
                <w:color w:val="000000"/>
                <w:sz w:val="20"/>
              </w:rPr>
              <w:t>11,78</w:t>
            </w:r>
          </w:p>
        </w:tc>
      </w:tr>
      <w:tr w:rsidR="00823317" w14:paraId="279629E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09D8CA" w14:textId="77777777" w:rsidR="00A77B3E" w:rsidRDefault="00B16CCF">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CE9DAA" w14:textId="77777777" w:rsidR="00A77B3E" w:rsidRDefault="00B16CCF">
            <w:pPr>
              <w:spacing w:before="5pt"/>
              <w:rPr>
                <w:color w:val="000000"/>
                <w:sz w:val="20"/>
              </w:rPr>
            </w:pPr>
            <w:r>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836C43"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DCF03A"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F8A928" w14:textId="77777777" w:rsidR="00A77B3E" w:rsidRDefault="00B16CCF">
            <w:pPr>
              <w:spacing w:before="5pt"/>
              <w:rPr>
                <w:color w:val="000000"/>
                <w:sz w:val="20"/>
              </w:rPr>
            </w:pPr>
            <w:r>
              <w:rPr>
                <w:color w:val="000000"/>
                <w:sz w:val="20"/>
              </w:rPr>
              <w:t>RCO53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7E0CF8" w14:textId="77777777" w:rsidR="00A77B3E" w:rsidRDefault="00B16CCF">
            <w:pPr>
              <w:spacing w:before="5pt"/>
              <w:rPr>
                <w:color w:val="000000"/>
                <w:sz w:val="20"/>
              </w:rPr>
            </w:pPr>
            <w:r>
              <w:rPr>
                <w:color w:val="000000"/>
                <w:sz w:val="20"/>
              </w:rPr>
              <w:t>Nove ali posodobljene železniške postaje in postajališča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C44ABA" w14:textId="77777777" w:rsidR="00A77B3E" w:rsidRDefault="00B16CCF">
            <w:pPr>
              <w:spacing w:before="5pt"/>
              <w:rPr>
                <w:color w:val="000000"/>
                <w:sz w:val="20"/>
              </w:rPr>
            </w:pPr>
            <w:r>
              <w:rPr>
                <w:color w:val="000000"/>
                <w:sz w:val="20"/>
              </w:rPr>
              <w:t>postaje in postajališča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73AA19"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514377" w14:textId="77777777" w:rsidR="00A77B3E" w:rsidRDefault="00B16CCF">
            <w:pPr>
              <w:spacing w:before="5pt"/>
              <w:jc w:val="end"/>
              <w:rPr>
                <w:color w:val="000000"/>
                <w:sz w:val="20"/>
              </w:rPr>
            </w:pPr>
            <w:r>
              <w:rPr>
                <w:color w:val="000000"/>
                <w:sz w:val="20"/>
              </w:rPr>
              <w:t>7,00</w:t>
            </w:r>
          </w:p>
        </w:tc>
      </w:tr>
    </w:tbl>
    <w:p w14:paraId="46D1B478" w14:textId="77777777" w:rsidR="00A77B3E" w:rsidRDefault="00A77B3E">
      <w:pPr>
        <w:spacing w:before="5pt"/>
        <w:rPr>
          <w:color w:val="000000"/>
          <w:sz w:val="20"/>
        </w:rPr>
      </w:pPr>
    </w:p>
    <w:p w14:paraId="7605329C" w14:textId="77777777" w:rsidR="00A77B3E" w:rsidRDefault="00B16CCF">
      <w:pPr>
        <w:spacing w:before="5pt"/>
        <w:rPr>
          <w:color w:val="000000"/>
          <w:sz w:val="0"/>
        </w:rPr>
      </w:pPr>
      <w:r>
        <w:rPr>
          <w:color w:val="000000"/>
        </w:rPr>
        <w:t>Sklic: člen 22(3)(d)(ii) uredbe o skupnih določbah</w:t>
      </w:r>
    </w:p>
    <w:p w14:paraId="407394C4" w14:textId="77777777" w:rsidR="00A77B3E" w:rsidRDefault="00B16CCF">
      <w:pPr>
        <w:pStyle w:val="Naslov5"/>
        <w:spacing w:before="5pt" w:after="0pt"/>
        <w:rPr>
          <w:b w:val="0"/>
          <w:i w:val="0"/>
          <w:color w:val="000000"/>
          <w:sz w:val="24"/>
        </w:rPr>
      </w:pPr>
      <w:bookmarkStart w:id="344" w:name="_Toc256001105"/>
      <w:r>
        <w:rPr>
          <w:b w:val="0"/>
          <w:i w:val="0"/>
          <w:color w:val="000000"/>
          <w:sz w:val="24"/>
        </w:rPr>
        <w:t>Tabela 3: Kazalniki rezultatov</w:t>
      </w:r>
      <w:bookmarkEnd w:id="344"/>
    </w:p>
    <w:p w14:paraId="2D1EF40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55"/>
        <w:gridCol w:w="1158"/>
        <w:gridCol w:w="773"/>
        <w:gridCol w:w="1201"/>
        <w:gridCol w:w="1394"/>
        <w:gridCol w:w="1553"/>
        <w:gridCol w:w="1546"/>
        <w:gridCol w:w="1456"/>
        <w:gridCol w:w="1297"/>
        <w:gridCol w:w="1456"/>
        <w:gridCol w:w="1076"/>
        <w:gridCol w:w="1007"/>
      </w:tblGrid>
      <w:tr w:rsidR="00823317" w14:paraId="2E3CDD2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857031"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2DB6A1"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C42C7B"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EB5D67"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D6AEF7E"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A727BA8"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FEC66E"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0F411A" w14:textId="77777777" w:rsidR="00A77B3E" w:rsidRDefault="00B16CCF">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4165CD" w14:textId="77777777" w:rsidR="00A77B3E" w:rsidRDefault="00B16CCF">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EB3DC4" w14:textId="77777777" w:rsidR="00A77B3E" w:rsidRDefault="00B16CCF">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AD6F4F" w14:textId="77777777" w:rsidR="00A77B3E" w:rsidRDefault="00B16CCF">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93DAC6" w14:textId="77777777" w:rsidR="00A77B3E" w:rsidRDefault="00B16CCF">
            <w:pPr>
              <w:spacing w:before="5pt"/>
              <w:jc w:val="center"/>
              <w:rPr>
                <w:color w:val="000000"/>
                <w:sz w:val="20"/>
              </w:rPr>
            </w:pPr>
            <w:r>
              <w:rPr>
                <w:color w:val="000000"/>
                <w:sz w:val="20"/>
              </w:rPr>
              <w:t>Opombe</w:t>
            </w:r>
          </w:p>
        </w:tc>
      </w:tr>
      <w:tr w:rsidR="00823317" w14:paraId="684DD09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FD31B4" w14:textId="77777777" w:rsidR="00A77B3E" w:rsidRDefault="00B16CCF">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68AEFD" w14:textId="77777777" w:rsidR="00A77B3E" w:rsidRDefault="00B16CCF">
            <w:pPr>
              <w:spacing w:before="5pt"/>
              <w:rPr>
                <w:color w:val="000000"/>
                <w:sz w:val="20"/>
              </w:rPr>
            </w:pPr>
            <w:r>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0E0FA1"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7A66AA"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C12CB2" w14:textId="77777777" w:rsidR="00A77B3E" w:rsidRDefault="00B16CCF">
            <w:pPr>
              <w:spacing w:before="5pt"/>
              <w:rPr>
                <w:color w:val="000000"/>
                <w:sz w:val="20"/>
              </w:rPr>
            </w:pPr>
            <w:r>
              <w:rPr>
                <w:color w:val="000000"/>
                <w:sz w:val="20"/>
              </w:rPr>
              <w:t>RCR56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DC978E" w14:textId="77777777" w:rsidR="00A77B3E" w:rsidRDefault="00B16CCF">
            <w:pPr>
              <w:spacing w:before="5pt"/>
              <w:rPr>
                <w:color w:val="000000"/>
                <w:sz w:val="20"/>
              </w:rPr>
            </w:pPr>
            <w:r>
              <w:rPr>
                <w:color w:val="000000"/>
                <w:sz w:val="20"/>
              </w:rPr>
              <w:t>Prihranek časa zaradi izboljšane cestne infrastrukture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AF1C32" w14:textId="77777777" w:rsidR="00A77B3E" w:rsidRDefault="00B16CCF">
            <w:pPr>
              <w:spacing w:before="5pt"/>
              <w:rPr>
                <w:color w:val="000000"/>
                <w:sz w:val="20"/>
              </w:rPr>
            </w:pPr>
            <w:r>
              <w:rPr>
                <w:color w:val="000000"/>
                <w:sz w:val="20"/>
              </w:rPr>
              <w:t>človek-delovnih dni/leto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D97C6F"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879919" w14:textId="77777777" w:rsidR="00A77B3E" w:rsidRDefault="00B16CCF">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0927C7" w14:textId="77777777" w:rsidR="00A77B3E" w:rsidRDefault="00B16CCF">
            <w:pPr>
              <w:spacing w:before="5pt"/>
              <w:jc w:val="end"/>
              <w:rPr>
                <w:color w:val="000000"/>
                <w:sz w:val="20"/>
              </w:rPr>
            </w:pPr>
            <w:r>
              <w:rPr>
                <w:color w:val="000000"/>
                <w:sz w:val="20"/>
              </w:rPr>
              <w:t>2.441,00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47D303" w14:textId="77777777" w:rsidR="00A77B3E" w:rsidRDefault="00B16CCF">
            <w:pPr>
              <w:spacing w:before="5pt"/>
              <w:rPr>
                <w:color w:val="000000"/>
                <w:sz w:val="20"/>
              </w:rPr>
            </w:pPr>
            <w:r>
              <w:rPr>
                <w:color w:val="000000"/>
                <w:sz w:val="20"/>
              </w:rPr>
              <w:t>DARS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76EC23" w14:textId="77777777" w:rsidR="00A77B3E" w:rsidRDefault="00A77B3E">
            <w:pPr>
              <w:spacing w:before="5pt"/>
              <w:rPr>
                <w:color w:val="000000"/>
                <w:sz w:val="20"/>
              </w:rPr>
            </w:pPr>
          </w:p>
        </w:tc>
      </w:tr>
      <w:tr w:rsidR="00823317" w14:paraId="1FF0388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47C41E" w14:textId="77777777" w:rsidR="00A77B3E" w:rsidRDefault="00B16CCF">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3B5A29" w14:textId="77777777" w:rsidR="00A77B3E" w:rsidRDefault="00B16CCF">
            <w:pPr>
              <w:spacing w:before="5pt"/>
              <w:rPr>
                <w:color w:val="000000"/>
                <w:sz w:val="20"/>
              </w:rPr>
            </w:pPr>
            <w:r>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FEB7A0"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D76212"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DA2A6D" w14:textId="77777777" w:rsidR="00A77B3E" w:rsidRDefault="00B16CCF">
            <w:pPr>
              <w:spacing w:before="5pt"/>
              <w:rPr>
                <w:color w:val="000000"/>
                <w:sz w:val="20"/>
              </w:rPr>
            </w:pPr>
            <w:r>
              <w:rPr>
                <w:color w:val="000000"/>
                <w:sz w:val="20"/>
              </w:rPr>
              <w:t>RCR58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9A61ED" w14:textId="77777777" w:rsidR="00A77B3E" w:rsidRDefault="00B16CCF">
            <w:pPr>
              <w:spacing w:before="5pt"/>
              <w:rPr>
                <w:color w:val="000000"/>
                <w:sz w:val="20"/>
              </w:rPr>
            </w:pPr>
            <w:r>
              <w:rPr>
                <w:color w:val="000000"/>
                <w:sz w:val="20"/>
              </w:rPr>
              <w:t>Število potnikov na leto, ki uporabljajo novozgrajene, nadgrajene, obnovljene ali posodobljene železniške proge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ABA221" w14:textId="77777777" w:rsidR="00A77B3E" w:rsidRDefault="00B16CCF">
            <w:pPr>
              <w:spacing w:before="5pt"/>
              <w:rPr>
                <w:color w:val="000000"/>
                <w:sz w:val="20"/>
              </w:rPr>
            </w:pPr>
            <w:r>
              <w:rPr>
                <w:color w:val="000000"/>
                <w:sz w:val="20"/>
              </w:rPr>
              <w:t>potniški kilometer/leto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77AE72" w14:textId="77777777" w:rsidR="00A77B3E" w:rsidRDefault="00B16CCF">
            <w:pPr>
              <w:spacing w:before="5pt"/>
              <w:jc w:val="end"/>
              <w:rPr>
                <w:color w:val="000000"/>
                <w:sz w:val="20"/>
              </w:rPr>
            </w:pPr>
            <w:r>
              <w:rPr>
                <w:color w:val="000000"/>
                <w:sz w:val="20"/>
              </w:rPr>
              <w:t>1.302.000,00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6C18D1" w14:textId="77777777" w:rsidR="00A77B3E" w:rsidRDefault="00B16CCF">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00D5C1" w14:textId="77777777" w:rsidR="00A77B3E" w:rsidRDefault="00B16CCF">
            <w:pPr>
              <w:spacing w:before="5pt"/>
              <w:jc w:val="end"/>
              <w:rPr>
                <w:color w:val="000000"/>
                <w:sz w:val="20"/>
              </w:rPr>
            </w:pPr>
            <w:r>
              <w:rPr>
                <w:color w:val="000000"/>
                <w:sz w:val="20"/>
              </w:rPr>
              <w:t>1.416.000,00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152010" w14:textId="77777777" w:rsidR="00A77B3E" w:rsidRDefault="00B16CCF">
            <w:pPr>
              <w:spacing w:before="5pt"/>
              <w:rPr>
                <w:color w:val="000000"/>
                <w:sz w:val="20"/>
              </w:rPr>
            </w:pPr>
            <w:r>
              <w:rPr>
                <w:color w:val="000000"/>
                <w:sz w:val="20"/>
              </w:rPr>
              <w:t>DRSI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7BBC36" w14:textId="77777777" w:rsidR="00A77B3E" w:rsidRDefault="00A77B3E">
            <w:pPr>
              <w:spacing w:before="5pt"/>
              <w:rPr>
                <w:color w:val="000000"/>
                <w:sz w:val="20"/>
              </w:rPr>
            </w:pPr>
          </w:p>
        </w:tc>
      </w:tr>
    </w:tbl>
    <w:p w14:paraId="5DB4CBB6" w14:textId="77777777" w:rsidR="00A77B3E" w:rsidRDefault="00A77B3E">
      <w:pPr>
        <w:spacing w:before="5pt"/>
        <w:rPr>
          <w:color w:val="000000"/>
          <w:sz w:val="20"/>
        </w:rPr>
      </w:pPr>
    </w:p>
    <w:p w14:paraId="7BF7E1F3" w14:textId="77777777" w:rsidR="00A77B3E" w:rsidRDefault="00B16CCF">
      <w:pPr>
        <w:pStyle w:val="Naslov4"/>
        <w:spacing w:before="5pt" w:after="0pt"/>
        <w:rPr>
          <w:b w:val="0"/>
          <w:color w:val="000000"/>
          <w:sz w:val="24"/>
        </w:rPr>
      </w:pPr>
      <w:bookmarkStart w:id="345" w:name="_Toc256001106"/>
      <w:r>
        <w:rPr>
          <w:b w:val="0"/>
          <w:color w:val="000000"/>
          <w:sz w:val="24"/>
        </w:rPr>
        <w:t>2.1.1.1.3. Okvirna razčlenitev načrtovanih sredstev (EU) glede na vrsto ukrepa</w:t>
      </w:r>
      <w:bookmarkEnd w:id="345"/>
    </w:p>
    <w:p w14:paraId="6FA42980" w14:textId="77777777" w:rsidR="00A77B3E" w:rsidRDefault="00A77B3E">
      <w:pPr>
        <w:spacing w:before="5pt"/>
        <w:rPr>
          <w:color w:val="000000"/>
          <w:sz w:val="0"/>
        </w:rPr>
      </w:pPr>
    </w:p>
    <w:p w14:paraId="07D90804" w14:textId="77777777" w:rsidR="00A77B3E" w:rsidRDefault="00B16CCF">
      <w:pPr>
        <w:spacing w:before="5pt"/>
        <w:rPr>
          <w:color w:val="000000"/>
          <w:sz w:val="0"/>
        </w:rPr>
      </w:pPr>
      <w:r>
        <w:rPr>
          <w:color w:val="000000"/>
        </w:rPr>
        <w:t>Sklic: člen 22(3)(d)(viii) uredbe o skupnih določbah</w:t>
      </w:r>
    </w:p>
    <w:p w14:paraId="2C154650" w14:textId="77777777" w:rsidR="00A77B3E" w:rsidRDefault="00B16CCF">
      <w:pPr>
        <w:pStyle w:val="Naslov5"/>
        <w:spacing w:before="5pt" w:after="0pt"/>
        <w:rPr>
          <w:b w:val="0"/>
          <w:i w:val="0"/>
          <w:color w:val="000000"/>
          <w:sz w:val="24"/>
        </w:rPr>
      </w:pPr>
      <w:bookmarkStart w:id="346" w:name="_Toc256001107"/>
      <w:r>
        <w:rPr>
          <w:b w:val="0"/>
          <w:i w:val="0"/>
          <w:color w:val="000000"/>
          <w:sz w:val="24"/>
        </w:rPr>
        <w:t>Tabela 4: Razsežnost 1 – področje ukrepanja</w:t>
      </w:r>
      <w:bookmarkEnd w:id="346"/>
    </w:p>
    <w:p w14:paraId="4737422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35"/>
        <w:gridCol w:w="2339"/>
        <w:gridCol w:w="1699"/>
        <w:gridCol w:w="2425"/>
        <w:gridCol w:w="2983"/>
        <w:gridCol w:w="3191"/>
      </w:tblGrid>
      <w:tr w:rsidR="00823317" w14:paraId="58F81F3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F0C860"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43E34B"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73749D"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4D5FA3"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5AB752"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37AD17" w14:textId="77777777" w:rsidR="00A77B3E" w:rsidRDefault="00B16CCF">
            <w:pPr>
              <w:spacing w:before="5pt"/>
              <w:jc w:val="center"/>
              <w:rPr>
                <w:color w:val="000000"/>
                <w:sz w:val="20"/>
              </w:rPr>
            </w:pPr>
            <w:r>
              <w:rPr>
                <w:color w:val="000000"/>
                <w:sz w:val="20"/>
              </w:rPr>
              <w:t>Znesek (v EUR)</w:t>
            </w:r>
          </w:p>
        </w:tc>
      </w:tr>
      <w:tr w:rsidR="00823317" w14:paraId="5FE55E6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D1CB2F" w14:textId="77777777" w:rsidR="00A77B3E" w:rsidRDefault="00B16CCF">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6C93E1" w14:textId="77777777" w:rsidR="00A77B3E" w:rsidRDefault="00B16CCF">
            <w:pPr>
              <w:spacing w:before="5pt"/>
              <w:rPr>
                <w:color w:val="000000"/>
                <w:sz w:val="20"/>
              </w:rPr>
            </w:pPr>
            <w:r>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71F55A"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DE7CFF"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6E33C7" w14:textId="77777777" w:rsidR="00A77B3E" w:rsidRDefault="00B16CCF">
            <w:pPr>
              <w:spacing w:before="5pt"/>
              <w:rPr>
                <w:color w:val="000000"/>
                <w:sz w:val="20"/>
              </w:rPr>
            </w:pPr>
            <w:r>
              <w:rPr>
                <w:color w:val="000000"/>
                <w:sz w:val="20"/>
              </w:rPr>
              <w:t>089. Novo zgrajene ali nadgrajene sekundarne cestne povezave s cestnim omrežjem in vozlišči TEN-T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C53DEC" w14:textId="77777777" w:rsidR="00A77B3E" w:rsidRDefault="00B16CCF">
            <w:pPr>
              <w:spacing w:before="5pt"/>
              <w:jc w:val="end"/>
              <w:rPr>
                <w:color w:val="000000"/>
                <w:sz w:val="20"/>
              </w:rPr>
            </w:pPr>
            <w:r>
              <w:rPr>
                <w:color w:val="000000"/>
                <w:sz w:val="20"/>
              </w:rPr>
              <w:t>48.141.540,00</w:t>
            </w:r>
          </w:p>
        </w:tc>
      </w:tr>
      <w:tr w:rsidR="00823317" w14:paraId="5447DFB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635CD2" w14:textId="77777777" w:rsidR="00A77B3E" w:rsidRDefault="00B16CCF">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ECE876" w14:textId="77777777" w:rsidR="00A77B3E" w:rsidRDefault="00B16CCF">
            <w:pPr>
              <w:spacing w:before="5pt"/>
              <w:rPr>
                <w:color w:val="000000"/>
                <w:sz w:val="20"/>
              </w:rPr>
            </w:pPr>
            <w:r>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9EE098"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1AE603"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F6BCCE" w14:textId="77777777" w:rsidR="00A77B3E" w:rsidRDefault="00B16CCF">
            <w:pPr>
              <w:spacing w:before="5pt"/>
              <w:rPr>
                <w:color w:val="000000"/>
                <w:sz w:val="20"/>
              </w:rPr>
            </w:pPr>
            <w:r>
              <w:rPr>
                <w:color w:val="000000"/>
                <w:sz w:val="20"/>
              </w:rPr>
              <w:t>102. Druge obnovljene ali posodobljene železnice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B6221F" w14:textId="77777777" w:rsidR="00A77B3E" w:rsidRDefault="00B16CCF">
            <w:pPr>
              <w:spacing w:before="5pt"/>
              <w:jc w:val="end"/>
              <w:rPr>
                <w:color w:val="000000"/>
                <w:sz w:val="20"/>
              </w:rPr>
            </w:pPr>
            <w:r>
              <w:rPr>
                <w:color w:val="000000"/>
                <w:sz w:val="20"/>
              </w:rPr>
              <w:t>37.746.941,00</w:t>
            </w:r>
          </w:p>
        </w:tc>
      </w:tr>
      <w:tr w:rsidR="00823317" w14:paraId="743773C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5D80BC" w14:textId="77777777" w:rsidR="00A77B3E" w:rsidRDefault="00B16CCF">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209AAA" w14:textId="77777777" w:rsidR="00A77B3E" w:rsidRDefault="00B16CCF">
            <w:pPr>
              <w:spacing w:before="5pt"/>
              <w:rPr>
                <w:color w:val="000000"/>
                <w:sz w:val="20"/>
              </w:rPr>
            </w:pPr>
            <w:r>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DA5AF3"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E00B65"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2209D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E06961" w14:textId="77777777" w:rsidR="00A77B3E" w:rsidRDefault="00B16CCF">
            <w:pPr>
              <w:spacing w:before="5pt"/>
              <w:jc w:val="end"/>
              <w:rPr>
                <w:color w:val="000000"/>
                <w:sz w:val="20"/>
              </w:rPr>
            </w:pPr>
            <w:r>
              <w:rPr>
                <w:color w:val="000000"/>
                <w:sz w:val="20"/>
              </w:rPr>
              <w:t>85.888.481,00</w:t>
            </w:r>
          </w:p>
        </w:tc>
      </w:tr>
    </w:tbl>
    <w:p w14:paraId="0E613BFD" w14:textId="77777777" w:rsidR="00A77B3E" w:rsidRDefault="00A77B3E">
      <w:pPr>
        <w:spacing w:before="5pt"/>
        <w:rPr>
          <w:color w:val="000000"/>
          <w:sz w:val="20"/>
        </w:rPr>
      </w:pPr>
    </w:p>
    <w:p w14:paraId="43471048" w14:textId="77777777" w:rsidR="00A77B3E" w:rsidRDefault="00B16CCF">
      <w:pPr>
        <w:pStyle w:val="Naslov5"/>
        <w:spacing w:before="5pt" w:after="0pt"/>
        <w:rPr>
          <w:b w:val="0"/>
          <w:i w:val="0"/>
          <w:color w:val="000000"/>
          <w:sz w:val="24"/>
        </w:rPr>
      </w:pPr>
      <w:bookmarkStart w:id="347" w:name="_Toc256001108"/>
      <w:r>
        <w:rPr>
          <w:b w:val="0"/>
          <w:i w:val="0"/>
          <w:color w:val="000000"/>
          <w:sz w:val="24"/>
        </w:rPr>
        <w:t>Tabela 5: Razsežnost 2 – oblika financiranja</w:t>
      </w:r>
      <w:bookmarkEnd w:id="347"/>
    </w:p>
    <w:p w14:paraId="18487CE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93"/>
        <w:gridCol w:w="2392"/>
        <w:gridCol w:w="1737"/>
        <w:gridCol w:w="2480"/>
        <w:gridCol w:w="2706"/>
        <w:gridCol w:w="3264"/>
      </w:tblGrid>
      <w:tr w:rsidR="00823317" w14:paraId="71E93C7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ECDFEC" w14:textId="77777777" w:rsidR="00A77B3E" w:rsidRDefault="00B16CCF">
            <w:pPr>
              <w:spacing w:before="5pt"/>
              <w:jc w:val="center"/>
              <w:rPr>
                <w:color w:val="000000"/>
                <w:sz w:val="20"/>
              </w:rPr>
            </w:pPr>
            <w:r>
              <w:rPr>
                <w:color w:val="000000"/>
                <w:sz w:val="20"/>
              </w:rPr>
              <w:lastRenderedPageBreak/>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571C14"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DCFFB7"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4AB7CB"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79B5F3"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45F589" w14:textId="77777777" w:rsidR="00A77B3E" w:rsidRDefault="00B16CCF">
            <w:pPr>
              <w:spacing w:before="5pt"/>
              <w:jc w:val="center"/>
              <w:rPr>
                <w:color w:val="000000"/>
                <w:sz w:val="20"/>
              </w:rPr>
            </w:pPr>
            <w:r>
              <w:rPr>
                <w:color w:val="000000"/>
                <w:sz w:val="20"/>
              </w:rPr>
              <w:t>Znesek (v EUR)</w:t>
            </w:r>
          </w:p>
        </w:tc>
      </w:tr>
      <w:tr w:rsidR="00823317" w14:paraId="7A05432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C1AE2C" w14:textId="77777777" w:rsidR="00A77B3E" w:rsidRDefault="00B16CCF">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439B15" w14:textId="77777777" w:rsidR="00A77B3E" w:rsidRDefault="00B16CCF">
            <w:pPr>
              <w:spacing w:before="5pt"/>
              <w:rPr>
                <w:color w:val="000000"/>
                <w:sz w:val="20"/>
              </w:rPr>
            </w:pPr>
            <w:r>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A1714F"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84C722"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D81853" w14:textId="77777777" w:rsidR="00A77B3E" w:rsidRDefault="00B16CCF">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2A121A" w14:textId="77777777" w:rsidR="00A77B3E" w:rsidRDefault="00B16CCF">
            <w:pPr>
              <w:spacing w:before="5pt"/>
              <w:jc w:val="end"/>
              <w:rPr>
                <w:color w:val="000000"/>
                <w:sz w:val="20"/>
              </w:rPr>
            </w:pPr>
            <w:r>
              <w:rPr>
                <w:color w:val="000000"/>
                <w:sz w:val="20"/>
              </w:rPr>
              <w:t>85.888.481,00</w:t>
            </w:r>
          </w:p>
        </w:tc>
      </w:tr>
      <w:tr w:rsidR="00823317" w14:paraId="487753B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ED91CC" w14:textId="77777777" w:rsidR="00A77B3E" w:rsidRDefault="00B16CCF">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FF1128" w14:textId="77777777" w:rsidR="00A77B3E" w:rsidRDefault="00B16CCF">
            <w:pPr>
              <w:spacing w:before="5pt"/>
              <w:rPr>
                <w:color w:val="000000"/>
                <w:sz w:val="20"/>
              </w:rPr>
            </w:pPr>
            <w:r>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420167"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3C8609"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EEFB42"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29F3B6" w14:textId="77777777" w:rsidR="00A77B3E" w:rsidRDefault="00B16CCF">
            <w:pPr>
              <w:spacing w:before="5pt"/>
              <w:jc w:val="end"/>
              <w:rPr>
                <w:color w:val="000000"/>
                <w:sz w:val="20"/>
              </w:rPr>
            </w:pPr>
            <w:r>
              <w:rPr>
                <w:color w:val="000000"/>
                <w:sz w:val="20"/>
              </w:rPr>
              <w:t>85.888.481,00</w:t>
            </w:r>
          </w:p>
        </w:tc>
      </w:tr>
    </w:tbl>
    <w:p w14:paraId="24D2D7EA" w14:textId="77777777" w:rsidR="00A77B3E" w:rsidRDefault="00A77B3E">
      <w:pPr>
        <w:spacing w:before="5pt"/>
        <w:rPr>
          <w:color w:val="000000"/>
          <w:sz w:val="20"/>
        </w:rPr>
      </w:pPr>
    </w:p>
    <w:p w14:paraId="47B1F656" w14:textId="77777777" w:rsidR="00A77B3E" w:rsidRDefault="00B16CCF">
      <w:pPr>
        <w:pStyle w:val="Naslov5"/>
        <w:spacing w:before="5pt" w:after="0pt"/>
        <w:rPr>
          <w:b w:val="0"/>
          <w:i w:val="0"/>
          <w:color w:val="000000"/>
          <w:sz w:val="24"/>
        </w:rPr>
      </w:pPr>
      <w:bookmarkStart w:id="348" w:name="_Toc256001109"/>
      <w:r>
        <w:rPr>
          <w:b w:val="0"/>
          <w:i w:val="0"/>
          <w:color w:val="000000"/>
          <w:sz w:val="24"/>
        </w:rPr>
        <w:t>Tabela 6: Razsežnost 3 – mehanizem za ozemeljsko izvrševanje in ozemeljski pristop</w:t>
      </w:r>
      <w:bookmarkEnd w:id="348"/>
    </w:p>
    <w:p w14:paraId="1144224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26"/>
        <w:gridCol w:w="2331"/>
        <w:gridCol w:w="1692"/>
        <w:gridCol w:w="2416"/>
        <w:gridCol w:w="3027"/>
        <w:gridCol w:w="3180"/>
      </w:tblGrid>
      <w:tr w:rsidR="00823317" w14:paraId="5CE39C9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E3B9E2"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5F06DE"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973E8C"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478124"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31F45B"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A781C54" w14:textId="77777777" w:rsidR="00A77B3E" w:rsidRDefault="00B16CCF">
            <w:pPr>
              <w:spacing w:before="5pt"/>
              <w:jc w:val="center"/>
              <w:rPr>
                <w:color w:val="000000"/>
                <w:sz w:val="20"/>
              </w:rPr>
            </w:pPr>
            <w:r>
              <w:rPr>
                <w:color w:val="000000"/>
                <w:sz w:val="20"/>
              </w:rPr>
              <w:t>Znesek (v EUR)</w:t>
            </w:r>
          </w:p>
        </w:tc>
      </w:tr>
      <w:tr w:rsidR="00823317" w14:paraId="18DFD1A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FC3048" w14:textId="77777777" w:rsidR="00A77B3E" w:rsidRDefault="00B16CCF">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D4F1E7" w14:textId="77777777" w:rsidR="00A77B3E" w:rsidRDefault="00B16CCF">
            <w:pPr>
              <w:spacing w:before="5pt"/>
              <w:rPr>
                <w:color w:val="000000"/>
                <w:sz w:val="20"/>
              </w:rPr>
            </w:pPr>
            <w:r>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510A26"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FF4ED7"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804B53" w14:textId="77777777" w:rsidR="00A77B3E" w:rsidRDefault="00B16CCF">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D671FE" w14:textId="77777777" w:rsidR="00A77B3E" w:rsidRDefault="00B16CCF">
            <w:pPr>
              <w:spacing w:before="5pt"/>
              <w:jc w:val="end"/>
              <w:rPr>
                <w:color w:val="000000"/>
                <w:sz w:val="20"/>
              </w:rPr>
            </w:pPr>
            <w:r>
              <w:rPr>
                <w:color w:val="000000"/>
                <w:sz w:val="20"/>
              </w:rPr>
              <w:t>85.888.481,00</w:t>
            </w:r>
          </w:p>
        </w:tc>
      </w:tr>
      <w:tr w:rsidR="00823317" w14:paraId="1A73A83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7AA5DE" w14:textId="77777777" w:rsidR="00A77B3E" w:rsidRDefault="00B16CCF">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3A2A50" w14:textId="77777777" w:rsidR="00A77B3E" w:rsidRDefault="00B16CCF">
            <w:pPr>
              <w:spacing w:before="5pt"/>
              <w:rPr>
                <w:color w:val="000000"/>
                <w:sz w:val="20"/>
              </w:rPr>
            </w:pPr>
            <w:r>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7611C8"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9513E0"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2859A2"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036CDA" w14:textId="77777777" w:rsidR="00A77B3E" w:rsidRDefault="00B16CCF">
            <w:pPr>
              <w:spacing w:before="5pt"/>
              <w:jc w:val="end"/>
              <w:rPr>
                <w:color w:val="000000"/>
                <w:sz w:val="20"/>
              </w:rPr>
            </w:pPr>
            <w:r>
              <w:rPr>
                <w:color w:val="000000"/>
                <w:sz w:val="20"/>
              </w:rPr>
              <w:t>85.888.481,00</w:t>
            </w:r>
          </w:p>
        </w:tc>
      </w:tr>
    </w:tbl>
    <w:p w14:paraId="6209D2BF" w14:textId="77777777" w:rsidR="00A77B3E" w:rsidRDefault="00A77B3E">
      <w:pPr>
        <w:spacing w:before="5pt"/>
        <w:rPr>
          <w:color w:val="000000"/>
          <w:sz w:val="20"/>
        </w:rPr>
      </w:pPr>
    </w:p>
    <w:p w14:paraId="2DE6D822" w14:textId="77777777" w:rsidR="00A77B3E" w:rsidRDefault="00B16CCF">
      <w:pPr>
        <w:pStyle w:val="Naslov5"/>
        <w:spacing w:before="5pt" w:after="0pt"/>
        <w:rPr>
          <w:b w:val="0"/>
          <w:i w:val="0"/>
          <w:color w:val="000000"/>
          <w:sz w:val="24"/>
        </w:rPr>
      </w:pPr>
      <w:bookmarkStart w:id="349" w:name="_Toc256001110"/>
      <w:r>
        <w:rPr>
          <w:b w:val="0"/>
          <w:i w:val="0"/>
          <w:color w:val="000000"/>
          <w:sz w:val="24"/>
        </w:rPr>
        <w:t>Tabela 7: Razsežnost 6 – sekundarna področja ESS+</w:t>
      </w:r>
      <w:bookmarkEnd w:id="349"/>
    </w:p>
    <w:p w14:paraId="0BFE55A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117"/>
        <w:gridCol w:w="2877"/>
        <w:gridCol w:w="1780"/>
        <w:gridCol w:w="2982"/>
        <w:gridCol w:w="2259"/>
        <w:gridCol w:w="2157"/>
      </w:tblGrid>
      <w:tr w:rsidR="00823317" w14:paraId="734CED9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290EE9"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D2DC44E"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D0BF00"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3C3499"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BAA400"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328CB7" w14:textId="77777777" w:rsidR="00A77B3E" w:rsidRDefault="00B16CCF">
            <w:pPr>
              <w:spacing w:before="5pt"/>
              <w:jc w:val="center"/>
              <w:rPr>
                <w:color w:val="000000"/>
                <w:sz w:val="20"/>
              </w:rPr>
            </w:pPr>
            <w:r>
              <w:rPr>
                <w:color w:val="000000"/>
                <w:sz w:val="20"/>
              </w:rPr>
              <w:t>Znesek (v EUR)</w:t>
            </w:r>
          </w:p>
        </w:tc>
      </w:tr>
    </w:tbl>
    <w:p w14:paraId="6942D081" w14:textId="77777777" w:rsidR="00A77B3E" w:rsidRDefault="00A77B3E">
      <w:pPr>
        <w:spacing w:before="5pt"/>
        <w:rPr>
          <w:color w:val="000000"/>
          <w:sz w:val="20"/>
        </w:rPr>
      </w:pPr>
    </w:p>
    <w:p w14:paraId="4345D661" w14:textId="77777777" w:rsidR="00A77B3E" w:rsidRDefault="00B16CCF">
      <w:pPr>
        <w:pStyle w:val="Naslov5"/>
        <w:spacing w:before="5pt" w:after="0pt"/>
        <w:rPr>
          <w:b w:val="0"/>
          <w:i w:val="0"/>
          <w:color w:val="000000"/>
          <w:sz w:val="24"/>
        </w:rPr>
      </w:pPr>
      <w:bookmarkStart w:id="350" w:name="_Toc256001111"/>
      <w:r>
        <w:rPr>
          <w:b w:val="0"/>
          <w:i w:val="0"/>
          <w:color w:val="000000"/>
          <w:sz w:val="24"/>
        </w:rPr>
        <w:t>Tabela 8: Razsežnost 7 – razsežnost enakosti spolov v okviru ESS+*, ESRR, Kohezijskega sklada in SPP</w:t>
      </w:r>
      <w:bookmarkEnd w:id="350"/>
    </w:p>
    <w:p w14:paraId="693E283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13"/>
        <w:gridCol w:w="2411"/>
        <w:gridCol w:w="1750"/>
        <w:gridCol w:w="2498"/>
        <w:gridCol w:w="2612"/>
        <w:gridCol w:w="3288"/>
      </w:tblGrid>
      <w:tr w:rsidR="00823317" w14:paraId="410F3BB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98E1A8"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159530"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094441"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D8C4815"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B618A2"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DBD1DF" w14:textId="77777777" w:rsidR="00A77B3E" w:rsidRDefault="00B16CCF">
            <w:pPr>
              <w:spacing w:before="5pt"/>
              <w:jc w:val="center"/>
              <w:rPr>
                <w:color w:val="000000"/>
                <w:sz w:val="20"/>
              </w:rPr>
            </w:pPr>
            <w:r>
              <w:rPr>
                <w:color w:val="000000"/>
                <w:sz w:val="20"/>
              </w:rPr>
              <w:t>Znesek (v EUR)</w:t>
            </w:r>
          </w:p>
        </w:tc>
      </w:tr>
      <w:tr w:rsidR="00823317" w14:paraId="55D55D4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73B8CD" w14:textId="77777777" w:rsidR="00A77B3E" w:rsidRDefault="00B16CCF">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853C9A" w14:textId="77777777" w:rsidR="00A77B3E" w:rsidRDefault="00B16CCF">
            <w:pPr>
              <w:spacing w:before="5pt"/>
              <w:rPr>
                <w:color w:val="000000"/>
                <w:sz w:val="20"/>
              </w:rPr>
            </w:pPr>
            <w:r>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72DF9F"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F9CFEB"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AA5FA2" w14:textId="77777777" w:rsidR="00A77B3E" w:rsidRDefault="00B16CCF">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23ADF5" w14:textId="77777777" w:rsidR="00A77B3E" w:rsidRDefault="00B16CCF">
            <w:pPr>
              <w:spacing w:before="5pt"/>
              <w:jc w:val="end"/>
              <w:rPr>
                <w:color w:val="000000"/>
                <w:sz w:val="20"/>
              </w:rPr>
            </w:pPr>
            <w:r>
              <w:rPr>
                <w:color w:val="000000"/>
                <w:sz w:val="20"/>
              </w:rPr>
              <w:t>85.888.481,00</w:t>
            </w:r>
          </w:p>
        </w:tc>
      </w:tr>
      <w:tr w:rsidR="00823317" w14:paraId="0872E06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676ADD" w14:textId="77777777" w:rsidR="00A77B3E" w:rsidRDefault="00B16CCF">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7BA1D7" w14:textId="77777777" w:rsidR="00A77B3E" w:rsidRDefault="00B16CCF">
            <w:pPr>
              <w:spacing w:before="5pt"/>
              <w:rPr>
                <w:color w:val="000000"/>
                <w:sz w:val="20"/>
              </w:rPr>
            </w:pPr>
            <w:r>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FC6AD4"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9B29E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A41395"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901498" w14:textId="77777777" w:rsidR="00A77B3E" w:rsidRDefault="00B16CCF">
            <w:pPr>
              <w:spacing w:before="5pt"/>
              <w:jc w:val="end"/>
              <w:rPr>
                <w:color w:val="000000"/>
                <w:sz w:val="20"/>
              </w:rPr>
            </w:pPr>
            <w:r>
              <w:rPr>
                <w:color w:val="000000"/>
                <w:sz w:val="20"/>
              </w:rPr>
              <w:t>85.888.481,00</w:t>
            </w:r>
          </w:p>
        </w:tc>
      </w:tr>
    </w:tbl>
    <w:p w14:paraId="3A180A24" w14:textId="77777777" w:rsidR="00A77B3E" w:rsidRDefault="00B16CCF">
      <w:pPr>
        <w:spacing w:before="5pt"/>
        <w:rPr>
          <w:color w:val="000000"/>
          <w:sz w:val="20"/>
        </w:rPr>
      </w:pPr>
      <w:r>
        <w:rPr>
          <w:color w:val="000000"/>
          <w:sz w:val="20"/>
        </w:rPr>
        <w:t>* Načeloma 40 % za ESS+ prispeva k spremljanju enakosti spolov. 100 % se uporabi, kadar se država članica odloči za uporabo člena 6 uredbe o ESS+.</w:t>
      </w:r>
    </w:p>
    <w:p w14:paraId="4749D36E" w14:textId="77777777" w:rsidR="00A77B3E" w:rsidRDefault="00B16CCF">
      <w:pPr>
        <w:pStyle w:val="Naslov4"/>
        <w:spacing w:before="5pt" w:after="0pt"/>
        <w:rPr>
          <w:b w:val="0"/>
          <w:color w:val="000000"/>
          <w:sz w:val="24"/>
        </w:rPr>
      </w:pPr>
      <w:r>
        <w:rPr>
          <w:b w:val="0"/>
          <w:color w:val="000000"/>
          <w:sz w:val="24"/>
        </w:rPr>
        <w:br w:type="page"/>
      </w:r>
      <w:bookmarkStart w:id="351" w:name="_Toc256001112"/>
      <w:r>
        <w:rPr>
          <w:b w:val="0"/>
          <w:color w:val="000000"/>
          <w:sz w:val="24"/>
        </w:rPr>
        <w:lastRenderedPageBreak/>
        <w:t>2.1.1.1. Specifični cilj: RSO3.1. Razvoj pametnega, varnega, trajnostnega in intermodalnega omrežja TEN-T, odpornega proti podnebnim spremembam (Kohezijski sklad)</w:t>
      </w:r>
      <w:bookmarkEnd w:id="351"/>
    </w:p>
    <w:p w14:paraId="76410052" w14:textId="77777777" w:rsidR="00A77B3E" w:rsidRDefault="00A77B3E">
      <w:pPr>
        <w:spacing w:before="5pt"/>
        <w:rPr>
          <w:color w:val="000000"/>
          <w:sz w:val="0"/>
        </w:rPr>
      </w:pPr>
    </w:p>
    <w:p w14:paraId="36B63011" w14:textId="77777777" w:rsidR="00A77B3E" w:rsidRDefault="00B16CCF">
      <w:pPr>
        <w:pStyle w:val="Naslov4"/>
        <w:spacing w:before="5pt" w:after="0pt"/>
        <w:rPr>
          <w:b w:val="0"/>
          <w:color w:val="000000"/>
          <w:sz w:val="24"/>
        </w:rPr>
      </w:pPr>
      <w:bookmarkStart w:id="352" w:name="_Toc256001113"/>
      <w:r>
        <w:rPr>
          <w:b w:val="0"/>
          <w:color w:val="000000"/>
          <w:sz w:val="24"/>
        </w:rPr>
        <w:t>2.1.1.1.1. Ukrepi skladov</w:t>
      </w:r>
      <w:bookmarkEnd w:id="352"/>
    </w:p>
    <w:p w14:paraId="065ED3C5" w14:textId="77777777" w:rsidR="00A77B3E" w:rsidRDefault="00A77B3E">
      <w:pPr>
        <w:spacing w:before="5pt"/>
        <w:rPr>
          <w:color w:val="000000"/>
          <w:sz w:val="0"/>
        </w:rPr>
      </w:pPr>
    </w:p>
    <w:p w14:paraId="7EEEED00" w14:textId="77777777" w:rsidR="00A77B3E" w:rsidRDefault="00B16CCF">
      <w:pPr>
        <w:spacing w:before="5pt"/>
        <w:rPr>
          <w:color w:val="000000"/>
          <w:sz w:val="0"/>
        </w:rPr>
      </w:pPr>
      <w:r>
        <w:rPr>
          <w:color w:val="000000"/>
        </w:rPr>
        <w:t>Sklic: člen 22(3)(d)(i), (iii), (iv), (v), (vi) in (vii) uredbe o skupnih določbah</w:t>
      </w:r>
    </w:p>
    <w:p w14:paraId="2F07214C" w14:textId="77777777" w:rsidR="00A77B3E" w:rsidRDefault="00B16CCF">
      <w:pPr>
        <w:pStyle w:val="Naslov5"/>
        <w:spacing w:before="5pt" w:after="0pt"/>
        <w:rPr>
          <w:b w:val="0"/>
          <w:i w:val="0"/>
          <w:color w:val="000000"/>
          <w:sz w:val="24"/>
        </w:rPr>
      </w:pPr>
      <w:bookmarkStart w:id="353" w:name="_Toc256001114"/>
      <w:r>
        <w:rPr>
          <w:b w:val="0"/>
          <w:i w:val="0"/>
          <w:color w:val="000000"/>
          <w:sz w:val="24"/>
        </w:rPr>
        <w:t>Povezane vrste ukrepov – člen 22(3)(d)(i) uredbe o skupnih določbah in člen 6 uredbe o ESS+:</w:t>
      </w:r>
      <w:bookmarkEnd w:id="353"/>
    </w:p>
    <w:p w14:paraId="3F9523A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53C029FE"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8646C3" w14:textId="77777777" w:rsidR="00A77B3E" w:rsidRDefault="00A77B3E">
            <w:pPr>
              <w:spacing w:before="5pt"/>
              <w:rPr>
                <w:color w:val="000000"/>
                <w:sz w:val="0"/>
              </w:rPr>
            </w:pPr>
          </w:p>
          <w:p w14:paraId="55559967" w14:textId="77777777" w:rsidR="00A77B3E" w:rsidRDefault="00B16CCF">
            <w:pPr>
              <w:spacing w:before="5pt"/>
              <w:rPr>
                <w:color w:val="000000"/>
              </w:rPr>
            </w:pPr>
            <w:r>
              <w:rPr>
                <w:color w:val="000000"/>
              </w:rPr>
              <w:t>Z ukrepi se bo prispevalo k zmanjšanju emisij TPG v najbolj ključnem sektorju, to je prometu. Strategija razvoja prometa v Republiki Sloveniji do leta 2030 (v nadaljevanju: SRP)[1] in Resolucija o nacionalnem programu razvoja prometa v Republiki Sloveniji v obdobju do 2030[2], sta ključna strateška dokumenta, ki na podlagi rezultatov strokovnih prometnih, funkcionalnih, okoljskih, socialnih in drugih analiz, določata potrebne ukrepe na področju prometa do leta 2030. Izbrani ukrepi temeljijo večinoma na posebnem analitičnem instrumentu, nacionalnem prometnem modelu, ki upošteva sedanjo in prihodnjo ponudbo prometnih omrežij ter sedanje in pričakovano prihodnje prometno povpraševanje. Specifični cilj SRP je izboljšanje prometnih povezav s sosednjimi državami in usklajevanje s sosednjimi državami, kar pomeni zagotavljanje zadostne zmogljivosti omrežja, ki ustreza tudi standardom TEN-T ter tudi izboljšanje varnosti cestne infrastrukture. Republika Slovenija pa se je v skladu z zahtevami evropske uredbe TEN-T (Uredba EU 1315/2013) zavezala, da bomo do leta 2030 dosegli standarde na jedrnem železniškem omrežju TEN-T. Poleg tega Slovenija v skladu z evropsko direktivo 2008/96/ES zagotavlja sistematičen postopek inšpekcijskega nadzora varnosti cestne infrastrukture, ki poteka v vseh fazah načrtovanja in delovanja cestne infrastrukture.</w:t>
            </w:r>
          </w:p>
          <w:p w14:paraId="4FEAFA34" w14:textId="77777777" w:rsidR="00A77B3E" w:rsidRDefault="00A77B3E">
            <w:pPr>
              <w:spacing w:before="5pt"/>
              <w:rPr>
                <w:color w:val="000000"/>
              </w:rPr>
            </w:pPr>
          </w:p>
          <w:p w14:paraId="048D8B6A" w14:textId="77777777" w:rsidR="00A77B3E" w:rsidRDefault="00B16CCF">
            <w:pPr>
              <w:spacing w:before="5pt"/>
              <w:rPr>
                <w:color w:val="000000"/>
              </w:rPr>
            </w:pPr>
            <w:r>
              <w:rPr>
                <w:color w:val="000000"/>
              </w:rPr>
              <w:t>Tako so na podlagi napovedi prometnih tokov, prometne varnosti, vplivov na okolje in družbene sprejemljivosti v okviru tega specifičnega cilja izbrani ukrepi, ki imajo poleg nacionalnega strateškega pomena tudi visoko evropsko dodano vrednost, saj prestavljajo pomembne odseke na TEN-T omrežju. V prvi vrsti bomo zato vlagali v posodobitev železniške infrastrukture na sredozemskem in baltsko-jadranskem koridorju ter koridorju Zahodni Balkan-vzhodno Sredozemlje (Uredba (EU) 1679/2024), s katero bomo prispevali tudi k izpolnjevanju zavez, ki izhajajo iz evropske TEN-T uredbe. To so ukrepi, ki se nanašajo ne le na infrastrukturo, temveč tudi na organizacijo, vodenje prometa in prometno varnost. Pri izbiri ukrepov se je prizadevalo za maksimalno izkoriščenost zmogljivosti obstoječe prometne infrastrukture.</w:t>
            </w:r>
          </w:p>
          <w:p w14:paraId="452A11E9" w14:textId="77777777" w:rsidR="00A77B3E" w:rsidRDefault="00A77B3E">
            <w:pPr>
              <w:spacing w:before="5pt"/>
              <w:rPr>
                <w:color w:val="000000"/>
              </w:rPr>
            </w:pPr>
          </w:p>
          <w:p w14:paraId="79FDFE85" w14:textId="77777777" w:rsidR="00A77B3E" w:rsidRDefault="00B16CCF">
            <w:pPr>
              <w:spacing w:before="5pt"/>
              <w:rPr>
                <w:color w:val="000000"/>
              </w:rPr>
            </w:pPr>
            <w:r>
              <w:rPr>
                <w:color w:val="000000"/>
              </w:rPr>
              <w:t>V skladu z navedenim sta predvidena naslednja 2 sklopa ukrepov:</w:t>
            </w:r>
          </w:p>
          <w:p w14:paraId="201A1D38" w14:textId="77777777" w:rsidR="00A77B3E" w:rsidRDefault="00B16CCF">
            <w:pPr>
              <w:spacing w:before="5pt"/>
              <w:rPr>
                <w:color w:val="000000"/>
              </w:rPr>
            </w:pPr>
            <w:r>
              <w:rPr>
                <w:color w:val="000000"/>
              </w:rPr>
              <w:t>•</w:t>
            </w:r>
            <w:r>
              <w:rPr>
                <w:i/>
                <w:iCs/>
                <w:color w:val="000000"/>
              </w:rPr>
              <w:t xml:space="preserve">investicije v posodobitev in nadgradnjo železniškega omrežja TEN-T za izboljšanje učinkovitosti prevoza potnikov in tovora za doseganje TEN-T standardov ter umik tranzitnega tovornega prometa iz središč mest in urbanih naselij, </w:t>
            </w:r>
            <w:r>
              <w:rPr>
                <w:color w:val="000000"/>
              </w:rPr>
              <w:t>in sicer so predvidene naslednje investicije:</w:t>
            </w:r>
          </w:p>
          <w:p w14:paraId="24DFAC36" w14:textId="77777777" w:rsidR="00A77B3E" w:rsidRDefault="00B16CCF">
            <w:pPr>
              <w:spacing w:before="5pt"/>
              <w:rPr>
                <w:color w:val="000000"/>
              </w:rPr>
            </w:pPr>
            <w:r>
              <w:rPr>
                <w:color w:val="000000"/>
              </w:rPr>
              <w:t>o</w:t>
            </w:r>
            <w:r>
              <w:rPr>
                <w:i/>
                <w:iCs/>
                <w:color w:val="000000"/>
              </w:rPr>
              <w:t xml:space="preserve">nadgradnja železniške proge d. m.–Dobova–Zidani Most – 1. faza: odsek d.m.-Dobova-Sevnica: </w:t>
            </w:r>
            <w:r>
              <w:rPr>
                <w:color w:val="000000"/>
              </w:rPr>
              <w:t>odsek proge d. m.–Dobova–Zidani Most je del jedrnega omrežja TEN-T in sredozemskega koridorja ter predstavlja glavno prometno železniško povezavo Slovenije s Hrvaško. Proga sicer zagotavlja osno obremenitev 22,5 t, vendar je ta zaradi starosti in dotrajanosti elementov zgornjega ter spodnjega ustroja poslabšana, enako kakor tudi elementi voznega omrežja. Na predmetnem odseku je omogočeno obratovanje tovornih vlakov dolžine do največ 570 m. Prepustna zmogljivost proge je kritična, v času zapore enega tira se ta še poslabša. Zaradi nivojskih dostopov na perone je potrebno zagotavljati varovanje potnikov na postajah in postajališčih. Posamezna nivojska križanja železniške proge s cesto se še vedno nahajajo na glavnih postajnih tirih, znotraj uvoznih in izvoznih kretnic.</w:t>
            </w:r>
          </w:p>
          <w:p w14:paraId="33DE564E" w14:textId="77777777" w:rsidR="00A77B3E" w:rsidRDefault="00B16CCF">
            <w:pPr>
              <w:spacing w:before="5pt"/>
              <w:rPr>
                <w:color w:val="000000"/>
              </w:rPr>
            </w:pPr>
            <w:r>
              <w:rPr>
                <w:color w:val="000000"/>
              </w:rPr>
              <w:lastRenderedPageBreak/>
              <w:t>Po izvedeni nadgradnji bodo na predmetnem odseku: odpravljeno ozko grlo z vidika doseganja zahtev TEN-T, omogočeno obratovanje daljših tovornih vlakov, povečana potovalna hitrost vlakov in zmogljivost proge, zagotovljena interoperabilnost ter izpolnjene zahteve tehničnih specifikacij, povečana prometna varnost, zmanjšana obremenjenost s hrupom na poselitvenih območjih, izboljšana dostopnost do posameznih regij in medregijska povezava.</w:t>
            </w:r>
          </w:p>
          <w:p w14:paraId="73A1BB22" w14:textId="77777777" w:rsidR="00A77B3E" w:rsidRDefault="00B16CCF">
            <w:pPr>
              <w:spacing w:before="5pt"/>
              <w:rPr>
                <w:color w:val="000000"/>
              </w:rPr>
            </w:pPr>
            <w:r>
              <w:rPr>
                <w:color w:val="000000"/>
              </w:rPr>
              <w:t>V okviru 1. faze projekta se bo nadgradilo 25,9 km železniške proge, in sicer: izvedla se bo nadgradnja 4 postaj (Sevnica, Dobova, Krško in Brestanica) ter nadgradnja odsekov d.m-Dobova-Brežice in Krško-Sevnica. Dela bodo zajemala nadgradnjo zgornjega in spodnjega ustroja za zagotovitev kategorije proge D4 in svetlega profila GC, podaljšanje postajnih tirov za možnost obratovanja vlakov dolžine 740 m, nadgradnjo obstoječe peronske infrastrukture z ureditvijo izvennivojskega dostopa za funkcionalno ovirane osebe in kolesarje, prilagoditev SV TK naprav, ukinitev 7 nivojskih križanj cest z železniško progo in izvedbo protihrupnih ukrepov.</w:t>
            </w:r>
          </w:p>
          <w:p w14:paraId="1E950E86" w14:textId="77777777" w:rsidR="00A77B3E" w:rsidRDefault="00B16CCF">
            <w:pPr>
              <w:spacing w:before="5pt"/>
              <w:rPr>
                <w:color w:val="000000"/>
              </w:rPr>
            </w:pPr>
            <w:r>
              <w:rPr>
                <w:color w:val="000000"/>
              </w:rPr>
              <w:t>oKot rezervna projekta na železniškem TEN-T omrežju uvrščamo:</w:t>
            </w:r>
          </w:p>
          <w:p w14:paraId="575AF83B" w14:textId="77777777" w:rsidR="00A77B3E" w:rsidRDefault="00B16CCF">
            <w:pPr>
              <w:spacing w:before="5pt"/>
              <w:rPr>
                <w:color w:val="000000"/>
              </w:rPr>
            </w:pPr>
            <w:r>
              <w:rPr>
                <w:color w:val="000000"/>
              </w:rPr>
              <w:t>-</w:t>
            </w:r>
            <w:r>
              <w:rPr>
                <w:i/>
                <w:iCs/>
                <w:color w:val="000000"/>
              </w:rPr>
              <w:t>nadgradnjo železniške proge na odseku Ljubljana-Kranj ter železniških postaj Kranj, Podnart in Lesce-Bled,</w:t>
            </w:r>
            <w:r>
              <w:rPr>
                <w:color w:val="000000"/>
              </w:rPr>
              <w:t xml:space="preserve"> ki predstavlja ozko grlo na javni železniški infrastrukturi v Sloveniji in na obeh TEN-T koridorjih (sredozemskem in baltsko-jadranskem);</w:t>
            </w:r>
          </w:p>
          <w:p w14:paraId="57F1C932" w14:textId="77777777" w:rsidR="00A77B3E" w:rsidRDefault="00B16CCF">
            <w:pPr>
              <w:spacing w:before="5pt"/>
              <w:rPr>
                <w:color w:val="000000"/>
              </w:rPr>
            </w:pPr>
            <w:r>
              <w:rPr>
                <w:color w:val="000000"/>
              </w:rPr>
              <w:t>-</w:t>
            </w:r>
            <w:r>
              <w:rPr>
                <w:i/>
                <w:iCs/>
                <w:color w:val="000000"/>
              </w:rPr>
              <w:t>nadgradnja železniške postaje Ljubljana (sklop B in C),</w:t>
            </w:r>
            <w:r>
              <w:rPr>
                <w:color w:val="000000"/>
              </w:rPr>
              <w:t xml:space="preserve"> ki je najpomembnejše železniško vozlišče na državni ravni in zelo pomembno jedrno vozlišče prometnega omrežja TEN-T, preko katerega potekata Baltsko-jadranski koridor, Sredozemski koridor in koridor Zahodni Balkan-vzhodno Sredozemlje. Projekt je bil sprva predviden za financiranje iz Načrta za okrevanje in odpornost (NOO), vendar je bil zaradi kompleksnosti izvedbe in večje fleksibilnosti pri upravljanju tveganj prenesen v program kohezijske politike 2021–2027 (PEKP). V okviru spremembe NOO sta kot prispevek k cilju zdaj upoštevani le nadgradnji železniških postaj Ljubljana – faza A (nadhod čez Dunajsko) in Nova Gorica. Za fazi B in C je pripravljena ločena investicijska dokumentacija, zagotovljeno je tudi ločeno financiranje in sklenjene so ločene pogodbe o izvedbi del.</w:t>
            </w:r>
          </w:p>
          <w:p w14:paraId="71C0743A" w14:textId="77777777" w:rsidR="00A77B3E" w:rsidRDefault="00A77B3E">
            <w:pPr>
              <w:spacing w:before="5pt"/>
              <w:rPr>
                <w:color w:val="000000"/>
              </w:rPr>
            </w:pPr>
          </w:p>
          <w:p w14:paraId="7F37D8F1" w14:textId="77777777" w:rsidR="00A77B3E" w:rsidRDefault="00B16CCF">
            <w:pPr>
              <w:spacing w:before="5pt"/>
              <w:rPr>
                <w:color w:val="000000"/>
              </w:rPr>
            </w:pPr>
            <w:r>
              <w:rPr>
                <w:color w:val="000000"/>
              </w:rPr>
              <w:t>•</w:t>
            </w:r>
            <w:r>
              <w:rPr>
                <w:i/>
                <w:iCs/>
                <w:color w:val="000000"/>
              </w:rPr>
              <w:t xml:space="preserve">projekti na državnih cestah na podlagi njihovega pozitivnega vpliva na prometno varnost: </w:t>
            </w:r>
            <w:r>
              <w:rPr>
                <w:color w:val="000000"/>
              </w:rPr>
              <w:t>sodobna gradnja in novi inteligentni transportni sistem (v nadaljevanju: IITS) ukrepi bodo močno izboljšali obstoječe stanje cestne infrastrukture in rešili težave na obremenjenih območjih. Predviden je ukrep:</w:t>
            </w:r>
          </w:p>
          <w:p w14:paraId="1C8A89C4" w14:textId="77777777" w:rsidR="00A77B3E" w:rsidRDefault="00B16CCF">
            <w:pPr>
              <w:spacing w:before="5pt"/>
              <w:rPr>
                <w:color w:val="000000"/>
              </w:rPr>
            </w:pPr>
            <w:r>
              <w:rPr>
                <w:color w:val="000000"/>
              </w:rPr>
              <w:t>o</w:t>
            </w:r>
            <w:r>
              <w:rPr>
                <w:i/>
                <w:iCs/>
                <w:color w:val="000000"/>
              </w:rPr>
              <w:t xml:space="preserve">sanacija 1. cevi predora Karavanke: </w:t>
            </w:r>
            <w:r>
              <w:rPr>
                <w:color w:val="000000"/>
              </w:rPr>
              <w:t>obstoječi avtocestni predor Karavanke je enocevni dvosmerni predor, ki povezuje Slovenijo z Avstrijo. Predorska cev je bila zgrajena leta 1991. Zaradi manjše gostote prometa je bila takrat zgrajena le zahodna cev, predor pa je bil načrtovan za nadgradnjo v dvojno cev pozneje. Druga cev predora je trenutno v izgradnji. Na podlagi rezultatov glavnih pregledov je bil izdelan podroben katalog škode, ki ponuja celovit pregled stanja prve cevi predora. Doslej je bilo ugotovljenih več pomanjkljivosti, med drugim poškodbe notranje obloge ali tunelskega loka, poškodbe konstrukcije vozišča in robnikov itd. Večina zabeleženih anomalij je bila v preteklosti odpravljenih. Skupaj z avstrijsko stranjo je bilo dogovorjeno, da se sanacija obstoječe cevi predora Karavanke začne takoj, ko bo nova cev predora začela obratovati. Do takrat bodo nekateri deli predora že presegli svojo življenjsko dobo, zato je potrebno načrtovati celovito sanacijo ali zamenjavo teh sistemov. V primeru, da se sanacija 1. cevi predora Karavanke ne izvede, lahko realno pričakujemo zaprtje ali delno zaprtje predora zaradi deformacije talnega oboka, potrebe po sanaciji drenažnega sistema in ostalih elementov. V tem primeru preusmeritev prometa iz ene v dve predorske cevi ne bo možna, zato situacija tudi po izgradnji nove cevi ne bo bistveno boljša kot je trenutno. Promet bo moral še vedno teči dvosmerno v eni cevi ob dejstvu, da je nova cev projektirana za enosmerni promet in npr. nima odstavnih niš na zahodni strani vozišča (v smeri proti Sloveniji). To močno vpliva na pretočnost in prometno varnost tako na AC omrežju kot tudi na ostalem cestnem omrežju. Glede na trend naraščanja prometa, ki je že presegel vrednosti iz leta 2019, lahko pričakujemo vedno večje zastoje tako pred predorom, kot tudi na preostalem cestnem omrežju, saj se bi del prometa v tem primeru zagotovo preusmeril tako na državne ceste kot na štajerski krak AC, ki je že v tem trenutku preobremenjen.</w:t>
            </w:r>
          </w:p>
          <w:p w14:paraId="09D3F38E" w14:textId="77777777" w:rsidR="00A77B3E" w:rsidRDefault="00A77B3E">
            <w:pPr>
              <w:spacing w:before="5pt"/>
              <w:rPr>
                <w:color w:val="000000"/>
              </w:rPr>
            </w:pPr>
          </w:p>
          <w:p w14:paraId="23334FC7" w14:textId="77777777" w:rsidR="00A77B3E" w:rsidRDefault="00B16CCF">
            <w:pPr>
              <w:spacing w:before="5pt"/>
              <w:rPr>
                <w:color w:val="000000"/>
              </w:rPr>
            </w:pPr>
            <w:r>
              <w:rPr>
                <w:color w:val="000000"/>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Noben izmed predvidenih ukrepov v okviru tega specifičnega cilja po svoji naravi nima bistvenega škodljivega vpliva na katerega koli od šestih okoljskih ciljev pod pogojem upoštevanja tehničnih meril, navedenih v Prilogi: DNSH.</w:t>
            </w:r>
          </w:p>
          <w:p w14:paraId="028839D2" w14:textId="77777777" w:rsidR="00A77B3E" w:rsidRDefault="00B16CCF">
            <w:pPr>
              <w:spacing w:before="5pt"/>
              <w:rPr>
                <w:color w:val="000000"/>
              </w:rPr>
            </w:pPr>
            <w:r>
              <w:rPr>
                <w:color w:val="000000"/>
              </w:rPr>
              <w:t>[1] Ministrstvo za infrastrukturo, Strategija razvoja prometa v Republiki Sloveniji do leta 2030. Dostopno na: https://www.gov.si/assets/ministrstva/MzI/Dokumenti/Strategija-razvoja-prometa-v-Republiki-Sloveniji-do-leta-2030.pdf.</w:t>
            </w:r>
          </w:p>
          <w:p w14:paraId="3F1EED6E" w14:textId="77777777" w:rsidR="00A77B3E" w:rsidRDefault="00B16CCF">
            <w:pPr>
              <w:spacing w:before="5pt"/>
              <w:rPr>
                <w:color w:val="000000"/>
              </w:rPr>
            </w:pPr>
            <w:r>
              <w:rPr>
                <w:color w:val="000000"/>
              </w:rPr>
              <w:t>[2] Resolucija o nacionalnem programu razvoja prometa v Republiki Sloveniji v obdobju do 2030 (Uradni list RS, št. 75/16 in 90/21). Dostopno na: http://www.pisrs.si/Pis.web/pregledPredpisa?id=RESO115.</w:t>
            </w:r>
          </w:p>
          <w:p w14:paraId="20875B06" w14:textId="77777777" w:rsidR="00A77B3E" w:rsidRDefault="00A77B3E">
            <w:pPr>
              <w:spacing w:before="5pt"/>
              <w:rPr>
                <w:color w:val="000000"/>
                <w:sz w:val="6"/>
              </w:rPr>
            </w:pPr>
          </w:p>
          <w:p w14:paraId="03BBB94B" w14:textId="77777777" w:rsidR="00A77B3E" w:rsidRDefault="00A77B3E">
            <w:pPr>
              <w:spacing w:before="5pt"/>
              <w:rPr>
                <w:color w:val="000000"/>
                <w:sz w:val="6"/>
              </w:rPr>
            </w:pPr>
          </w:p>
        </w:tc>
      </w:tr>
    </w:tbl>
    <w:p w14:paraId="0E17D483" w14:textId="77777777" w:rsidR="00A77B3E" w:rsidRDefault="00A77B3E">
      <w:pPr>
        <w:spacing w:before="5pt"/>
        <w:rPr>
          <w:color w:val="000000"/>
        </w:rPr>
      </w:pPr>
    </w:p>
    <w:p w14:paraId="434053E5" w14:textId="77777777" w:rsidR="00A77B3E" w:rsidRDefault="00B16CCF">
      <w:pPr>
        <w:pStyle w:val="Naslov5"/>
        <w:spacing w:before="5pt" w:after="0pt"/>
        <w:rPr>
          <w:b w:val="0"/>
          <w:i w:val="0"/>
          <w:color w:val="000000"/>
          <w:sz w:val="24"/>
        </w:rPr>
      </w:pPr>
      <w:bookmarkStart w:id="354" w:name="_Toc256001115"/>
      <w:r>
        <w:rPr>
          <w:b w:val="0"/>
          <w:i w:val="0"/>
          <w:color w:val="000000"/>
          <w:sz w:val="24"/>
        </w:rPr>
        <w:t>Glavne ciljne skupine – člen 22(3)(d)(iii) uredbe o skupnih določbah:</w:t>
      </w:r>
      <w:bookmarkEnd w:id="354"/>
    </w:p>
    <w:p w14:paraId="15DF5BC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79883010"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D07DC4" w14:textId="77777777" w:rsidR="00A77B3E" w:rsidRDefault="00A77B3E">
            <w:pPr>
              <w:spacing w:before="5pt"/>
              <w:rPr>
                <w:color w:val="000000"/>
                <w:sz w:val="0"/>
              </w:rPr>
            </w:pPr>
          </w:p>
          <w:p w14:paraId="3D75A2F1" w14:textId="77777777" w:rsidR="00A77B3E" w:rsidRDefault="00B16CCF">
            <w:pPr>
              <w:spacing w:before="5pt"/>
              <w:rPr>
                <w:color w:val="000000"/>
              </w:rPr>
            </w:pPr>
            <w:r>
              <w:rPr>
                <w:color w:val="000000"/>
              </w:rPr>
              <w:t>Ciljne skupine: upravljavci prometne infrastrukture, prevozniki blaga in potnikov, podjetja, javni sektor, lokalne skupnosti, prebivalci.</w:t>
            </w:r>
          </w:p>
          <w:p w14:paraId="64F8D01D" w14:textId="77777777" w:rsidR="00A77B3E" w:rsidRDefault="00A77B3E">
            <w:pPr>
              <w:spacing w:before="5pt"/>
              <w:rPr>
                <w:color w:val="000000"/>
              </w:rPr>
            </w:pPr>
          </w:p>
          <w:p w14:paraId="3854DD33" w14:textId="77777777" w:rsidR="00A77B3E" w:rsidRDefault="00B16CCF">
            <w:pPr>
              <w:spacing w:before="5pt"/>
              <w:rPr>
                <w:color w:val="000000"/>
              </w:rPr>
            </w:pPr>
            <w:r>
              <w:rPr>
                <w:color w:val="000000"/>
              </w:rPr>
              <w:t>Upravičenci: Direkcija za infrastrukturo (DRSI), Družba za avtoceste v Republiki Sloveniji (DARS).</w:t>
            </w:r>
          </w:p>
          <w:p w14:paraId="2AB6C040" w14:textId="77777777" w:rsidR="00A77B3E" w:rsidRDefault="00A77B3E">
            <w:pPr>
              <w:spacing w:before="5pt"/>
              <w:rPr>
                <w:color w:val="000000"/>
                <w:sz w:val="6"/>
              </w:rPr>
            </w:pPr>
          </w:p>
          <w:p w14:paraId="3FFA1F1B" w14:textId="77777777" w:rsidR="00A77B3E" w:rsidRDefault="00A77B3E">
            <w:pPr>
              <w:spacing w:before="5pt"/>
              <w:rPr>
                <w:color w:val="000000"/>
                <w:sz w:val="6"/>
              </w:rPr>
            </w:pPr>
          </w:p>
        </w:tc>
      </w:tr>
    </w:tbl>
    <w:p w14:paraId="78A8CD2C" w14:textId="77777777" w:rsidR="00A77B3E" w:rsidRDefault="00A77B3E">
      <w:pPr>
        <w:spacing w:before="5pt"/>
        <w:rPr>
          <w:color w:val="000000"/>
        </w:rPr>
      </w:pPr>
    </w:p>
    <w:p w14:paraId="7ED3F875" w14:textId="77777777" w:rsidR="00A77B3E" w:rsidRDefault="00B16CCF">
      <w:pPr>
        <w:pStyle w:val="Naslov5"/>
        <w:spacing w:before="5pt" w:after="0pt"/>
        <w:rPr>
          <w:b w:val="0"/>
          <w:i w:val="0"/>
          <w:color w:val="000000"/>
          <w:sz w:val="24"/>
        </w:rPr>
      </w:pPr>
      <w:bookmarkStart w:id="355" w:name="_Toc256001116"/>
      <w:r>
        <w:rPr>
          <w:b w:val="0"/>
          <w:i w:val="0"/>
          <w:color w:val="000000"/>
          <w:sz w:val="24"/>
        </w:rPr>
        <w:t>Ukrepi za zaščito enakosti, vključenosti in nediskriminacije – člen 22(3)(d)(iv) uredbe o skupnih določbah in člen 6 uredbe o ESS+</w:t>
      </w:r>
      <w:bookmarkEnd w:id="355"/>
    </w:p>
    <w:p w14:paraId="24EF9AD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47FE4768"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14DB97" w14:textId="77777777" w:rsidR="00A77B3E" w:rsidRDefault="00A77B3E">
            <w:pPr>
              <w:spacing w:before="5pt"/>
              <w:rPr>
                <w:color w:val="000000"/>
                <w:sz w:val="0"/>
              </w:rPr>
            </w:pPr>
          </w:p>
          <w:p w14:paraId="1638F864" w14:textId="77777777" w:rsidR="00A77B3E" w:rsidRDefault="00B16CCF">
            <w:pPr>
              <w:spacing w:before="5pt"/>
              <w:rPr>
                <w:color w:val="000000"/>
              </w:rPr>
            </w:pPr>
            <w:r>
              <w:rPr>
                <w:color w:val="000000"/>
              </w:rPr>
              <w:t xml:space="preserve">Pri načrtovanju, izvedbi in spremljanju ukrepov bodo spoštovana načela enakosti spolov, enakih možnosti in nediskriminacije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 </w:t>
            </w:r>
          </w:p>
          <w:p w14:paraId="229DC136" w14:textId="77777777" w:rsidR="00A77B3E" w:rsidRDefault="00A77B3E">
            <w:pPr>
              <w:spacing w:before="5pt"/>
              <w:rPr>
                <w:color w:val="000000"/>
              </w:rPr>
            </w:pPr>
          </w:p>
          <w:p w14:paraId="190A06E4" w14:textId="77777777" w:rsidR="00A77B3E" w:rsidRDefault="00B16CCF">
            <w:pPr>
              <w:spacing w:before="5pt"/>
              <w:rPr>
                <w:color w:val="000000"/>
              </w:rPr>
            </w:pPr>
            <w:r>
              <w:rPr>
                <w:color w:val="000000"/>
              </w:rPr>
              <w:lastRenderedPageBreak/>
              <w:t>Dodatno bodo pri izvajanju gradbenih ukrepov objekti izpolnjevali tehnične zahteve, s katerimi se prilagodijo tako, da so nediskriminatorni do vseh oblik začasne ali trajne invalidnosti in so prilagojeni ranljivim skupinam prebivalstva.</w:t>
            </w:r>
          </w:p>
          <w:p w14:paraId="30B71D3D" w14:textId="77777777" w:rsidR="00A77B3E" w:rsidRDefault="00A77B3E">
            <w:pPr>
              <w:spacing w:before="5pt"/>
              <w:rPr>
                <w:color w:val="000000"/>
                <w:sz w:val="6"/>
              </w:rPr>
            </w:pPr>
          </w:p>
          <w:p w14:paraId="7BE980C7" w14:textId="77777777" w:rsidR="00A77B3E" w:rsidRDefault="00A77B3E">
            <w:pPr>
              <w:spacing w:before="5pt"/>
              <w:rPr>
                <w:color w:val="000000"/>
                <w:sz w:val="6"/>
              </w:rPr>
            </w:pPr>
          </w:p>
        </w:tc>
      </w:tr>
    </w:tbl>
    <w:p w14:paraId="01063707" w14:textId="77777777" w:rsidR="00A77B3E" w:rsidRDefault="00A77B3E">
      <w:pPr>
        <w:spacing w:before="5pt"/>
        <w:rPr>
          <w:color w:val="000000"/>
        </w:rPr>
      </w:pPr>
    </w:p>
    <w:p w14:paraId="6679BDA4" w14:textId="77777777" w:rsidR="00A77B3E" w:rsidRDefault="00B16CCF">
      <w:pPr>
        <w:pStyle w:val="Naslov5"/>
        <w:spacing w:before="5pt" w:after="0pt"/>
        <w:rPr>
          <w:b w:val="0"/>
          <w:i w:val="0"/>
          <w:color w:val="000000"/>
          <w:sz w:val="24"/>
        </w:rPr>
      </w:pPr>
      <w:bookmarkStart w:id="356" w:name="_Toc256001117"/>
      <w:r>
        <w:rPr>
          <w:b w:val="0"/>
          <w:i w:val="0"/>
          <w:color w:val="000000"/>
          <w:sz w:val="24"/>
        </w:rPr>
        <w:t>Navedba specifičnih ciljnih ozemelj, vključno z načrtovano uporabo teritorialnih orodij – člen 22(3)(d)(v) uredbe o skupnih določbah</w:t>
      </w:r>
      <w:bookmarkEnd w:id="356"/>
    </w:p>
    <w:p w14:paraId="676D1BF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053A58C0"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D69A6F" w14:textId="77777777" w:rsidR="00A77B3E" w:rsidRDefault="00A77B3E">
            <w:pPr>
              <w:spacing w:before="5pt"/>
              <w:rPr>
                <w:color w:val="000000"/>
                <w:sz w:val="0"/>
              </w:rPr>
            </w:pPr>
          </w:p>
          <w:p w14:paraId="46EF8E02" w14:textId="77777777" w:rsidR="00A77B3E" w:rsidRDefault="00B16CCF">
            <w:pPr>
              <w:spacing w:before="5pt"/>
              <w:rPr>
                <w:color w:val="000000"/>
              </w:rPr>
            </w:pPr>
            <w:r>
              <w:rPr>
                <w:color w:val="000000"/>
              </w:rPr>
              <w:t>V okviru navedenega specifičnega cilja ni predvidena uporaba teritorialnih orodij.</w:t>
            </w:r>
          </w:p>
          <w:p w14:paraId="6F27BBF7" w14:textId="77777777" w:rsidR="00A77B3E" w:rsidRDefault="00A77B3E">
            <w:pPr>
              <w:spacing w:before="5pt"/>
              <w:rPr>
                <w:color w:val="000000"/>
                <w:sz w:val="6"/>
              </w:rPr>
            </w:pPr>
          </w:p>
          <w:p w14:paraId="6262D961" w14:textId="77777777" w:rsidR="00A77B3E" w:rsidRDefault="00A77B3E">
            <w:pPr>
              <w:spacing w:before="5pt"/>
              <w:rPr>
                <w:color w:val="000000"/>
                <w:sz w:val="6"/>
              </w:rPr>
            </w:pPr>
          </w:p>
        </w:tc>
      </w:tr>
    </w:tbl>
    <w:p w14:paraId="2A6B708E" w14:textId="77777777" w:rsidR="00A77B3E" w:rsidRDefault="00A77B3E">
      <w:pPr>
        <w:spacing w:before="5pt"/>
        <w:rPr>
          <w:color w:val="000000"/>
        </w:rPr>
      </w:pPr>
    </w:p>
    <w:p w14:paraId="76C9B0E7" w14:textId="77777777" w:rsidR="00A77B3E" w:rsidRDefault="00B16CCF">
      <w:pPr>
        <w:pStyle w:val="Naslov5"/>
        <w:spacing w:before="5pt" w:after="0pt"/>
        <w:rPr>
          <w:b w:val="0"/>
          <w:i w:val="0"/>
          <w:color w:val="000000"/>
          <w:sz w:val="24"/>
        </w:rPr>
      </w:pPr>
      <w:bookmarkStart w:id="357" w:name="_Toc256001118"/>
      <w:r>
        <w:rPr>
          <w:b w:val="0"/>
          <w:i w:val="0"/>
          <w:color w:val="000000"/>
          <w:sz w:val="24"/>
        </w:rPr>
        <w:t>Medregionalni, čezmejni in transnacionalni ukrepi – člen 22(3)(d)(vi) uredbe o skupnih določbah</w:t>
      </w:r>
      <w:bookmarkEnd w:id="357"/>
    </w:p>
    <w:p w14:paraId="32948C6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235F2DEC"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DAEFE9" w14:textId="77777777" w:rsidR="00A77B3E" w:rsidRDefault="00A77B3E">
            <w:pPr>
              <w:spacing w:before="5pt"/>
              <w:rPr>
                <w:color w:val="000000"/>
                <w:sz w:val="0"/>
              </w:rPr>
            </w:pPr>
          </w:p>
          <w:p w14:paraId="753282BA" w14:textId="77777777" w:rsidR="00A77B3E" w:rsidRDefault="00B16CCF">
            <w:pPr>
              <w:spacing w:before="5pt"/>
              <w:rPr>
                <w:color w:val="000000"/>
              </w:rPr>
            </w:pPr>
            <w:r>
              <w:rPr>
                <w:color w:val="000000"/>
              </w:rPr>
              <w:t>Ukrepi razvoja intermodalnega omrežja TEN-T so komplementarni s cilji in aktivnostmi, ki so del izvajanja EU makro-regionalnih strategij, katerih del je tudi Slovenija. V okviru Podonavske strategije (EUSDR), še posebej prednostnega področja 1b (izboljšanje multimodalnosti in mobilnosti – cestne, železniške in letalske povezave) predlagani projekti prispevajo k izboljšanju povezljivosti ter zmanjševanja razlik med prometnim omrežjem držav članic makro-regije. Posebej to velja za projekte vzdolž v predlogu revizije uredbe TEN-T novo predlaganega Zahodno-balkanskega prometnega koridorja (Western-Balkans Transport Corridor), in sicer npr.: a) nadgradnja železniške proge d. m.–Dobova–Zidani Most, b) nadgradnjo železniške proge na odseku Ljubljana-Kranj in c) sanacija 1. cevi predora Karavanke (obstoječega avtocestnega predora). Za uspešno izvedbo projekta Sanacije 1. cevi predora Karavanke sodelujemo z Zvezno deželo Koroško ter posameznimi ministrstvi Republike Avstrije, kot so: zveznim ministrstvom za evropske in mednarodne zadeve, zveznim ministrstvom za promet, inovacije in tehnologijo, zveznim ministrstvom za finance in zveznim ministrstvo za Evropo, integracijo in zunanje zadeve, prav tako pa tudi z avstrijskim avtocestnim upravljavcem ASFINAG.</w:t>
            </w:r>
          </w:p>
          <w:p w14:paraId="2DCE058B" w14:textId="77777777" w:rsidR="00A77B3E" w:rsidRDefault="00A77B3E">
            <w:pPr>
              <w:spacing w:before="5pt"/>
              <w:rPr>
                <w:color w:val="000000"/>
              </w:rPr>
            </w:pPr>
          </w:p>
          <w:p w14:paraId="53B77598" w14:textId="77777777" w:rsidR="00A77B3E" w:rsidRDefault="00B16CCF">
            <w:pPr>
              <w:spacing w:before="5pt"/>
              <w:rPr>
                <w:color w:val="000000"/>
              </w:rPr>
            </w:pPr>
            <w:r>
              <w:rPr>
                <w:color w:val="000000"/>
              </w:rPr>
              <w:t>Poleg tega so navedeni projekti pomembni za zaledne povezave s pristanišči v okviru izvajanja Jadransko-jonske makroregije (EUSAIR), medtem ko so za izvajanje Alpske makro-strategije (EUSALP) pomembni v luči izboljšanja čezmejnih povezav in razvoja intermodalnega prometa.</w:t>
            </w:r>
          </w:p>
          <w:p w14:paraId="402728BA" w14:textId="77777777" w:rsidR="00A77B3E" w:rsidRDefault="00A77B3E">
            <w:pPr>
              <w:spacing w:before="5pt"/>
              <w:rPr>
                <w:color w:val="000000"/>
                <w:sz w:val="6"/>
              </w:rPr>
            </w:pPr>
          </w:p>
          <w:p w14:paraId="39523F9D" w14:textId="77777777" w:rsidR="00A77B3E" w:rsidRDefault="00A77B3E">
            <w:pPr>
              <w:spacing w:before="5pt"/>
              <w:rPr>
                <w:color w:val="000000"/>
                <w:sz w:val="6"/>
              </w:rPr>
            </w:pPr>
          </w:p>
        </w:tc>
      </w:tr>
    </w:tbl>
    <w:p w14:paraId="15717FF1" w14:textId="77777777" w:rsidR="00A77B3E" w:rsidRDefault="00A77B3E">
      <w:pPr>
        <w:spacing w:before="5pt"/>
        <w:rPr>
          <w:color w:val="000000"/>
        </w:rPr>
      </w:pPr>
    </w:p>
    <w:p w14:paraId="3E4605C9" w14:textId="77777777" w:rsidR="00A77B3E" w:rsidRDefault="00B16CCF">
      <w:pPr>
        <w:pStyle w:val="Naslov5"/>
        <w:spacing w:before="5pt" w:after="0pt"/>
        <w:rPr>
          <w:b w:val="0"/>
          <w:i w:val="0"/>
          <w:color w:val="000000"/>
          <w:sz w:val="24"/>
        </w:rPr>
      </w:pPr>
      <w:bookmarkStart w:id="358" w:name="_Toc256001119"/>
      <w:r>
        <w:rPr>
          <w:b w:val="0"/>
          <w:i w:val="0"/>
          <w:color w:val="000000"/>
          <w:sz w:val="24"/>
        </w:rPr>
        <w:t>Načrtovana uporaba finančnih instrumentov – člen 22(3)(d)(vii) uredbe o skupnih določbah</w:t>
      </w:r>
      <w:bookmarkEnd w:id="358"/>
    </w:p>
    <w:p w14:paraId="1F58C39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64C6719C"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535975" w14:textId="77777777" w:rsidR="00A77B3E" w:rsidRDefault="00A77B3E">
            <w:pPr>
              <w:spacing w:before="5pt"/>
              <w:rPr>
                <w:color w:val="000000"/>
                <w:sz w:val="0"/>
              </w:rPr>
            </w:pPr>
          </w:p>
          <w:p w14:paraId="379BB7CB" w14:textId="77777777" w:rsidR="00A77B3E" w:rsidRDefault="00B16CCF">
            <w:pPr>
              <w:spacing w:before="5pt"/>
              <w:rPr>
                <w:color w:val="000000"/>
              </w:rPr>
            </w:pPr>
            <w:r>
              <w:rPr>
                <w:color w:val="000000"/>
              </w:rPr>
              <w:t>Predvidena je uporaba nepovratnih virov. V okviru predmetnega specifičnega cilja uporaba finančnih instrumentov v skladu z izsledki analize Predhodnih ocen potreb trga in vrzeli financiranja na trgu za izvajanje finančnih instrumentov v programskem obdobju 2021-2027 (julij 2022) namreč ni predvidena. Predlagani ukrepi ne ustvarjajo prihodkov oziroma prihrankov, zaradi česar uporaba finančnih instrumentov ni smiselna oziroma ustrezna.</w:t>
            </w:r>
          </w:p>
          <w:p w14:paraId="6BE6BBDD" w14:textId="77777777" w:rsidR="00A77B3E" w:rsidRDefault="00A77B3E">
            <w:pPr>
              <w:spacing w:before="5pt"/>
              <w:rPr>
                <w:color w:val="000000"/>
                <w:sz w:val="6"/>
              </w:rPr>
            </w:pPr>
          </w:p>
          <w:p w14:paraId="0DC1F451" w14:textId="77777777" w:rsidR="00A77B3E" w:rsidRDefault="00A77B3E">
            <w:pPr>
              <w:spacing w:before="5pt"/>
              <w:rPr>
                <w:color w:val="000000"/>
                <w:sz w:val="6"/>
              </w:rPr>
            </w:pPr>
          </w:p>
        </w:tc>
      </w:tr>
    </w:tbl>
    <w:p w14:paraId="2C0151A1" w14:textId="77777777" w:rsidR="00A77B3E" w:rsidRDefault="00A77B3E">
      <w:pPr>
        <w:spacing w:before="5pt"/>
        <w:rPr>
          <w:color w:val="000000"/>
        </w:rPr>
      </w:pPr>
    </w:p>
    <w:p w14:paraId="49A54CCD" w14:textId="77777777" w:rsidR="00A77B3E" w:rsidRDefault="00B16CCF">
      <w:pPr>
        <w:pStyle w:val="Naslov4"/>
        <w:spacing w:before="5pt" w:after="0pt"/>
        <w:rPr>
          <w:b w:val="0"/>
          <w:color w:val="000000"/>
          <w:sz w:val="24"/>
        </w:rPr>
      </w:pPr>
      <w:bookmarkStart w:id="359" w:name="_Toc256001120"/>
      <w:r>
        <w:rPr>
          <w:b w:val="0"/>
          <w:color w:val="000000"/>
          <w:sz w:val="24"/>
        </w:rPr>
        <w:t>2.1.1.1.2. Kazalniki</w:t>
      </w:r>
      <w:bookmarkEnd w:id="359"/>
    </w:p>
    <w:p w14:paraId="658040F8" w14:textId="77777777" w:rsidR="00A77B3E" w:rsidRDefault="00A77B3E">
      <w:pPr>
        <w:spacing w:before="5pt"/>
        <w:rPr>
          <w:color w:val="000000"/>
          <w:sz w:val="0"/>
        </w:rPr>
      </w:pPr>
    </w:p>
    <w:p w14:paraId="04494489" w14:textId="77777777" w:rsidR="00A77B3E" w:rsidRDefault="00B16CCF">
      <w:pPr>
        <w:spacing w:before="5pt"/>
        <w:rPr>
          <w:color w:val="000000"/>
          <w:sz w:val="0"/>
        </w:rPr>
      </w:pPr>
      <w:r>
        <w:rPr>
          <w:color w:val="000000"/>
        </w:rPr>
        <w:t>Sklic: člen 22(3)(d)(ii) uredbe o skupnih določbah in člen 8 uredbe o ESRR in Kohezijskem skladu</w:t>
      </w:r>
    </w:p>
    <w:p w14:paraId="09D6F877" w14:textId="77777777" w:rsidR="00A77B3E" w:rsidRDefault="00B16CCF">
      <w:pPr>
        <w:pStyle w:val="Naslov5"/>
        <w:spacing w:before="5pt" w:after="0pt"/>
        <w:rPr>
          <w:b w:val="0"/>
          <w:i w:val="0"/>
          <w:color w:val="000000"/>
          <w:sz w:val="24"/>
        </w:rPr>
      </w:pPr>
      <w:bookmarkStart w:id="360" w:name="_Toc256001121"/>
      <w:r>
        <w:rPr>
          <w:b w:val="0"/>
          <w:i w:val="0"/>
          <w:color w:val="000000"/>
          <w:sz w:val="24"/>
        </w:rPr>
        <w:t>Tabela 2: Kazalniki učinka</w:t>
      </w:r>
      <w:bookmarkEnd w:id="360"/>
    </w:p>
    <w:p w14:paraId="1706A5A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36"/>
        <w:gridCol w:w="1694"/>
        <w:gridCol w:w="1796"/>
        <w:gridCol w:w="1756"/>
        <w:gridCol w:w="2038"/>
        <w:gridCol w:w="2282"/>
        <w:gridCol w:w="1310"/>
        <w:gridCol w:w="1270"/>
        <w:gridCol w:w="1190"/>
      </w:tblGrid>
      <w:tr w:rsidR="00823317" w14:paraId="4DABAED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0DC8E3"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E0A8C6"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B77498"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00BBB1"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2D5249"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BAA451"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3EA38D"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150FD1" w14:textId="77777777" w:rsidR="00A77B3E" w:rsidRDefault="00B16CCF">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0CBC96" w14:textId="77777777" w:rsidR="00A77B3E" w:rsidRDefault="00B16CCF">
            <w:pPr>
              <w:spacing w:before="5pt"/>
              <w:jc w:val="center"/>
              <w:rPr>
                <w:color w:val="000000"/>
                <w:sz w:val="20"/>
              </w:rPr>
            </w:pPr>
            <w:r>
              <w:rPr>
                <w:color w:val="000000"/>
                <w:sz w:val="20"/>
              </w:rPr>
              <w:t>Cilj (2029)</w:t>
            </w:r>
          </w:p>
        </w:tc>
      </w:tr>
      <w:tr w:rsidR="00823317" w14:paraId="4F0CA83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605576" w14:textId="77777777" w:rsidR="00A77B3E" w:rsidRDefault="00B16CCF">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BB6F66" w14:textId="77777777" w:rsidR="00A77B3E" w:rsidRDefault="00B16CCF">
            <w:pPr>
              <w:spacing w:before="5pt"/>
              <w:rPr>
                <w:color w:val="000000"/>
                <w:sz w:val="20"/>
              </w:rPr>
            </w:pPr>
            <w:r>
              <w:rPr>
                <w:color w:val="000000"/>
                <w:sz w:val="20"/>
              </w:rPr>
              <w:t>RSO3.1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AD8C9A" w14:textId="77777777" w:rsidR="00A77B3E" w:rsidRDefault="00B16CCF">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F79CA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42838C" w14:textId="77777777" w:rsidR="00A77B3E" w:rsidRDefault="00B16CCF">
            <w:pPr>
              <w:spacing w:before="5pt"/>
              <w:rPr>
                <w:color w:val="000000"/>
                <w:sz w:val="20"/>
              </w:rPr>
            </w:pPr>
            <w:r>
              <w:rPr>
                <w:color w:val="000000"/>
                <w:sz w:val="20"/>
              </w:rPr>
              <w:t>RCO45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BD5E84" w14:textId="77777777" w:rsidR="00A77B3E" w:rsidRDefault="00B16CCF">
            <w:pPr>
              <w:spacing w:before="5pt"/>
              <w:rPr>
                <w:color w:val="000000"/>
                <w:sz w:val="20"/>
              </w:rPr>
            </w:pPr>
            <w:r>
              <w:rPr>
                <w:color w:val="000000"/>
                <w:sz w:val="20"/>
              </w:rPr>
              <w:t>Dolžina obnovljenih ali posodobljenih cest – TEN-T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DF9A76" w14:textId="77777777" w:rsidR="00A77B3E" w:rsidRDefault="00B16CCF">
            <w:pPr>
              <w:spacing w:before="5pt"/>
              <w:rPr>
                <w:color w:val="000000"/>
                <w:sz w:val="20"/>
              </w:rPr>
            </w:pPr>
            <w:r>
              <w:rPr>
                <w:color w:val="000000"/>
                <w:sz w:val="20"/>
              </w:rPr>
              <w:t>km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3576AA"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16216A" w14:textId="77777777" w:rsidR="00A77B3E" w:rsidRDefault="00B16CCF">
            <w:pPr>
              <w:spacing w:before="5pt"/>
              <w:jc w:val="end"/>
              <w:rPr>
                <w:color w:val="000000"/>
                <w:sz w:val="20"/>
              </w:rPr>
            </w:pPr>
            <w:r>
              <w:rPr>
                <w:color w:val="000000"/>
                <w:sz w:val="20"/>
              </w:rPr>
              <w:t>5,30</w:t>
            </w:r>
          </w:p>
        </w:tc>
      </w:tr>
      <w:tr w:rsidR="00823317" w14:paraId="77B42CE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9D1A9F" w14:textId="77777777" w:rsidR="00A77B3E" w:rsidRDefault="00B16CCF">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130FCB" w14:textId="77777777" w:rsidR="00A77B3E" w:rsidRDefault="00B16CCF">
            <w:pPr>
              <w:spacing w:before="5pt"/>
              <w:rPr>
                <w:color w:val="000000"/>
                <w:sz w:val="20"/>
              </w:rPr>
            </w:pPr>
            <w:r>
              <w:rPr>
                <w:color w:val="000000"/>
                <w:sz w:val="20"/>
              </w:rPr>
              <w:t>RSO3.1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51A3E8" w14:textId="77777777" w:rsidR="00A77B3E" w:rsidRDefault="00B16CCF">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09C7D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450ED3" w14:textId="77777777" w:rsidR="00A77B3E" w:rsidRDefault="00B16CCF">
            <w:pPr>
              <w:spacing w:before="5pt"/>
              <w:rPr>
                <w:color w:val="000000"/>
                <w:sz w:val="20"/>
              </w:rPr>
            </w:pPr>
            <w:r>
              <w:rPr>
                <w:color w:val="000000"/>
                <w:sz w:val="20"/>
              </w:rPr>
              <w:t>RCO47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568E91" w14:textId="77777777" w:rsidR="00A77B3E" w:rsidRDefault="00B16CCF">
            <w:pPr>
              <w:spacing w:before="5pt"/>
              <w:rPr>
                <w:color w:val="000000"/>
                <w:sz w:val="20"/>
              </w:rPr>
            </w:pPr>
            <w:r>
              <w:rPr>
                <w:color w:val="000000"/>
                <w:sz w:val="20"/>
              </w:rPr>
              <w:t>Dolžina novih ali nadgrajenih železniških prog – TEN-T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A82952" w14:textId="77777777" w:rsidR="00A77B3E" w:rsidRDefault="00B16CCF">
            <w:pPr>
              <w:spacing w:before="5pt"/>
              <w:rPr>
                <w:color w:val="000000"/>
                <w:sz w:val="20"/>
              </w:rPr>
            </w:pPr>
            <w:r>
              <w:rPr>
                <w:color w:val="000000"/>
                <w:sz w:val="20"/>
              </w:rPr>
              <w:t>km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45DDB2"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56C444" w14:textId="77777777" w:rsidR="00A77B3E" w:rsidRDefault="00B16CCF">
            <w:pPr>
              <w:spacing w:before="5pt"/>
              <w:jc w:val="end"/>
              <w:rPr>
                <w:color w:val="000000"/>
                <w:sz w:val="20"/>
              </w:rPr>
            </w:pPr>
            <w:r>
              <w:rPr>
                <w:color w:val="000000"/>
                <w:sz w:val="20"/>
              </w:rPr>
              <w:t>25,93</w:t>
            </w:r>
          </w:p>
        </w:tc>
      </w:tr>
    </w:tbl>
    <w:p w14:paraId="562CAA8F" w14:textId="77777777" w:rsidR="00A77B3E" w:rsidRDefault="00A77B3E">
      <w:pPr>
        <w:spacing w:before="5pt"/>
        <w:rPr>
          <w:color w:val="000000"/>
          <w:sz w:val="20"/>
        </w:rPr>
      </w:pPr>
    </w:p>
    <w:p w14:paraId="0A9812C9" w14:textId="77777777" w:rsidR="00A77B3E" w:rsidRDefault="00B16CCF">
      <w:pPr>
        <w:spacing w:before="5pt"/>
        <w:rPr>
          <w:color w:val="000000"/>
          <w:sz w:val="0"/>
        </w:rPr>
      </w:pPr>
      <w:r>
        <w:rPr>
          <w:color w:val="000000"/>
        </w:rPr>
        <w:t>Sklic: člen 22(3)(d)(ii) uredbe o skupnih določbah</w:t>
      </w:r>
    </w:p>
    <w:p w14:paraId="07154C8A" w14:textId="77777777" w:rsidR="00A77B3E" w:rsidRDefault="00B16CCF">
      <w:pPr>
        <w:pStyle w:val="Naslov5"/>
        <w:spacing w:before="5pt" w:after="0pt"/>
        <w:rPr>
          <w:b w:val="0"/>
          <w:i w:val="0"/>
          <w:color w:val="000000"/>
          <w:sz w:val="24"/>
        </w:rPr>
      </w:pPr>
      <w:bookmarkStart w:id="361" w:name="_Toc256001122"/>
      <w:r>
        <w:rPr>
          <w:b w:val="0"/>
          <w:i w:val="0"/>
          <w:color w:val="000000"/>
          <w:sz w:val="24"/>
        </w:rPr>
        <w:t>Tabela 3: Kazalniki rezultatov</w:t>
      </w:r>
      <w:bookmarkEnd w:id="361"/>
    </w:p>
    <w:p w14:paraId="5726015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189"/>
        <w:gridCol w:w="1096"/>
        <w:gridCol w:w="1162"/>
        <w:gridCol w:w="1136"/>
        <w:gridCol w:w="1319"/>
        <w:gridCol w:w="1423"/>
        <w:gridCol w:w="1423"/>
        <w:gridCol w:w="1613"/>
        <w:gridCol w:w="1227"/>
        <w:gridCol w:w="1613"/>
        <w:gridCol w:w="1018"/>
        <w:gridCol w:w="953"/>
      </w:tblGrid>
      <w:tr w:rsidR="00823317" w14:paraId="08E8AB4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0ED4E0"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0986E5"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88B9C9"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4C2F81"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1C75FC0"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B11434"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60E55C"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4BC56D" w14:textId="77777777" w:rsidR="00A77B3E" w:rsidRDefault="00B16CCF">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E1B99F" w14:textId="77777777" w:rsidR="00A77B3E" w:rsidRDefault="00B16CCF">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9AC620" w14:textId="77777777" w:rsidR="00A77B3E" w:rsidRDefault="00B16CCF">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AFB0C3" w14:textId="77777777" w:rsidR="00A77B3E" w:rsidRDefault="00B16CCF">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1CFB7D" w14:textId="77777777" w:rsidR="00A77B3E" w:rsidRDefault="00B16CCF">
            <w:pPr>
              <w:spacing w:before="5pt"/>
              <w:jc w:val="center"/>
              <w:rPr>
                <w:color w:val="000000"/>
                <w:sz w:val="20"/>
              </w:rPr>
            </w:pPr>
            <w:r>
              <w:rPr>
                <w:color w:val="000000"/>
                <w:sz w:val="20"/>
              </w:rPr>
              <w:t>Opombe</w:t>
            </w:r>
          </w:p>
        </w:tc>
      </w:tr>
      <w:tr w:rsidR="00823317" w14:paraId="4383031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0067FC" w14:textId="77777777" w:rsidR="00A77B3E" w:rsidRDefault="00B16CCF">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A22588" w14:textId="77777777" w:rsidR="00A77B3E" w:rsidRDefault="00B16CCF">
            <w:pPr>
              <w:spacing w:before="5pt"/>
              <w:rPr>
                <w:color w:val="000000"/>
                <w:sz w:val="20"/>
              </w:rPr>
            </w:pPr>
            <w:r>
              <w:rPr>
                <w:color w:val="000000"/>
                <w:sz w:val="20"/>
              </w:rPr>
              <w:t>RSO3.1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86BD54" w14:textId="77777777" w:rsidR="00A77B3E" w:rsidRDefault="00B16CCF">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1A2113"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739C6A" w14:textId="77777777" w:rsidR="00A77B3E" w:rsidRDefault="00B16CCF">
            <w:pPr>
              <w:spacing w:before="5pt"/>
              <w:rPr>
                <w:color w:val="000000"/>
                <w:sz w:val="20"/>
              </w:rPr>
            </w:pPr>
            <w:r>
              <w:rPr>
                <w:color w:val="000000"/>
                <w:sz w:val="20"/>
              </w:rPr>
              <w:t>RCR56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443F11" w14:textId="77777777" w:rsidR="00A77B3E" w:rsidRDefault="00B16CCF">
            <w:pPr>
              <w:spacing w:before="5pt"/>
              <w:rPr>
                <w:color w:val="000000"/>
                <w:sz w:val="20"/>
              </w:rPr>
            </w:pPr>
            <w:r>
              <w:rPr>
                <w:color w:val="000000"/>
                <w:sz w:val="20"/>
              </w:rPr>
              <w:t>Prihranek časa zaradi izboljšane cestne infrastrukture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341744" w14:textId="77777777" w:rsidR="00A77B3E" w:rsidRDefault="00B16CCF">
            <w:pPr>
              <w:spacing w:before="5pt"/>
              <w:rPr>
                <w:color w:val="000000"/>
                <w:sz w:val="20"/>
              </w:rPr>
            </w:pPr>
            <w:r>
              <w:rPr>
                <w:color w:val="000000"/>
                <w:sz w:val="20"/>
              </w:rPr>
              <w:t>človek-delovnih dni/leto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6D4600"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232D9C" w14:textId="77777777" w:rsidR="00A77B3E" w:rsidRDefault="00B16CCF">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99C20B" w14:textId="77777777" w:rsidR="00A77B3E" w:rsidRDefault="00B16CCF">
            <w:pPr>
              <w:spacing w:before="5pt"/>
              <w:jc w:val="end"/>
              <w:rPr>
                <w:color w:val="000000"/>
                <w:sz w:val="20"/>
              </w:rPr>
            </w:pPr>
            <w:r>
              <w:rPr>
                <w:color w:val="000000"/>
                <w:sz w:val="20"/>
              </w:rPr>
              <w:t>23.500,00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B5E9F4" w14:textId="77777777" w:rsidR="00A77B3E" w:rsidRDefault="00B16CCF">
            <w:pPr>
              <w:spacing w:before="5pt"/>
              <w:rPr>
                <w:color w:val="000000"/>
                <w:sz w:val="20"/>
              </w:rPr>
            </w:pPr>
            <w:r>
              <w:rPr>
                <w:color w:val="000000"/>
                <w:sz w:val="20"/>
              </w:rPr>
              <w:t>DARS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DCF3D4" w14:textId="77777777" w:rsidR="00A77B3E" w:rsidRDefault="00A77B3E">
            <w:pPr>
              <w:spacing w:before="5pt"/>
              <w:rPr>
                <w:color w:val="000000"/>
                <w:sz w:val="20"/>
              </w:rPr>
            </w:pPr>
          </w:p>
        </w:tc>
      </w:tr>
      <w:tr w:rsidR="00823317" w14:paraId="40420D4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19E1DF" w14:textId="77777777" w:rsidR="00A77B3E" w:rsidRDefault="00B16CCF">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FAE60D" w14:textId="77777777" w:rsidR="00A77B3E" w:rsidRDefault="00B16CCF">
            <w:pPr>
              <w:spacing w:before="5pt"/>
              <w:rPr>
                <w:color w:val="000000"/>
                <w:sz w:val="20"/>
              </w:rPr>
            </w:pPr>
            <w:r>
              <w:rPr>
                <w:color w:val="000000"/>
                <w:sz w:val="20"/>
              </w:rPr>
              <w:t>RSO3.1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5869DA" w14:textId="77777777" w:rsidR="00A77B3E" w:rsidRDefault="00B16CCF">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E17D9A"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9C59A2" w14:textId="77777777" w:rsidR="00A77B3E" w:rsidRDefault="00B16CCF">
            <w:pPr>
              <w:spacing w:before="5pt"/>
              <w:rPr>
                <w:color w:val="000000"/>
                <w:sz w:val="20"/>
              </w:rPr>
            </w:pPr>
            <w:r>
              <w:rPr>
                <w:color w:val="000000"/>
                <w:sz w:val="20"/>
              </w:rPr>
              <w:t>RCR59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2769C7" w14:textId="77777777" w:rsidR="00A77B3E" w:rsidRDefault="00B16CCF">
            <w:pPr>
              <w:spacing w:before="5pt"/>
              <w:rPr>
                <w:color w:val="000000"/>
                <w:sz w:val="20"/>
              </w:rPr>
            </w:pPr>
            <w:r>
              <w:rPr>
                <w:color w:val="000000"/>
                <w:sz w:val="20"/>
              </w:rPr>
              <w:t>Železniški tovorni promet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11CD8A" w14:textId="77777777" w:rsidR="00A77B3E" w:rsidRDefault="00B16CCF">
            <w:pPr>
              <w:spacing w:before="5pt"/>
              <w:rPr>
                <w:color w:val="000000"/>
                <w:sz w:val="20"/>
              </w:rPr>
            </w:pPr>
            <w:r>
              <w:rPr>
                <w:color w:val="000000"/>
                <w:sz w:val="20"/>
              </w:rPr>
              <w:t>tonski kilometri/leto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06DD3C" w14:textId="77777777" w:rsidR="00A77B3E" w:rsidRDefault="00B16CCF">
            <w:pPr>
              <w:spacing w:before="5pt"/>
              <w:jc w:val="end"/>
              <w:rPr>
                <w:color w:val="000000"/>
                <w:sz w:val="20"/>
              </w:rPr>
            </w:pPr>
            <w:r>
              <w:rPr>
                <w:color w:val="000000"/>
                <w:sz w:val="20"/>
              </w:rPr>
              <w:t>254.000.000,00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61FFD2" w14:textId="77777777" w:rsidR="00A77B3E" w:rsidRDefault="00B16CCF">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9FD788" w14:textId="77777777" w:rsidR="00A77B3E" w:rsidRDefault="00B16CCF">
            <w:pPr>
              <w:spacing w:before="5pt"/>
              <w:jc w:val="end"/>
              <w:rPr>
                <w:color w:val="000000"/>
                <w:sz w:val="20"/>
              </w:rPr>
            </w:pPr>
            <w:r>
              <w:rPr>
                <w:color w:val="000000"/>
                <w:sz w:val="20"/>
              </w:rPr>
              <w:t>266.000.000,00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1C57BE" w14:textId="77777777" w:rsidR="00A77B3E" w:rsidRDefault="00B16CCF">
            <w:pPr>
              <w:spacing w:before="5pt"/>
              <w:rPr>
                <w:color w:val="000000"/>
                <w:sz w:val="20"/>
              </w:rPr>
            </w:pPr>
            <w:r>
              <w:rPr>
                <w:color w:val="000000"/>
                <w:sz w:val="20"/>
              </w:rPr>
              <w:t>DRSI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5EFDF8" w14:textId="77777777" w:rsidR="00A77B3E" w:rsidRDefault="00A77B3E">
            <w:pPr>
              <w:spacing w:before="5pt"/>
              <w:rPr>
                <w:color w:val="000000"/>
                <w:sz w:val="20"/>
              </w:rPr>
            </w:pPr>
          </w:p>
        </w:tc>
      </w:tr>
    </w:tbl>
    <w:p w14:paraId="410526B4" w14:textId="77777777" w:rsidR="00A77B3E" w:rsidRDefault="00A77B3E">
      <w:pPr>
        <w:spacing w:before="5pt"/>
        <w:rPr>
          <w:color w:val="000000"/>
          <w:sz w:val="20"/>
        </w:rPr>
      </w:pPr>
    </w:p>
    <w:p w14:paraId="7DAA9829" w14:textId="77777777" w:rsidR="00A77B3E" w:rsidRDefault="00B16CCF">
      <w:pPr>
        <w:pStyle w:val="Naslov4"/>
        <w:spacing w:before="5pt" w:after="0pt"/>
        <w:rPr>
          <w:b w:val="0"/>
          <w:color w:val="000000"/>
          <w:sz w:val="24"/>
        </w:rPr>
      </w:pPr>
      <w:bookmarkStart w:id="362" w:name="_Toc256001123"/>
      <w:r>
        <w:rPr>
          <w:b w:val="0"/>
          <w:color w:val="000000"/>
          <w:sz w:val="24"/>
        </w:rPr>
        <w:t>2.1.1.1.3. Okvirna razčlenitev načrtovanih sredstev (EU) glede na vrsto ukrepa</w:t>
      </w:r>
      <w:bookmarkEnd w:id="362"/>
    </w:p>
    <w:p w14:paraId="149C55C2" w14:textId="77777777" w:rsidR="00A77B3E" w:rsidRDefault="00A77B3E">
      <w:pPr>
        <w:spacing w:before="5pt"/>
        <w:rPr>
          <w:color w:val="000000"/>
          <w:sz w:val="0"/>
        </w:rPr>
      </w:pPr>
    </w:p>
    <w:p w14:paraId="4C92A681" w14:textId="77777777" w:rsidR="00A77B3E" w:rsidRDefault="00B16CCF">
      <w:pPr>
        <w:spacing w:before="5pt"/>
        <w:rPr>
          <w:color w:val="000000"/>
          <w:sz w:val="0"/>
        </w:rPr>
      </w:pPr>
      <w:r>
        <w:rPr>
          <w:color w:val="000000"/>
        </w:rPr>
        <w:t>Sklic: člen 22(3)(d)(viii) uredbe o skupnih določbah</w:t>
      </w:r>
    </w:p>
    <w:p w14:paraId="310A7117" w14:textId="77777777" w:rsidR="00A77B3E" w:rsidRDefault="00B16CCF">
      <w:pPr>
        <w:pStyle w:val="Naslov5"/>
        <w:spacing w:before="5pt" w:after="0pt"/>
        <w:rPr>
          <w:b w:val="0"/>
          <w:i w:val="0"/>
          <w:color w:val="000000"/>
          <w:sz w:val="24"/>
        </w:rPr>
      </w:pPr>
      <w:bookmarkStart w:id="363" w:name="_Toc256001124"/>
      <w:r>
        <w:rPr>
          <w:b w:val="0"/>
          <w:i w:val="0"/>
          <w:color w:val="000000"/>
          <w:sz w:val="24"/>
        </w:rPr>
        <w:t>Tabela 4: Razsežnost 1 – področje ukrepanja</w:t>
      </w:r>
      <w:bookmarkEnd w:id="363"/>
    </w:p>
    <w:p w14:paraId="78A14B1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374"/>
        <w:gridCol w:w="2190"/>
        <w:gridCol w:w="2322"/>
        <w:gridCol w:w="2270"/>
        <w:gridCol w:w="2793"/>
        <w:gridCol w:w="3223"/>
      </w:tblGrid>
      <w:tr w:rsidR="00823317" w14:paraId="15FC74C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CB3D26"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F5BBD6"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33E333"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49FE8ED"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B7BE4A"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0BEFD4" w14:textId="77777777" w:rsidR="00A77B3E" w:rsidRDefault="00B16CCF">
            <w:pPr>
              <w:spacing w:before="5pt"/>
              <w:jc w:val="center"/>
              <w:rPr>
                <w:color w:val="000000"/>
                <w:sz w:val="20"/>
              </w:rPr>
            </w:pPr>
            <w:r>
              <w:rPr>
                <w:color w:val="000000"/>
                <w:sz w:val="20"/>
              </w:rPr>
              <w:t>Znesek (v EUR)</w:t>
            </w:r>
          </w:p>
        </w:tc>
      </w:tr>
      <w:tr w:rsidR="00823317" w14:paraId="01F7C19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18CB31" w14:textId="77777777" w:rsidR="00A77B3E" w:rsidRDefault="00B16CCF">
            <w:pPr>
              <w:spacing w:before="5pt"/>
              <w:rPr>
                <w:color w:val="000000"/>
                <w:sz w:val="20"/>
              </w:rPr>
            </w:pPr>
            <w:r>
              <w:rPr>
                <w:color w:val="000000"/>
                <w:sz w:val="20"/>
              </w:rPr>
              <w:lastRenderedPageBreak/>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37C28E" w14:textId="77777777" w:rsidR="00A77B3E" w:rsidRDefault="00B16CCF">
            <w:pPr>
              <w:spacing w:before="5pt"/>
              <w:rPr>
                <w:color w:val="000000"/>
                <w:sz w:val="20"/>
              </w:rPr>
            </w:pPr>
            <w:r>
              <w:rPr>
                <w:color w:val="000000"/>
                <w:sz w:val="20"/>
              </w:rPr>
              <w:t>RSO3.1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2FC4CA" w14:textId="77777777" w:rsidR="00A77B3E" w:rsidRDefault="00B16CCF">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9D2EF5"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1F41FA" w14:textId="77777777" w:rsidR="00A77B3E" w:rsidRDefault="00B16CCF">
            <w:pPr>
              <w:spacing w:before="5pt"/>
              <w:rPr>
                <w:color w:val="000000"/>
                <w:sz w:val="20"/>
              </w:rPr>
            </w:pPr>
            <w:r>
              <w:rPr>
                <w:color w:val="000000"/>
                <w:sz w:val="20"/>
              </w:rPr>
              <w:t>092. Obnovljene ali posodobljene avtoceste in ceste – celostno omrežje TEN-T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32C68C" w14:textId="77777777" w:rsidR="00A77B3E" w:rsidRDefault="00B16CCF">
            <w:pPr>
              <w:spacing w:before="5pt"/>
              <w:jc w:val="end"/>
              <w:rPr>
                <w:color w:val="000000"/>
                <w:sz w:val="20"/>
              </w:rPr>
            </w:pPr>
            <w:r>
              <w:rPr>
                <w:color w:val="000000"/>
                <w:sz w:val="20"/>
              </w:rPr>
              <w:t>32.210.000,00</w:t>
            </w:r>
          </w:p>
        </w:tc>
      </w:tr>
      <w:tr w:rsidR="00823317" w14:paraId="09CF9E8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CA00A4" w14:textId="77777777" w:rsidR="00A77B3E" w:rsidRDefault="00B16CCF">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875E10" w14:textId="77777777" w:rsidR="00A77B3E" w:rsidRDefault="00B16CCF">
            <w:pPr>
              <w:spacing w:before="5pt"/>
              <w:rPr>
                <w:color w:val="000000"/>
                <w:sz w:val="20"/>
              </w:rPr>
            </w:pPr>
            <w:r>
              <w:rPr>
                <w:color w:val="000000"/>
                <w:sz w:val="20"/>
              </w:rPr>
              <w:t>RSO3.1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30450F" w14:textId="77777777" w:rsidR="00A77B3E" w:rsidRDefault="00B16CCF">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D6219A"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D3B98E" w14:textId="77777777" w:rsidR="00A77B3E" w:rsidRDefault="00B16CCF">
            <w:pPr>
              <w:spacing w:before="5pt"/>
              <w:rPr>
                <w:color w:val="000000"/>
                <w:sz w:val="20"/>
              </w:rPr>
            </w:pPr>
            <w:r>
              <w:rPr>
                <w:color w:val="000000"/>
                <w:sz w:val="20"/>
              </w:rPr>
              <w:t>100. Obnovljene ali posodobljene železnice – jedrno omrežje TEN-T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8267A9" w14:textId="77777777" w:rsidR="00A77B3E" w:rsidRDefault="00B16CCF">
            <w:pPr>
              <w:spacing w:before="5pt"/>
              <w:jc w:val="end"/>
              <w:rPr>
                <w:color w:val="000000"/>
                <w:sz w:val="20"/>
              </w:rPr>
            </w:pPr>
            <w:r>
              <w:rPr>
                <w:color w:val="000000"/>
                <w:sz w:val="20"/>
              </w:rPr>
              <w:t>251.930.000,00</w:t>
            </w:r>
          </w:p>
        </w:tc>
      </w:tr>
      <w:tr w:rsidR="00823317" w14:paraId="19B7C33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017C9A" w14:textId="77777777" w:rsidR="00A77B3E" w:rsidRDefault="00B16CCF">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161ECD" w14:textId="77777777" w:rsidR="00A77B3E" w:rsidRDefault="00B16CCF">
            <w:pPr>
              <w:spacing w:before="5pt"/>
              <w:rPr>
                <w:color w:val="000000"/>
                <w:sz w:val="20"/>
              </w:rPr>
            </w:pPr>
            <w:r>
              <w:rPr>
                <w:color w:val="000000"/>
                <w:sz w:val="20"/>
              </w:rPr>
              <w:t>RSO3.1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A865E2"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59468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F45295"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110349" w14:textId="77777777" w:rsidR="00A77B3E" w:rsidRDefault="00B16CCF">
            <w:pPr>
              <w:spacing w:before="5pt"/>
              <w:jc w:val="end"/>
              <w:rPr>
                <w:color w:val="000000"/>
                <w:sz w:val="20"/>
              </w:rPr>
            </w:pPr>
            <w:r>
              <w:rPr>
                <w:color w:val="000000"/>
                <w:sz w:val="20"/>
              </w:rPr>
              <w:t>284.140.000,00</w:t>
            </w:r>
          </w:p>
        </w:tc>
      </w:tr>
    </w:tbl>
    <w:p w14:paraId="39C9CC15" w14:textId="77777777" w:rsidR="00A77B3E" w:rsidRDefault="00A77B3E">
      <w:pPr>
        <w:spacing w:before="5pt"/>
        <w:rPr>
          <w:color w:val="000000"/>
          <w:sz w:val="20"/>
        </w:rPr>
      </w:pPr>
    </w:p>
    <w:p w14:paraId="0DA72211" w14:textId="77777777" w:rsidR="00A77B3E" w:rsidRDefault="00B16CCF">
      <w:pPr>
        <w:pStyle w:val="Naslov5"/>
        <w:spacing w:before="5pt" w:after="0pt"/>
        <w:rPr>
          <w:b w:val="0"/>
          <w:i w:val="0"/>
          <w:color w:val="000000"/>
          <w:sz w:val="24"/>
        </w:rPr>
      </w:pPr>
      <w:bookmarkStart w:id="364" w:name="_Toc256001125"/>
      <w:r>
        <w:rPr>
          <w:b w:val="0"/>
          <w:i w:val="0"/>
          <w:color w:val="000000"/>
          <w:sz w:val="24"/>
        </w:rPr>
        <w:t>Tabela 5: Razsežnost 2 – oblika financiranja</w:t>
      </w:r>
      <w:bookmarkEnd w:id="364"/>
    </w:p>
    <w:p w14:paraId="5FD290E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25"/>
        <w:gridCol w:w="2237"/>
        <w:gridCol w:w="2371"/>
        <w:gridCol w:w="2318"/>
        <w:gridCol w:w="2530"/>
        <w:gridCol w:w="3291"/>
      </w:tblGrid>
      <w:tr w:rsidR="00823317" w14:paraId="77F7491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0D1C79"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0A16CA"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190C24"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F382DE"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F0448E"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82E77B" w14:textId="77777777" w:rsidR="00A77B3E" w:rsidRDefault="00B16CCF">
            <w:pPr>
              <w:spacing w:before="5pt"/>
              <w:jc w:val="center"/>
              <w:rPr>
                <w:color w:val="000000"/>
                <w:sz w:val="20"/>
              </w:rPr>
            </w:pPr>
            <w:r>
              <w:rPr>
                <w:color w:val="000000"/>
                <w:sz w:val="20"/>
              </w:rPr>
              <w:t>Znesek (v EUR)</w:t>
            </w:r>
          </w:p>
        </w:tc>
      </w:tr>
      <w:tr w:rsidR="00823317" w14:paraId="358CD12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BC481B" w14:textId="77777777" w:rsidR="00A77B3E" w:rsidRDefault="00B16CCF">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270FBF" w14:textId="77777777" w:rsidR="00A77B3E" w:rsidRDefault="00B16CCF">
            <w:pPr>
              <w:spacing w:before="5pt"/>
              <w:rPr>
                <w:color w:val="000000"/>
                <w:sz w:val="20"/>
              </w:rPr>
            </w:pPr>
            <w:r>
              <w:rPr>
                <w:color w:val="000000"/>
                <w:sz w:val="20"/>
              </w:rPr>
              <w:t>RSO3.1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93E75B" w14:textId="77777777" w:rsidR="00A77B3E" w:rsidRDefault="00B16CCF">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1F6727"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C4F584" w14:textId="77777777" w:rsidR="00A77B3E" w:rsidRDefault="00B16CCF">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0BCB8D" w14:textId="77777777" w:rsidR="00A77B3E" w:rsidRDefault="00B16CCF">
            <w:pPr>
              <w:spacing w:before="5pt"/>
              <w:jc w:val="end"/>
              <w:rPr>
                <w:color w:val="000000"/>
                <w:sz w:val="20"/>
              </w:rPr>
            </w:pPr>
            <w:r>
              <w:rPr>
                <w:color w:val="000000"/>
                <w:sz w:val="20"/>
              </w:rPr>
              <w:t>284.140.000,00</w:t>
            </w:r>
          </w:p>
        </w:tc>
      </w:tr>
      <w:tr w:rsidR="00823317" w14:paraId="1963446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4021A6" w14:textId="77777777" w:rsidR="00A77B3E" w:rsidRDefault="00B16CCF">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57D9C3" w14:textId="77777777" w:rsidR="00A77B3E" w:rsidRDefault="00B16CCF">
            <w:pPr>
              <w:spacing w:before="5pt"/>
              <w:rPr>
                <w:color w:val="000000"/>
                <w:sz w:val="20"/>
              </w:rPr>
            </w:pPr>
            <w:r>
              <w:rPr>
                <w:color w:val="000000"/>
                <w:sz w:val="20"/>
              </w:rPr>
              <w:t>RSO3.1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49DC70"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9AA34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76DEE4"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51B395" w14:textId="77777777" w:rsidR="00A77B3E" w:rsidRDefault="00B16CCF">
            <w:pPr>
              <w:spacing w:before="5pt"/>
              <w:jc w:val="end"/>
              <w:rPr>
                <w:color w:val="000000"/>
                <w:sz w:val="20"/>
              </w:rPr>
            </w:pPr>
            <w:r>
              <w:rPr>
                <w:color w:val="000000"/>
                <w:sz w:val="20"/>
              </w:rPr>
              <w:t>284.140.000,00</w:t>
            </w:r>
          </w:p>
        </w:tc>
      </w:tr>
    </w:tbl>
    <w:p w14:paraId="10440521" w14:textId="77777777" w:rsidR="00A77B3E" w:rsidRDefault="00A77B3E">
      <w:pPr>
        <w:spacing w:before="5pt"/>
        <w:rPr>
          <w:color w:val="000000"/>
          <w:sz w:val="20"/>
        </w:rPr>
      </w:pPr>
    </w:p>
    <w:p w14:paraId="1C857112" w14:textId="77777777" w:rsidR="00A77B3E" w:rsidRDefault="00B16CCF">
      <w:pPr>
        <w:pStyle w:val="Naslov5"/>
        <w:spacing w:before="5pt" w:after="0pt"/>
        <w:rPr>
          <w:b w:val="0"/>
          <w:i w:val="0"/>
          <w:color w:val="000000"/>
          <w:sz w:val="24"/>
        </w:rPr>
      </w:pPr>
      <w:bookmarkStart w:id="365" w:name="_Toc256001126"/>
      <w:r>
        <w:rPr>
          <w:b w:val="0"/>
          <w:i w:val="0"/>
          <w:color w:val="000000"/>
          <w:sz w:val="24"/>
        </w:rPr>
        <w:t>Tabela 6: Razsežnost 3 – mehanizem za ozemeljsko izvrševanje in ozemeljski pristop</w:t>
      </w:r>
      <w:bookmarkEnd w:id="365"/>
    </w:p>
    <w:p w14:paraId="464F8E3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365"/>
        <w:gridCol w:w="2183"/>
        <w:gridCol w:w="2314"/>
        <w:gridCol w:w="2263"/>
        <w:gridCol w:w="2835"/>
        <w:gridCol w:w="3212"/>
      </w:tblGrid>
      <w:tr w:rsidR="00823317" w14:paraId="29BFC5E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0FA32D"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F3F553"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175448"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0933FC"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1C1EB1"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D24576" w14:textId="77777777" w:rsidR="00A77B3E" w:rsidRDefault="00B16CCF">
            <w:pPr>
              <w:spacing w:before="5pt"/>
              <w:jc w:val="center"/>
              <w:rPr>
                <w:color w:val="000000"/>
                <w:sz w:val="20"/>
              </w:rPr>
            </w:pPr>
            <w:r>
              <w:rPr>
                <w:color w:val="000000"/>
                <w:sz w:val="20"/>
              </w:rPr>
              <w:t>Znesek (v EUR)</w:t>
            </w:r>
          </w:p>
        </w:tc>
      </w:tr>
      <w:tr w:rsidR="00823317" w14:paraId="3B183D3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187A33" w14:textId="77777777" w:rsidR="00A77B3E" w:rsidRDefault="00B16CCF">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14C859" w14:textId="77777777" w:rsidR="00A77B3E" w:rsidRDefault="00B16CCF">
            <w:pPr>
              <w:spacing w:before="5pt"/>
              <w:rPr>
                <w:color w:val="000000"/>
                <w:sz w:val="20"/>
              </w:rPr>
            </w:pPr>
            <w:r>
              <w:rPr>
                <w:color w:val="000000"/>
                <w:sz w:val="20"/>
              </w:rPr>
              <w:t>RSO3.1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56E5A9" w14:textId="77777777" w:rsidR="00A77B3E" w:rsidRDefault="00B16CCF">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B54A74"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F6179D" w14:textId="77777777" w:rsidR="00A77B3E" w:rsidRDefault="00B16CCF">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F4A2D9" w14:textId="77777777" w:rsidR="00A77B3E" w:rsidRDefault="00B16CCF">
            <w:pPr>
              <w:spacing w:before="5pt"/>
              <w:jc w:val="end"/>
              <w:rPr>
                <w:color w:val="000000"/>
                <w:sz w:val="20"/>
              </w:rPr>
            </w:pPr>
            <w:r>
              <w:rPr>
                <w:color w:val="000000"/>
                <w:sz w:val="20"/>
              </w:rPr>
              <w:t>284.140.000,00</w:t>
            </w:r>
          </w:p>
        </w:tc>
      </w:tr>
      <w:tr w:rsidR="00823317" w14:paraId="71261BD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F24845" w14:textId="77777777" w:rsidR="00A77B3E" w:rsidRDefault="00B16CCF">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CB4341" w14:textId="77777777" w:rsidR="00A77B3E" w:rsidRDefault="00B16CCF">
            <w:pPr>
              <w:spacing w:before="5pt"/>
              <w:rPr>
                <w:color w:val="000000"/>
                <w:sz w:val="20"/>
              </w:rPr>
            </w:pPr>
            <w:r>
              <w:rPr>
                <w:color w:val="000000"/>
                <w:sz w:val="20"/>
              </w:rPr>
              <w:t>RSO3.1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DFD353"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BB18A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ACAD8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8A1A76" w14:textId="77777777" w:rsidR="00A77B3E" w:rsidRDefault="00B16CCF">
            <w:pPr>
              <w:spacing w:before="5pt"/>
              <w:jc w:val="end"/>
              <w:rPr>
                <w:color w:val="000000"/>
                <w:sz w:val="20"/>
              </w:rPr>
            </w:pPr>
            <w:r>
              <w:rPr>
                <w:color w:val="000000"/>
                <w:sz w:val="20"/>
              </w:rPr>
              <w:t>284.140.000,00</w:t>
            </w:r>
          </w:p>
        </w:tc>
      </w:tr>
    </w:tbl>
    <w:p w14:paraId="5E064A56" w14:textId="77777777" w:rsidR="00A77B3E" w:rsidRDefault="00A77B3E">
      <w:pPr>
        <w:spacing w:before="5pt"/>
        <w:rPr>
          <w:color w:val="000000"/>
          <w:sz w:val="20"/>
        </w:rPr>
      </w:pPr>
    </w:p>
    <w:p w14:paraId="325EB99B" w14:textId="77777777" w:rsidR="00A77B3E" w:rsidRDefault="00B16CCF">
      <w:pPr>
        <w:pStyle w:val="Naslov5"/>
        <w:spacing w:before="5pt" w:after="0pt"/>
        <w:rPr>
          <w:b w:val="0"/>
          <w:i w:val="0"/>
          <w:color w:val="000000"/>
          <w:sz w:val="24"/>
        </w:rPr>
      </w:pPr>
      <w:bookmarkStart w:id="366" w:name="_Toc256001127"/>
      <w:r>
        <w:rPr>
          <w:b w:val="0"/>
          <w:i w:val="0"/>
          <w:color w:val="000000"/>
          <w:sz w:val="24"/>
        </w:rPr>
        <w:t>Tabela 7: Razsežnost 6 – sekundarna področja ESS+</w:t>
      </w:r>
      <w:bookmarkEnd w:id="366"/>
    </w:p>
    <w:p w14:paraId="77034C8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117"/>
        <w:gridCol w:w="2877"/>
        <w:gridCol w:w="1780"/>
        <w:gridCol w:w="2982"/>
        <w:gridCol w:w="2259"/>
        <w:gridCol w:w="2157"/>
      </w:tblGrid>
      <w:tr w:rsidR="00823317" w14:paraId="43EF8FF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9B62A8"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24A6DD"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225256"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BD9637"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38A82E"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98AB46" w14:textId="77777777" w:rsidR="00A77B3E" w:rsidRDefault="00B16CCF">
            <w:pPr>
              <w:spacing w:before="5pt"/>
              <w:jc w:val="center"/>
              <w:rPr>
                <w:color w:val="000000"/>
                <w:sz w:val="20"/>
              </w:rPr>
            </w:pPr>
            <w:r>
              <w:rPr>
                <w:color w:val="000000"/>
                <w:sz w:val="20"/>
              </w:rPr>
              <w:t>Znesek (v EUR)</w:t>
            </w:r>
          </w:p>
        </w:tc>
      </w:tr>
    </w:tbl>
    <w:p w14:paraId="5872FA61" w14:textId="77777777" w:rsidR="00A77B3E" w:rsidRDefault="00A77B3E">
      <w:pPr>
        <w:spacing w:before="5pt"/>
        <w:rPr>
          <w:color w:val="000000"/>
          <w:sz w:val="20"/>
        </w:rPr>
      </w:pPr>
    </w:p>
    <w:p w14:paraId="4DFC3A8C" w14:textId="77777777" w:rsidR="00A77B3E" w:rsidRDefault="00B16CCF">
      <w:pPr>
        <w:pStyle w:val="Naslov5"/>
        <w:spacing w:before="5pt" w:after="0pt"/>
        <w:rPr>
          <w:b w:val="0"/>
          <w:i w:val="0"/>
          <w:color w:val="000000"/>
          <w:sz w:val="24"/>
        </w:rPr>
      </w:pPr>
      <w:bookmarkStart w:id="367" w:name="_Toc256001128"/>
      <w:r>
        <w:rPr>
          <w:b w:val="0"/>
          <w:i w:val="0"/>
          <w:color w:val="000000"/>
          <w:sz w:val="24"/>
        </w:rPr>
        <w:t>Tabela 8: Razsežnost 7 – razsežnost enakosti spolov v okviru ESS+*, ESRR, Kohezijskega sklada in SPP</w:t>
      </w:r>
      <w:bookmarkEnd w:id="367"/>
    </w:p>
    <w:p w14:paraId="605EE87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41"/>
        <w:gridCol w:w="2252"/>
        <w:gridCol w:w="2388"/>
        <w:gridCol w:w="2335"/>
        <w:gridCol w:w="2441"/>
        <w:gridCol w:w="3315"/>
      </w:tblGrid>
      <w:tr w:rsidR="00823317" w14:paraId="18E28D3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0A2F99"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D0C3CC"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F419F7"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394DCB2"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E34279"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7A036F" w14:textId="77777777" w:rsidR="00A77B3E" w:rsidRDefault="00B16CCF">
            <w:pPr>
              <w:spacing w:before="5pt"/>
              <w:jc w:val="center"/>
              <w:rPr>
                <w:color w:val="000000"/>
                <w:sz w:val="20"/>
              </w:rPr>
            </w:pPr>
            <w:r>
              <w:rPr>
                <w:color w:val="000000"/>
                <w:sz w:val="20"/>
              </w:rPr>
              <w:t>Znesek (v EUR)</w:t>
            </w:r>
          </w:p>
        </w:tc>
      </w:tr>
      <w:tr w:rsidR="00823317" w14:paraId="751CB8C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516E25" w14:textId="77777777" w:rsidR="00A77B3E" w:rsidRDefault="00B16CCF">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FB6D7D" w14:textId="77777777" w:rsidR="00A77B3E" w:rsidRDefault="00B16CCF">
            <w:pPr>
              <w:spacing w:before="5pt"/>
              <w:rPr>
                <w:color w:val="000000"/>
                <w:sz w:val="20"/>
              </w:rPr>
            </w:pPr>
            <w:r>
              <w:rPr>
                <w:color w:val="000000"/>
                <w:sz w:val="20"/>
              </w:rPr>
              <w:t>RSO3.1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A42B68" w14:textId="77777777" w:rsidR="00A77B3E" w:rsidRDefault="00B16CCF">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21E3D5"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2E6548" w14:textId="77777777" w:rsidR="00A77B3E" w:rsidRDefault="00B16CCF">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F03B39" w14:textId="77777777" w:rsidR="00A77B3E" w:rsidRDefault="00B16CCF">
            <w:pPr>
              <w:spacing w:before="5pt"/>
              <w:jc w:val="end"/>
              <w:rPr>
                <w:color w:val="000000"/>
                <w:sz w:val="20"/>
              </w:rPr>
            </w:pPr>
            <w:r>
              <w:rPr>
                <w:color w:val="000000"/>
                <w:sz w:val="20"/>
              </w:rPr>
              <w:t>284.140.000,00</w:t>
            </w:r>
          </w:p>
        </w:tc>
      </w:tr>
      <w:tr w:rsidR="00823317" w14:paraId="1666432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EA41B3" w14:textId="77777777" w:rsidR="00A77B3E" w:rsidRDefault="00B16CCF">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E756E7" w14:textId="77777777" w:rsidR="00A77B3E" w:rsidRDefault="00B16CCF">
            <w:pPr>
              <w:spacing w:before="5pt"/>
              <w:rPr>
                <w:color w:val="000000"/>
                <w:sz w:val="20"/>
              </w:rPr>
            </w:pPr>
            <w:r>
              <w:rPr>
                <w:color w:val="000000"/>
                <w:sz w:val="20"/>
              </w:rPr>
              <w:t>RSO3.1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FDC4D1"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746B27"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3FA04B"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F53104" w14:textId="77777777" w:rsidR="00A77B3E" w:rsidRDefault="00B16CCF">
            <w:pPr>
              <w:spacing w:before="5pt"/>
              <w:jc w:val="end"/>
              <w:rPr>
                <w:color w:val="000000"/>
                <w:sz w:val="20"/>
              </w:rPr>
            </w:pPr>
            <w:r>
              <w:rPr>
                <w:color w:val="000000"/>
                <w:sz w:val="20"/>
              </w:rPr>
              <w:t>284.140.000,00</w:t>
            </w:r>
          </w:p>
        </w:tc>
      </w:tr>
    </w:tbl>
    <w:p w14:paraId="6C2A8A00" w14:textId="77777777" w:rsidR="00A77B3E" w:rsidRDefault="00B16CCF">
      <w:pPr>
        <w:spacing w:before="5pt"/>
        <w:rPr>
          <w:color w:val="000000"/>
          <w:sz w:val="20"/>
        </w:rPr>
      </w:pPr>
      <w:r>
        <w:rPr>
          <w:color w:val="000000"/>
          <w:sz w:val="20"/>
        </w:rPr>
        <w:t>* Načeloma 40 % za ESS+ prispeva k spremljanju enakosti spolov. 100 % se uporabi, kadar se država članica odloči za uporabo člena 6 uredbe o ESS+.</w:t>
      </w:r>
    </w:p>
    <w:p w14:paraId="36FD1E9B" w14:textId="77777777" w:rsidR="00A77B3E" w:rsidRDefault="00B16CCF">
      <w:pPr>
        <w:pStyle w:val="Naslov4"/>
        <w:spacing w:before="5pt" w:after="0pt"/>
        <w:rPr>
          <w:b w:val="0"/>
          <w:color w:val="000000"/>
          <w:sz w:val="24"/>
        </w:rPr>
      </w:pPr>
      <w:r>
        <w:rPr>
          <w:b w:val="0"/>
          <w:color w:val="000000"/>
          <w:sz w:val="24"/>
        </w:rPr>
        <w:br w:type="page"/>
      </w:r>
      <w:bookmarkStart w:id="368" w:name="_Toc256001129"/>
      <w:r>
        <w:rPr>
          <w:b w:val="0"/>
          <w:color w:val="000000"/>
          <w:sz w:val="24"/>
        </w:rPr>
        <w:lastRenderedPageBreak/>
        <w:t>2.1.1.1. Specifični cilj: RSO3.2. Razvoj in krepitev trajnostne, pametne in intermodalne nacionalne, regionalne in lokalne mobilnosti, odporne proti podnebnim spremembam, vključno z boljšim dostopom do omrežja TEN-T in čezmejno mobilnostjo (Kohezijski sklad)</w:t>
      </w:r>
      <w:bookmarkEnd w:id="368"/>
    </w:p>
    <w:p w14:paraId="278BFCD9" w14:textId="77777777" w:rsidR="00A77B3E" w:rsidRDefault="00A77B3E">
      <w:pPr>
        <w:spacing w:before="5pt"/>
        <w:rPr>
          <w:color w:val="000000"/>
          <w:sz w:val="0"/>
        </w:rPr>
      </w:pPr>
    </w:p>
    <w:p w14:paraId="406FD0D2" w14:textId="77777777" w:rsidR="00A77B3E" w:rsidRDefault="00B16CCF">
      <w:pPr>
        <w:pStyle w:val="Naslov4"/>
        <w:spacing w:before="5pt" w:after="0pt"/>
        <w:rPr>
          <w:b w:val="0"/>
          <w:color w:val="000000"/>
          <w:sz w:val="24"/>
        </w:rPr>
      </w:pPr>
      <w:bookmarkStart w:id="369" w:name="_Toc256001130"/>
      <w:r>
        <w:rPr>
          <w:b w:val="0"/>
          <w:color w:val="000000"/>
          <w:sz w:val="24"/>
        </w:rPr>
        <w:t>2.1.1.1.1. Ukrepi skladov</w:t>
      </w:r>
      <w:bookmarkEnd w:id="369"/>
    </w:p>
    <w:p w14:paraId="1CAAE6C7" w14:textId="77777777" w:rsidR="00A77B3E" w:rsidRDefault="00A77B3E">
      <w:pPr>
        <w:spacing w:before="5pt"/>
        <w:rPr>
          <w:color w:val="000000"/>
          <w:sz w:val="0"/>
        </w:rPr>
      </w:pPr>
    </w:p>
    <w:p w14:paraId="636415A4" w14:textId="77777777" w:rsidR="00A77B3E" w:rsidRDefault="00B16CCF">
      <w:pPr>
        <w:spacing w:before="5pt"/>
        <w:rPr>
          <w:color w:val="000000"/>
          <w:sz w:val="0"/>
        </w:rPr>
      </w:pPr>
      <w:r>
        <w:rPr>
          <w:color w:val="000000"/>
        </w:rPr>
        <w:t>Sklic: člen 22(3)(d)(i), (iii), (iv), (v), (vi) in (vii) uredbe o skupnih določbah</w:t>
      </w:r>
    </w:p>
    <w:p w14:paraId="119F1B02" w14:textId="77777777" w:rsidR="00A77B3E" w:rsidRDefault="00B16CCF">
      <w:pPr>
        <w:pStyle w:val="Naslov5"/>
        <w:spacing w:before="5pt" w:after="0pt"/>
        <w:rPr>
          <w:b w:val="0"/>
          <w:i w:val="0"/>
          <w:color w:val="000000"/>
          <w:sz w:val="24"/>
        </w:rPr>
      </w:pPr>
      <w:bookmarkStart w:id="370" w:name="_Toc256001131"/>
      <w:r>
        <w:rPr>
          <w:b w:val="0"/>
          <w:i w:val="0"/>
          <w:color w:val="000000"/>
          <w:sz w:val="24"/>
        </w:rPr>
        <w:t>Povezane vrste ukrepov – člen 22(3)(d)(i) uredbe o skupnih določbah in člen 6 uredbe o ESS+:</w:t>
      </w:r>
      <w:bookmarkEnd w:id="370"/>
    </w:p>
    <w:p w14:paraId="1FDBDAD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18F245AE"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665B84" w14:textId="77777777" w:rsidR="00A77B3E" w:rsidRDefault="00A77B3E">
            <w:pPr>
              <w:spacing w:before="5pt"/>
              <w:rPr>
                <w:color w:val="000000"/>
                <w:sz w:val="0"/>
              </w:rPr>
            </w:pPr>
          </w:p>
          <w:p w14:paraId="01D1BDC2" w14:textId="77777777" w:rsidR="00A77B3E" w:rsidRDefault="00B16CCF">
            <w:pPr>
              <w:spacing w:before="5pt"/>
              <w:rPr>
                <w:color w:val="000000"/>
              </w:rPr>
            </w:pPr>
            <w:r>
              <w:rPr>
                <w:color w:val="000000"/>
              </w:rPr>
              <w:t>Ključni cilj predmetnega specifičnega cilja v skladu s SRP je izboljšati nacionalne in regionalne povezave znotraj Slovenije. Spremembe in dopolnitve Nacionalnega programa razvoja prometa iz 06/2021, dajejo še večji poudarek trajnostnemu prometu, predvsem tistim infrastrukturnim ureditvam, ki bodo pripomogle k zagotavljanju pogojev za večjo uporabo vseh oblik trajnostne mobilnosti in krepitvi razvoja JPP, pri čemer ne sme biti ogrožena dostopnost, kjer sta cesta in avtomobil edina izbira ali omogočata dostop do prvih prestopnih mest JPP. V letu 2022 je ustanovljena družba za upravljanje javnega potniškega prometa, katere naloga bo upravljanje medkrajevnega JPP. Za učinkovitost sistema javnega prometa je ključna ustrezna povezanost vseh ravni, zato bodo vsi projekti JPP na lokalni in regionalni ravni usklajeni z družbo za upravljanje javnega potniškega prometa, ko bo ta operativna.</w:t>
            </w:r>
          </w:p>
          <w:p w14:paraId="6669770B" w14:textId="77777777" w:rsidR="00A77B3E" w:rsidRDefault="00A77B3E">
            <w:pPr>
              <w:spacing w:before="5pt"/>
              <w:rPr>
                <w:color w:val="000000"/>
              </w:rPr>
            </w:pPr>
          </w:p>
          <w:p w14:paraId="7708CA58" w14:textId="77777777" w:rsidR="00A77B3E" w:rsidRDefault="00B16CCF">
            <w:pPr>
              <w:spacing w:before="5pt"/>
              <w:rPr>
                <w:color w:val="000000"/>
              </w:rPr>
            </w:pPr>
            <w:r>
              <w:rPr>
                <w:color w:val="000000"/>
              </w:rPr>
              <w:t>V skladu z dopolnjenim nacionalnim programom razvoja prometa je ključni cilj zagotoviti nadgradnjo omrežja, da bo železnica zagotovila t.i. hrbtenično prometno omrežje tam, kjer že obstaja, in ki bo povezano z cestnim prometnim omrežjem, JPP, P + R sistemi ter kolesarsko infrastrukturo. S krajšimi potovalnimi časi in taktnim voznim redom na železnici ter drugimi ukrepi (prestopne točke, kolesarnice, usklajeni vozni redi itd.), ki so osnova celotnega prometnega sistema (IJPP) se bo povečala atraktivnost javnega potniškega prometa in zagotovila trajnostna mobilnost.</w:t>
            </w:r>
          </w:p>
          <w:p w14:paraId="274791A6" w14:textId="77777777" w:rsidR="00A77B3E" w:rsidRDefault="00A77B3E">
            <w:pPr>
              <w:spacing w:before="5pt"/>
              <w:rPr>
                <w:color w:val="000000"/>
              </w:rPr>
            </w:pPr>
          </w:p>
          <w:p w14:paraId="7FAB548F" w14:textId="77777777" w:rsidR="00A77B3E" w:rsidRDefault="00B16CCF">
            <w:pPr>
              <w:spacing w:before="5pt"/>
              <w:rPr>
                <w:color w:val="000000"/>
              </w:rPr>
            </w:pPr>
            <w:r>
              <w:rPr>
                <w:color w:val="000000"/>
              </w:rPr>
              <w:t>Tako so izbrani ukrepi na tem specifičnem cilju tisti, ki se nanašajo na izgradnjo razvojnih osi in drugih regionalnih povezav za izboljšanje dostopa do TEN-T, prioritetni projekti na regionalnem železniškem omrežju ter izgradnjo državnega kolesarskega omrežja. Usklajenost in učinkovitost teh ukrepov bodo zagotavljali horizontali ukrepi prometnega načrtovanja.</w:t>
            </w:r>
          </w:p>
          <w:p w14:paraId="6AD7E82F" w14:textId="77777777" w:rsidR="00A77B3E" w:rsidRDefault="00A77B3E">
            <w:pPr>
              <w:spacing w:before="5pt"/>
              <w:rPr>
                <w:color w:val="000000"/>
              </w:rPr>
            </w:pPr>
          </w:p>
          <w:p w14:paraId="77F34530" w14:textId="77777777" w:rsidR="00A77B3E" w:rsidRDefault="00B16CCF">
            <w:pPr>
              <w:spacing w:before="5pt"/>
              <w:rPr>
                <w:color w:val="000000"/>
              </w:rPr>
            </w:pPr>
            <w:r>
              <w:rPr>
                <w:color w:val="000000"/>
              </w:rPr>
              <w:t>V skladu z navedenim so predvideni naslednji ukrepi:</w:t>
            </w:r>
          </w:p>
          <w:p w14:paraId="4AB234DA" w14:textId="77777777" w:rsidR="00A77B3E" w:rsidRDefault="00A77B3E">
            <w:pPr>
              <w:spacing w:before="5pt"/>
              <w:rPr>
                <w:color w:val="000000"/>
              </w:rPr>
            </w:pPr>
          </w:p>
          <w:p w14:paraId="31A2771F" w14:textId="77777777" w:rsidR="00A77B3E" w:rsidRDefault="00B16CCF">
            <w:pPr>
              <w:spacing w:before="5pt"/>
              <w:rPr>
                <w:color w:val="000000"/>
              </w:rPr>
            </w:pPr>
            <w:r>
              <w:rPr>
                <w:color w:val="000000"/>
              </w:rPr>
              <w:t>•</w:t>
            </w:r>
            <w:r>
              <w:rPr>
                <w:i/>
                <w:iCs/>
                <w:color w:val="000000"/>
              </w:rPr>
              <w:t xml:space="preserve">državno kolesarsko omrežje: </w:t>
            </w:r>
            <w:r>
              <w:rPr>
                <w:color w:val="000000"/>
              </w:rPr>
              <w:t>načrtuje se izgradnja oz. dograditev kolesarskih povezav v okviru državnega kolesarskega omrežja, z namenom izboljšane navezave na urbana središča in predvsem na vozlišča JPP, kar bo spodbudilo multimodalnost pri opravljanju dnevnih poti od izhodišča do cilja na trajnosten način. Z izgradnjo kolesarskih povezav želimo del poti, ki so se opravljale z osebnimi avtomobili preusmeriti na kolo, e-kolo ali na intermodalnost kolo/vlak ali avtobus. S takim pristopom želimo zajeti tako krajše poti, ki so primerne za kolesarjenje, kot daljše, ki so primerne za kombinacijo kolo – vlak/avtobus. Sprememba v načinu potovanja od osebnega avtomobila na kolo ali kombinacijo kolesa in JPP pomeni neposredno zmanjšanje izpustov TGP. Državno kolesarsko omrežje je bilo v Sloveniji opredeljeno leta 2018 z ocenjeno skupno dolžino 4.000 km. Skupna dolžina obstoječe kolesarske infrastrukture državnega omrežja znašala zgolj 365 km. V teku so projekti za izgradnjo dodatnih 400 km, ki bodo izgrajeni do konca leta 2023. Ukrepi bodo zajemali izgradnjo manjkajočih odsekov državnega omrežja, prednostno v okolici mest;</w:t>
            </w:r>
          </w:p>
          <w:p w14:paraId="40C0B7A1" w14:textId="77777777" w:rsidR="00A77B3E" w:rsidRDefault="00A77B3E">
            <w:pPr>
              <w:spacing w:before="5pt"/>
              <w:rPr>
                <w:color w:val="000000"/>
              </w:rPr>
            </w:pPr>
          </w:p>
          <w:p w14:paraId="3C516D63" w14:textId="77777777" w:rsidR="00A77B3E" w:rsidRDefault="00B16CCF">
            <w:pPr>
              <w:spacing w:before="5pt"/>
              <w:rPr>
                <w:color w:val="000000"/>
              </w:rPr>
            </w:pPr>
            <w:r>
              <w:rPr>
                <w:color w:val="000000"/>
              </w:rPr>
              <w:t>•</w:t>
            </w:r>
            <w:r>
              <w:rPr>
                <w:i/>
                <w:iCs/>
                <w:color w:val="000000"/>
              </w:rPr>
              <w:t>neinfrastrukturni ukrepi trajnostne mobilnosti na horizontalni ravni:</w:t>
            </w:r>
            <w:r>
              <w:rPr>
                <w:color w:val="000000"/>
              </w:rPr>
              <w:t xml:space="preserve"> predvidena je izdelava regionalnih celostnih prometnih strategij, posodobitev celostnih prometnih strategij na lokalni ravni ter vzpostavitev regijskih mobilnostnih centrov za promocijo in upravljanje trajnostne mobilnosti v regijah na podlagi pilotnih projektov, izvedeni pa bodo tudi podpora izobraževanju, ozaveščanju in informiranju različnih ciljnih skupin o trajnostni mobilnosti, spodbude za izvedbo ukrepov na podlagi mobilnostnih načrtov na ravni ustanov ter sistema certificiranja mobilnostno trajnostno naravnanih zaposlovalcev, spodbude za izvedbo ukrepov na podlagi načrtov parkirne politike na ravni mest in regij in njihovo izvedbo in spodbude za upravljanje mestne logistike tako na lokalni kot regionalni ravni, tudi v obliki podpore demonstracijskim projektom. Pri tem so posebej pomembne spodbude za inovativne digitalne rešitve (npr. sopotništvo, prevozi na klic integrirani v sistem in uvajanje zbirnih prevozov), ki bodo dopolnjevale javni prevoz in omogočale večjo zasedenost prostih sedežev v vseh sredstvih prevoza. K temu bo pripomogel tudi razvoj naprednih rešitev (digitalizacija v prometu), ki omogoča spremljanje podatkov o zasedenosti in lokaciji vozil v realnem času in s tem čim bolj optimalno načrtovanje poti;</w:t>
            </w:r>
          </w:p>
          <w:p w14:paraId="1ADE36E6" w14:textId="77777777" w:rsidR="00A77B3E" w:rsidRDefault="00A77B3E">
            <w:pPr>
              <w:spacing w:before="5pt"/>
              <w:rPr>
                <w:color w:val="000000"/>
              </w:rPr>
            </w:pPr>
          </w:p>
          <w:p w14:paraId="59ECD76A" w14:textId="77777777" w:rsidR="00A77B3E" w:rsidRDefault="00B16CCF">
            <w:pPr>
              <w:spacing w:before="5pt"/>
              <w:rPr>
                <w:color w:val="000000"/>
              </w:rPr>
            </w:pPr>
            <w:r>
              <w:rPr>
                <w:color w:val="000000"/>
              </w:rPr>
              <w:t>•</w:t>
            </w:r>
            <w:r>
              <w:rPr>
                <w:i/>
                <w:iCs/>
                <w:color w:val="000000"/>
              </w:rPr>
              <w:t>infrastruktura za trajnostno mobilnost na lokalni ravni:</w:t>
            </w:r>
            <w:r>
              <w:rPr>
                <w:color w:val="000000"/>
              </w:rPr>
              <w:t xml:space="preserve"> na podlagi sprejetih celostnih prometnih strategij (CPS) bodo natančno identificirane prioritete v občinah z mestnimi naselji in v regijah, prednostno pa bodo sredstva namenjena infrastrukturi za multimodalni potniški promet od vrat do vrat. Hrbtenica sistema mora biti JPP, dopolnjuje pa se z rešitvami za prvi in zadnji kilometer. To so predvsem kolesarske povezave in infrastruktura za pešce, s poudarkom na dostopu do postajališč JPP ter točke prestopa iz osebnega avtomobila na JPP ali sopotništvo. Investicije na področju trajnostne mobilnosti bodo pripomogle k dvigu deleža trajnostnih prometnih načinov v dnevnih migracijah prebivalstva. Večji delež uporabe trajnostnih načinov prevoza bo pripomogel k znižanju emisij TGP in drugih onesnaževal zraka iz prometa ter s tem k izboljšanju kakovosti življenja. Predvideni ukrepi so:</w:t>
            </w:r>
          </w:p>
          <w:p w14:paraId="6E10F0BF" w14:textId="77777777" w:rsidR="00A77B3E" w:rsidRDefault="00B16CCF">
            <w:pPr>
              <w:spacing w:before="5pt"/>
              <w:rPr>
                <w:color w:val="000000"/>
              </w:rPr>
            </w:pPr>
            <w:r>
              <w:rPr>
                <w:color w:val="000000"/>
              </w:rPr>
              <w:t>oureditev postaj in postajališč JPP,</w:t>
            </w:r>
          </w:p>
          <w:p w14:paraId="1AF0B72A" w14:textId="77777777" w:rsidR="00A77B3E" w:rsidRDefault="00B16CCF">
            <w:pPr>
              <w:spacing w:before="5pt"/>
              <w:rPr>
                <w:color w:val="000000"/>
              </w:rPr>
            </w:pPr>
            <w:r>
              <w:rPr>
                <w:color w:val="000000"/>
              </w:rPr>
              <w:t>opreureditve infrastrukture za pešce, predvsem za dostop do šol ter postaj in postajališč JPP, vključno z napravami in ukrepi za umirjanje prometa za varnost pešcev,</w:t>
            </w:r>
          </w:p>
          <w:p w14:paraId="1FAF8FC4" w14:textId="77777777" w:rsidR="00A77B3E" w:rsidRDefault="00B16CCF">
            <w:pPr>
              <w:spacing w:before="5pt"/>
              <w:rPr>
                <w:color w:val="000000"/>
              </w:rPr>
            </w:pPr>
            <w:r>
              <w:rPr>
                <w:color w:val="000000"/>
              </w:rPr>
              <w:t>ogradnja kakovostnih ločenih kolesarskih površin in ostale kolesarske infrastrukture, vključno z infrastrukturo za polnjenje e-koles in parkirišči za kolesa, predvsem varnih kolesarnic za e-kolesa ob javni infrastrukturi, kot so npr. šole, občine, poslovne cone, železniške in avtobusne postaje in postajališča, za spodbujanje uporabe navadnih in e-koles za dnevni prevoz,</w:t>
            </w:r>
          </w:p>
          <w:p w14:paraId="2D2B0CF3" w14:textId="77777777" w:rsidR="00A77B3E" w:rsidRDefault="00B16CCF">
            <w:pPr>
              <w:spacing w:before="5pt"/>
              <w:rPr>
                <w:color w:val="000000"/>
              </w:rPr>
            </w:pPr>
            <w:r>
              <w:rPr>
                <w:color w:val="000000"/>
              </w:rPr>
              <w:t>oinfrastruktura prestopnih točk med različnimi oblikami mobilnosti;</w:t>
            </w:r>
          </w:p>
          <w:p w14:paraId="679C8956" w14:textId="77777777" w:rsidR="00A77B3E" w:rsidRDefault="00A77B3E">
            <w:pPr>
              <w:spacing w:before="5pt"/>
              <w:rPr>
                <w:color w:val="000000"/>
              </w:rPr>
            </w:pPr>
          </w:p>
          <w:p w14:paraId="7B4D97E2" w14:textId="77777777" w:rsidR="00A77B3E" w:rsidRDefault="00B16CCF">
            <w:pPr>
              <w:spacing w:before="5pt"/>
              <w:rPr>
                <w:color w:val="000000"/>
              </w:rPr>
            </w:pPr>
            <w:r>
              <w:rPr>
                <w:color w:val="000000"/>
              </w:rPr>
              <w:t>•     </w:t>
            </w:r>
            <w:r>
              <w:rPr>
                <w:i/>
                <w:iCs/>
                <w:color w:val="000000"/>
              </w:rPr>
              <w:t>organizacija trajnostne mobilnosti na lokalni ravni:</w:t>
            </w:r>
            <w:r>
              <w:rPr>
                <w:color w:val="000000"/>
              </w:rPr>
              <w:t xml:space="preserve"> na podlagi sprejetih celostnih prometnih strategij (CPS) bodo natančno identificirane prioritete v občinah z mestnimi naselji in v regijah. Sredstva bodo namenjena ukrepom za boljše upravljanje prometa v mestih in regijah s ciljem povečanja privlačnosti uporabe trajnostnih prometnih načinov in odvračanja uporabnikov od pretirane uporabe osebnega avtomobila. Predvideni ukrepi so:</w:t>
            </w:r>
          </w:p>
          <w:p w14:paraId="6AC8ABAA" w14:textId="77777777" w:rsidR="00A77B3E" w:rsidRDefault="00B16CCF">
            <w:pPr>
              <w:spacing w:before="5pt"/>
              <w:rPr>
                <w:color w:val="000000"/>
              </w:rPr>
            </w:pPr>
            <w:r>
              <w:rPr>
                <w:color w:val="000000"/>
              </w:rPr>
              <w:t>ouporaba inteligentnih prometnih sistemov za upravljanje večmodalne trajnostne mobilnosti;</w:t>
            </w:r>
          </w:p>
          <w:p w14:paraId="2F6E8E9F" w14:textId="77777777" w:rsidR="00A77B3E" w:rsidRDefault="00B16CCF">
            <w:pPr>
              <w:spacing w:before="5pt"/>
              <w:rPr>
                <w:color w:val="000000"/>
              </w:rPr>
            </w:pPr>
            <w:r>
              <w:rPr>
                <w:color w:val="000000"/>
              </w:rPr>
              <w:t>oizvedba pilotnih projektov v okviru ukrepa trajnostne parkirne politike, omejevanja prometa v mestnih jedrih in uporabe sodobnih tehnologij za upravljanje mobilnost;</w:t>
            </w:r>
          </w:p>
          <w:p w14:paraId="3F6238F6" w14:textId="77777777" w:rsidR="00A77B3E" w:rsidRDefault="00B16CCF">
            <w:pPr>
              <w:spacing w:before="5pt"/>
              <w:rPr>
                <w:color w:val="000000"/>
              </w:rPr>
            </w:pPr>
            <w:r>
              <w:rPr>
                <w:color w:val="000000"/>
              </w:rPr>
              <w:lastRenderedPageBreak/>
              <w:t>ospodbude za uporabo sodobnih tehnologij za učinkovito upravljanje mobilnosti (npr.: vzpostavitev sistemov optimizacije prometa s prednostno obravnavo JPP, kolesarjev in pešcev; vzpostavitev sistemov dostopa do potovalnih informacij za uporabnika, vključno z informatizacijo upravljanja parkiranja; vzpostavitev pogojev za čezmejno mobilnost oz. predvsem povezavo JPP s prestopnimi točkami v sosednjih državah).</w:t>
            </w:r>
          </w:p>
          <w:p w14:paraId="36300EFB" w14:textId="77777777" w:rsidR="00A77B3E" w:rsidRDefault="00A77B3E">
            <w:pPr>
              <w:spacing w:before="5pt"/>
              <w:rPr>
                <w:color w:val="000000"/>
              </w:rPr>
            </w:pPr>
          </w:p>
          <w:p w14:paraId="6CBB9650" w14:textId="77777777" w:rsidR="00A77B3E" w:rsidRDefault="00B16CCF">
            <w:pPr>
              <w:spacing w:before="5pt"/>
              <w:rPr>
                <w:color w:val="000000"/>
              </w:rPr>
            </w:pPr>
            <w:r>
              <w:rPr>
                <w:color w:val="000000"/>
              </w:rPr>
              <w:t>Kjer bo relevantno, bo izvajanje ukrepov skladno s pobudo Novi evropski Bauhaus za uspešno povezovanje načela trajnosti, estetike in vključevanja, da bi našli dostopne, vključujoče, trajnostne in privlačne rešitve za podnebne izzive. 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Noben izmed predvidenih ukrepov po svoji naravi nima bistvenega škodljivega vpliva na katerega koli od šestih okoljskih ciljev pod pogojem upoštevanja tehničnih meril, navedenih v Prilogi: DNSH.</w:t>
            </w:r>
          </w:p>
          <w:p w14:paraId="738260D0" w14:textId="77777777" w:rsidR="00A77B3E" w:rsidRDefault="00A77B3E">
            <w:pPr>
              <w:spacing w:before="5pt"/>
              <w:rPr>
                <w:color w:val="000000"/>
                <w:sz w:val="6"/>
              </w:rPr>
            </w:pPr>
          </w:p>
          <w:p w14:paraId="6BC8FF2D" w14:textId="77777777" w:rsidR="00A77B3E" w:rsidRDefault="00A77B3E">
            <w:pPr>
              <w:spacing w:before="5pt"/>
              <w:rPr>
                <w:color w:val="000000"/>
                <w:sz w:val="6"/>
              </w:rPr>
            </w:pPr>
          </w:p>
        </w:tc>
      </w:tr>
    </w:tbl>
    <w:p w14:paraId="2167E015" w14:textId="77777777" w:rsidR="00A77B3E" w:rsidRDefault="00A77B3E">
      <w:pPr>
        <w:spacing w:before="5pt"/>
        <w:rPr>
          <w:color w:val="000000"/>
        </w:rPr>
      </w:pPr>
    </w:p>
    <w:p w14:paraId="290C3E20" w14:textId="77777777" w:rsidR="00A77B3E" w:rsidRDefault="00B16CCF">
      <w:pPr>
        <w:pStyle w:val="Naslov5"/>
        <w:spacing w:before="5pt" w:after="0pt"/>
        <w:rPr>
          <w:b w:val="0"/>
          <w:i w:val="0"/>
          <w:color w:val="000000"/>
          <w:sz w:val="24"/>
        </w:rPr>
      </w:pPr>
      <w:bookmarkStart w:id="371" w:name="_Toc256001132"/>
      <w:r>
        <w:rPr>
          <w:b w:val="0"/>
          <w:i w:val="0"/>
          <w:color w:val="000000"/>
          <w:sz w:val="24"/>
        </w:rPr>
        <w:t>Glavne ciljne skupine – člen 22(3)(d)(iii) uredbe o skupnih določbah:</w:t>
      </w:r>
      <w:bookmarkEnd w:id="371"/>
    </w:p>
    <w:p w14:paraId="55B829D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3F966C1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2908C0" w14:textId="77777777" w:rsidR="00A77B3E" w:rsidRDefault="00A77B3E">
            <w:pPr>
              <w:spacing w:before="5pt"/>
              <w:rPr>
                <w:color w:val="000000"/>
                <w:sz w:val="0"/>
              </w:rPr>
            </w:pPr>
          </w:p>
          <w:p w14:paraId="62416EB6" w14:textId="77777777" w:rsidR="00A77B3E" w:rsidRDefault="00A77B3E">
            <w:pPr>
              <w:spacing w:before="5pt"/>
              <w:rPr>
                <w:color w:val="000000"/>
              </w:rPr>
            </w:pPr>
          </w:p>
          <w:p w14:paraId="03412878" w14:textId="77777777" w:rsidR="00A77B3E" w:rsidRDefault="00A77B3E">
            <w:pPr>
              <w:spacing w:before="5pt"/>
              <w:rPr>
                <w:color w:val="000000"/>
              </w:rPr>
            </w:pPr>
          </w:p>
          <w:p w14:paraId="75BA29BB" w14:textId="77777777" w:rsidR="00A77B3E" w:rsidRDefault="00B16CCF">
            <w:pPr>
              <w:spacing w:before="5pt"/>
              <w:rPr>
                <w:color w:val="000000"/>
              </w:rPr>
            </w:pPr>
            <w:r>
              <w:rPr>
                <w:color w:val="000000"/>
              </w:rPr>
              <w:t>Ciljne skupine: podjetja, javni sektor, gospodinjstva, lokalne skupnosti, zadruge, zavodi, regionalne razvojne agencije, posamezniki.</w:t>
            </w:r>
          </w:p>
          <w:p w14:paraId="01DFD63D" w14:textId="77777777" w:rsidR="00A77B3E" w:rsidRDefault="00A77B3E">
            <w:pPr>
              <w:spacing w:before="5pt"/>
              <w:rPr>
                <w:color w:val="000000"/>
              </w:rPr>
            </w:pPr>
          </w:p>
          <w:p w14:paraId="032A8A8D" w14:textId="77777777" w:rsidR="00A77B3E" w:rsidRDefault="00B16CCF">
            <w:pPr>
              <w:spacing w:before="5pt"/>
              <w:rPr>
                <w:color w:val="000000"/>
              </w:rPr>
            </w:pPr>
            <w:r>
              <w:rPr>
                <w:color w:val="000000"/>
              </w:rPr>
              <w:t>Upravičenci: Direkcija za infrastrukturo (DRSI), lokalne skupnosti, državna uprava, zavodi, regionalne razvojne agencije, podjetja.</w:t>
            </w:r>
          </w:p>
          <w:p w14:paraId="1211F308" w14:textId="77777777" w:rsidR="00A77B3E" w:rsidRDefault="00A77B3E">
            <w:pPr>
              <w:spacing w:before="5pt"/>
              <w:rPr>
                <w:color w:val="000000"/>
                <w:sz w:val="6"/>
              </w:rPr>
            </w:pPr>
          </w:p>
          <w:p w14:paraId="55A54009" w14:textId="77777777" w:rsidR="00A77B3E" w:rsidRDefault="00A77B3E">
            <w:pPr>
              <w:spacing w:before="5pt"/>
              <w:rPr>
                <w:color w:val="000000"/>
                <w:sz w:val="6"/>
              </w:rPr>
            </w:pPr>
          </w:p>
        </w:tc>
      </w:tr>
    </w:tbl>
    <w:p w14:paraId="08BD4EF4" w14:textId="77777777" w:rsidR="00A77B3E" w:rsidRDefault="00A77B3E">
      <w:pPr>
        <w:spacing w:before="5pt"/>
        <w:rPr>
          <w:color w:val="000000"/>
        </w:rPr>
      </w:pPr>
    </w:p>
    <w:p w14:paraId="618A9AA4" w14:textId="77777777" w:rsidR="00A77B3E" w:rsidRDefault="00B16CCF">
      <w:pPr>
        <w:pStyle w:val="Naslov5"/>
        <w:spacing w:before="5pt" w:after="0pt"/>
        <w:rPr>
          <w:b w:val="0"/>
          <w:i w:val="0"/>
          <w:color w:val="000000"/>
          <w:sz w:val="24"/>
        </w:rPr>
      </w:pPr>
      <w:bookmarkStart w:id="372" w:name="_Toc256001133"/>
      <w:r>
        <w:rPr>
          <w:b w:val="0"/>
          <w:i w:val="0"/>
          <w:color w:val="000000"/>
          <w:sz w:val="24"/>
        </w:rPr>
        <w:t>Ukrepi za zaščito enakosti, vključenosti in nediskriminacije – člen 22(3)(d)(iv) uredbe o skupnih določbah in člen 6 uredbe o ESS+</w:t>
      </w:r>
      <w:bookmarkEnd w:id="372"/>
    </w:p>
    <w:p w14:paraId="1D5B61A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193749E1"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BE99AA" w14:textId="77777777" w:rsidR="00A77B3E" w:rsidRDefault="00A77B3E">
            <w:pPr>
              <w:spacing w:before="5pt"/>
              <w:rPr>
                <w:color w:val="000000"/>
                <w:sz w:val="0"/>
              </w:rPr>
            </w:pPr>
          </w:p>
          <w:p w14:paraId="0C19DF9C" w14:textId="77777777" w:rsidR="00A77B3E" w:rsidRDefault="00B16CCF">
            <w:pPr>
              <w:spacing w:before="5pt"/>
              <w:rPr>
                <w:color w:val="000000"/>
              </w:rPr>
            </w:pPr>
            <w:r>
              <w:rPr>
                <w:color w:val="000000"/>
              </w:rPr>
              <w:t xml:space="preserve">Pri načrtovanju, izvedbi in spremljanju ukrepov bodo spoštovana načela enakosti spolov, enakih možnosti in nediskriminacije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Po potrebi bodo za uresničevanje načela enakih možnosti in nediskriminacije </w:t>
            </w:r>
            <w:r>
              <w:rPr>
                <w:color w:val="000000"/>
              </w:rPr>
              <w:lastRenderedPageBreak/>
              <w:t xml:space="preserve">zagotovljena usposabljanja upravne zmogljivosti. Načelo se bo upoštevalo tudi v okviru sistema upravljanja in nadzora. Z morebitnimi ugotovljenimi neskladji bo predvidoma vsaj enkrat letno seznanjen Odbor za spremljanje. </w:t>
            </w:r>
          </w:p>
          <w:p w14:paraId="57A416C6" w14:textId="77777777" w:rsidR="00A77B3E" w:rsidRDefault="00A77B3E">
            <w:pPr>
              <w:spacing w:before="5pt"/>
              <w:rPr>
                <w:color w:val="000000"/>
              </w:rPr>
            </w:pPr>
          </w:p>
          <w:p w14:paraId="4D0A7F1F" w14:textId="77777777" w:rsidR="00A77B3E" w:rsidRDefault="00B16CCF">
            <w:pPr>
              <w:spacing w:before="5pt"/>
              <w:rPr>
                <w:color w:val="000000"/>
              </w:rPr>
            </w:pPr>
            <w:r>
              <w:rPr>
                <w:color w:val="000000"/>
              </w:rPr>
              <w:t>Dodatno bodo pri izvajanju gradbenih ukrepov objekti izpolnjevali tehnične zahteve, s katerimi se prilagodijo tako, da so nediskriminatorni do vseh oblik začasne ali trajne invalidnosti in so prilagojeni ranljivim skupinam prebivalstva.</w:t>
            </w:r>
          </w:p>
          <w:p w14:paraId="26BBB642" w14:textId="77777777" w:rsidR="00A77B3E" w:rsidRDefault="00A77B3E">
            <w:pPr>
              <w:spacing w:before="5pt"/>
              <w:rPr>
                <w:color w:val="000000"/>
                <w:sz w:val="6"/>
              </w:rPr>
            </w:pPr>
          </w:p>
          <w:p w14:paraId="0A4BCE55" w14:textId="77777777" w:rsidR="00A77B3E" w:rsidRDefault="00A77B3E">
            <w:pPr>
              <w:spacing w:before="5pt"/>
              <w:rPr>
                <w:color w:val="000000"/>
                <w:sz w:val="6"/>
              </w:rPr>
            </w:pPr>
          </w:p>
        </w:tc>
      </w:tr>
    </w:tbl>
    <w:p w14:paraId="7919FCA6" w14:textId="77777777" w:rsidR="00A77B3E" w:rsidRDefault="00A77B3E">
      <w:pPr>
        <w:spacing w:before="5pt"/>
        <w:rPr>
          <w:color w:val="000000"/>
        </w:rPr>
      </w:pPr>
    </w:p>
    <w:p w14:paraId="74FE6A2E" w14:textId="77777777" w:rsidR="00A77B3E" w:rsidRDefault="00B16CCF">
      <w:pPr>
        <w:pStyle w:val="Naslov5"/>
        <w:spacing w:before="5pt" w:after="0pt"/>
        <w:rPr>
          <w:b w:val="0"/>
          <w:i w:val="0"/>
          <w:color w:val="000000"/>
          <w:sz w:val="24"/>
        </w:rPr>
      </w:pPr>
      <w:bookmarkStart w:id="373" w:name="_Toc256001134"/>
      <w:r>
        <w:rPr>
          <w:b w:val="0"/>
          <w:i w:val="0"/>
          <w:color w:val="000000"/>
          <w:sz w:val="24"/>
        </w:rPr>
        <w:t>Navedba specifičnih ciljnih ozemelj, vključno z načrtovano uporabo teritorialnih orodij – člen 22(3)(d)(v) uredbe o skupnih določbah</w:t>
      </w:r>
      <w:bookmarkEnd w:id="373"/>
    </w:p>
    <w:p w14:paraId="5F3C6CE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2CA19E9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2AE669" w14:textId="77777777" w:rsidR="00A77B3E" w:rsidRDefault="00A77B3E">
            <w:pPr>
              <w:spacing w:before="5pt"/>
              <w:rPr>
                <w:color w:val="000000"/>
                <w:sz w:val="0"/>
              </w:rPr>
            </w:pPr>
          </w:p>
          <w:p w14:paraId="04D613BA" w14:textId="77777777" w:rsidR="00A77B3E" w:rsidRDefault="00B16CCF">
            <w:pPr>
              <w:spacing w:before="5pt"/>
              <w:rPr>
                <w:color w:val="000000"/>
              </w:rPr>
            </w:pPr>
            <w:r>
              <w:rPr>
                <w:color w:val="000000"/>
              </w:rPr>
              <w:t xml:space="preserve">V okviru specifičnega cilja se predvideva naslavljanje pristopa regionalnega razvoja izhajajoč iz potreb v pripravljenih teritorialnih strategij (RRP). </w:t>
            </w:r>
          </w:p>
          <w:p w14:paraId="23BF8849" w14:textId="77777777" w:rsidR="00A77B3E" w:rsidRDefault="00A77B3E">
            <w:pPr>
              <w:spacing w:before="5pt"/>
              <w:rPr>
                <w:color w:val="000000"/>
              </w:rPr>
            </w:pPr>
          </w:p>
          <w:p w14:paraId="05DC1777" w14:textId="77777777" w:rsidR="00A77B3E" w:rsidRDefault="00B16CCF">
            <w:pPr>
              <w:spacing w:before="5pt"/>
              <w:rPr>
                <w:color w:val="000000"/>
              </w:rPr>
            </w:pPr>
            <w:r>
              <w:rPr>
                <w:color w:val="000000"/>
              </w:rPr>
              <w:t>Ukrepi, načrtovani v okviru sredstev ESRR tega specifičnega cilja, so predvideni zgolj v KRVS, saj so izkazane največje potrebe v tej kohezijski regiji.</w:t>
            </w:r>
          </w:p>
          <w:p w14:paraId="677CD385" w14:textId="77777777" w:rsidR="00A77B3E" w:rsidRDefault="00A77B3E">
            <w:pPr>
              <w:spacing w:before="5pt"/>
              <w:rPr>
                <w:color w:val="000000"/>
                <w:sz w:val="6"/>
              </w:rPr>
            </w:pPr>
          </w:p>
          <w:p w14:paraId="3ACB845C" w14:textId="77777777" w:rsidR="00A77B3E" w:rsidRDefault="00A77B3E">
            <w:pPr>
              <w:spacing w:before="5pt"/>
              <w:rPr>
                <w:color w:val="000000"/>
                <w:sz w:val="6"/>
              </w:rPr>
            </w:pPr>
          </w:p>
        </w:tc>
      </w:tr>
    </w:tbl>
    <w:p w14:paraId="4F4E6A56" w14:textId="77777777" w:rsidR="00A77B3E" w:rsidRDefault="00A77B3E">
      <w:pPr>
        <w:spacing w:before="5pt"/>
        <w:rPr>
          <w:color w:val="000000"/>
        </w:rPr>
      </w:pPr>
    </w:p>
    <w:p w14:paraId="0E5250C5" w14:textId="77777777" w:rsidR="00A77B3E" w:rsidRDefault="00B16CCF">
      <w:pPr>
        <w:pStyle w:val="Naslov5"/>
        <w:spacing w:before="5pt" w:after="0pt"/>
        <w:rPr>
          <w:b w:val="0"/>
          <w:i w:val="0"/>
          <w:color w:val="000000"/>
          <w:sz w:val="24"/>
        </w:rPr>
      </w:pPr>
      <w:bookmarkStart w:id="374" w:name="_Toc256001135"/>
      <w:r>
        <w:rPr>
          <w:b w:val="0"/>
          <w:i w:val="0"/>
          <w:color w:val="000000"/>
          <w:sz w:val="24"/>
        </w:rPr>
        <w:t>Medregionalni, čezmejni in transnacionalni ukrepi – člen 22(3)(d)(vi) uredbe o skupnih določbah</w:t>
      </w:r>
      <w:bookmarkEnd w:id="374"/>
    </w:p>
    <w:p w14:paraId="06F13BC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5E2665BF"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8F338E" w14:textId="77777777" w:rsidR="00A77B3E" w:rsidRDefault="00A77B3E">
            <w:pPr>
              <w:spacing w:before="5pt"/>
              <w:rPr>
                <w:color w:val="000000"/>
                <w:sz w:val="0"/>
              </w:rPr>
            </w:pPr>
          </w:p>
          <w:p w14:paraId="63B9CEDC" w14:textId="77777777" w:rsidR="00A77B3E" w:rsidRDefault="00B16CCF">
            <w:pPr>
              <w:spacing w:before="5pt"/>
              <w:rPr>
                <w:color w:val="000000"/>
              </w:rPr>
            </w:pPr>
            <w:r>
              <w:rPr>
                <w:color w:val="000000"/>
              </w:rPr>
              <w:t>V okviru predmetnega specifičnega cilja ni načrtovana izvedba medregionalnih, čezmejnih in transnacionalnih ukrepov, saj gre za ukrepe vzpodbujanja vseh oblik trajnostne mobilnosti in krepitve javnega potniškega prometa, vključno z zagotavljanjem boljšega dostopa do TEN-T omrežja, ki so namenjeni prvenstveno ciljnim skupinam na območju Slovenije.</w:t>
            </w:r>
          </w:p>
          <w:p w14:paraId="6A41CCEC" w14:textId="77777777" w:rsidR="00A77B3E" w:rsidRDefault="00A77B3E">
            <w:pPr>
              <w:spacing w:before="5pt"/>
              <w:rPr>
                <w:color w:val="000000"/>
                <w:sz w:val="6"/>
              </w:rPr>
            </w:pPr>
          </w:p>
          <w:p w14:paraId="795F755D" w14:textId="77777777" w:rsidR="00A77B3E" w:rsidRDefault="00A77B3E">
            <w:pPr>
              <w:spacing w:before="5pt"/>
              <w:rPr>
                <w:color w:val="000000"/>
                <w:sz w:val="6"/>
              </w:rPr>
            </w:pPr>
          </w:p>
        </w:tc>
      </w:tr>
    </w:tbl>
    <w:p w14:paraId="021A3F0F" w14:textId="77777777" w:rsidR="00A77B3E" w:rsidRDefault="00A77B3E">
      <w:pPr>
        <w:spacing w:before="5pt"/>
        <w:rPr>
          <w:color w:val="000000"/>
        </w:rPr>
      </w:pPr>
    </w:p>
    <w:p w14:paraId="43F1E0CA" w14:textId="77777777" w:rsidR="00A77B3E" w:rsidRDefault="00B16CCF">
      <w:pPr>
        <w:pStyle w:val="Naslov5"/>
        <w:spacing w:before="5pt" w:after="0pt"/>
        <w:rPr>
          <w:b w:val="0"/>
          <w:i w:val="0"/>
          <w:color w:val="000000"/>
          <w:sz w:val="24"/>
        </w:rPr>
      </w:pPr>
      <w:bookmarkStart w:id="375" w:name="_Toc256001136"/>
      <w:r>
        <w:rPr>
          <w:b w:val="0"/>
          <w:i w:val="0"/>
          <w:color w:val="000000"/>
          <w:sz w:val="24"/>
        </w:rPr>
        <w:t>Načrtovana uporaba finančnih instrumentov – člen 22(3)(d)(vii) uredbe o skupnih določbah</w:t>
      </w:r>
      <w:bookmarkEnd w:id="375"/>
    </w:p>
    <w:p w14:paraId="3149840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76059911"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5A8E1A" w14:textId="77777777" w:rsidR="00A77B3E" w:rsidRDefault="00A77B3E">
            <w:pPr>
              <w:spacing w:before="5pt"/>
              <w:rPr>
                <w:color w:val="000000"/>
                <w:sz w:val="0"/>
              </w:rPr>
            </w:pPr>
          </w:p>
          <w:p w14:paraId="690A76ED" w14:textId="77777777" w:rsidR="00A77B3E" w:rsidRDefault="00B16CCF">
            <w:pPr>
              <w:spacing w:before="5pt"/>
              <w:rPr>
                <w:color w:val="000000"/>
              </w:rPr>
            </w:pPr>
            <w:r>
              <w:rPr>
                <w:color w:val="000000"/>
              </w:rPr>
              <w:t>V okviru predmetnega specifičnega cilja uporaba finančnih instrumentov v skladu z izsledki analize Predhodnih ocen potreb trga in vrzeli financiranja na trgu za izvajanje finančnih instrumentov v programskem obdobju 2021-2027 (julij 2022) namreč ni predvidena. Predlagani ukrepi ne ustvarjajo dobička, zato ni možnosti prihrankov ali vračila povratnih sredstev, poleg tega pa projekti zaradi različnih okoliščin (npr. nerazvit trg, ipd.) niso zreli za povratna sredstva, zato je v celoti predvidena uporaba nepovratnih virov.</w:t>
            </w:r>
          </w:p>
          <w:p w14:paraId="51814920" w14:textId="77777777" w:rsidR="00A77B3E" w:rsidRDefault="00A77B3E">
            <w:pPr>
              <w:spacing w:before="5pt"/>
              <w:rPr>
                <w:color w:val="000000"/>
                <w:sz w:val="6"/>
              </w:rPr>
            </w:pPr>
          </w:p>
          <w:p w14:paraId="67DF2119" w14:textId="77777777" w:rsidR="00A77B3E" w:rsidRDefault="00A77B3E">
            <w:pPr>
              <w:spacing w:before="5pt"/>
              <w:rPr>
                <w:color w:val="000000"/>
                <w:sz w:val="6"/>
              </w:rPr>
            </w:pPr>
          </w:p>
        </w:tc>
      </w:tr>
    </w:tbl>
    <w:p w14:paraId="4FCE0AF9" w14:textId="77777777" w:rsidR="00A77B3E" w:rsidRDefault="00A77B3E">
      <w:pPr>
        <w:spacing w:before="5pt"/>
        <w:rPr>
          <w:color w:val="000000"/>
        </w:rPr>
      </w:pPr>
    </w:p>
    <w:p w14:paraId="2E87DE94" w14:textId="77777777" w:rsidR="00A77B3E" w:rsidRDefault="00B16CCF">
      <w:pPr>
        <w:pStyle w:val="Naslov4"/>
        <w:spacing w:before="5pt" w:after="0pt"/>
        <w:rPr>
          <w:b w:val="0"/>
          <w:color w:val="000000"/>
          <w:sz w:val="24"/>
        </w:rPr>
      </w:pPr>
      <w:bookmarkStart w:id="376" w:name="_Toc256001137"/>
      <w:r>
        <w:rPr>
          <w:b w:val="0"/>
          <w:color w:val="000000"/>
          <w:sz w:val="24"/>
        </w:rPr>
        <w:lastRenderedPageBreak/>
        <w:t>2.1.1.1.2. Kazalniki</w:t>
      </w:r>
      <w:bookmarkEnd w:id="376"/>
    </w:p>
    <w:p w14:paraId="2D72B1BA" w14:textId="77777777" w:rsidR="00A77B3E" w:rsidRDefault="00A77B3E">
      <w:pPr>
        <w:spacing w:before="5pt"/>
        <w:rPr>
          <w:color w:val="000000"/>
          <w:sz w:val="0"/>
        </w:rPr>
      </w:pPr>
    </w:p>
    <w:p w14:paraId="2418FDDF" w14:textId="77777777" w:rsidR="00A77B3E" w:rsidRDefault="00B16CCF">
      <w:pPr>
        <w:spacing w:before="5pt"/>
        <w:rPr>
          <w:color w:val="000000"/>
          <w:sz w:val="0"/>
        </w:rPr>
      </w:pPr>
      <w:r>
        <w:rPr>
          <w:color w:val="000000"/>
        </w:rPr>
        <w:t>Sklic: člen 22(3)(d)(ii) uredbe o skupnih določbah in člen 8 uredbe o ESRR in Kohezijskem skladu</w:t>
      </w:r>
    </w:p>
    <w:p w14:paraId="6DD00A8F" w14:textId="77777777" w:rsidR="00A77B3E" w:rsidRDefault="00B16CCF">
      <w:pPr>
        <w:pStyle w:val="Naslov5"/>
        <w:spacing w:before="5pt" w:after="0pt"/>
        <w:rPr>
          <w:b w:val="0"/>
          <w:i w:val="0"/>
          <w:color w:val="000000"/>
          <w:sz w:val="24"/>
        </w:rPr>
      </w:pPr>
      <w:bookmarkStart w:id="377" w:name="_Toc256001138"/>
      <w:r>
        <w:rPr>
          <w:b w:val="0"/>
          <w:i w:val="0"/>
          <w:color w:val="000000"/>
          <w:sz w:val="24"/>
        </w:rPr>
        <w:t>Tabela 2: Kazalniki učinka</w:t>
      </w:r>
      <w:bookmarkEnd w:id="377"/>
    </w:p>
    <w:p w14:paraId="6131F2C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31"/>
        <w:gridCol w:w="1690"/>
        <w:gridCol w:w="1791"/>
        <w:gridCol w:w="1752"/>
        <w:gridCol w:w="2033"/>
        <w:gridCol w:w="2285"/>
        <w:gridCol w:w="1307"/>
        <w:gridCol w:w="1267"/>
        <w:gridCol w:w="1216"/>
      </w:tblGrid>
      <w:tr w:rsidR="00823317" w14:paraId="54E471E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3BAC9C"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59C13B"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569EC4"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15B718"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1DF128"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B9526A"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9B7FE8"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86A121" w14:textId="77777777" w:rsidR="00A77B3E" w:rsidRDefault="00B16CCF">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E02B29" w14:textId="77777777" w:rsidR="00A77B3E" w:rsidRDefault="00B16CCF">
            <w:pPr>
              <w:spacing w:before="5pt"/>
              <w:jc w:val="center"/>
              <w:rPr>
                <w:color w:val="000000"/>
                <w:sz w:val="20"/>
              </w:rPr>
            </w:pPr>
            <w:r>
              <w:rPr>
                <w:color w:val="000000"/>
                <w:sz w:val="20"/>
              </w:rPr>
              <w:t>Cilj (2029)</w:t>
            </w:r>
          </w:p>
        </w:tc>
      </w:tr>
      <w:tr w:rsidR="00823317" w14:paraId="2E0BE3B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F2729F" w14:textId="77777777" w:rsidR="00A77B3E" w:rsidRDefault="00B16CCF">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243773" w14:textId="77777777" w:rsidR="00A77B3E" w:rsidRDefault="00B16CCF">
            <w:pPr>
              <w:spacing w:before="5pt"/>
              <w:rPr>
                <w:color w:val="000000"/>
                <w:sz w:val="20"/>
              </w:rPr>
            </w:pPr>
            <w:r>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6FE9A7" w14:textId="77777777" w:rsidR="00A77B3E" w:rsidRDefault="00B16CCF">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63925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F127C8" w14:textId="77777777" w:rsidR="00A77B3E" w:rsidRDefault="00B16CCF">
            <w:pPr>
              <w:spacing w:before="5pt"/>
              <w:rPr>
                <w:color w:val="000000"/>
                <w:sz w:val="20"/>
              </w:rPr>
            </w:pPr>
            <w:r>
              <w:rPr>
                <w:color w:val="000000"/>
                <w:sz w:val="20"/>
              </w:rPr>
              <w:t>RCO58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901553" w14:textId="77777777" w:rsidR="00A77B3E" w:rsidRDefault="00B16CCF">
            <w:pPr>
              <w:spacing w:before="5pt"/>
              <w:rPr>
                <w:color w:val="000000"/>
                <w:sz w:val="20"/>
              </w:rPr>
            </w:pPr>
            <w:r>
              <w:rPr>
                <w:color w:val="000000"/>
                <w:sz w:val="20"/>
              </w:rPr>
              <w:t>Namenska kolesarska infrastruktura, ki je prejela podporo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8ED9AF" w14:textId="77777777" w:rsidR="00A77B3E" w:rsidRDefault="00B16CCF">
            <w:pPr>
              <w:spacing w:before="5pt"/>
              <w:rPr>
                <w:color w:val="000000"/>
                <w:sz w:val="20"/>
              </w:rPr>
            </w:pPr>
            <w:r>
              <w:rPr>
                <w:color w:val="000000"/>
                <w:sz w:val="20"/>
              </w:rPr>
              <w:t>km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41E1D3" w14:textId="77777777" w:rsidR="00A77B3E" w:rsidRDefault="00B16CCF">
            <w:pPr>
              <w:spacing w:before="5pt"/>
              <w:jc w:val="end"/>
              <w:rPr>
                <w:color w:val="000000"/>
                <w:sz w:val="20"/>
              </w:rPr>
            </w:pPr>
            <w:r>
              <w:rPr>
                <w:color w:val="000000"/>
                <w:sz w:val="20"/>
              </w:rPr>
              <w:t>6,00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81078F" w14:textId="77777777" w:rsidR="00A77B3E" w:rsidRDefault="00B16CCF">
            <w:pPr>
              <w:spacing w:before="5pt"/>
              <w:jc w:val="end"/>
              <w:rPr>
                <w:color w:val="000000"/>
                <w:sz w:val="20"/>
              </w:rPr>
            </w:pPr>
            <w:r>
              <w:rPr>
                <w:color w:val="000000"/>
                <w:sz w:val="20"/>
              </w:rPr>
              <w:t>120,00</w:t>
            </w:r>
          </w:p>
        </w:tc>
      </w:tr>
    </w:tbl>
    <w:p w14:paraId="192C03D4" w14:textId="77777777" w:rsidR="00A77B3E" w:rsidRDefault="00A77B3E">
      <w:pPr>
        <w:spacing w:before="5pt"/>
        <w:rPr>
          <w:color w:val="000000"/>
          <w:sz w:val="20"/>
        </w:rPr>
      </w:pPr>
    </w:p>
    <w:p w14:paraId="489BAAC4" w14:textId="77777777" w:rsidR="00A77B3E" w:rsidRDefault="00B16CCF">
      <w:pPr>
        <w:spacing w:before="5pt"/>
        <w:rPr>
          <w:color w:val="000000"/>
          <w:sz w:val="0"/>
        </w:rPr>
      </w:pPr>
      <w:r>
        <w:rPr>
          <w:color w:val="000000"/>
        </w:rPr>
        <w:t>Sklic: člen 22(3)(d)(ii) uredbe o skupnih določbah</w:t>
      </w:r>
    </w:p>
    <w:p w14:paraId="16F2F760" w14:textId="77777777" w:rsidR="00A77B3E" w:rsidRDefault="00B16CCF">
      <w:pPr>
        <w:pStyle w:val="Naslov5"/>
        <w:spacing w:before="5pt" w:after="0pt"/>
        <w:rPr>
          <w:b w:val="0"/>
          <w:i w:val="0"/>
          <w:color w:val="000000"/>
          <w:sz w:val="24"/>
        </w:rPr>
      </w:pPr>
      <w:bookmarkStart w:id="378" w:name="_Toc256001139"/>
      <w:r>
        <w:rPr>
          <w:b w:val="0"/>
          <w:i w:val="0"/>
          <w:color w:val="000000"/>
          <w:sz w:val="24"/>
        </w:rPr>
        <w:t>Tabela 3: Kazalniki rezultatov</w:t>
      </w:r>
      <w:bookmarkEnd w:id="378"/>
    </w:p>
    <w:p w14:paraId="0208CD0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66"/>
        <w:gridCol w:w="1169"/>
        <w:gridCol w:w="1239"/>
        <w:gridCol w:w="1211"/>
        <w:gridCol w:w="1406"/>
        <w:gridCol w:w="1532"/>
        <w:gridCol w:w="1420"/>
        <w:gridCol w:w="1239"/>
        <w:gridCol w:w="1308"/>
        <w:gridCol w:w="1280"/>
        <w:gridCol w:w="1086"/>
        <w:gridCol w:w="1016"/>
      </w:tblGrid>
      <w:tr w:rsidR="00823317" w14:paraId="1B5538C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AD82DF"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8260E1"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CB8D9A"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041C12"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B5B130"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5B3F54"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993888"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1A8A08" w14:textId="77777777" w:rsidR="00A77B3E" w:rsidRDefault="00B16CCF">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2E1977" w14:textId="77777777" w:rsidR="00A77B3E" w:rsidRDefault="00B16CCF">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93CBC9" w14:textId="77777777" w:rsidR="00A77B3E" w:rsidRDefault="00B16CCF">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EFDCB09" w14:textId="77777777" w:rsidR="00A77B3E" w:rsidRDefault="00B16CCF">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63237C" w14:textId="77777777" w:rsidR="00A77B3E" w:rsidRDefault="00B16CCF">
            <w:pPr>
              <w:spacing w:before="5pt"/>
              <w:jc w:val="center"/>
              <w:rPr>
                <w:color w:val="000000"/>
                <w:sz w:val="20"/>
              </w:rPr>
            </w:pPr>
            <w:r>
              <w:rPr>
                <w:color w:val="000000"/>
                <w:sz w:val="20"/>
              </w:rPr>
              <w:t>Opombe</w:t>
            </w:r>
          </w:p>
        </w:tc>
      </w:tr>
      <w:tr w:rsidR="00823317" w14:paraId="6DBDA8A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6FA68C" w14:textId="77777777" w:rsidR="00A77B3E" w:rsidRDefault="00B16CCF">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551F8D" w14:textId="77777777" w:rsidR="00A77B3E" w:rsidRDefault="00B16CCF">
            <w:pPr>
              <w:spacing w:before="5pt"/>
              <w:rPr>
                <w:color w:val="000000"/>
                <w:sz w:val="20"/>
              </w:rPr>
            </w:pPr>
            <w:r>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A84423" w14:textId="77777777" w:rsidR="00A77B3E" w:rsidRDefault="00B16CCF">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4A9303"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F69894" w14:textId="77777777" w:rsidR="00A77B3E" w:rsidRDefault="00B16CCF">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485DD7" w14:textId="77777777" w:rsidR="00A77B3E" w:rsidRDefault="00B16CCF">
            <w:pPr>
              <w:spacing w:before="5pt"/>
              <w:rPr>
                <w:color w:val="000000"/>
                <w:sz w:val="20"/>
              </w:rPr>
            </w:pPr>
            <w:r>
              <w:rPr>
                <w:color w:val="000000"/>
                <w:sz w:val="20"/>
              </w:rPr>
              <w:t>Število potnikov na leto, ki uporabljajo namensko kolesarsko infrastrukturo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44CAD7" w14:textId="77777777" w:rsidR="00A77B3E" w:rsidRDefault="00B16CCF">
            <w:pPr>
              <w:spacing w:before="5pt"/>
              <w:rPr>
                <w:color w:val="000000"/>
                <w:sz w:val="20"/>
              </w:rPr>
            </w:pPr>
            <w:r>
              <w:rPr>
                <w:color w:val="000000"/>
                <w:sz w:val="20"/>
              </w:rPr>
              <w:t>Število uporabnikov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264364"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F43063" w14:textId="77777777" w:rsidR="00A77B3E" w:rsidRDefault="00B16CCF">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F136BB" w14:textId="77777777" w:rsidR="00A77B3E" w:rsidRDefault="00B16CCF">
            <w:pPr>
              <w:spacing w:before="5pt"/>
              <w:jc w:val="end"/>
              <w:rPr>
                <w:color w:val="000000"/>
                <w:sz w:val="20"/>
              </w:rPr>
            </w:pPr>
            <w:r>
              <w:rPr>
                <w:color w:val="000000"/>
                <w:sz w:val="20"/>
              </w:rPr>
              <w:t>180.000,00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CD8BF0" w14:textId="77777777" w:rsidR="00A77B3E" w:rsidRDefault="00B16CCF">
            <w:pPr>
              <w:spacing w:before="5pt"/>
              <w:rPr>
                <w:color w:val="000000"/>
                <w:sz w:val="20"/>
              </w:rPr>
            </w:pPr>
            <w:r>
              <w:rPr>
                <w:color w:val="000000"/>
                <w:sz w:val="20"/>
              </w:rPr>
              <w:t>MZI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7E2E28" w14:textId="77777777" w:rsidR="00A77B3E" w:rsidRDefault="00A77B3E">
            <w:pPr>
              <w:spacing w:before="5pt"/>
              <w:rPr>
                <w:color w:val="000000"/>
                <w:sz w:val="20"/>
              </w:rPr>
            </w:pPr>
          </w:p>
        </w:tc>
      </w:tr>
    </w:tbl>
    <w:p w14:paraId="1FFC96F1" w14:textId="77777777" w:rsidR="00A77B3E" w:rsidRDefault="00A77B3E">
      <w:pPr>
        <w:spacing w:before="5pt"/>
        <w:rPr>
          <w:color w:val="000000"/>
          <w:sz w:val="20"/>
        </w:rPr>
      </w:pPr>
    </w:p>
    <w:p w14:paraId="383767E7" w14:textId="77777777" w:rsidR="00A77B3E" w:rsidRDefault="00B16CCF">
      <w:pPr>
        <w:pStyle w:val="Naslov4"/>
        <w:spacing w:before="5pt" w:after="0pt"/>
        <w:rPr>
          <w:b w:val="0"/>
          <w:color w:val="000000"/>
          <w:sz w:val="24"/>
        </w:rPr>
      </w:pPr>
      <w:bookmarkStart w:id="379" w:name="_Toc256001140"/>
      <w:r>
        <w:rPr>
          <w:b w:val="0"/>
          <w:color w:val="000000"/>
          <w:sz w:val="24"/>
        </w:rPr>
        <w:t>2.1.1.1.3. Okvirna razčlenitev načrtovanih sredstev (EU) glede na vrsto ukrepa</w:t>
      </w:r>
      <w:bookmarkEnd w:id="379"/>
    </w:p>
    <w:p w14:paraId="4099E647" w14:textId="77777777" w:rsidR="00A77B3E" w:rsidRDefault="00A77B3E">
      <w:pPr>
        <w:spacing w:before="5pt"/>
        <w:rPr>
          <w:color w:val="000000"/>
          <w:sz w:val="0"/>
        </w:rPr>
      </w:pPr>
    </w:p>
    <w:p w14:paraId="6B241811" w14:textId="77777777" w:rsidR="00A77B3E" w:rsidRDefault="00B16CCF">
      <w:pPr>
        <w:spacing w:before="5pt"/>
        <w:rPr>
          <w:color w:val="000000"/>
          <w:sz w:val="0"/>
        </w:rPr>
      </w:pPr>
      <w:r>
        <w:rPr>
          <w:color w:val="000000"/>
        </w:rPr>
        <w:t>Sklic: člen 22(3)(d)(viii) uredbe o skupnih določbah</w:t>
      </w:r>
    </w:p>
    <w:p w14:paraId="62BC420E" w14:textId="77777777" w:rsidR="00A77B3E" w:rsidRDefault="00B16CCF">
      <w:pPr>
        <w:pStyle w:val="Naslov5"/>
        <w:spacing w:before="5pt" w:after="0pt"/>
        <w:rPr>
          <w:b w:val="0"/>
          <w:i w:val="0"/>
          <w:color w:val="000000"/>
          <w:sz w:val="24"/>
        </w:rPr>
      </w:pPr>
      <w:bookmarkStart w:id="380" w:name="_Toc256001141"/>
      <w:r>
        <w:rPr>
          <w:b w:val="0"/>
          <w:i w:val="0"/>
          <w:color w:val="000000"/>
          <w:sz w:val="24"/>
        </w:rPr>
        <w:t>Tabela 4: Razsežnost 1 – področje ukrepanja</w:t>
      </w:r>
      <w:bookmarkEnd w:id="380"/>
    </w:p>
    <w:p w14:paraId="6B3EF2E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361"/>
        <w:gridCol w:w="2179"/>
        <w:gridCol w:w="2310"/>
        <w:gridCol w:w="2259"/>
        <w:gridCol w:w="2856"/>
        <w:gridCol w:w="3207"/>
      </w:tblGrid>
      <w:tr w:rsidR="00823317" w14:paraId="05DBC7C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FA076C"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FBA35C"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B6D432"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F7387D"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3EE157"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578D7D" w14:textId="77777777" w:rsidR="00A77B3E" w:rsidRDefault="00B16CCF">
            <w:pPr>
              <w:spacing w:before="5pt"/>
              <w:jc w:val="center"/>
              <w:rPr>
                <w:color w:val="000000"/>
                <w:sz w:val="20"/>
              </w:rPr>
            </w:pPr>
            <w:r>
              <w:rPr>
                <w:color w:val="000000"/>
                <w:sz w:val="20"/>
              </w:rPr>
              <w:t>Znesek (v EUR)</w:t>
            </w:r>
          </w:p>
        </w:tc>
      </w:tr>
      <w:tr w:rsidR="00823317" w14:paraId="5259C14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8D0A0B" w14:textId="77777777" w:rsidR="00A77B3E" w:rsidRDefault="00B16CCF">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C72A87" w14:textId="77777777" w:rsidR="00A77B3E" w:rsidRDefault="00B16CCF">
            <w:pPr>
              <w:spacing w:before="5pt"/>
              <w:rPr>
                <w:color w:val="000000"/>
                <w:sz w:val="20"/>
              </w:rPr>
            </w:pPr>
            <w:r>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B7516A" w14:textId="77777777" w:rsidR="00A77B3E" w:rsidRDefault="00B16CCF">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BB173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766C4D" w14:textId="77777777" w:rsidR="00A77B3E" w:rsidRDefault="00B16CCF">
            <w:pPr>
              <w:spacing w:before="5pt"/>
              <w:rPr>
                <w:color w:val="000000"/>
                <w:sz w:val="20"/>
              </w:rPr>
            </w:pPr>
            <w:r>
              <w:rPr>
                <w:color w:val="000000"/>
                <w:sz w:val="20"/>
              </w:rPr>
              <w:t>081. Infrastruktura za okolju prijazen mestni promet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259F37" w14:textId="77777777" w:rsidR="00A77B3E" w:rsidRDefault="00B16CCF">
            <w:pPr>
              <w:spacing w:before="5pt"/>
              <w:jc w:val="end"/>
              <w:rPr>
                <w:color w:val="000000"/>
                <w:sz w:val="20"/>
              </w:rPr>
            </w:pPr>
            <w:r>
              <w:rPr>
                <w:color w:val="000000"/>
                <w:sz w:val="20"/>
              </w:rPr>
              <w:t>41.000.000,00</w:t>
            </w:r>
          </w:p>
        </w:tc>
      </w:tr>
      <w:tr w:rsidR="00823317" w14:paraId="41816BA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58480F" w14:textId="77777777" w:rsidR="00A77B3E" w:rsidRDefault="00B16CCF">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D1590A" w14:textId="77777777" w:rsidR="00A77B3E" w:rsidRDefault="00B16CCF">
            <w:pPr>
              <w:spacing w:before="5pt"/>
              <w:rPr>
                <w:color w:val="000000"/>
                <w:sz w:val="20"/>
              </w:rPr>
            </w:pPr>
            <w:r>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51BC8E" w14:textId="77777777" w:rsidR="00A77B3E" w:rsidRDefault="00B16CCF">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BB915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C2A279" w14:textId="77777777" w:rsidR="00A77B3E" w:rsidRDefault="00B16CCF">
            <w:pPr>
              <w:spacing w:before="5pt"/>
              <w:rPr>
                <w:color w:val="000000"/>
                <w:sz w:val="20"/>
              </w:rPr>
            </w:pPr>
            <w:r>
              <w:rPr>
                <w:color w:val="000000"/>
                <w:sz w:val="20"/>
              </w:rPr>
              <w:t>083. Kolesarska infrastruktura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DFD1D3" w14:textId="77777777" w:rsidR="00A77B3E" w:rsidRDefault="00B16CCF">
            <w:pPr>
              <w:spacing w:before="5pt"/>
              <w:jc w:val="end"/>
              <w:rPr>
                <w:color w:val="000000"/>
                <w:sz w:val="20"/>
              </w:rPr>
            </w:pPr>
            <w:r>
              <w:rPr>
                <w:color w:val="000000"/>
                <w:sz w:val="20"/>
              </w:rPr>
              <w:t>61.000.000,00</w:t>
            </w:r>
          </w:p>
        </w:tc>
      </w:tr>
      <w:tr w:rsidR="00823317" w14:paraId="1FE4C67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0B19D8" w14:textId="77777777" w:rsidR="00A77B3E" w:rsidRDefault="00B16CCF">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EB2DD6" w14:textId="77777777" w:rsidR="00A77B3E" w:rsidRDefault="00B16CCF">
            <w:pPr>
              <w:spacing w:before="5pt"/>
              <w:rPr>
                <w:color w:val="000000"/>
                <w:sz w:val="20"/>
              </w:rPr>
            </w:pPr>
            <w:r>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4A57B0" w14:textId="77777777" w:rsidR="00A77B3E" w:rsidRDefault="00B16CCF">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12D8D4"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14E0FB" w14:textId="77777777" w:rsidR="00A77B3E" w:rsidRDefault="00B16CCF">
            <w:pPr>
              <w:spacing w:before="5pt"/>
              <w:rPr>
                <w:color w:val="000000"/>
                <w:sz w:val="20"/>
              </w:rPr>
            </w:pPr>
            <w:r>
              <w:rPr>
                <w:color w:val="000000"/>
                <w:sz w:val="20"/>
              </w:rPr>
              <w:t>109. Multimodalni prevoz (ne mestni)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07DE37" w14:textId="77777777" w:rsidR="00A77B3E" w:rsidRDefault="00B16CCF">
            <w:pPr>
              <w:spacing w:before="5pt"/>
              <w:jc w:val="end"/>
              <w:rPr>
                <w:color w:val="000000"/>
                <w:sz w:val="20"/>
              </w:rPr>
            </w:pPr>
            <w:r>
              <w:rPr>
                <w:color w:val="000000"/>
                <w:sz w:val="20"/>
              </w:rPr>
              <w:t>9.312.680,00</w:t>
            </w:r>
          </w:p>
        </w:tc>
      </w:tr>
      <w:tr w:rsidR="00823317" w14:paraId="2DE1EF7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9D8417" w14:textId="77777777" w:rsidR="00A77B3E" w:rsidRDefault="00B16CCF">
            <w:pPr>
              <w:spacing w:before="5pt"/>
              <w:rPr>
                <w:color w:val="000000"/>
                <w:sz w:val="20"/>
              </w:rPr>
            </w:pPr>
            <w:r>
              <w:rPr>
                <w:color w:val="000000"/>
                <w:sz w:val="20"/>
              </w:rPr>
              <w:lastRenderedPageBreak/>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E13230" w14:textId="77777777" w:rsidR="00A77B3E" w:rsidRDefault="00B16CCF">
            <w:pPr>
              <w:spacing w:before="5pt"/>
              <w:rPr>
                <w:color w:val="000000"/>
                <w:sz w:val="20"/>
              </w:rPr>
            </w:pPr>
            <w:r>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4F0804"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F38493"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31F6CF"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D64355" w14:textId="77777777" w:rsidR="00A77B3E" w:rsidRDefault="00B16CCF">
            <w:pPr>
              <w:spacing w:before="5pt"/>
              <w:jc w:val="end"/>
              <w:rPr>
                <w:color w:val="000000"/>
                <w:sz w:val="20"/>
              </w:rPr>
            </w:pPr>
            <w:r>
              <w:rPr>
                <w:color w:val="000000"/>
                <w:sz w:val="20"/>
              </w:rPr>
              <w:t>111.312.680,00</w:t>
            </w:r>
          </w:p>
        </w:tc>
      </w:tr>
    </w:tbl>
    <w:p w14:paraId="4FAB9A8A" w14:textId="77777777" w:rsidR="00A77B3E" w:rsidRDefault="00A77B3E">
      <w:pPr>
        <w:spacing w:before="5pt"/>
        <w:rPr>
          <w:color w:val="000000"/>
          <w:sz w:val="20"/>
        </w:rPr>
      </w:pPr>
    </w:p>
    <w:p w14:paraId="05548DD5" w14:textId="77777777" w:rsidR="00A77B3E" w:rsidRDefault="00B16CCF">
      <w:pPr>
        <w:pStyle w:val="Naslov5"/>
        <w:spacing w:before="5pt" w:after="0pt"/>
        <w:rPr>
          <w:b w:val="0"/>
          <w:i w:val="0"/>
          <w:color w:val="000000"/>
          <w:sz w:val="24"/>
        </w:rPr>
      </w:pPr>
      <w:bookmarkStart w:id="381" w:name="_Toc256001142"/>
      <w:r>
        <w:rPr>
          <w:b w:val="0"/>
          <w:i w:val="0"/>
          <w:color w:val="000000"/>
          <w:sz w:val="24"/>
        </w:rPr>
        <w:t>Tabela 5: Razsežnost 2 – oblika financiranja</w:t>
      </w:r>
      <w:bookmarkEnd w:id="381"/>
    </w:p>
    <w:p w14:paraId="17D1D4D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25"/>
        <w:gridCol w:w="2237"/>
        <w:gridCol w:w="2371"/>
        <w:gridCol w:w="2318"/>
        <w:gridCol w:w="2530"/>
        <w:gridCol w:w="3291"/>
      </w:tblGrid>
      <w:tr w:rsidR="00823317" w14:paraId="55D0727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DFC367"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582B33"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7E02C4"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3CFEBB"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052A7F"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3C0674" w14:textId="77777777" w:rsidR="00A77B3E" w:rsidRDefault="00B16CCF">
            <w:pPr>
              <w:spacing w:before="5pt"/>
              <w:jc w:val="center"/>
              <w:rPr>
                <w:color w:val="000000"/>
                <w:sz w:val="20"/>
              </w:rPr>
            </w:pPr>
            <w:r>
              <w:rPr>
                <w:color w:val="000000"/>
                <w:sz w:val="20"/>
              </w:rPr>
              <w:t>Znesek (v EUR)</w:t>
            </w:r>
          </w:p>
        </w:tc>
      </w:tr>
      <w:tr w:rsidR="00823317" w14:paraId="0728A84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C3653E" w14:textId="77777777" w:rsidR="00A77B3E" w:rsidRDefault="00B16CCF">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0FCF98" w14:textId="77777777" w:rsidR="00A77B3E" w:rsidRDefault="00B16CCF">
            <w:pPr>
              <w:spacing w:before="5pt"/>
              <w:rPr>
                <w:color w:val="000000"/>
                <w:sz w:val="20"/>
              </w:rPr>
            </w:pPr>
            <w:r>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9BCC6A" w14:textId="77777777" w:rsidR="00A77B3E" w:rsidRDefault="00B16CCF">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FDE250"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DFEECE" w14:textId="77777777" w:rsidR="00A77B3E" w:rsidRDefault="00B16CCF">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D92336" w14:textId="77777777" w:rsidR="00A77B3E" w:rsidRDefault="00B16CCF">
            <w:pPr>
              <w:spacing w:before="5pt"/>
              <w:jc w:val="end"/>
              <w:rPr>
                <w:color w:val="000000"/>
                <w:sz w:val="20"/>
              </w:rPr>
            </w:pPr>
            <w:r>
              <w:rPr>
                <w:color w:val="000000"/>
                <w:sz w:val="20"/>
              </w:rPr>
              <w:t>111.312.680,00</w:t>
            </w:r>
          </w:p>
        </w:tc>
      </w:tr>
      <w:tr w:rsidR="00823317" w14:paraId="5DA2C03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CDA26F" w14:textId="77777777" w:rsidR="00A77B3E" w:rsidRDefault="00B16CCF">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DD5DF5" w14:textId="77777777" w:rsidR="00A77B3E" w:rsidRDefault="00B16CCF">
            <w:pPr>
              <w:spacing w:before="5pt"/>
              <w:rPr>
                <w:color w:val="000000"/>
                <w:sz w:val="20"/>
              </w:rPr>
            </w:pPr>
            <w:r>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6A4D7C"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2B3A7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6F4F8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4A0B5D" w14:textId="77777777" w:rsidR="00A77B3E" w:rsidRDefault="00B16CCF">
            <w:pPr>
              <w:spacing w:before="5pt"/>
              <w:jc w:val="end"/>
              <w:rPr>
                <w:color w:val="000000"/>
                <w:sz w:val="20"/>
              </w:rPr>
            </w:pPr>
            <w:r>
              <w:rPr>
                <w:color w:val="000000"/>
                <w:sz w:val="20"/>
              </w:rPr>
              <w:t>111.312.680,00</w:t>
            </w:r>
          </w:p>
        </w:tc>
      </w:tr>
    </w:tbl>
    <w:p w14:paraId="47B58248" w14:textId="77777777" w:rsidR="00A77B3E" w:rsidRDefault="00A77B3E">
      <w:pPr>
        <w:spacing w:before="5pt"/>
        <w:rPr>
          <w:color w:val="000000"/>
          <w:sz w:val="20"/>
        </w:rPr>
      </w:pPr>
    </w:p>
    <w:p w14:paraId="1953DEBF" w14:textId="77777777" w:rsidR="00A77B3E" w:rsidRDefault="00B16CCF">
      <w:pPr>
        <w:pStyle w:val="Naslov5"/>
        <w:spacing w:before="5pt" w:after="0pt"/>
        <w:rPr>
          <w:b w:val="0"/>
          <w:i w:val="0"/>
          <w:color w:val="000000"/>
          <w:sz w:val="24"/>
        </w:rPr>
      </w:pPr>
      <w:bookmarkStart w:id="382" w:name="_Toc256001143"/>
      <w:r>
        <w:rPr>
          <w:b w:val="0"/>
          <w:i w:val="0"/>
          <w:color w:val="000000"/>
          <w:sz w:val="24"/>
        </w:rPr>
        <w:t>Tabela 6: Razsežnost 3 – mehanizem za ozemeljsko izvrševanje in ozemeljski pristop</w:t>
      </w:r>
      <w:bookmarkEnd w:id="382"/>
    </w:p>
    <w:p w14:paraId="4195100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365"/>
        <w:gridCol w:w="2183"/>
        <w:gridCol w:w="2314"/>
        <w:gridCol w:w="2263"/>
        <w:gridCol w:w="2835"/>
        <w:gridCol w:w="3212"/>
      </w:tblGrid>
      <w:tr w:rsidR="00823317" w14:paraId="216083C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944000"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67EB9B"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C68E92"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585B24"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AD67B2"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6FD58F" w14:textId="77777777" w:rsidR="00A77B3E" w:rsidRDefault="00B16CCF">
            <w:pPr>
              <w:spacing w:before="5pt"/>
              <w:jc w:val="center"/>
              <w:rPr>
                <w:color w:val="000000"/>
                <w:sz w:val="20"/>
              </w:rPr>
            </w:pPr>
            <w:r>
              <w:rPr>
                <w:color w:val="000000"/>
                <w:sz w:val="20"/>
              </w:rPr>
              <w:t>Znesek (v EUR)</w:t>
            </w:r>
          </w:p>
        </w:tc>
      </w:tr>
      <w:tr w:rsidR="00823317" w14:paraId="584D4C5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AC1EF2" w14:textId="77777777" w:rsidR="00A77B3E" w:rsidRDefault="00B16CCF">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2BDF7C" w14:textId="77777777" w:rsidR="00A77B3E" w:rsidRDefault="00B16CCF">
            <w:pPr>
              <w:spacing w:before="5pt"/>
              <w:rPr>
                <w:color w:val="000000"/>
                <w:sz w:val="20"/>
              </w:rPr>
            </w:pPr>
            <w:r>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299361" w14:textId="77777777" w:rsidR="00A77B3E" w:rsidRDefault="00B16CCF">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07C97A"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C933FA" w14:textId="77777777" w:rsidR="00A77B3E" w:rsidRDefault="00B16CCF">
            <w:pPr>
              <w:spacing w:before="5pt"/>
              <w:rPr>
                <w:color w:val="000000"/>
                <w:sz w:val="20"/>
              </w:rPr>
            </w:pPr>
            <w:r>
              <w:rPr>
                <w:color w:val="000000"/>
                <w:sz w:val="20"/>
              </w:rPr>
              <w:t>24. Druge vrste teritorialnega orodja – druge vrste ciljnih ozemelj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DBAB73" w14:textId="77777777" w:rsidR="00A77B3E" w:rsidRDefault="00B16CCF">
            <w:pPr>
              <w:spacing w:before="5pt"/>
              <w:jc w:val="end"/>
              <w:rPr>
                <w:color w:val="000000"/>
                <w:sz w:val="20"/>
              </w:rPr>
            </w:pPr>
            <w:r>
              <w:rPr>
                <w:color w:val="000000"/>
                <w:sz w:val="20"/>
              </w:rPr>
              <w:t>65.399.504,90</w:t>
            </w:r>
          </w:p>
        </w:tc>
      </w:tr>
      <w:tr w:rsidR="00823317" w14:paraId="7AEB60F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779A13" w14:textId="77777777" w:rsidR="00A77B3E" w:rsidRDefault="00B16CCF">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5EA246" w14:textId="77777777" w:rsidR="00A77B3E" w:rsidRDefault="00B16CCF">
            <w:pPr>
              <w:spacing w:before="5pt"/>
              <w:rPr>
                <w:color w:val="000000"/>
                <w:sz w:val="20"/>
              </w:rPr>
            </w:pPr>
            <w:r>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8402F7" w14:textId="77777777" w:rsidR="00A77B3E" w:rsidRDefault="00B16CCF">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7285AA"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7E8C9E" w14:textId="77777777" w:rsidR="00A77B3E" w:rsidRDefault="00B16CCF">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E57CA4" w14:textId="77777777" w:rsidR="00A77B3E" w:rsidRDefault="00B16CCF">
            <w:pPr>
              <w:spacing w:before="5pt"/>
              <w:jc w:val="end"/>
              <w:rPr>
                <w:color w:val="000000"/>
                <w:sz w:val="20"/>
              </w:rPr>
            </w:pPr>
            <w:r>
              <w:rPr>
                <w:color w:val="000000"/>
                <w:sz w:val="20"/>
              </w:rPr>
              <w:t>45.913.175,10</w:t>
            </w:r>
          </w:p>
        </w:tc>
      </w:tr>
      <w:tr w:rsidR="00823317" w14:paraId="62DB93A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F4B9B4" w14:textId="77777777" w:rsidR="00A77B3E" w:rsidRDefault="00B16CCF">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850887" w14:textId="77777777" w:rsidR="00A77B3E" w:rsidRDefault="00B16CCF">
            <w:pPr>
              <w:spacing w:before="5pt"/>
              <w:rPr>
                <w:color w:val="000000"/>
                <w:sz w:val="20"/>
              </w:rPr>
            </w:pPr>
            <w:r>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A51097"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7A39E9"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0C7D4F"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2FF51F" w14:textId="77777777" w:rsidR="00A77B3E" w:rsidRDefault="00B16CCF">
            <w:pPr>
              <w:spacing w:before="5pt"/>
              <w:jc w:val="end"/>
              <w:rPr>
                <w:color w:val="000000"/>
                <w:sz w:val="20"/>
              </w:rPr>
            </w:pPr>
            <w:r>
              <w:rPr>
                <w:color w:val="000000"/>
                <w:sz w:val="20"/>
              </w:rPr>
              <w:t>111.312.680,00</w:t>
            </w:r>
          </w:p>
        </w:tc>
      </w:tr>
    </w:tbl>
    <w:p w14:paraId="1CBC755E" w14:textId="77777777" w:rsidR="00A77B3E" w:rsidRDefault="00A77B3E">
      <w:pPr>
        <w:spacing w:before="5pt"/>
        <w:rPr>
          <w:color w:val="000000"/>
          <w:sz w:val="20"/>
        </w:rPr>
      </w:pPr>
    </w:p>
    <w:p w14:paraId="04EF48C1" w14:textId="77777777" w:rsidR="00A77B3E" w:rsidRDefault="00B16CCF">
      <w:pPr>
        <w:pStyle w:val="Naslov5"/>
        <w:spacing w:before="5pt" w:after="0pt"/>
        <w:rPr>
          <w:b w:val="0"/>
          <w:i w:val="0"/>
          <w:color w:val="000000"/>
          <w:sz w:val="24"/>
        </w:rPr>
      </w:pPr>
      <w:bookmarkStart w:id="383" w:name="_Toc256001144"/>
      <w:r>
        <w:rPr>
          <w:b w:val="0"/>
          <w:i w:val="0"/>
          <w:color w:val="000000"/>
          <w:sz w:val="24"/>
        </w:rPr>
        <w:t>Tabela 7: Razsežnost 6 – sekundarna področja ESS+</w:t>
      </w:r>
      <w:bookmarkEnd w:id="383"/>
    </w:p>
    <w:p w14:paraId="6AC6D10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117"/>
        <w:gridCol w:w="2877"/>
        <w:gridCol w:w="1780"/>
        <w:gridCol w:w="2982"/>
        <w:gridCol w:w="2259"/>
        <w:gridCol w:w="2157"/>
      </w:tblGrid>
      <w:tr w:rsidR="00823317" w14:paraId="4E568BD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4DED3B"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92DBA9"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019318"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750277"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EC8E15"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13A966" w14:textId="77777777" w:rsidR="00A77B3E" w:rsidRDefault="00B16CCF">
            <w:pPr>
              <w:spacing w:before="5pt"/>
              <w:jc w:val="center"/>
              <w:rPr>
                <w:color w:val="000000"/>
                <w:sz w:val="20"/>
              </w:rPr>
            </w:pPr>
            <w:r>
              <w:rPr>
                <w:color w:val="000000"/>
                <w:sz w:val="20"/>
              </w:rPr>
              <w:t>Znesek (v EUR)</w:t>
            </w:r>
          </w:p>
        </w:tc>
      </w:tr>
    </w:tbl>
    <w:p w14:paraId="69408702" w14:textId="77777777" w:rsidR="00A77B3E" w:rsidRDefault="00A77B3E">
      <w:pPr>
        <w:spacing w:before="5pt"/>
        <w:rPr>
          <w:color w:val="000000"/>
          <w:sz w:val="20"/>
        </w:rPr>
      </w:pPr>
    </w:p>
    <w:p w14:paraId="6B883CE1" w14:textId="77777777" w:rsidR="00A77B3E" w:rsidRDefault="00B16CCF">
      <w:pPr>
        <w:pStyle w:val="Naslov5"/>
        <w:spacing w:before="5pt" w:after="0pt"/>
        <w:rPr>
          <w:b w:val="0"/>
          <w:i w:val="0"/>
          <w:color w:val="000000"/>
          <w:sz w:val="24"/>
        </w:rPr>
      </w:pPr>
      <w:bookmarkStart w:id="384" w:name="_Toc256001145"/>
      <w:r>
        <w:rPr>
          <w:b w:val="0"/>
          <w:i w:val="0"/>
          <w:color w:val="000000"/>
          <w:sz w:val="24"/>
        </w:rPr>
        <w:t>Tabela 8: Razsežnost 7 – razsežnost enakosti spolov v okviru ESS+*, ESRR, Kohezijskega sklada in SPP</w:t>
      </w:r>
      <w:bookmarkEnd w:id="384"/>
    </w:p>
    <w:p w14:paraId="649465D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41"/>
        <w:gridCol w:w="2252"/>
        <w:gridCol w:w="2388"/>
        <w:gridCol w:w="2335"/>
        <w:gridCol w:w="2441"/>
        <w:gridCol w:w="3315"/>
      </w:tblGrid>
      <w:tr w:rsidR="00823317" w14:paraId="2019E47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12FA4A"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18A9EB"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03B8FB0"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041B65"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9BBDF8"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1D3A97D" w14:textId="77777777" w:rsidR="00A77B3E" w:rsidRDefault="00B16CCF">
            <w:pPr>
              <w:spacing w:before="5pt"/>
              <w:jc w:val="center"/>
              <w:rPr>
                <w:color w:val="000000"/>
                <w:sz w:val="20"/>
              </w:rPr>
            </w:pPr>
            <w:r>
              <w:rPr>
                <w:color w:val="000000"/>
                <w:sz w:val="20"/>
              </w:rPr>
              <w:t>Znesek (v EUR)</w:t>
            </w:r>
          </w:p>
        </w:tc>
      </w:tr>
      <w:tr w:rsidR="00823317" w14:paraId="0D79E40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5DC08F" w14:textId="77777777" w:rsidR="00A77B3E" w:rsidRDefault="00B16CCF">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B0EAF1" w14:textId="77777777" w:rsidR="00A77B3E" w:rsidRDefault="00B16CCF">
            <w:pPr>
              <w:spacing w:before="5pt"/>
              <w:rPr>
                <w:color w:val="000000"/>
                <w:sz w:val="20"/>
              </w:rPr>
            </w:pPr>
            <w:r>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31F3D8" w14:textId="77777777" w:rsidR="00A77B3E" w:rsidRDefault="00B16CCF">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648C92"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71947B" w14:textId="77777777" w:rsidR="00A77B3E" w:rsidRDefault="00B16CCF">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5A0B8D" w14:textId="77777777" w:rsidR="00A77B3E" w:rsidRDefault="00B16CCF">
            <w:pPr>
              <w:spacing w:before="5pt"/>
              <w:jc w:val="end"/>
              <w:rPr>
                <w:color w:val="000000"/>
                <w:sz w:val="20"/>
              </w:rPr>
            </w:pPr>
            <w:r>
              <w:rPr>
                <w:color w:val="000000"/>
                <w:sz w:val="20"/>
              </w:rPr>
              <w:t>111.312.680,00</w:t>
            </w:r>
          </w:p>
        </w:tc>
      </w:tr>
      <w:tr w:rsidR="00823317" w14:paraId="6B62733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2DEF82" w14:textId="77777777" w:rsidR="00A77B3E" w:rsidRDefault="00B16CCF">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4A1795" w14:textId="77777777" w:rsidR="00A77B3E" w:rsidRDefault="00B16CCF">
            <w:pPr>
              <w:spacing w:before="5pt"/>
              <w:rPr>
                <w:color w:val="000000"/>
                <w:sz w:val="20"/>
              </w:rPr>
            </w:pPr>
            <w:r>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77824C"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CE8F46"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5B5F66"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67A644" w14:textId="77777777" w:rsidR="00A77B3E" w:rsidRDefault="00B16CCF">
            <w:pPr>
              <w:spacing w:before="5pt"/>
              <w:jc w:val="end"/>
              <w:rPr>
                <w:color w:val="000000"/>
                <w:sz w:val="20"/>
              </w:rPr>
            </w:pPr>
            <w:r>
              <w:rPr>
                <w:color w:val="000000"/>
                <w:sz w:val="20"/>
              </w:rPr>
              <w:t>111.312.680,00</w:t>
            </w:r>
          </w:p>
        </w:tc>
      </w:tr>
    </w:tbl>
    <w:p w14:paraId="3AEAF021" w14:textId="77777777" w:rsidR="00A77B3E" w:rsidRDefault="00B16CCF">
      <w:pPr>
        <w:spacing w:before="5pt"/>
        <w:rPr>
          <w:color w:val="000000"/>
          <w:sz w:val="20"/>
        </w:rPr>
      </w:pPr>
      <w:r>
        <w:rPr>
          <w:color w:val="000000"/>
          <w:sz w:val="20"/>
        </w:rPr>
        <w:t>* Načeloma 40 % za ESS+ prispeva k spremljanju enakosti spolov. 100 % se uporabi, kadar se država članica odloči za uporabo člena 6 uredbe o ESS+.</w:t>
      </w:r>
    </w:p>
    <w:p w14:paraId="620AF23C" w14:textId="77777777" w:rsidR="00A77B3E" w:rsidRDefault="00B16CCF">
      <w:pPr>
        <w:pStyle w:val="Naslov3"/>
        <w:spacing w:before="5pt" w:after="0pt"/>
        <w:rPr>
          <w:rFonts w:ascii="Times New Roman" w:hAnsi="Times New Roman" w:cs="Times New Roman"/>
          <w:b w:val="0"/>
          <w:color w:val="000000"/>
          <w:sz w:val="24"/>
        </w:rPr>
      </w:pPr>
      <w:r>
        <w:rPr>
          <w:rFonts w:ascii="Times New Roman" w:hAnsi="Times New Roman" w:cs="Times New Roman"/>
          <w:b w:val="0"/>
          <w:color w:val="000000"/>
          <w:sz w:val="24"/>
        </w:rPr>
        <w:br w:type="page"/>
      </w:r>
      <w:bookmarkStart w:id="385" w:name="_Toc256001146"/>
      <w:r>
        <w:rPr>
          <w:rFonts w:ascii="Times New Roman" w:hAnsi="Times New Roman" w:cs="Times New Roman"/>
          <w:b w:val="0"/>
          <w:color w:val="000000"/>
          <w:sz w:val="24"/>
        </w:rPr>
        <w:lastRenderedPageBreak/>
        <w:t>2.1.1. Prednostna naloga: 13. Dvojna raba</w:t>
      </w:r>
      <w:bookmarkEnd w:id="385"/>
    </w:p>
    <w:p w14:paraId="58FBD63D" w14:textId="77777777" w:rsidR="00A77B3E" w:rsidRDefault="00A77B3E">
      <w:pPr>
        <w:spacing w:before="5pt"/>
        <w:rPr>
          <w:color w:val="000000"/>
          <w:sz w:val="0"/>
        </w:rPr>
      </w:pPr>
    </w:p>
    <w:p w14:paraId="5056D852" w14:textId="77777777" w:rsidR="00A77B3E" w:rsidRDefault="00B16CCF">
      <w:pPr>
        <w:pStyle w:val="Naslov4"/>
        <w:spacing w:before="5pt" w:after="0pt"/>
        <w:rPr>
          <w:b w:val="0"/>
          <w:color w:val="000000"/>
          <w:sz w:val="24"/>
        </w:rPr>
      </w:pPr>
      <w:bookmarkStart w:id="386" w:name="_Toc256001147"/>
      <w:r>
        <w:rPr>
          <w:b w:val="0"/>
          <w:color w:val="000000"/>
          <w:sz w:val="24"/>
        </w:rPr>
        <w:t>2.1.1.1. Specifični cilj: RSO3.3. Razvoj odporne obrambne infrastrukture, prednostno tiste z dvojno rabo, tudi za spodbujanje vojaške mobilnosti v Uniji, ter izboljšanje civilne pripravljenosti (ESRR)</w:t>
      </w:r>
      <w:bookmarkEnd w:id="386"/>
    </w:p>
    <w:p w14:paraId="2EB5ACCA" w14:textId="77777777" w:rsidR="00A77B3E" w:rsidRDefault="00A77B3E">
      <w:pPr>
        <w:spacing w:before="5pt"/>
        <w:rPr>
          <w:color w:val="000000"/>
          <w:sz w:val="0"/>
        </w:rPr>
      </w:pPr>
    </w:p>
    <w:p w14:paraId="0AB2838C" w14:textId="77777777" w:rsidR="00A77B3E" w:rsidRDefault="00B16CCF">
      <w:pPr>
        <w:pStyle w:val="Naslov4"/>
        <w:spacing w:before="5pt" w:after="0pt"/>
        <w:rPr>
          <w:b w:val="0"/>
          <w:color w:val="000000"/>
          <w:sz w:val="24"/>
        </w:rPr>
      </w:pPr>
      <w:bookmarkStart w:id="387" w:name="_Toc256001148"/>
      <w:r>
        <w:rPr>
          <w:b w:val="0"/>
          <w:color w:val="000000"/>
          <w:sz w:val="24"/>
        </w:rPr>
        <w:t>2.1.1.1.1. Ukrepi skladov</w:t>
      </w:r>
      <w:bookmarkEnd w:id="387"/>
    </w:p>
    <w:p w14:paraId="7D6D543E" w14:textId="77777777" w:rsidR="00A77B3E" w:rsidRDefault="00A77B3E">
      <w:pPr>
        <w:spacing w:before="5pt"/>
        <w:rPr>
          <w:color w:val="000000"/>
          <w:sz w:val="0"/>
        </w:rPr>
      </w:pPr>
    </w:p>
    <w:p w14:paraId="6645CC2D" w14:textId="77777777" w:rsidR="00A77B3E" w:rsidRDefault="00B16CCF">
      <w:pPr>
        <w:spacing w:before="5pt"/>
        <w:rPr>
          <w:color w:val="000000"/>
          <w:sz w:val="0"/>
        </w:rPr>
      </w:pPr>
      <w:r>
        <w:rPr>
          <w:color w:val="000000"/>
        </w:rPr>
        <w:t>Sklic: člen 22(3)(d)(i), (iii), (iv), (v), (vi) in (vii) uredbe o skupnih določbah</w:t>
      </w:r>
    </w:p>
    <w:p w14:paraId="1EB6CBB7" w14:textId="77777777" w:rsidR="00A77B3E" w:rsidRDefault="00B16CCF">
      <w:pPr>
        <w:pStyle w:val="Naslov5"/>
        <w:spacing w:before="5pt" w:after="0pt"/>
        <w:rPr>
          <w:b w:val="0"/>
          <w:i w:val="0"/>
          <w:color w:val="000000"/>
          <w:sz w:val="24"/>
        </w:rPr>
      </w:pPr>
      <w:bookmarkStart w:id="388" w:name="_Toc256001149"/>
      <w:r>
        <w:rPr>
          <w:b w:val="0"/>
          <w:i w:val="0"/>
          <w:color w:val="000000"/>
          <w:sz w:val="24"/>
        </w:rPr>
        <w:t>Povezane vrste ukrepov – člen 22(3)(d)(i) uredbe o skupnih določbah in člen 6 uredbe o ESS+:</w:t>
      </w:r>
      <w:bookmarkEnd w:id="388"/>
    </w:p>
    <w:p w14:paraId="65B1FE8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0D0D76D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7D583A" w14:textId="77777777" w:rsidR="00A77B3E" w:rsidRDefault="00A77B3E">
            <w:pPr>
              <w:spacing w:before="5pt"/>
              <w:rPr>
                <w:color w:val="000000"/>
                <w:sz w:val="0"/>
              </w:rPr>
            </w:pPr>
          </w:p>
          <w:p w14:paraId="7BAEA034" w14:textId="77777777" w:rsidR="00A77B3E" w:rsidRDefault="00B16CCF">
            <w:pPr>
              <w:spacing w:before="5pt"/>
              <w:rPr>
                <w:color w:val="000000"/>
              </w:rPr>
            </w:pPr>
            <w:r>
              <w:rPr>
                <w:color w:val="000000"/>
              </w:rPr>
              <w:t>Naložbe dvojne rabe, ki so navedene v nadaljevanju, bodo načrtovane s ciljem uporabe:</w:t>
            </w:r>
          </w:p>
          <w:p w14:paraId="7544E3E6" w14:textId="77777777" w:rsidR="00A77B3E" w:rsidRDefault="00B16CCF">
            <w:pPr>
              <w:spacing w:before="5pt"/>
              <w:rPr>
                <w:color w:val="000000"/>
              </w:rPr>
            </w:pPr>
            <w:r>
              <w:rPr>
                <w:color w:val="000000"/>
              </w:rPr>
              <w:t>- v času miru za civilne namene (npr. zdravljenje bolnikov, raziskave, vsakodnevno delovanje) in</w:t>
            </w:r>
          </w:p>
          <w:p w14:paraId="6EE7D5E1" w14:textId="77777777" w:rsidR="00A77B3E" w:rsidRDefault="00B16CCF">
            <w:pPr>
              <w:spacing w:before="5pt"/>
              <w:rPr>
                <w:color w:val="000000"/>
              </w:rPr>
            </w:pPr>
            <w:r>
              <w:rPr>
                <w:color w:val="000000"/>
              </w:rPr>
              <w:t>- v kriznih ali vojnih razmerah za obrambne ali zaščitne funkcije (npr. vojaško oskrbo ranjencev, krizno podporo, civilno zaščito).</w:t>
            </w:r>
          </w:p>
          <w:p w14:paraId="4F050529" w14:textId="77777777" w:rsidR="00A77B3E" w:rsidRDefault="00B16CCF">
            <w:pPr>
              <w:spacing w:before="5pt"/>
              <w:rPr>
                <w:color w:val="000000"/>
              </w:rPr>
            </w:pPr>
            <w:r>
              <w:rPr>
                <w:color w:val="000000"/>
              </w:rPr>
              <w:t>1. Zagotavljanje zdravstvene infrastrukture za dvojno rabo v višin 46 mio EUR (EU del)</w:t>
            </w:r>
          </w:p>
          <w:p w14:paraId="0EA3C971" w14:textId="77777777" w:rsidR="00A77B3E" w:rsidRDefault="00B16CCF">
            <w:pPr>
              <w:spacing w:before="5pt"/>
              <w:rPr>
                <w:color w:val="000000"/>
              </w:rPr>
            </w:pPr>
            <w:r>
              <w:rPr>
                <w:color w:val="000000"/>
              </w:rPr>
              <w:t>Objekti zdravstvene infrastrukture so ključni objekti splošnega družbenega pomena. Objekti bodo primarno namenjeni civilnemu prebivalstvu, hkrati bodo omogočili izvajanje aktivnosti na vojaškem področju s ciljem povečanja odpornosti v zdravstvu.</w:t>
            </w:r>
          </w:p>
          <w:p w14:paraId="3C73BBD5" w14:textId="77777777" w:rsidR="00A77B3E" w:rsidRDefault="00B16CCF">
            <w:pPr>
              <w:spacing w:before="5pt"/>
              <w:rPr>
                <w:color w:val="000000"/>
              </w:rPr>
            </w:pPr>
            <w:r>
              <w:rPr>
                <w:color w:val="000000"/>
              </w:rPr>
              <w:t>Za obvladovanje kriznih razmer na področju zdravstva je ključno, da se zagotovi vzajemno delovanje javnega in vojaškega zdravstvenega sistema. V ta namen je potrebno dvigniti odpornost javnega zdravstvenega sistema in izgraditi ključne zmogljivosti ter ustanove vojaškega zdravstva. Oba zdravstvena sistema morata delovati usklajeno in do neke mere integrirano. Komplementarnost sistemov se mora izkazovati ob kritičnih dogodkih s podporo javnega zdravstva vojaškemu sistemu, v miru pa z vključevanjem vojaškega zdravstva v javni zdravstveni sistem. Z dvojno rabo bo dosežen tudi največji možni učinek obeh sistemov. Aktivnosti za zagotovitev dvojne rabe se opredelijo v sklopu posamezne investicije, ob upoštevanju splošnih načel, ki so navedene v nadaljevanju.</w:t>
            </w:r>
          </w:p>
          <w:p w14:paraId="3EF9B4AB" w14:textId="77777777" w:rsidR="00A77B3E" w:rsidRDefault="00B16CCF">
            <w:pPr>
              <w:spacing w:before="5pt"/>
              <w:rPr>
                <w:color w:val="000000"/>
              </w:rPr>
            </w:pPr>
            <w:r>
              <w:rPr>
                <w:color w:val="000000"/>
              </w:rPr>
              <w:t>Za izpolnitev primarne civilne funkcije bolnišnic v času miru bodo naložbe načrtovane na način, da se zagotovi osnovna zdravstvena infrastruktura, ki obsega gradnjo ali prenovo bolnišnice, energetsko učinkovitost, digitalno infrastrukturo ter drugo relevantno opremo glede na potrebe posamezne bolnišnice, izvajanje operacij, diagnostiko. Poleg uporabe opreme za civilne zdravstvene potrebe se predvidoma izvajajo tudi usposabljanja osebja za redne in urgentne postopke.</w:t>
            </w:r>
          </w:p>
          <w:p w14:paraId="0C94D93E" w14:textId="77777777" w:rsidR="00A77B3E" w:rsidRDefault="00B16CCF">
            <w:pPr>
              <w:spacing w:before="5pt"/>
              <w:rPr>
                <w:color w:val="000000"/>
              </w:rPr>
            </w:pPr>
            <w:r>
              <w:rPr>
                <w:color w:val="000000"/>
              </w:rPr>
              <w:t>V smislu dvojne rabe bodo naložbe vključile dopolnilne obrambne in zaščitne funkcije ter dodatno odpornost, ki je potrebna za delovanje v kriznih razmerah. To vključuje postavitev modularnih oddelkov, ki omogočajo bodisi neposredno oskrbo bodisi premestitev bolnikov z drugih oddelkov za sprostitev potrebnih kapacitet na ustreznih oddelkih, ter zagotovitev rezervnih energetskih sistemov, zalog zdravil, vode in komunikacijskih zaščitni sistemov, ki omogočajo samostojno delovanje ob prekinitvi običajnih dobavnih verig.</w:t>
            </w:r>
          </w:p>
          <w:p w14:paraId="455EE030" w14:textId="77777777" w:rsidR="00A77B3E" w:rsidRDefault="00B16CCF">
            <w:pPr>
              <w:spacing w:before="5pt"/>
              <w:rPr>
                <w:color w:val="000000"/>
              </w:rPr>
            </w:pPr>
            <w:r>
              <w:rPr>
                <w:color w:val="000000"/>
              </w:rPr>
              <w:t>Načrtovane investicije bodo izbrane tako, da bodo lahko čim bolj služile mreži zdravstvene dejavnosti, tako s povečanjem števila zdravstvenih storitev kot tudi s povečanjem kakovosti zdravstvenih storitev. Posebna pozornost bo namenjena temu, da imajo bolnišnice za programe v mirnem obdobju na razpolago usposobljen kader in da gre za kapacitete, ki omogočajo prilagajanje različnim vrstam izrednih stanj.</w:t>
            </w:r>
          </w:p>
          <w:p w14:paraId="63CB61E9" w14:textId="77777777" w:rsidR="00A77B3E" w:rsidRDefault="00B16CCF">
            <w:pPr>
              <w:spacing w:before="5pt"/>
              <w:rPr>
                <w:color w:val="000000"/>
              </w:rPr>
            </w:pPr>
            <w:r>
              <w:rPr>
                <w:color w:val="000000"/>
              </w:rPr>
              <w:lastRenderedPageBreak/>
              <w:t>Pri izboru projektov bosta upoštevani naslednji splošni načeli:</w:t>
            </w:r>
          </w:p>
          <w:p w14:paraId="0C7804A2" w14:textId="77777777" w:rsidR="00A77B3E" w:rsidRDefault="00B16CCF">
            <w:pPr>
              <w:spacing w:before="5pt"/>
              <w:rPr>
                <w:color w:val="000000"/>
              </w:rPr>
            </w:pPr>
            <w:r>
              <w:rPr>
                <w:color w:val="000000"/>
              </w:rPr>
              <w:t>- načelo komplementarnosti in povezanosti javnega in vojaškega zdravstvenega sistema in</w:t>
            </w:r>
          </w:p>
          <w:p w14:paraId="73567E49" w14:textId="77777777" w:rsidR="00A77B3E" w:rsidRDefault="00B16CCF">
            <w:pPr>
              <w:spacing w:before="5pt"/>
              <w:rPr>
                <w:color w:val="000000"/>
              </w:rPr>
            </w:pPr>
            <w:r>
              <w:rPr>
                <w:color w:val="000000"/>
              </w:rPr>
              <w:t>- načelo dodatnosti, ki zahteva krepitev javnega zdravstvenega sistema in zgraditev ključnih zmogljivosti, ki so potrebne za delovanje v kriznih razmerah.</w:t>
            </w:r>
          </w:p>
          <w:p w14:paraId="5837A2A4" w14:textId="77777777" w:rsidR="00A77B3E" w:rsidRDefault="00B16CCF">
            <w:pPr>
              <w:spacing w:before="5pt"/>
              <w:rPr>
                <w:color w:val="000000"/>
              </w:rPr>
            </w:pPr>
            <w:r>
              <w:rPr>
                <w:color w:val="000000"/>
              </w:rPr>
              <w:t>2. Zagotavljanje odporne vzgojno izobraževalne infrastrukture v višini 22 mio EUR (EU del)</w:t>
            </w:r>
          </w:p>
          <w:p w14:paraId="69674B9C" w14:textId="77777777" w:rsidR="00A77B3E" w:rsidRDefault="00B16CCF">
            <w:pPr>
              <w:spacing w:before="5pt"/>
              <w:rPr>
                <w:color w:val="000000"/>
              </w:rPr>
            </w:pPr>
            <w:r>
              <w:rPr>
                <w:color w:val="000000"/>
              </w:rPr>
              <w:t>Predlaga se vzpostavitev centrov odličnosti poklicnega in strokovnega izobraževanja (CoVE).</w:t>
            </w:r>
          </w:p>
          <w:p w14:paraId="3ACC9E4D" w14:textId="77777777" w:rsidR="00A77B3E" w:rsidRDefault="00B16CCF">
            <w:pPr>
              <w:spacing w:before="5pt"/>
              <w:rPr>
                <w:color w:val="000000"/>
              </w:rPr>
            </w:pPr>
            <w:r>
              <w:rPr>
                <w:color w:val="000000"/>
              </w:rPr>
              <w:t>V ukrep bodo vključeni šolski centri, ki imajo v svoji organizacijski strukturi tudi medpodjetniške izobraževalne centre (MIC). Vzpostavili bomo regijske centre odličnosti poklicnega in strokovnega izobraževanja (v nadaljevanju: CoVE), ki bodo delovali na prednostnih področjih: pametne tehnologije in trajnostne rešitve, podnebno prilagajanje in zelene tehnologije, krepitev odpornosti in samooskrba, za namene dvojne rabe in krepitev civilne pripravljenosti. Sredstva se bodo vlagala v opremo in infrastrukturo za pridobitev sodobnih, tehnološko naprednih ter izobraževalno in raziskovalno usmerjenih prostorov. CoVE bodo s svojim rednim delovanjem izobraževali in usposabljali dijake, študente, zaposlene ter širšo javnost, hkrati pa bodo nudili podporo ključnim deležnikom, kot so civilna zaščita, gasilske enote, reševalne službe in vojska. Prav tako bodo CoVE omogočali razvoj, preizkušanje ter uporabo inovativnih rešitev tudi za krizno upravljanje in odzivanje v različnih nepredvidljivih situacijah. Tako se bodo v kriznih razmerah hitro preoblikovali v podporno enoto za zagotavljanje na primer osnovne logistike, energije, komunikacij in zdravstvene pomoči.</w:t>
            </w:r>
          </w:p>
          <w:p w14:paraId="56E1C8C3" w14:textId="77777777" w:rsidR="00A77B3E" w:rsidRDefault="00B16CCF">
            <w:pPr>
              <w:spacing w:before="5pt"/>
              <w:rPr>
                <w:color w:val="000000"/>
              </w:rPr>
            </w:pPr>
            <w:r>
              <w:rPr>
                <w:color w:val="000000"/>
              </w:rPr>
              <w:t>V okviru ukrepa se bo vlagalo tudi v infrastrukturo centrov šolskih in obšolskih dejavnosti (CŠOD) ter dijaških domov. Prenovljene površine in oprema bodo prvotno namenjeni civilni rabi, kot bivalne in namestitvene kapacitete za šolajoče ter kot podporno okolje za izobraževanje, socializacijo in razvoj kompetenc. V izrednih razmerah pa se ta infrastruktura lahko preoblikuje v podporno enoto za nastanitev ali krizni center, saj ima CŠOD nastanitvene kapacitete, kuhinjo, sanitarije, pisarne in skupne prostore, zato je primeren prostor za hitro prilagoditev v primeru naravnih nesreč, kriznih dogodkov ali obrambnih potreb, zaposleni pa imajo izkušnje z organizacijo bivanja in podporo (mladim). Tako lahko ta infrastruktura služi kot evakuacijski center, namestitvena kapaciteta, logistična točka, razdelilnica hrane ali kot prostori za usposabljanje in namestitev pripadnikov civilne zaščite in drugih deležnikov .</w:t>
            </w:r>
          </w:p>
          <w:p w14:paraId="2EDFC40C" w14:textId="77777777" w:rsidR="00A77B3E" w:rsidRDefault="00B16CCF">
            <w:pPr>
              <w:spacing w:before="5pt"/>
              <w:rPr>
                <w:color w:val="000000"/>
              </w:rPr>
            </w:pPr>
            <w:r>
              <w:rPr>
                <w:color w:val="000000"/>
              </w:rPr>
              <w:t>3. Izgradnja Nacionalnega centra za zaščito in reševanje ob naravnih nesrečah, večjih izrednih dogodkih in drugih kriznih razmerah v višini 13.3 mio EUR (EU del)</w:t>
            </w:r>
          </w:p>
          <w:p w14:paraId="5970C6B7" w14:textId="77777777" w:rsidR="00A77B3E" w:rsidRDefault="00B16CCF">
            <w:pPr>
              <w:spacing w:before="5pt"/>
              <w:rPr>
                <w:color w:val="000000"/>
              </w:rPr>
            </w:pPr>
            <w:r>
              <w:rPr>
                <w:color w:val="000000"/>
              </w:rPr>
              <w:t>Predlaga se vzpostavitev izobraževalnega in raziskovalnega centra dvojne rabe, katerega ključne aktivnosti so:</w:t>
            </w:r>
          </w:p>
          <w:p w14:paraId="568449D3" w14:textId="77777777" w:rsidR="00A77B3E" w:rsidRDefault="00B16CCF">
            <w:pPr>
              <w:spacing w:before="5pt"/>
              <w:rPr>
                <w:color w:val="000000"/>
              </w:rPr>
            </w:pPr>
            <w:r>
              <w:rPr>
                <w:color w:val="000000"/>
              </w:rPr>
              <w:t>• usposabljanje in vaje za osebe, vključene v sile za zaščito, reševanje in pomoč,</w:t>
            </w:r>
          </w:p>
          <w:p w14:paraId="2C10FA59" w14:textId="77777777" w:rsidR="00A77B3E" w:rsidRDefault="00B16CCF">
            <w:pPr>
              <w:spacing w:before="5pt"/>
              <w:rPr>
                <w:color w:val="000000"/>
              </w:rPr>
            </w:pPr>
            <w:r>
              <w:rPr>
                <w:color w:val="000000"/>
              </w:rPr>
              <w:t>• operativna usposobljenost v primeru naravnih in drugih nesreč, v vojnih in kriznih časih.</w:t>
            </w:r>
          </w:p>
          <w:p w14:paraId="2260E1E1" w14:textId="77777777" w:rsidR="00A77B3E" w:rsidRDefault="00B16CCF">
            <w:pPr>
              <w:spacing w:before="5pt"/>
              <w:rPr>
                <w:color w:val="000000"/>
              </w:rPr>
            </w:pPr>
            <w:r>
              <w:rPr>
                <w:color w:val="000000"/>
              </w:rPr>
              <w:t>Cilj ukrepa je zagotoviti pogoje za učinkovit, pravočasen in varen odziv v primeru naravnih in drugih nesreč, ter primeru vojnih in kriznih razmer.</w:t>
            </w:r>
          </w:p>
          <w:p w14:paraId="79C63B64" w14:textId="77777777" w:rsidR="00A77B3E" w:rsidRDefault="00B16CCF">
            <w:pPr>
              <w:spacing w:before="5pt"/>
              <w:rPr>
                <w:color w:val="000000"/>
              </w:rPr>
            </w:pPr>
            <w:r>
              <w:rPr>
                <w:color w:val="000000"/>
              </w:rPr>
              <w:t>Z izgradnjo Nacionalnega centra bodo zagotovljeni infrastrukturni pogoji za delovanje najpomembnejših struktur področja ZRP, URSZR in javnih služb za zaščito in reševanje (GZS, ZSPG, GRZS, JRS, PRS idr.). Nacionalni operativni center bo kot tretji steber s spremljajočo infrastrukturo (podpora odločanju po vključenih resorjih in področjih in izvedeno reformo organiziranja in operativnega delovanja sil za zaščito in reševanje bistveno prispeval k nacionalni varnosti. S svojo izobraževalno vlogo (usposabljanje vodilnih kadrov v državi in širši regiji za vodenje odziva na nesreče), situacijskim centrom (spremljanje situacije v državi in širši regiji), center za spremljanje in koordinacijo logističnih operacij, vsebinsko in organizacijsko prenovljeni center za obveščanje Republike Slovenije, izboljšal sposobnost hitrega odziva na sodobne vire ogrožanja. Predstavljal bo točko stikov za izmenjavo podatkov o ogroženosti in naravnih ter drugih nesrečah s sosednjimi in drugimi državami ter mednarodnimi organizacijami</w:t>
            </w:r>
          </w:p>
          <w:p w14:paraId="44E1768C" w14:textId="77777777" w:rsidR="00A77B3E" w:rsidRDefault="00B16CCF">
            <w:pPr>
              <w:spacing w:before="5pt"/>
              <w:rPr>
                <w:color w:val="000000"/>
              </w:rPr>
            </w:pPr>
            <w:r>
              <w:rPr>
                <w:color w:val="000000"/>
              </w:rPr>
              <w:lastRenderedPageBreak/>
              <w:t>Z zgrajeno infrastrukturo bo vzpostavljeno koordinacijsko mesto upravljanja ter z negradbenimi aktivnostmi pa vzpostavljena optimizacija sil zaščite in reševanja na državni, regijski ter lokalni ravni, s čimer se bo povečala sposobnost hitrega odziva na sodobne vire ogrožanja, tako naravne nesreče kot tudi krizna in vojna stanja. Republika Slovenija sledi določbam Uredbe o izvajanju Sklepa o mehanizmu Unije na področju civilne zaščite (Uradni list RS, št. 62/14 in 13/17) in Resolucije o nacionalnem programu varstva pred naravnimi in drugimi nesrečami v letih od 2024 do 2030 (ReNPVNDN24–30) (Uradni list RS, št. 94/24).</w:t>
            </w:r>
          </w:p>
          <w:p w14:paraId="188D9F38" w14:textId="77777777" w:rsidR="00A77B3E" w:rsidRDefault="00A77B3E">
            <w:pPr>
              <w:spacing w:before="5pt"/>
              <w:rPr>
                <w:color w:val="000000"/>
                <w:sz w:val="6"/>
              </w:rPr>
            </w:pPr>
          </w:p>
          <w:p w14:paraId="0C21F054" w14:textId="77777777" w:rsidR="00A77B3E" w:rsidRDefault="00A77B3E">
            <w:pPr>
              <w:spacing w:before="5pt"/>
              <w:rPr>
                <w:color w:val="000000"/>
                <w:sz w:val="6"/>
              </w:rPr>
            </w:pPr>
          </w:p>
        </w:tc>
      </w:tr>
    </w:tbl>
    <w:p w14:paraId="58951C60" w14:textId="77777777" w:rsidR="00A77B3E" w:rsidRDefault="00A77B3E">
      <w:pPr>
        <w:spacing w:before="5pt"/>
        <w:rPr>
          <w:color w:val="000000"/>
        </w:rPr>
      </w:pPr>
    </w:p>
    <w:p w14:paraId="6B6E7BE5" w14:textId="77777777" w:rsidR="00A77B3E" w:rsidRDefault="00B16CCF">
      <w:pPr>
        <w:pStyle w:val="Naslov5"/>
        <w:spacing w:before="5pt" w:after="0pt"/>
        <w:rPr>
          <w:b w:val="0"/>
          <w:i w:val="0"/>
          <w:color w:val="000000"/>
          <w:sz w:val="24"/>
        </w:rPr>
      </w:pPr>
      <w:bookmarkStart w:id="389" w:name="_Toc256001150"/>
      <w:r>
        <w:rPr>
          <w:b w:val="0"/>
          <w:i w:val="0"/>
          <w:color w:val="000000"/>
          <w:sz w:val="24"/>
        </w:rPr>
        <w:t>Glavne ciljne skupine – člen 22(3)(d)(iii) uredbe o skupnih določbah:</w:t>
      </w:r>
      <w:bookmarkEnd w:id="389"/>
    </w:p>
    <w:p w14:paraId="0893E50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59835B7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C6C3B8" w14:textId="77777777" w:rsidR="00A77B3E" w:rsidRDefault="00A77B3E">
            <w:pPr>
              <w:spacing w:before="5pt"/>
              <w:rPr>
                <w:color w:val="000000"/>
                <w:sz w:val="0"/>
              </w:rPr>
            </w:pPr>
          </w:p>
          <w:p w14:paraId="604F32D2" w14:textId="77777777" w:rsidR="00A77B3E" w:rsidRDefault="00B16CCF">
            <w:pPr>
              <w:spacing w:before="5pt"/>
              <w:rPr>
                <w:color w:val="000000"/>
              </w:rPr>
            </w:pPr>
            <w:r>
              <w:rPr>
                <w:color w:val="000000"/>
              </w:rPr>
              <w:t>Ciljne skupine specifičnega cilja so prebivalstvo in lokalne skupnosti, šolajoči, spremljevalci, študenti, zaposleni v javnih zavodih, mentorji v podjetjih, širša javnost, civilna zaščita, gasilske enote, reševalne službe in vojska.</w:t>
            </w:r>
          </w:p>
          <w:p w14:paraId="595D9F58" w14:textId="77777777" w:rsidR="00A77B3E" w:rsidRDefault="00B16CCF">
            <w:pPr>
              <w:spacing w:before="5pt"/>
              <w:rPr>
                <w:color w:val="000000"/>
              </w:rPr>
            </w:pPr>
            <w:r>
              <w:rPr>
                <w:color w:val="000000"/>
              </w:rPr>
              <w:t xml:space="preserve">Upravičenci specifičnega cilja v okviru ukrepa Zagotavljanje zdravstvene infrastrukture za dvojno rabo so institucije na področju socialnega varstva in zdravstva, ministrstva. </w:t>
            </w:r>
          </w:p>
          <w:p w14:paraId="77B6D2E0" w14:textId="77777777" w:rsidR="00A77B3E" w:rsidRDefault="00B16CCF">
            <w:pPr>
              <w:spacing w:before="5pt"/>
              <w:rPr>
                <w:color w:val="000000"/>
              </w:rPr>
            </w:pPr>
            <w:r>
              <w:rPr>
                <w:color w:val="000000"/>
              </w:rPr>
              <w:t>Upravičenci specifičnega cilja v okviru ukrepa Zagotavljanje odporne vzgojno izobraževalne infrastrukture so šolski centri, ki imajo v svoji organizacijski strukturi tudi medpodjetniške izobraževalne centre (MIC), CŠOD, dijaški domovi in ostali relevantni vzgojno izobraževalni zavodi.</w:t>
            </w:r>
          </w:p>
          <w:p w14:paraId="3BC4C865" w14:textId="77777777" w:rsidR="00A77B3E" w:rsidRDefault="00B16CCF">
            <w:pPr>
              <w:spacing w:before="5pt"/>
              <w:rPr>
                <w:color w:val="000000"/>
              </w:rPr>
            </w:pPr>
            <w:r>
              <w:rPr>
                <w:color w:val="000000"/>
              </w:rPr>
              <w:t>Upravičenci specifičnega v okviru ukrepa Vzpostavitev Nacionalnega centra za zaščito in reševanje ob naravnih nesrečah, večjih izrednih dogodkih in drugih kriznih razmerah so ministrstva, Uprava RS za zaščito in reševanje, sile za zaščito, reševanje in pomoč, lokalne skupnosti ter morebitni drugi upravičenci, ki lahko pomembno prispevajo k doseganju ciljev tega specifičnega cilja.</w:t>
            </w:r>
          </w:p>
          <w:p w14:paraId="0748AFA0" w14:textId="77777777" w:rsidR="00A77B3E" w:rsidRDefault="00A77B3E">
            <w:pPr>
              <w:spacing w:before="5pt"/>
              <w:rPr>
                <w:color w:val="000000"/>
                <w:sz w:val="6"/>
              </w:rPr>
            </w:pPr>
          </w:p>
          <w:p w14:paraId="0A8633F1" w14:textId="77777777" w:rsidR="00A77B3E" w:rsidRDefault="00A77B3E">
            <w:pPr>
              <w:spacing w:before="5pt"/>
              <w:rPr>
                <w:color w:val="000000"/>
                <w:sz w:val="6"/>
              </w:rPr>
            </w:pPr>
          </w:p>
        </w:tc>
      </w:tr>
    </w:tbl>
    <w:p w14:paraId="1F591045" w14:textId="77777777" w:rsidR="00A77B3E" w:rsidRDefault="00A77B3E">
      <w:pPr>
        <w:spacing w:before="5pt"/>
        <w:rPr>
          <w:color w:val="000000"/>
        </w:rPr>
      </w:pPr>
    </w:p>
    <w:p w14:paraId="36D1DC57" w14:textId="77777777" w:rsidR="00A77B3E" w:rsidRDefault="00B16CCF">
      <w:pPr>
        <w:pStyle w:val="Naslov5"/>
        <w:spacing w:before="5pt" w:after="0pt"/>
        <w:rPr>
          <w:b w:val="0"/>
          <w:i w:val="0"/>
          <w:color w:val="000000"/>
          <w:sz w:val="24"/>
        </w:rPr>
      </w:pPr>
      <w:bookmarkStart w:id="390" w:name="_Toc256001151"/>
      <w:r>
        <w:rPr>
          <w:b w:val="0"/>
          <w:i w:val="0"/>
          <w:color w:val="000000"/>
          <w:sz w:val="24"/>
        </w:rPr>
        <w:t>Ukrepi za zaščito enakosti, vključenosti in nediskriminacije – člen 22(3)(d)(iv) uredbe o skupnih določbah in člen 6 uredbe o ESS+</w:t>
      </w:r>
      <w:bookmarkEnd w:id="390"/>
    </w:p>
    <w:p w14:paraId="2BFED51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600B538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40B062" w14:textId="77777777" w:rsidR="00A77B3E" w:rsidRDefault="00A77B3E">
            <w:pPr>
              <w:spacing w:before="5pt"/>
              <w:rPr>
                <w:color w:val="000000"/>
                <w:sz w:val="0"/>
              </w:rPr>
            </w:pPr>
          </w:p>
          <w:p w14:paraId="4EBB9D2E" w14:textId="77777777" w:rsidR="00A77B3E" w:rsidRDefault="00B16CCF">
            <w:pPr>
              <w:spacing w:before="5pt"/>
              <w:rPr>
                <w:color w:val="000000"/>
              </w:rPr>
            </w:pPr>
            <w:r>
              <w:rPr>
                <w:color w:val="000000"/>
              </w:rPr>
              <w:t>Pri načrtovanju, izvedbi in spremljanju ukrepov bodo spoštovana načela enakosti spolov, enakih možnosti in nediskriminacije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w:t>
            </w:r>
          </w:p>
          <w:p w14:paraId="0E89D80A" w14:textId="77777777" w:rsidR="00A77B3E" w:rsidRDefault="00A77B3E">
            <w:pPr>
              <w:spacing w:before="5pt"/>
              <w:rPr>
                <w:color w:val="000000"/>
                <w:sz w:val="6"/>
              </w:rPr>
            </w:pPr>
          </w:p>
          <w:p w14:paraId="5931A171" w14:textId="77777777" w:rsidR="00A77B3E" w:rsidRDefault="00A77B3E">
            <w:pPr>
              <w:spacing w:before="5pt"/>
              <w:rPr>
                <w:color w:val="000000"/>
                <w:sz w:val="6"/>
              </w:rPr>
            </w:pPr>
          </w:p>
        </w:tc>
      </w:tr>
    </w:tbl>
    <w:p w14:paraId="2D9035F7" w14:textId="77777777" w:rsidR="00A77B3E" w:rsidRDefault="00A77B3E">
      <w:pPr>
        <w:spacing w:before="5pt"/>
        <w:rPr>
          <w:color w:val="000000"/>
        </w:rPr>
      </w:pPr>
    </w:p>
    <w:p w14:paraId="107308FE" w14:textId="77777777" w:rsidR="00A77B3E" w:rsidRDefault="00B16CCF">
      <w:pPr>
        <w:pStyle w:val="Naslov5"/>
        <w:spacing w:before="5pt" w:after="0pt"/>
        <w:rPr>
          <w:b w:val="0"/>
          <w:i w:val="0"/>
          <w:color w:val="000000"/>
          <w:sz w:val="24"/>
        </w:rPr>
      </w:pPr>
      <w:bookmarkStart w:id="391" w:name="_Toc256001152"/>
      <w:r>
        <w:rPr>
          <w:b w:val="0"/>
          <w:i w:val="0"/>
          <w:color w:val="000000"/>
          <w:sz w:val="24"/>
        </w:rPr>
        <w:t>Navedba specifičnih ciljnih ozemelj, vključno z načrtovano uporabo teritorialnih orodij – člen 22(3)(d)(v) uredbe o skupnih določbah</w:t>
      </w:r>
      <w:bookmarkEnd w:id="391"/>
    </w:p>
    <w:p w14:paraId="282CBDF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126C57E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8036FF" w14:textId="77777777" w:rsidR="00A77B3E" w:rsidRDefault="00A77B3E">
            <w:pPr>
              <w:spacing w:before="5pt"/>
              <w:rPr>
                <w:color w:val="000000"/>
                <w:sz w:val="0"/>
              </w:rPr>
            </w:pPr>
          </w:p>
          <w:p w14:paraId="6CCAAA0D" w14:textId="77777777" w:rsidR="00A77B3E" w:rsidRDefault="00B16CCF">
            <w:pPr>
              <w:spacing w:before="5pt"/>
              <w:rPr>
                <w:color w:val="000000"/>
              </w:rPr>
            </w:pPr>
            <w:r>
              <w:rPr>
                <w:color w:val="000000"/>
              </w:rPr>
              <w:t>V okviru specifičnega cilja ni predvidena uporaba teritorialnih orodij.</w:t>
            </w:r>
          </w:p>
          <w:p w14:paraId="35EAB7A0" w14:textId="77777777" w:rsidR="00A77B3E" w:rsidRDefault="00A77B3E">
            <w:pPr>
              <w:spacing w:before="5pt"/>
              <w:rPr>
                <w:color w:val="000000"/>
                <w:sz w:val="6"/>
              </w:rPr>
            </w:pPr>
          </w:p>
          <w:p w14:paraId="08933531" w14:textId="77777777" w:rsidR="00A77B3E" w:rsidRDefault="00A77B3E">
            <w:pPr>
              <w:spacing w:before="5pt"/>
              <w:rPr>
                <w:color w:val="000000"/>
                <w:sz w:val="6"/>
              </w:rPr>
            </w:pPr>
          </w:p>
        </w:tc>
      </w:tr>
    </w:tbl>
    <w:p w14:paraId="61749D6B" w14:textId="77777777" w:rsidR="00A77B3E" w:rsidRDefault="00A77B3E">
      <w:pPr>
        <w:spacing w:before="5pt"/>
        <w:rPr>
          <w:color w:val="000000"/>
        </w:rPr>
      </w:pPr>
    </w:p>
    <w:p w14:paraId="51C7F8AC" w14:textId="77777777" w:rsidR="00A77B3E" w:rsidRDefault="00B16CCF">
      <w:pPr>
        <w:pStyle w:val="Naslov5"/>
        <w:spacing w:before="5pt" w:after="0pt"/>
        <w:rPr>
          <w:b w:val="0"/>
          <w:i w:val="0"/>
          <w:color w:val="000000"/>
          <w:sz w:val="24"/>
        </w:rPr>
      </w:pPr>
      <w:bookmarkStart w:id="392" w:name="_Toc256001153"/>
      <w:r>
        <w:rPr>
          <w:b w:val="0"/>
          <w:i w:val="0"/>
          <w:color w:val="000000"/>
          <w:sz w:val="24"/>
        </w:rPr>
        <w:t>Medregionalni, čezmejni in transnacionalni ukrepi – člen 22(3)(d)(vi) uredbe o skupnih določbah</w:t>
      </w:r>
      <w:bookmarkEnd w:id="392"/>
    </w:p>
    <w:p w14:paraId="7F9BC06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4909682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318BDC" w14:textId="77777777" w:rsidR="00A77B3E" w:rsidRDefault="00A77B3E">
            <w:pPr>
              <w:spacing w:before="5pt"/>
              <w:rPr>
                <w:color w:val="000000"/>
                <w:sz w:val="0"/>
              </w:rPr>
            </w:pPr>
          </w:p>
          <w:p w14:paraId="28CF3963" w14:textId="77777777" w:rsidR="00A77B3E" w:rsidRDefault="00B16CCF">
            <w:pPr>
              <w:spacing w:before="5pt"/>
              <w:rPr>
                <w:color w:val="000000"/>
              </w:rPr>
            </w:pPr>
            <w:r>
              <w:rPr>
                <w:color w:val="000000"/>
              </w:rPr>
              <w:t>V okviru navedenega specifičnega cilja medregionalni, čezmejni in transnacionalni ukrepi niso predvideni, saj gre za ukrepe sofinanciranja infrastrukture dvojne rabe, ki je prvenstveno namenjena ciljnim skupinam na območju Slovenije.</w:t>
            </w:r>
          </w:p>
          <w:p w14:paraId="30D942DD" w14:textId="77777777" w:rsidR="00A77B3E" w:rsidRDefault="00A77B3E">
            <w:pPr>
              <w:spacing w:before="5pt"/>
              <w:rPr>
                <w:color w:val="000000"/>
                <w:sz w:val="6"/>
              </w:rPr>
            </w:pPr>
          </w:p>
          <w:p w14:paraId="19E6DF18" w14:textId="77777777" w:rsidR="00A77B3E" w:rsidRDefault="00A77B3E">
            <w:pPr>
              <w:spacing w:before="5pt"/>
              <w:rPr>
                <w:color w:val="000000"/>
                <w:sz w:val="6"/>
              </w:rPr>
            </w:pPr>
          </w:p>
        </w:tc>
      </w:tr>
    </w:tbl>
    <w:p w14:paraId="08ED37C6" w14:textId="77777777" w:rsidR="00A77B3E" w:rsidRDefault="00A77B3E">
      <w:pPr>
        <w:spacing w:before="5pt"/>
        <w:rPr>
          <w:color w:val="000000"/>
        </w:rPr>
      </w:pPr>
    </w:p>
    <w:p w14:paraId="0F8162BA" w14:textId="77777777" w:rsidR="00A77B3E" w:rsidRDefault="00B16CCF">
      <w:pPr>
        <w:pStyle w:val="Naslov5"/>
        <w:spacing w:before="5pt" w:after="0pt"/>
        <w:rPr>
          <w:b w:val="0"/>
          <w:i w:val="0"/>
          <w:color w:val="000000"/>
          <w:sz w:val="24"/>
        </w:rPr>
      </w:pPr>
      <w:bookmarkStart w:id="393" w:name="_Toc256001154"/>
      <w:r>
        <w:rPr>
          <w:b w:val="0"/>
          <w:i w:val="0"/>
          <w:color w:val="000000"/>
          <w:sz w:val="24"/>
        </w:rPr>
        <w:t>Načrtovana uporaba finančnih instrumentov – člen 22(3)(d)(vii) uredbe o skupnih določbah</w:t>
      </w:r>
      <w:bookmarkEnd w:id="393"/>
    </w:p>
    <w:p w14:paraId="71B52B1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7EF0AD9E"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433A65" w14:textId="77777777" w:rsidR="00A77B3E" w:rsidRDefault="00A77B3E">
            <w:pPr>
              <w:spacing w:before="5pt"/>
              <w:rPr>
                <w:color w:val="000000"/>
                <w:sz w:val="0"/>
              </w:rPr>
            </w:pPr>
          </w:p>
          <w:p w14:paraId="04240624" w14:textId="77777777" w:rsidR="00A77B3E" w:rsidRDefault="00B16CCF">
            <w:pPr>
              <w:spacing w:before="5pt"/>
              <w:rPr>
                <w:color w:val="000000"/>
              </w:rPr>
            </w:pPr>
            <w:r>
              <w:rPr>
                <w:color w:val="000000"/>
              </w:rPr>
              <w:t>V izvajanju specifičnega cilja se ne načrtuje uporaba finančnih instrumentov.</w:t>
            </w:r>
          </w:p>
          <w:p w14:paraId="750C578F" w14:textId="77777777" w:rsidR="00A77B3E" w:rsidRDefault="00A77B3E">
            <w:pPr>
              <w:spacing w:before="5pt"/>
              <w:rPr>
                <w:color w:val="000000"/>
                <w:sz w:val="6"/>
              </w:rPr>
            </w:pPr>
          </w:p>
          <w:p w14:paraId="758809E6" w14:textId="77777777" w:rsidR="00A77B3E" w:rsidRDefault="00A77B3E">
            <w:pPr>
              <w:spacing w:before="5pt"/>
              <w:rPr>
                <w:color w:val="000000"/>
                <w:sz w:val="6"/>
              </w:rPr>
            </w:pPr>
          </w:p>
        </w:tc>
      </w:tr>
    </w:tbl>
    <w:p w14:paraId="72418A58" w14:textId="77777777" w:rsidR="00A77B3E" w:rsidRDefault="00A77B3E">
      <w:pPr>
        <w:spacing w:before="5pt"/>
        <w:rPr>
          <w:color w:val="000000"/>
        </w:rPr>
      </w:pPr>
    </w:p>
    <w:p w14:paraId="57654D3A" w14:textId="77777777" w:rsidR="00A77B3E" w:rsidRDefault="00B16CCF">
      <w:pPr>
        <w:pStyle w:val="Naslov4"/>
        <w:spacing w:before="5pt" w:after="0pt"/>
        <w:rPr>
          <w:b w:val="0"/>
          <w:color w:val="000000"/>
          <w:sz w:val="24"/>
        </w:rPr>
      </w:pPr>
      <w:bookmarkStart w:id="394" w:name="_Toc256001155"/>
      <w:r>
        <w:rPr>
          <w:b w:val="0"/>
          <w:color w:val="000000"/>
          <w:sz w:val="24"/>
        </w:rPr>
        <w:t>2.1.1.1.2. Kazalniki</w:t>
      </w:r>
      <w:bookmarkEnd w:id="394"/>
    </w:p>
    <w:p w14:paraId="64507C44" w14:textId="77777777" w:rsidR="00A77B3E" w:rsidRDefault="00A77B3E">
      <w:pPr>
        <w:spacing w:before="5pt"/>
        <w:rPr>
          <w:color w:val="000000"/>
          <w:sz w:val="0"/>
        </w:rPr>
      </w:pPr>
    </w:p>
    <w:p w14:paraId="7EBC2081" w14:textId="77777777" w:rsidR="00A77B3E" w:rsidRDefault="00B16CCF">
      <w:pPr>
        <w:spacing w:before="5pt"/>
        <w:rPr>
          <w:color w:val="000000"/>
          <w:sz w:val="0"/>
        </w:rPr>
      </w:pPr>
      <w:r>
        <w:rPr>
          <w:color w:val="000000"/>
        </w:rPr>
        <w:t>Sklic: člen 22(3)(d)(ii) uredbe o skupnih določbah in člen 8 uredbe o ESRR in Kohezijskem skladu</w:t>
      </w:r>
    </w:p>
    <w:p w14:paraId="1237F2F9" w14:textId="77777777" w:rsidR="00A77B3E" w:rsidRDefault="00B16CCF">
      <w:pPr>
        <w:pStyle w:val="Naslov5"/>
        <w:spacing w:before="5pt" w:after="0pt"/>
        <w:rPr>
          <w:b w:val="0"/>
          <w:i w:val="0"/>
          <w:color w:val="000000"/>
          <w:sz w:val="24"/>
        </w:rPr>
      </w:pPr>
      <w:bookmarkStart w:id="395" w:name="_Toc256001156"/>
      <w:r>
        <w:rPr>
          <w:b w:val="0"/>
          <w:i w:val="0"/>
          <w:color w:val="000000"/>
          <w:sz w:val="24"/>
        </w:rPr>
        <w:t>Tabela 2: Kazalniki učinka</w:t>
      </w:r>
      <w:bookmarkEnd w:id="395"/>
    </w:p>
    <w:p w14:paraId="0770E28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981"/>
        <w:gridCol w:w="1828"/>
        <w:gridCol w:w="1219"/>
        <w:gridCol w:w="1895"/>
        <w:gridCol w:w="2199"/>
        <w:gridCol w:w="1981"/>
        <w:gridCol w:w="1414"/>
        <w:gridCol w:w="1371"/>
        <w:gridCol w:w="1284"/>
      </w:tblGrid>
      <w:tr w:rsidR="00823317" w14:paraId="743CC5C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AFCF28"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AAF125"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F1FA73"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21D7BB"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5E057D"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055D1C"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D1C6B2"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C09E77" w14:textId="77777777" w:rsidR="00A77B3E" w:rsidRDefault="00B16CCF">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8C022F" w14:textId="77777777" w:rsidR="00A77B3E" w:rsidRDefault="00B16CCF">
            <w:pPr>
              <w:spacing w:before="5pt"/>
              <w:jc w:val="center"/>
              <w:rPr>
                <w:color w:val="000000"/>
                <w:sz w:val="20"/>
              </w:rPr>
            </w:pPr>
            <w:r>
              <w:rPr>
                <w:color w:val="000000"/>
                <w:sz w:val="20"/>
              </w:rPr>
              <w:t>Cilj (2029)</w:t>
            </w:r>
          </w:p>
        </w:tc>
      </w:tr>
      <w:tr w:rsidR="00823317" w14:paraId="4523348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7D25B5" w14:textId="77777777" w:rsidR="00A77B3E" w:rsidRDefault="00B16CCF">
            <w:pPr>
              <w:spacing w:before="5pt"/>
              <w:rPr>
                <w:color w:val="000000"/>
                <w:sz w:val="20"/>
              </w:rPr>
            </w:pPr>
            <w:r>
              <w:rPr>
                <w:color w:val="000000"/>
                <w:sz w:val="20"/>
              </w:rPr>
              <w:t>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1C81AD" w14:textId="77777777" w:rsidR="00A77B3E" w:rsidRDefault="00B16CCF">
            <w:pPr>
              <w:spacing w:before="5pt"/>
              <w:rPr>
                <w:color w:val="000000"/>
                <w:sz w:val="20"/>
              </w:rPr>
            </w:pPr>
            <w:r>
              <w:rPr>
                <w:color w:val="000000"/>
                <w:sz w:val="20"/>
              </w:rPr>
              <w:t>RSO3.3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A7730E"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F5DC8C"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1A8F19" w14:textId="77777777" w:rsidR="00A77B3E" w:rsidRDefault="00B16CCF">
            <w:pPr>
              <w:spacing w:before="5pt"/>
              <w:rPr>
                <w:color w:val="000000"/>
                <w:sz w:val="20"/>
              </w:rPr>
            </w:pPr>
            <w:r>
              <w:rPr>
                <w:color w:val="000000"/>
                <w:sz w:val="20"/>
              </w:rPr>
              <w:t>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F07A4F" w14:textId="77777777" w:rsidR="00A77B3E" w:rsidRDefault="00B16CCF">
            <w:pPr>
              <w:spacing w:before="5pt"/>
              <w:rPr>
                <w:color w:val="000000"/>
                <w:sz w:val="20"/>
              </w:rPr>
            </w:pPr>
            <w:r>
              <w:rPr>
                <w:color w:val="000000"/>
                <w:sz w:val="20"/>
              </w:rPr>
              <w:t>Število enot, v katere bo investirano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912CCC" w14:textId="77777777" w:rsidR="00A77B3E" w:rsidRDefault="00B16CCF">
            <w:pPr>
              <w:spacing w:before="5pt"/>
              <w:rPr>
                <w:color w:val="000000"/>
                <w:sz w:val="20"/>
              </w:rPr>
            </w:pPr>
            <w:r>
              <w:rPr>
                <w:color w:val="000000"/>
                <w:sz w:val="20"/>
              </w:rPr>
              <w:t>število enot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7070F1"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A9976E" w14:textId="77777777" w:rsidR="00A77B3E" w:rsidRDefault="00B16CCF">
            <w:pPr>
              <w:spacing w:before="5pt"/>
              <w:jc w:val="end"/>
              <w:rPr>
                <w:color w:val="000000"/>
                <w:sz w:val="20"/>
              </w:rPr>
            </w:pPr>
            <w:r>
              <w:rPr>
                <w:color w:val="000000"/>
                <w:sz w:val="20"/>
              </w:rPr>
              <w:t>4,00</w:t>
            </w:r>
          </w:p>
        </w:tc>
      </w:tr>
      <w:tr w:rsidR="00823317" w14:paraId="7F493E9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A3B3AD" w14:textId="77777777" w:rsidR="00A77B3E" w:rsidRDefault="00B16CCF">
            <w:pPr>
              <w:spacing w:before="5pt"/>
              <w:rPr>
                <w:color w:val="000000"/>
                <w:sz w:val="20"/>
              </w:rPr>
            </w:pPr>
            <w:r>
              <w:rPr>
                <w:color w:val="000000"/>
                <w:sz w:val="20"/>
              </w:rPr>
              <w:t>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30E55E" w14:textId="77777777" w:rsidR="00A77B3E" w:rsidRDefault="00B16CCF">
            <w:pPr>
              <w:spacing w:before="5pt"/>
              <w:rPr>
                <w:color w:val="000000"/>
                <w:sz w:val="20"/>
              </w:rPr>
            </w:pPr>
            <w:r>
              <w:rPr>
                <w:color w:val="000000"/>
                <w:sz w:val="20"/>
              </w:rPr>
              <w:t>RSO3.3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DC01D2"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3E9162"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5C2A02" w14:textId="77777777" w:rsidR="00A77B3E" w:rsidRDefault="00B16CCF">
            <w:pPr>
              <w:spacing w:before="5pt"/>
              <w:rPr>
                <w:color w:val="000000"/>
                <w:sz w:val="20"/>
              </w:rPr>
            </w:pPr>
            <w:r>
              <w:rPr>
                <w:color w:val="000000"/>
                <w:sz w:val="20"/>
              </w:rPr>
              <w:t>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C43431" w14:textId="77777777" w:rsidR="00A77B3E" w:rsidRDefault="00B16CCF">
            <w:pPr>
              <w:spacing w:before="5pt"/>
              <w:rPr>
                <w:color w:val="000000"/>
                <w:sz w:val="20"/>
              </w:rPr>
            </w:pPr>
            <w:r>
              <w:rPr>
                <w:color w:val="000000"/>
                <w:sz w:val="20"/>
              </w:rPr>
              <w:t>Število enot, v katere bo investirano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130EBF" w14:textId="77777777" w:rsidR="00A77B3E" w:rsidRDefault="00B16CCF">
            <w:pPr>
              <w:spacing w:before="5pt"/>
              <w:rPr>
                <w:color w:val="000000"/>
                <w:sz w:val="20"/>
              </w:rPr>
            </w:pPr>
            <w:r>
              <w:rPr>
                <w:color w:val="000000"/>
                <w:sz w:val="20"/>
              </w:rPr>
              <w:t>število enot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299D9C"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905CEA" w14:textId="77777777" w:rsidR="00A77B3E" w:rsidRDefault="00B16CCF">
            <w:pPr>
              <w:spacing w:before="5pt"/>
              <w:jc w:val="end"/>
              <w:rPr>
                <w:color w:val="000000"/>
                <w:sz w:val="20"/>
              </w:rPr>
            </w:pPr>
            <w:r>
              <w:rPr>
                <w:color w:val="000000"/>
                <w:sz w:val="20"/>
              </w:rPr>
              <w:t>9,00</w:t>
            </w:r>
          </w:p>
        </w:tc>
      </w:tr>
    </w:tbl>
    <w:p w14:paraId="37F23E68" w14:textId="77777777" w:rsidR="00A77B3E" w:rsidRDefault="00A77B3E">
      <w:pPr>
        <w:spacing w:before="5pt"/>
        <w:rPr>
          <w:color w:val="000000"/>
          <w:sz w:val="20"/>
        </w:rPr>
      </w:pPr>
    </w:p>
    <w:p w14:paraId="6350EDD3" w14:textId="77777777" w:rsidR="00A77B3E" w:rsidRDefault="00B16CCF">
      <w:pPr>
        <w:spacing w:before="5pt"/>
        <w:rPr>
          <w:color w:val="000000"/>
          <w:sz w:val="0"/>
        </w:rPr>
      </w:pPr>
      <w:r>
        <w:rPr>
          <w:color w:val="000000"/>
        </w:rPr>
        <w:t>Sklic: člen 22(3)(d)(ii) uredbe o skupnih določbah</w:t>
      </w:r>
    </w:p>
    <w:p w14:paraId="32C0B3E2" w14:textId="77777777" w:rsidR="00A77B3E" w:rsidRDefault="00B16CCF">
      <w:pPr>
        <w:pStyle w:val="Naslov5"/>
        <w:spacing w:before="5pt" w:after="0pt"/>
        <w:rPr>
          <w:b w:val="0"/>
          <w:i w:val="0"/>
          <w:color w:val="000000"/>
          <w:sz w:val="24"/>
        </w:rPr>
      </w:pPr>
      <w:bookmarkStart w:id="396" w:name="_Toc256001157"/>
      <w:r>
        <w:rPr>
          <w:b w:val="0"/>
          <w:i w:val="0"/>
          <w:color w:val="000000"/>
          <w:sz w:val="24"/>
        </w:rPr>
        <w:lastRenderedPageBreak/>
        <w:t>Tabela 3: Kazalniki rezultatov</w:t>
      </w:r>
      <w:bookmarkEnd w:id="396"/>
    </w:p>
    <w:p w14:paraId="25C1C51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42"/>
        <w:gridCol w:w="1238"/>
        <w:gridCol w:w="826"/>
        <w:gridCol w:w="1283"/>
        <w:gridCol w:w="1489"/>
        <w:gridCol w:w="1504"/>
        <w:gridCol w:w="957"/>
        <w:gridCol w:w="1313"/>
        <w:gridCol w:w="1386"/>
        <w:gridCol w:w="1223"/>
        <w:gridCol w:w="1535"/>
        <w:gridCol w:w="1076"/>
      </w:tblGrid>
      <w:tr w:rsidR="00823317" w14:paraId="5A17200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B2AA9F"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485023"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36EEF0"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7924B5"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823B73"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2F82D1"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BA762D"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5465B3" w14:textId="77777777" w:rsidR="00A77B3E" w:rsidRDefault="00B16CCF">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CE7D90" w14:textId="77777777" w:rsidR="00A77B3E" w:rsidRDefault="00B16CCF">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B3C89E" w14:textId="77777777" w:rsidR="00A77B3E" w:rsidRDefault="00B16CCF">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241DEE" w14:textId="77777777" w:rsidR="00A77B3E" w:rsidRDefault="00B16CCF">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9D06B5" w14:textId="77777777" w:rsidR="00A77B3E" w:rsidRDefault="00B16CCF">
            <w:pPr>
              <w:spacing w:before="5pt"/>
              <w:jc w:val="center"/>
              <w:rPr>
                <w:color w:val="000000"/>
                <w:sz w:val="20"/>
              </w:rPr>
            </w:pPr>
            <w:r>
              <w:rPr>
                <w:color w:val="000000"/>
                <w:sz w:val="20"/>
              </w:rPr>
              <w:t>Opombe</w:t>
            </w:r>
          </w:p>
        </w:tc>
      </w:tr>
      <w:tr w:rsidR="00823317" w14:paraId="676F95D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3470F4" w14:textId="77777777" w:rsidR="00A77B3E" w:rsidRDefault="00B16CCF">
            <w:pPr>
              <w:spacing w:before="5pt"/>
              <w:rPr>
                <w:color w:val="000000"/>
                <w:sz w:val="20"/>
              </w:rPr>
            </w:pPr>
            <w:r>
              <w:rPr>
                <w:color w:val="000000"/>
                <w:sz w:val="20"/>
              </w:rPr>
              <w:t>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DE1443" w14:textId="77777777" w:rsidR="00A77B3E" w:rsidRDefault="00B16CCF">
            <w:pPr>
              <w:spacing w:before="5pt"/>
              <w:rPr>
                <w:color w:val="000000"/>
                <w:sz w:val="20"/>
              </w:rPr>
            </w:pPr>
            <w:r>
              <w:rPr>
                <w:color w:val="000000"/>
                <w:sz w:val="20"/>
              </w:rPr>
              <w:t>RSO3.3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BC1D17"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B4D185"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D6D72C" w14:textId="77777777" w:rsidR="00A77B3E" w:rsidRDefault="00B16CCF">
            <w:pPr>
              <w:spacing w:before="5pt"/>
              <w:rPr>
                <w:color w:val="000000"/>
                <w:sz w:val="20"/>
              </w:rPr>
            </w:pPr>
            <w:r>
              <w:rPr>
                <w:color w:val="000000"/>
                <w:sz w:val="20"/>
              </w:rPr>
              <w:t>026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09967D" w14:textId="77777777" w:rsidR="00A77B3E" w:rsidRDefault="00B16CCF">
            <w:pPr>
              <w:spacing w:before="5pt"/>
              <w:rPr>
                <w:color w:val="000000"/>
                <w:sz w:val="20"/>
              </w:rPr>
            </w:pPr>
            <w:r>
              <w:rPr>
                <w:color w:val="000000"/>
                <w:sz w:val="20"/>
              </w:rPr>
              <w:t>Število uporabnikov v letu po zaključku investicije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DF1BA4" w14:textId="77777777" w:rsidR="00A77B3E" w:rsidRDefault="00B16CCF">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344183"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C21DC1" w14:textId="77777777" w:rsidR="00A77B3E" w:rsidRDefault="00B16CCF">
            <w:pPr>
              <w:spacing w:before="5pt"/>
              <w:jc w:val="center"/>
              <w:rPr>
                <w:color w:val="000000"/>
                <w:sz w:val="20"/>
              </w:rPr>
            </w:pPr>
            <w:r>
              <w:rPr>
                <w:color w:val="000000"/>
                <w:sz w:val="20"/>
              </w:rPr>
              <w:t>2025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FC1C73" w14:textId="77777777" w:rsidR="00A77B3E" w:rsidRDefault="00B16CCF">
            <w:pPr>
              <w:spacing w:before="5pt"/>
              <w:jc w:val="end"/>
              <w:rPr>
                <w:color w:val="000000"/>
                <w:sz w:val="20"/>
              </w:rPr>
            </w:pPr>
            <w:r>
              <w:rPr>
                <w:color w:val="000000"/>
                <w:sz w:val="20"/>
              </w:rPr>
              <w:t>1.373,00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DC4F7B" w14:textId="77777777" w:rsidR="00A77B3E" w:rsidRDefault="00B16CCF">
            <w:pPr>
              <w:spacing w:before="5pt"/>
              <w:rPr>
                <w:color w:val="000000"/>
                <w:sz w:val="20"/>
              </w:rPr>
            </w:pPr>
            <w:r>
              <w:rPr>
                <w:color w:val="000000"/>
                <w:sz w:val="20"/>
              </w:rPr>
              <w:t>MVI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E1FB39" w14:textId="77777777" w:rsidR="00A77B3E" w:rsidRDefault="00A77B3E">
            <w:pPr>
              <w:spacing w:before="5pt"/>
              <w:rPr>
                <w:color w:val="000000"/>
                <w:sz w:val="20"/>
              </w:rPr>
            </w:pPr>
          </w:p>
        </w:tc>
      </w:tr>
      <w:tr w:rsidR="00823317" w14:paraId="5F32640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D54F86" w14:textId="77777777" w:rsidR="00A77B3E" w:rsidRDefault="00B16CCF">
            <w:pPr>
              <w:spacing w:before="5pt"/>
              <w:rPr>
                <w:color w:val="000000"/>
                <w:sz w:val="20"/>
              </w:rPr>
            </w:pPr>
            <w:r>
              <w:rPr>
                <w:color w:val="000000"/>
                <w:sz w:val="20"/>
              </w:rPr>
              <w:t>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589469" w14:textId="77777777" w:rsidR="00A77B3E" w:rsidRDefault="00B16CCF">
            <w:pPr>
              <w:spacing w:before="5pt"/>
              <w:rPr>
                <w:color w:val="000000"/>
                <w:sz w:val="20"/>
              </w:rPr>
            </w:pPr>
            <w:r>
              <w:rPr>
                <w:color w:val="000000"/>
                <w:sz w:val="20"/>
              </w:rPr>
              <w:t>RSO3.3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42339F"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C32C70"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8C77B7" w14:textId="77777777" w:rsidR="00A77B3E" w:rsidRDefault="00B16CCF">
            <w:pPr>
              <w:spacing w:before="5pt"/>
              <w:rPr>
                <w:color w:val="000000"/>
                <w:sz w:val="20"/>
              </w:rPr>
            </w:pPr>
            <w:r>
              <w:rPr>
                <w:color w:val="000000"/>
                <w:sz w:val="20"/>
              </w:rPr>
              <w:t>027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D975B6" w14:textId="77777777" w:rsidR="00A77B3E" w:rsidRDefault="00B16CCF">
            <w:pPr>
              <w:spacing w:before="5pt"/>
              <w:rPr>
                <w:color w:val="000000"/>
                <w:sz w:val="20"/>
              </w:rPr>
            </w:pPr>
            <w:r>
              <w:rPr>
                <w:color w:val="000000"/>
                <w:sz w:val="20"/>
              </w:rPr>
              <w:t>Vključene osebe v tretji steber nacionalne varnosti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856C83" w14:textId="77777777" w:rsidR="00A77B3E" w:rsidRDefault="00B16CCF">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A08334"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D642C5" w14:textId="77777777" w:rsidR="00A77B3E" w:rsidRDefault="00B16CCF">
            <w:pPr>
              <w:spacing w:before="5pt"/>
              <w:jc w:val="center"/>
              <w:rPr>
                <w:color w:val="000000"/>
                <w:sz w:val="20"/>
              </w:rPr>
            </w:pPr>
            <w:r>
              <w:rPr>
                <w:color w:val="000000"/>
                <w:sz w:val="20"/>
              </w:rPr>
              <w:t>2025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CC7A73" w14:textId="77777777" w:rsidR="00A77B3E" w:rsidRDefault="00B16CCF">
            <w:pPr>
              <w:spacing w:before="5pt"/>
              <w:jc w:val="end"/>
              <w:rPr>
                <w:color w:val="000000"/>
                <w:sz w:val="20"/>
              </w:rPr>
            </w:pPr>
            <w:r>
              <w:rPr>
                <w:color w:val="000000"/>
                <w:sz w:val="20"/>
              </w:rPr>
              <w:t>70.000,00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82636B" w14:textId="77777777" w:rsidR="00A77B3E" w:rsidRDefault="00B16CCF">
            <w:pPr>
              <w:spacing w:before="5pt"/>
              <w:rPr>
                <w:color w:val="000000"/>
                <w:sz w:val="20"/>
              </w:rPr>
            </w:pPr>
            <w:r>
              <w:rPr>
                <w:color w:val="000000"/>
                <w:sz w:val="20"/>
              </w:rPr>
              <w:t>URSZR (evidence vključenih pripadnikov)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2CF150" w14:textId="77777777" w:rsidR="00A77B3E" w:rsidRDefault="00A77B3E">
            <w:pPr>
              <w:spacing w:before="5pt"/>
              <w:rPr>
                <w:color w:val="000000"/>
                <w:sz w:val="20"/>
              </w:rPr>
            </w:pPr>
          </w:p>
        </w:tc>
      </w:tr>
      <w:tr w:rsidR="00823317" w14:paraId="7F0370E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352655" w14:textId="77777777" w:rsidR="00A77B3E" w:rsidRDefault="00B16CCF">
            <w:pPr>
              <w:spacing w:before="5pt"/>
              <w:rPr>
                <w:color w:val="000000"/>
                <w:sz w:val="20"/>
              </w:rPr>
            </w:pPr>
            <w:r>
              <w:rPr>
                <w:color w:val="000000"/>
                <w:sz w:val="20"/>
              </w:rPr>
              <w:t>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0C5C07" w14:textId="77777777" w:rsidR="00A77B3E" w:rsidRDefault="00B16CCF">
            <w:pPr>
              <w:spacing w:before="5pt"/>
              <w:rPr>
                <w:color w:val="000000"/>
                <w:sz w:val="20"/>
              </w:rPr>
            </w:pPr>
            <w:r>
              <w:rPr>
                <w:color w:val="000000"/>
                <w:sz w:val="20"/>
              </w:rPr>
              <w:t>RSO3.3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334785"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4B7E07"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2E9BAD" w14:textId="77777777" w:rsidR="00A77B3E" w:rsidRDefault="00B16CCF">
            <w:pPr>
              <w:spacing w:before="5pt"/>
              <w:rPr>
                <w:color w:val="000000"/>
                <w:sz w:val="20"/>
              </w:rPr>
            </w:pPr>
            <w:r>
              <w:rPr>
                <w:color w:val="000000"/>
                <w:sz w:val="20"/>
              </w:rPr>
              <w:t>026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16FA1D" w14:textId="77777777" w:rsidR="00A77B3E" w:rsidRDefault="00B16CCF">
            <w:pPr>
              <w:spacing w:before="5pt"/>
              <w:rPr>
                <w:color w:val="000000"/>
                <w:sz w:val="20"/>
              </w:rPr>
            </w:pPr>
            <w:r>
              <w:rPr>
                <w:color w:val="000000"/>
                <w:sz w:val="20"/>
              </w:rPr>
              <w:t>Število uporabnikov v letu po zaključku investicije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860234" w14:textId="77777777" w:rsidR="00A77B3E" w:rsidRDefault="00B16CCF">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0F4C4C"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EEDD6C" w14:textId="77777777" w:rsidR="00A77B3E" w:rsidRDefault="00B16CCF">
            <w:pPr>
              <w:spacing w:before="5pt"/>
              <w:jc w:val="center"/>
              <w:rPr>
                <w:color w:val="000000"/>
                <w:sz w:val="20"/>
              </w:rPr>
            </w:pPr>
            <w:r>
              <w:rPr>
                <w:color w:val="000000"/>
                <w:sz w:val="20"/>
              </w:rPr>
              <w:t>2025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B13B97" w14:textId="77777777" w:rsidR="00A77B3E" w:rsidRDefault="00B16CCF">
            <w:pPr>
              <w:spacing w:before="5pt"/>
              <w:jc w:val="end"/>
              <w:rPr>
                <w:color w:val="000000"/>
                <w:sz w:val="20"/>
              </w:rPr>
            </w:pPr>
            <w:r>
              <w:rPr>
                <w:color w:val="000000"/>
                <w:sz w:val="20"/>
              </w:rPr>
              <w:t>46.810,00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481B60" w14:textId="77777777" w:rsidR="00A77B3E" w:rsidRDefault="00B16CCF">
            <w:pPr>
              <w:spacing w:before="5pt"/>
              <w:rPr>
                <w:color w:val="000000"/>
                <w:sz w:val="20"/>
              </w:rPr>
            </w:pPr>
            <w:r>
              <w:rPr>
                <w:color w:val="000000"/>
                <w:sz w:val="20"/>
              </w:rPr>
              <w:t>MVI, MZ</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4EEDBE" w14:textId="77777777" w:rsidR="00A77B3E" w:rsidRDefault="00A77B3E">
            <w:pPr>
              <w:spacing w:before="5pt"/>
              <w:rPr>
                <w:color w:val="000000"/>
                <w:sz w:val="20"/>
              </w:rPr>
            </w:pPr>
          </w:p>
        </w:tc>
      </w:tr>
    </w:tbl>
    <w:p w14:paraId="420E664B" w14:textId="77777777" w:rsidR="00A77B3E" w:rsidRDefault="00A77B3E">
      <w:pPr>
        <w:spacing w:before="5pt"/>
        <w:rPr>
          <w:color w:val="000000"/>
          <w:sz w:val="20"/>
        </w:rPr>
      </w:pPr>
    </w:p>
    <w:p w14:paraId="3D771D25" w14:textId="77777777" w:rsidR="00A77B3E" w:rsidRDefault="00B16CCF">
      <w:pPr>
        <w:pStyle w:val="Naslov4"/>
        <w:spacing w:before="5pt" w:after="0pt"/>
        <w:rPr>
          <w:b w:val="0"/>
          <w:color w:val="000000"/>
          <w:sz w:val="24"/>
        </w:rPr>
      </w:pPr>
      <w:bookmarkStart w:id="397" w:name="_Toc256001158"/>
      <w:r>
        <w:rPr>
          <w:b w:val="0"/>
          <w:color w:val="000000"/>
          <w:sz w:val="24"/>
        </w:rPr>
        <w:t>2.1.1.1.3. Okvirna razčlenitev načrtovanih sredstev (EU) glede na vrsto ukrepa</w:t>
      </w:r>
      <w:bookmarkEnd w:id="397"/>
    </w:p>
    <w:p w14:paraId="1DA5DC60" w14:textId="77777777" w:rsidR="00A77B3E" w:rsidRDefault="00A77B3E">
      <w:pPr>
        <w:spacing w:before="5pt"/>
        <w:rPr>
          <w:color w:val="000000"/>
          <w:sz w:val="0"/>
        </w:rPr>
      </w:pPr>
    </w:p>
    <w:p w14:paraId="7F0410BC" w14:textId="77777777" w:rsidR="00A77B3E" w:rsidRDefault="00B16CCF">
      <w:pPr>
        <w:spacing w:before="5pt"/>
        <w:rPr>
          <w:color w:val="000000"/>
          <w:sz w:val="0"/>
        </w:rPr>
      </w:pPr>
      <w:r>
        <w:rPr>
          <w:color w:val="000000"/>
        </w:rPr>
        <w:t>Sklic: člen 22(3)(d)(viii) uredbe o skupnih določbah</w:t>
      </w:r>
    </w:p>
    <w:p w14:paraId="5A02EF89" w14:textId="77777777" w:rsidR="00A77B3E" w:rsidRDefault="00B16CCF">
      <w:pPr>
        <w:pStyle w:val="Naslov5"/>
        <w:spacing w:before="5pt" w:after="0pt"/>
        <w:rPr>
          <w:b w:val="0"/>
          <w:i w:val="0"/>
          <w:color w:val="000000"/>
          <w:sz w:val="24"/>
        </w:rPr>
      </w:pPr>
      <w:bookmarkStart w:id="398" w:name="_Toc256001159"/>
      <w:r>
        <w:rPr>
          <w:b w:val="0"/>
          <w:i w:val="0"/>
          <w:color w:val="000000"/>
          <w:sz w:val="24"/>
        </w:rPr>
        <w:t>Tabela 4: Razsežnost 1 – področje ukrepanja</w:t>
      </w:r>
      <w:bookmarkEnd w:id="398"/>
    </w:p>
    <w:p w14:paraId="3DAC42B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63"/>
        <w:gridCol w:w="2272"/>
        <w:gridCol w:w="1650"/>
        <w:gridCol w:w="2355"/>
        <w:gridCol w:w="3332"/>
        <w:gridCol w:w="3100"/>
      </w:tblGrid>
      <w:tr w:rsidR="00823317" w14:paraId="76CF9FD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877E09"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FACACE"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4308C5"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B42F6E"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8C5BD6"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AC0885" w14:textId="77777777" w:rsidR="00A77B3E" w:rsidRDefault="00B16CCF">
            <w:pPr>
              <w:spacing w:before="5pt"/>
              <w:jc w:val="center"/>
              <w:rPr>
                <w:color w:val="000000"/>
                <w:sz w:val="20"/>
              </w:rPr>
            </w:pPr>
            <w:r>
              <w:rPr>
                <w:color w:val="000000"/>
                <w:sz w:val="20"/>
              </w:rPr>
              <w:t>Znesek (v EUR)</w:t>
            </w:r>
          </w:p>
        </w:tc>
      </w:tr>
      <w:tr w:rsidR="00823317" w14:paraId="40FCB77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331C66" w14:textId="77777777" w:rsidR="00A77B3E" w:rsidRDefault="00B16CCF">
            <w:pPr>
              <w:spacing w:before="5pt"/>
              <w:rPr>
                <w:color w:val="000000"/>
                <w:sz w:val="20"/>
              </w:rPr>
            </w:pPr>
            <w:r>
              <w:rPr>
                <w:color w:val="000000"/>
                <w:sz w:val="20"/>
              </w:rPr>
              <w:t>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D5381E" w14:textId="77777777" w:rsidR="00A77B3E" w:rsidRDefault="00B16CCF">
            <w:pPr>
              <w:spacing w:before="5pt"/>
              <w:rPr>
                <w:color w:val="000000"/>
                <w:sz w:val="20"/>
              </w:rPr>
            </w:pPr>
            <w:r>
              <w:rPr>
                <w:color w:val="000000"/>
                <w:sz w:val="20"/>
              </w:rPr>
              <w:t>RSO3.3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D6A02E"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CBD0E9"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1A706F" w14:textId="77777777" w:rsidR="00A77B3E" w:rsidRDefault="00B16CCF">
            <w:pPr>
              <w:spacing w:before="5pt"/>
              <w:rPr>
                <w:color w:val="000000"/>
                <w:sz w:val="20"/>
              </w:rPr>
            </w:pPr>
            <w:r>
              <w:rPr>
                <w:color w:val="000000"/>
                <w:sz w:val="20"/>
              </w:rPr>
              <w:t>060. Ukrepi za prilagoditev podnebnim spremembam ter preprečevanje in upravljanje podnebnih tveganj: drugo, npr. neurja in suša (vključno z ozaveščanjem, civilno zaščito in sistemi za obvladovanje nesreč, infrastrukturo in ekosistemskimi pristopi)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581A7C" w14:textId="77777777" w:rsidR="00A77B3E" w:rsidRDefault="00B16CCF">
            <w:pPr>
              <w:spacing w:before="5pt"/>
              <w:jc w:val="end"/>
              <w:rPr>
                <w:color w:val="000000"/>
                <w:sz w:val="20"/>
              </w:rPr>
            </w:pPr>
            <w:r>
              <w:rPr>
                <w:color w:val="000000"/>
                <w:sz w:val="20"/>
              </w:rPr>
              <w:t>13.306.048,00</w:t>
            </w:r>
          </w:p>
        </w:tc>
      </w:tr>
      <w:tr w:rsidR="00823317" w14:paraId="5FBB026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169DA8" w14:textId="77777777" w:rsidR="00A77B3E" w:rsidRDefault="00B16CCF">
            <w:pPr>
              <w:spacing w:before="5pt"/>
              <w:rPr>
                <w:color w:val="000000"/>
                <w:sz w:val="20"/>
              </w:rPr>
            </w:pPr>
            <w:r>
              <w:rPr>
                <w:color w:val="000000"/>
                <w:sz w:val="20"/>
              </w:rPr>
              <w:t>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AAF892" w14:textId="77777777" w:rsidR="00A77B3E" w:rsidRDefault="00B16CCF">
            <w:pPr>
              <w:spacing w:before="5pt"/>
              <w:rPr>
                <w:color w:val="000000"/>
                <w:sz w:val="20"/>
              </w:rPr>
            </w:pPr>
            <w:r>
              <w:rPr>
                <w:color w:val="000000"/>
                <w:sz w:val="20"/>
              </w:rPr>
              <w:t>RSO3.3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0EB7E8"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B201F7"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0253E5" w14:textId="77777777" w:rsidR="00A77B3E" w:rsidRDefault="00B16CCF">
            <w:pPr>
              <w:spacing w:before="5pt"/>
              <w:rPr>
                <w:color w:val="000000"/>
                <w:sz w:val="20"/>
              </w:rPr>
            </w:pPr>
            <w:r>
              <w:rPr>
                <w:color w:val="000000"/>
                <w:sz w:val="20"/>
              </w:rPr>
              <w:t>198. Defence infrastructure and infrastructure construction and upgrades for dual use, including military mobility</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595913" w14:textId="77777777" w:rsidR="00A77B3E" w:rsidRDefault="00B16CCF">
            <w:pPr>
              <w:spacing w:before="5pt"/>
              <w:jc w:val="end"/>
              <w:rPr>
                <w:color w:val="000000"/>
                <w:sz w:val="20"/>
              </w:rPr>
            </w:pPr>
            <w:r>
              <w:rPr>
                <w:color w:val="000000"/>
                <w:sz w:val="20"/>
              </w:rPr>
              <w:t>7.027.000,00</w:t>
            </w:r>
          </w:p>
        </w:tc>
      </w:tr>
      <w:tr w:rsidR="00823317" w14:paraId="6A9ECCA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58BEE1" w14:textId="77777777" w:rsidR="00A77B3E" w:rsidRDefault="00B16CCF">
            <w:pPr>
              <w:spacing w:before="5pt"/>
              <w:rPr>
                <w:color w:val="000000"/>
                <w:sz w:val="20"/>
              </w:rPr>
            </w:pPr>
            <w:r>
              <w:rPr>
                <w:color w:val="000000"/>
                <w:sz w:val="20"/>
              </w:rPr>
              <w:t>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9F88D0" w14:textId="77777777" w:rsidR="00A77B3E" w:rsidRDefault="00B16CCF">
            <w:pPr>
              <w:spacing w:before="5pt"/>
              <w:rPr>
                <w:color w:val="000000"/>
                <w:sz w:val="20"/>
              </w:rPr>
            </w:pPr>
            <w:r>
              <w:rPr>
                <w:color w:val="000000"/>
                <w:sz w:val="20"/>
              </w:rPr>
              <w:t>RSO3.3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5093EA"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4757B1"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FBF96B" w14:textId="77777777" w:rsidR="00A77B3E" w:rsidRDefault="00B16CCF">
            <w:pPr>
              <w:spacing w:before="5pt"/>
              <w:rPr>
                <w:color w:val="000000"/>
                <w:sz w:val="20"/>
              </w:rPr>
            </w:pPr>
            <w:r>
              <w:rPr>
                <w:color w:val="000000"/>
                <w:sz w:val="20"/>
              </w:rPr>
              <w:t xml:space="preserve">198. Defence infrastructure and infrastructure construction and </w:t>
            </w:r>
            <w:r>
              <w:rPr>
                <w:color w:val="000000"/>
                <w:sz w:val="20"/>
              </w:rPr>
              <w:lastRenderedPageBreak/>
              <w:t>upgrades for dual use, including military mobility</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9C48BA" w14:textId="77777777" w:rsidR="00A77B3E" w:rsidRDefault="00B16CCF">
            <w:pPr>
              <w:spacing w:before="5pt"/>
              <w:jc w:val="end"/>
              <w:rPr>
                <w:color w:val="000000"/>
                <w:sz w:val="20"/>
              </w:rPr>
            </w:pPr>
            <w:r>
              <w:rPr>
                <w:color w:val="000000"/>
                <w:sz w:val="20"/>
              </w:rPr>
              <w:lastRenderedPageBreak/>
              <w:t>61.062.642,00</w:t>
            </w:r>
          </w:p>
        </w:tc>
      </w:tr>
      <w:tr w:rsidR="00823317" w14:paraId="6E11F65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1E0EA3" w14:textId="77777777" w:rsidR="00A77B3E" w:rsidRDefault="00B16CCF">
            <w:pPr>
              <w:spacing w:before="5pt"/>
              <w:rPr>
                <w:color w:val="000000"/>
                <w:sz w:val="20"/>
              </w:rPr>
            </w:pPr>
            <w:r>
              <w:rPr>
                <w:color w:val="000000"/>
                <w:sz w:val="20"/>
              </w:rPr>
              <w:t>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24799A" w14:textId="77777777" w:rsidR="00A77B3E" w:rsidRDefault="00B16CCF">
            <w:pPr>
              <w:spacing w:before="5pt"/>
              <w:rPr>
                <w:color w:val="000000"/>
                <w:sz w:val="20"/>
              </w:rPr>
            </w:pPr>
            <w:r>
              <w:rPr>
                <w:color w:val="000000"/>
                <w:sz w:val="20"/>
              </w:rPr>
              <w:t>RSO3.3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59E27C"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528B36"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B35A2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9570B7" w14:textId="77777777" w:rsidR="00A77B3E" w:rsidRDefault="00B16CCF">
            <w:pPr>
              <w:spacing w:before="5pt"/>
              <w:jc w:val="end"/>
              <w:rPr>
                <w:color w:val="000000"/>
                <w:sz w:val="20"/>
              </w:rPr>
            </w:pPr>
            <w:r>
              <w:rPr>
                <w:color w:val="000000"/>
                <w:sz w:val="20"/>
              </w:rPr>
              <w:t>81.395.690,00</w:t>
            </w:r>
          </w:p>
        </w:tc>
      </w:tr>
    </w:tbl>
    <w:p w14:paraId="42237976" w14:textId="77777777" w:rsidR="00A77B3E" w:rsidRDefault="00A77B3E">
      <w:pPr>
        <w:spacing w:before="5pt"/>
        <w:rPr>
          <w:color w:val="000000"/>
          <w:sz w:val="20"/>
        </w:rPr>
      </w:pPr>
    </w:p>
    <w:p w14:paraId="65F77D68" w14:textId="77777777" w:rsidR="00A77B3E" w:rsidRDefault="00B16CCF">
      <w:pPr>
        <w:pStyle w:val="Naslov5"/>
        <w:spacing w:before="5pt" w:after="0pt"/>
        <w:rPr>
          <w:b w:val="0"/>
          <w:i w:val="0"/>
          <w:color w:val="000000"/>
          <w:sz w:val="24"/>
        </w:rPr>
      </w:pPr>
      <w:bookmarkStart w:id="399" w:name="_Toc256001160"/>
      <w:r>
        <w:rPr>
          <w:b w:val="0"/>
          <w:i w:val="0"/>
          <w:color w:val="000000"/>
          <w:sz w:val="24"/>
        </w:rPr>
        <w:t>Tabela 5: Razsežnost 2 – oblika financiranja</w:t>
      </w:r>
      <w:bookmarkEnd w:id="399"/>
    </w:p>
    <w:p w14:paraId="6292DAF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93"/>
        <w:gridCol w:w="2392"/>
        <w:gridCol w:w="1737"/>
        <w:gridCol w:w="2480"/>
        <w:gridCol w:w="2706"/>
        <w:gridCol w:w="3264"/>
      </w:tblGrid>
      <w:tr w:rsidR="00823317" w14:paraId="1E3AF41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E6396D"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35D753"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9264FD"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3935F2"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D75E4D"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49A490" w14:textId="77777777" w:rsidR="00A77B3E" w:rsidRDefault="00B16CCF">
            <w:pPr>
              <w:spacing w:before="5pt"/>
              <w:jc w:val="center"/>
              <w:rPr>
                <w:color w:val="000000"/>
                <w:sz w:val="20"/>
              </w:rPr>
            </w:pPr>
            <w:r>
              <w:rPr>
                <w:color w:val="000000"/>
                <w:sz w:val="20"/>
              </w:rPr>
              <w:t>Znesek (v EUR)</w:t>
            </w:r>
          </w:p>
        </w:tc>
      </w:tr>
      <w:tr w:rsidR="00823317" w14:paraId="3D6E661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B1FC27" w14:textId="77777777" w:rsidR="00A77B3E" w:rsidRDefault="00B16CCF">
            <w:pPr>
              <w:spacing w:before="5pt"/>
              <w:rPr>
                <w:color w:val="000000"/>
                <w:sz w:val="20"/>
              </w:rPr>
            </w:pPr>
            <w:r>
              <w:rPr>
                <w:color w:val="000000"/>
                <w:sz w:val="20"/>
              </w:rPr>
              <w:t>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23450E" w14:textId="77777777" w:rsidR="00A77B3E" w:rsidRDefault="00B16CCF">
            <w:pPr>
              <w:spacing w:before="5pt"/>
              <w:rPr>
                <w:color w:val="000000"/>
                <w:sz w:val="20"/>
              </w:rPr>
            </w:pPr>
            <w:r>
              <w:rPr>
                <w:color w:val="000000"/>
                <w:sz w:val="20"/>
              </w:rPr>
              <w:t>RSO3.3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1CD83E"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A0982B"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FA74B3" w14:textId="77777777" w:rsidR="00A77B3E" w:rsidRDefault="00B16CCF">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5BD104" w14:textId="77777777" w:rsidR="00A77B3E" w:rsidRDefault="00B16CCF">
            <w:pPr>
              <w:spacing w:before="5pt"/>
              <w:jc w:val="end"/>
              <w:rPr>
                <w:color w:val="000000"/>
                <w:sz w:val="20"/>
              </w:rPr>
            </w:pPr>
            <w:r>
              <w:rPr>
                <w:color w:val="000000"/>
                <w:sz w:val="20"/>
              </w:rPr>
              <w:t>20.333.048,00</w:t>
            </w:r>
          </w:p>
        </w:tc>
      </w:tr>
      <w:tr w:rsidR="00823317" w14:paraId="2FEC3BA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4E44F6" w14:textId="77777777" w:rsidR="00A77B3E" w:rsidRDefault="00B16CCF">
            <w:pPr>
              <w:spacing w:before="5pt"/>
              <w:rPr>
                <w:color w:val="000000"/>
                <w:sz w:val="20"/>
              </w:rPr>
            </w:pPr>
            <w:r>
              <w:rPr>
                <w:color w:val="000000"/>
                <w:sz w:val="20"/>
              </w:rPr>
              <w:t>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B86058" w14:textId="77777777" w:rsidR="00A77B3E" w:rsidRDefault="00B16CCF">
            <w:pPr>
              <w:spacing w:before="5pt"/>
              <w:rPr>
                <w:color w:val="000000"/>
                <w:sz w:val="20"/>
              </w:rPr>
            </w:pPr>
            <w:r>
              <w:rPr>
                <w:color w:val="000000"/>
                <w:sz w:val="20"/>
              </w:rPr>
              <w:t>RSO3.3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54D4AE"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6FE057"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FE4E3D" w14:textId="77777777" w:rsidR="00A77B3E" w:rsidRDefault="00B16CCF">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0C2B77" w14:textId="77777777" w:rsidR="00A77B3E" w:rsidRDefault="00B16CCF">
            <w:pPr>
              <w:spacing w:before="5pt"/>
              <w:jc w:val="end"/>
              <w:rPr>
                <w:color w:val="000000"/>
                <w:sz w:val="20"/>
              </w:rPr>
            </w:pPr>
            <w:r>
              <w:rPr>
                <w:color w:val="000000"/>
                <w:sz w:val="20"/>
              </w:rPr>
              <w:t>61.062.642,00</w:t>
            </w:r>
          </w:p>
        </w:tc>
      </w:tr>
      <w:tr w:rsidR="00823317" w14:paraId="7E59F7C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B8BA07" w14:textId="77777777" w:rsidR="00A77B3E" w:rsidRDefault="00B16CCF">
            <w:pPr>
              <w:spacing w:before="5pt"/>
              <w:rPr>
                <w:color w:val="000000"/>
                <w:sz w:val="20"/>
              </w:rPr>
            </w:pPr>
            <w:r>
              <w:rPr>
                <w:color w:val="000000"/>
                <w:sz w:val="20"/>
              </w:rPr>
              <w:t>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C561E8" w14:textId="77777777" w:rsidR="00A77B3E" w:rsidRDefault="00B16CCF">
            <w:pPr>
              <w:spacing w:before="5pt"/>
              <w:rPr>
                <w:color w:val="000000"/>
                <w:sz w:val="20"/>
              </w:rPr>
            </w:pPr>
            <w:r>
              <w:rPr>
                <w:color w:val="000000"/>
                <w:sz w:val="20"/>
              </w:rPr>
              <w:t>RSO3.3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49C012"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5A549E"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6D28AF"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BEA201" w14:textId="77777777" w:rsidR="00A77B3E" w:rsidRDefault="00B16CCF">
            <w:pPr>
              <w:spacing w:before="5pt"/>
              <w:jc w:val="end"/>
              <w:rPr>
                <w:color w:val="000000"/>
                <w:sz w:val="20"/>
              </w:rPr>
            </w:pPr>
            <w:r>
              <w:rPr>
                <w:color w:val="000000"/>
                <w:sz w:val="20"/>
              </w:rPr>
              <w:t>81.395.690,00</w:t>
            </w:r>
          </w:p>
        </w:tc>
      </w:tr>
    </w:tbl>
    <w:p w14:paraId="5C843BA1" w14:textId="77777777" w:rsidR="00A77B3E" w:rsidRDefault="00A77B3E">
      <w:pPr>
        <w:spacing w:before="5pt"/>
        <w:rPr>
          <w:color w:val="000000"/>
          <w:sz w:val="20"/>
        </w:rPr>
      </w:pPr>
    </w:p>
    <w:p w14:paraId="57F06654" w14:textId="77777777" w:rsidR="00A77B3E" w:rsidRDefault="00B16CCF">
      <w:pPr>
        <w:pStyle w:val="Naslov5"/>
        <w:spacing w:before="5pt" w:after="0pt"/>
        <w:rPr>
          <w:b w:val="0"/>
          <w:i w:val="0"/>
          <w:color w:val="000000"/>
          <w:sz w:val="24"/>
        </w:rPr>
      </w:pPr>
      <w:bookmarkStart w:id="400" w:name="_Toc256001161"/>
      <w:r>
        <w:rPr>
          <w:b w:val="0"/>
          <w:i w:val="0"/>
          <w:color w:val="000000"/>
          <w:sz w:val="24"/>
        </w:rPr>
        <w:t>Tabela 6: Razsežnost 3 – mehanizem za ozemeljsko izvrševanje in ozemeljski pristop</w:t>
      </w:r>
      <w:bookmarkEnd w:id="400"/>
    </w:p>
    <w:p w14:paraId="3C92925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26"/>
        <w:gridCol w:w="2331"/>
        <w:gridCol w:w="1692"/>
        <w:gridCol w:w="2416"/>
        <w:gridCol w:w="3027"/>
        <w:gridCol w:w="3180"/>
      </w:tblGrid>
      <w:tr w:rsidR="00823317" w14:paraId="10CEDA3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05B833"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786222"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597184"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64B383"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478B46"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B6B873" w14:textId="77777777" w:rsidR="00A77B3E" w:rsidRDefault="00B16CCF">
            <w:pPr>
              <w:spacing w:before="5pt"/>
              <w:jc w:val="center"/>
              <w:rPr>
                <w:color w:val="000000"/>
                <w:sz w:val="20"/>
              </w:rPr>
            </w:pPr>
            <w:r>
              <w:rPr>
                <w:color w:val="000000"/>
                <w:sz w:val="20"/>
              </w:rPr>
              <w:t>Znesek (v EUR)</w:t>
            </w:r>
          </w:p>
        </w:tc>
      </w:tr>
      <w:tr w:rsidR="00823317" w14:paraId="42617A4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961990" w14:textId="77777777" w:rsidR="00A77B3E" w:rsidRDefault="00B16CCF">
            <w:pPr>
              <w:spacing w:before="5pt"/>
              <w:rPr>
                <w:color w:val="000000"/>
                <w:sz w:val="20"/>
              </w:rPr>
            </w:pPr>
            <w:r>
              <w:rPr>
                <w:color w:val="000000"/>
                <w:sz w:val="20"/>
              </w:rPr>
              <w:t>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5FA240" w14:textId="77777777" w:rsidR="00A77B3E" w:rsidRDefault="00B16CCF">
            <w:pPr>
              <w:spacing w:before="5pt"/>
              <w:rPr>
                <w:color w:val="000000"/>
                <w:sz w:val="20"/>
              </w:rPr>
            </w:pPr>
            <w:r>
              <w:rPr>
                <w:color w:val="000000"/>
                <w:sz w:val="20"/>
              </w:rPr>
              <w:t>RSO3.3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E02B2C"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E4FA1F"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5C4783" w14:textId="77777777" w:rsidR="00A77B3E" w:rsidRDefault="00B16CCF">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3034AC" w14:textId="77777777" w:rsidR="00A77B3E" w:rsidRDefault="00B16CCF">
            <w:pPr>
              <w:spacing w:before="5pt"/>
              <w:jc w:val="end"/>
              <w:rPr>
                <w:color w:val="000000"/>
                <w:sz w:val="20"/>
              </w:rPr>
            </w:pPr>
            <w:r>
              <w:rPr>
                <w:color w:val="000000"/>
                <w:sz w:val="20"/>
              </w:rPr>
              <w:t>20.333.048,00</w:t>
            </w:r>
          </w:p>
        </w:tc>
      </w:tr>
      <w:tr w:rsidR="00823317" w14:paraId="0E11218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9D0728" w14:textId="77777777" w:rsidR="00A77B3E" w:rsidRDefault="00B16CCF">
            <w:pPr>
              <w:spacing w:before="5pt"/>
              <w:rPr>
                <w:color w:val="000000"/>
                <w:sz w:val="20"/>
              </w:rPr>
            </w:pPr>
            <w:r>
              <w:rPr>
                <w:color w:val="000000"/>
                <w:sz w:val="20"/>
              </w:rPr>
              <w:t>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284BB2" w14:textId="77777777" w:rsidR="00A77B3E" w:rsidRDefault="00B16CCF">
            <w:pPr>
              <w:spacing w:before="5pt"/>
              <w:rPr>
                <w:color w:val="000000"/>
                <w:sz w:val="20"/>
              </w:rPr>
            </w:pPr>
            <w:r>
              <w:rPr>
                <w:color w:val="000000"/>
                <w:sz w:val="20"/>
              </w:rPr>
              <w:t>RSO3.3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ECAE0E"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DE0004"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B36463" w14:textId="77777777" w:rsidR="00A77B3E" w:rsidRDefault="00B16CCF">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1ECFA7" w14:textId="77777777" w:rsidR="00A77B3E" w:rsidRDefault="00B16CCF">
            <w:pPr>
              <w:spacing w:before="5pt"/>
              <w:jc w:val="end"/>
              <w:rPr>
                <w:color w:val="000000"/>
                <w:sz w:val="20"/>
              </w:rPr>
            </w:pPr>
            <w:r>
              <w:rPr>
                <w:color w:val="000000"/>
                <w:sz w:val="20"/>
              </w:rPr>
              <w:t>61.062.642,00</w:t>
            </w:r>
          </w:p>
        </w:tc>
      </w:tr>
      <w:tr w:rsidR="00823317" w14:paraId="2DCF35B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3FBBB7" w14:textId="77777777" w:rsidR="00A77B3E" w:rsidRDefault="00B16CCF">
            <w:pPr>
              <w:spacing w:before="5pt"/>
              <w:rPr>
                <w:color w:val="000000"/>
                <w:sz w:val="20"/>
              </w:rPr>
            </w:pPr>
            <w:r>
              <w:rPr>
                <w:color w:val="000000"/>
                <w:sz w:val="20"/>
              </w:rPr>
              <w:t>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113180" w14:textId="77777777" w:rsidR="00A77B3E" w:rsidRDefault="00B16CCF">
            <w:pPr>
              <w:spacing w:before="5pt"/>
              <w:rPr>
                <w:color w:val="000000"/>
                <w:sz w:val="20"/>
              </w:rPr>
            </w:pPr>
            <w:r>
              <w:rPr>
                <w:color w:val="000000"/>
                <w:sz w:val="20"/>
              </w:rPr>
              <w:t>RSO3.3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A4C30F"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DBDBD5"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8D5BD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09ECD4" w14:textId="77777777" w:rsidR="00A77B3E" w:rsidRDefault="00B16CCF">
            <w:pPr>
              <w:spacing w:before="5pt"/>
              <w:jc w:val="end"/>
              <w:rPr>
                <w:color w:val="000000"/>
                <w:sz w:val="20"/>
              </w:rPr>
            </w:pPr>
            <w:r>
              <w:rPr>
                <w:color w:val="000000"/>
                <w:sz w:val="20"/>
              </w:rPr>
              <w:t>81.395.690,00</w:t>
            </w:r>
          </w:p>
        </w:tc>
      </w:tr>
    </w:tbl>
    <w:p w14:paraId="014B9561" w14:textId="77777777" w:rsidR="00A77B3E" w:rsidRDefault="00A77B3E">
      <w:pPr>
        <w:spacing w:before="5pt"/>
        <w:rPr>
          <w:color w:val="000000"/>
          <w:sz w:val="20"/>
        </w:rPr>
      </w:pPr>
    </w:p>
    <w:p w14:paraId="4BAE680E" w14:textId="77777777" w:rsidR="00A77B3E" w:rsidRDefault="00B16CCF">
      <w:pPr>
        <w:pStyle w:val="Naslov5"/>
        <w:spacing w:before="5pt" w:after="0pt"/>
        <w:rPr>
          <w:b w:val="0"/>
          <w:i w:val="0"/>
          <w:color w:val="000000"/>
          <w:sz w:val="24"/>
        </w:rPr>
      </w:pPr>
      <w:bookmarkStart w:id="401" w:name="_Toc256001162"/>
      <w:r>
        <w:rPr>
          <w:b w:val="0"/>
          <w:i w:val="0"/>
          <w:color w:val="000000"/>
          <w:sz w:val="24"/>
        </w:rPr>
        <w:t>Tabela 7: Razsežnost 6 – sekundarna področja ESS+</w:t>
      </w:r>
      <w:bookmarkEnd w:id="401"/>
    </w:p>
    <w:p w14:paraId="7CDAB54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117"/>
        <w:gridCol w:w="2877"/>
        <w:gridCol w:w="1780"/>
        <w:gridCol w:w="2982"/>
        <w:gridCol w:w="2259"/>
        <w:gridCol w:w="2157"/>
      </w:tblGrid>
      <w:tr w:rsidR="00823317" w14:paraId="1B80AB9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6A5CEE"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7C105F"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8CD45E"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BBFB68"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A895C6"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86DAB2" w14:textId="77777777" w:rsidR="00A77B3E" w:rsidRDefault="00B16CCF">
            <w:pPr>
              <w:spacing w:before="5pt"/>
              <w:jc w:val="center"/>
              <w:rPr>
                <w:color w:val="000000"/>
                <w:sz w:val="20"/>
              </w:rPr>
            </w:pPr>
            <w:r>
              <w:rPr>
                <w:color w:val="000000"/>
                <w:sz w:val="20"/>
              </w:rPr>
              <w:t>Znesek (v EUR)</w:t>
            </w:r>
          </w:p>
        </w:tc>
      </w:tr>
    </w:tbl>
    <w:p w14:paraId="324494C8" w14:textId="77777777" w:rsidR="00A77B3E" w:rsidRDefault="00A77B3E">
      <w:pPr>
        <w:spacing w:before="5pt"/>
        <w:rPr>
          <w:color w:val="000000"/>
          <w:sz w:val="20"/>
        </w:rPr>
      </w:pPr>
    </w:p>
    <w:p w14:paraId="0C0C81F8" w14:textId="77777777" w:rsidR="00A77B3E" w:rsidRDefault="00B16CCF">
      <w:pPr>
        <w:pStyle w:val="Naslov5"/>
        <w:spacing w:before="5pt" w:after="0pt"/>
        <w:rPr>
          <w:b w:val="0"/>
          <w:i w:val="0"/>
          <w:color w:val="000000"/>
          <w:sz w:val="24"/>
        </w:rPr>
      </w:pPr>
      <w:bookmarkStart w:id="402" w:name="_Toc256001163"/>
      <w:r>
        <w:rPr>
          <w:b w:val="0"/>
          <w:i w:val="0"/>
          <w:color w:val="000000"/>
          <w:sz w:val="24"/>
        </w:rPr>
        <w:t>Tabela 8: Razsežnost 7 – razsežnost enakosti spolov v okviru ESS+*, ESRR, Kohezijskega sklada in SPP</w:t>
      </w:r>
      <w:bookmarkEnd w:id="402"/>
    </w:p>
    <w:p w14:paraId="56E2BB3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13"/>
        <w:gridCol w:w="2411"/>
        <w:gridCol w:w="1750"/>
        <w:gridCol w:w="2498"/>
        <w:gridCol w:w="2612"/>
        <w:gridCol w:w="3288"/>
      </w:tblGrid>
      <w:tr w:rsidR="00823317" w14:paraId="40A99DB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36238C"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FE8C85"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61C246"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66F037"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1A4054"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22A1E4" w14:textId="77777777" w:rsidR="00A77B3E" w:rsidRDefault="00B16CCF">
            <w:pPr>
              <w:spacing w:before="5pt"/>
              <w:jc w:val="center"/>
              <w:rPr>
                <w:color w:val="000000"/>
                <w:sz w:val="20"/>
              </w:rPr>
            </w:pPr>
            <w:r>
              <w:rPr>
                <w:color w:val="000000"/>
                <w:sz w:val="20"/>
              </w:rPr>
              <w:t>Znesek (v EUR)</w:t>
            </w:r>
          </w:p>
        </w:tc>
      </w:tr>
      <w:tr w:rsidR="00823317" w14:paraId="56A3470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135E80" w14:textId="77777777" w:rsidR="00A77B3E" w:rsidRDefault="00B16CCF">
            <w:pPr>
              <w:spacing w:before="5pt"/>
              <w:rPr>
                <w:color w:val="000000"/>
                <w:sz w:val="20"/>
              </w:rPr>
            </w:pPr>
            <w:r>
              <w:rPr>
                <w:color w:val="000000"/>
                <w:sz w:val="20"/>
              </w:rPr>
              <w:t>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1D2E1D" w14:textId="77777777" w:rsidR="00A77B3E" w:rsidRDefault="00B16CCF">
            <w:pPr>
              <w:spacing w:before="5pt"/>
              <w:rPr>
                <w:color w:val="000000"/>
                <w:sz w:val="20"/>
              </w:rPr>
            </w:pPr>
            <w:r>
              <w:rPr>
                <w:color w:val="000000"/>
                <w:sz w:val="20"/>
              </w:rPr>
              <w:t>RSO3.3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7EF1AB"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09EC95"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C60A91" w14:textId="77777777" w:rsidR="00A77B3E" w:rsidRDefault="00B16CCF">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900882" w14:textId="77777777" w:rsidR="00A77B3E" w:rsidRDefault="00B16CCF">
            <w:pPr>
              <w:spacing w:before="5pt"/>
              <w:jc w:val="end"/>
              <w:rPr>
                <w:color w:val="000000"/>
                <w:sz w:val="20"/>
              </w:rPr>
            </w:pPr>
            <w:r>
              <w:rPr>
                <w:color w:val="000000"/>
                <w:sz w:val="20"/>
              </w:rPr>
              <w:t>20.333.048,00</w:t>
            </w:r>
          </w:p>
        </w:tc>
      </w:tr>
      <w:tr w:rsidR="00823317" w14:paraId="15D1459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E8D5A6" w14:textId="77777777" w:rsidR="00A77B3E" w:rsidRDefault="00B16CCF">
            <w:pPr>
              <w:spacing w:before="5pt"/>
              <w:rPr>
                <w:color w:val="000000"/>
                <w:sz w:val="20"/>
              </w:rPr>
            </w:pPr>
            <w:r>
              <w:rPr>
                <w:color w:val="000000"/>
                <w:sz w:val="20"/>
              </w:rPr>
              <w:t>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590FAF" w14:textId="77777777" w:rsidR="00A77B3E" w:rsidRDefault="00B16CCF">
            <w:pPr>
              <w:spacing w:before="5pt"/>
              <w:rPr>
                <w:color w:val="000000"/>
                <w:sz w:val="20"/>
              </w:rPr>
            </w:pPr>
            <w:r>
              <w:rPr>
                <w:color w:val="000000"/>
                <w:sz w:val="20"/>
              </w:rPr>
              <w:t>RSO3.3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BB5FE6"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5AE4A7"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02BC4C" w14:textId="77777777" w:rsidR="00A77B3E" w:rsidRDefault="00B16CCF">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FEA372" w14:textId="77777777" w:rsidR="00A77B3E" w:rsidRDefault="00B16CCF">
            <w:pPr>
              <w:spacing w:before="5pt"/>
              <w:jc w:val="end"/>
              <w:rPr>
                <w:color w:val="000000"/>
                <w:sz w:val="20"/>
              </w:rPr>
            </w:pPr>
            <w:r>
              <w:rPr>
                <w:color w:val="000000"/>
                <w:sz w:val="20"/>
              </w:rPr>
              <w:t>61.062.642,00</w:t>
            </w:r>
          </w:p>
        </w:tc>
      </w:tr>
      <w:tr w:rsidR="00823317" w14:paraId="4316599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66E74E" w14:textId="77777777" w:rsidR="00A77B3E" w:rsidRDefault="00B16CCF">
            <w:pPr>
              <w:spacing w:before="5pt"/>
              <w:rPr>
                <w:color w:val="000000"/>
                <w:sz w:val="20"/>
              </w:rPr>
            </w:pPr>
            <w:r>
              <w:rPr>
                <w:color w:val="000000"/>
                <w:sz w:val="20"/>
              </w:rPr>
              <w:t>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C45914" w14:textId="77777777" w:rsidR="00A77B3E" w:rsidRDefault="00B16CCF">
            <w:pPr>
              <w:spacing w:before="5pt"/>
              <w:rPr>
                <w:color w:val="000000"/>
                <w:sz w:val="20"/>
              </w:rPr>
            </w:pPr>
            <w:r>
              <w:rPr>
                <w:color w:val="000000"/>
                <w:sz w:val="20"/>
              </w:rPr>
              <w:t>RSO3.3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9A2185"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04A934"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DC317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619824" w14:textId="77777777" w:rsidR="00A77B3E" w:rsidRDefault="00B16CCF">
            <w:pPr>
              <w:spacing w:before="5pt"/>
              <w:jc w:val="end"/>
              <w:rPr>
                <w:color w:val="000000"/>
                <w:sz w:val="20"/>
              </w:rPr>
            </w:pPr>
            <w:r>
              <w:rPr>
                <w:color w:val="000000"/>
                <w:sz w:val="20"/>
              </w:rPr>
              <w:t>81.395.690,00</w:t>
            </w:r>
          </w:p>
        </w:tc>
      </w:tr>
    </w:tbl>
    <w:p w14:paraId="4B78F99C" w14:textId="77777777" w:rsidR="00A77B3E" w:rsidRDefault="00B16CCF">
      <w:pPr>
        <w:spacing w:before="5pt"/>
        <w:rPr>
          <w:color w:val="000000"/>
          <w:sz w:val="20"/>
        </w:rPr>
      </w:pPr>
      <w:r>
        <w:rPr>
          <w:color w:val="000000"/>
          <w:sz w:val="20"/>
        </w:rPr>
        <w:lastRenderedPageBreak/>
        <w:t>* Načeloma 40 % za ESS+ prispeva k spremljanju enakosti spolov. 100 % se uporabi, kadar se država članica odloči za uporabo člena 6 uredbe o ESS+.</w:t>
      </w:r>
    </w:p>
    <w:p w14:paraId="7B0CAF22" w14:textId="77777777" w:rsidR="00A77B3E" w:rsidRDefault="00B16CCF">
      <w:pPr>
        <w:pStyle w:val="Naslov3"/>
        <w:spacing w:before="5pt" w:after="0pt"/>
        <w:rPr>
          <w:rFonts w:ascii="Times New Roman" w:hAnsi="Times New Roman" w:cs="Times New Roman"/>
          <w:b w:val="0"/>
          <w:color w:val="000000"/>
          <w:sz w:val="24"/>
        </w:rPr>
      </w:pPr>
      <w:r>
        <w:rPr>
          <w:rFonts w:ascii="Times New Roman" w:hAnsi="Times New Roman" w:cs="Times New Roman"/>
          <w:b w:val="0"/>
          <w:color w:val="000000"/>
          <w:sz w:val="24"/>
        </w:rPr>
        <w:br w:type="page"/>
      </w:r>
      <w:bookmarkStart w:id="403" w:name="_Toc256001164"/>
      <w:r>
        <w:rPr>
          <w:rFonts w:ascii="Times New Roman" w:hAnsi="Times New Roman" w:cs="Times New Roman"/>
          <w:b w:val="0"/>
          <w:color w:val="000000"/>
          <w:sz w:val="24"/>
        </w:rPr>
        <w:lastRenderedPageBreak/>
        <w:t>2.1.1. Prednostna naloga: 6. Znanja in spretnosti ter odzivni trg dela</w:t>
      </w:r>
      <w:bookmarkEnd w:id="403"/>
    </w:p>
    <w:p w14:paraId="30A7A6E9" w14:textId="77777777" w:rsidR="00A77B3E" w:rsidRDefault="00A77B3E">
      <w:pPr>
        <w:spacing w:before="5pt"/>
        <w:rPr>
          <w:color w:val="000000"/>
          <w:sz w:val="0"/>
        </w:rPr>
      </w:pPr>
    </w:p>
    <w:p w14:paraId="2ABB005A" w14:textId="77777777" w:rsidR="00A77B3E" w:rsidRDefault="00B16CCF">
      <w:pPr>
        <w:pStyle w:val="Naslov4"/>
        <w:spacing w:before="5pt" w:after="0pt"/>
        <w:rPr>
          <w:b w:val="0"/>
          <w:color w:val="000000"/>
          <w:sz w:val="24"/>
        </w:rPr>
      </w:pPr>
      <w:bookmarkStart w:id="404" w:name="_Toc256001165"/>
      <w:r>
        <w:rPr>
          <w:b w:val="0"/>
          <w:color w:val="000000"/>
          <w:sz w:val="24"/>
        </w:rPr>
        <w:t>2.1.1.1. Specifični cilj: RSO4.2. Doslednejše zagotavljanje enakega dostopa do vključujočih in kakovostnih storitev na področju izobraževanja, usposabljanja in vseživljenjskega učenja z razvojem dostopne infrastrukture, tudi s krepitvijo odpornosti za izobraževanje in usposabljanje na daljavo in prek spleta (ESRR)</w:t>
      </w:r>
      <w:bookmarkEnd w:id="404"/>
    </w:p>
    <w:p w14:paraId="63095004" w14:textId="77777777" w:rsidR="00A77B3E" w:rsidRDefault="00A77B3E">
      <w:pPr>
        <w:spacing w:before="5pt"/>
        <w:rPr>
          <w:color w:val="000000"/>
          <w:sz w:val="0"/>
        </w:rPr>
      </w:pPr>
    </w:p>
    <w:p w14:paraId="774F82B1" w14:textId="77777777" w:rsidR="00A77B3E" w:rsidRDefault="00B16CCF">
      <w:pPr>
        <w:pStyle w:val="Naslov4"/>
        <w:spacing w:before="5pt" w:after="0pt"/>
        <w:rPr>
          <w:b w:val="0"/>
          <w:color w:val="000000"/>
          <w:sz w:val="24"/>
        </w:rPr>
      </w:pPr>
      <w:bookmarkStart w:id="405" w:name="_Toc256001166"/>
      <w:r>
        <w:rPr>
          <w:b w:val="0"/>
          <w:color w:val="000000"/>
          <w:sz w:val="24"/>
        </w:rPr>
        <w:t>2.1.1.1.1. Ukrepi skladov</w:t>
      </w:r>
      <w:bookmarkEnd w:id="405"/>
    </w:p>
    <w:p w14:paraId="4055A6F4" w14:textId="77777777" w:rsidR="00A77B3E" w:rsidRDefault="00A77B3E">
      <w:pPr>
        <w:spacing w:before="5pt"/>
        <w:rPr>
          <w:color w:val="000000"/>
          <w:sz w:val="0"/>
        </w:rPr>
      </w:pPr>
    </w:p>
    <w:p w14:paraId="30F2B2C9" w14:textId="77777777" w:rsidR="00A77B3E" w:rsidRDefault="00B16CCF">
      <w:pPr>
        <w:spacing w:before="5pt"/>
        <w:rPr>
          <w:color w:val="000000"/>
          <w:sz w:val="0"/>
        </w:rPr>
      </w:pPr>
      <w:r>
        <w:rPr>
          <w:color w:val="000000"/>
        </w:rPr>
        <w:t>Sklic: člen 22(3)(d)(i), (iii), (iv), (v), (vi) in (vii) uredbe o skupnih določbah</w:t>
      </w:r>
    </w:p>
    <w:p w14:paraId="69C1A22F" w14:textId="77777777" w:rsidR="00A77B3E" w:rsidRDefault="00B16CCF">
      <w:pPr>
        <w:pStyle w:val="Naslov5"/>
        <w:spacing w:before="5pt" w:after="0pt"/>
        <w:rPr>
          <w:b w:val="0"/>
          <w:i w:val="0"/>
          <w:color w:val="000000"/>
          <w:sz w:val="24"/>
        </w:rPr>
      </w:pPr>
      <w:bookmarkStart w:id="406" w:name="_Toc256001167"/>
      <w:r>
        <w:rPr>
          <w:b w:val="0"/>
          <w:i w:val="0"/>
          <w:color w:val="000000"/>
          <w:sz w:val="24"/>
        </w:rPr>
        <w:t>Povezane vrste ukrepov – člen 22(3)(d)(i) uredbe o skupnih določbah in člen 6 uredbe o ESS+:</w:t>
      </w:r>
      <w:bookmarkEnd w:id="406"/>
    </w:p>
    <w:p w14:paraId="4477C4C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3BA7451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C41E98" w14:textId="77777777" w:rsidR="00A77B3E" w:rsidRDefault="00A77B3E">
            <w:pPr>
              <w:spacing w:before="5pt"/>
              <w:rPr>
                <w:color w:val="000000"/>
                <w:sz w:val="0"/>
              </w:rPr>
            </w:pPr>
          </w:p>
          <w:p w14:paraId="1BD67813" w14:textId="77777777" w:rsidR="00A77B3E" w:rsidRDefault="00B16CCF">
            <w:pPr>
              <w:spacing w:before="5pt"/>
              <w:rPr>
                <w:color w:val="000000"/>
              </w:rPr>
            </w:pPr>
            <w:r>
              <w:rPr>
                <w:color w:val="000000"/>
              </w:rPr>
              <w:t>Z namenom doseganja izboljšane infrastrukture za izvajanje izobraževalnega procesa ter zagotovitve IKT infrastrukture v podporo digitalizaciji pedagoškega in administrativnega dela, vezanega na študijsko dejavnost, ter v podporo delovanju organizacij v mladinskem sektorju, bodo ukrepi v okviru navedenega specifičnega cilja usmerjeni v:</w:t>
            </w:r>
          </w:p>
          <w:p w14:paraId="0DC935FD" w14:textId="77777777" w:rsidR="00A77B3E" w:rsidRDefault="00B16CCF">
            <w:pPr>
              <w:spacing w:before="5pt"/>
              <w:rPr>
                <w:color w:val="000000"/>
              </w:rPr>
            </w:pPr>
            <w:r>
              <w:rPr>
                <w:color w:val="000000"/>
              </w:rPr>
              <w:t>•</w:t>
            </w:r>
            <w:r>
              <w:rPr>
                <w:i/>
                <w:iCs/>
                <w:color w:val="000000"/>
              </w:rPr>
              <w:t>investicije v obstoječe in nove objekte s področja izobraževanja in usposabljanja</w:t>
            </w:r>
            <w:r>
              <w:rPr>
                <w:color w:val="000000"/>
              </w:rPr>
              <w:t xml:space="preserve">, ki bodo omogočili posodobitev zastarelega stavbnega fonda na tem področju ter zagotovile dodatne kapacitete za dijake, študente, učitelje in strokovne delavce, s čimer bodo izpolnjene sodobne zahteve izobraževalnega procesa in usposabljanja, krepitve multidisciplinarnega izobraževanja ter razvoja inovativnih kadrov, ob projektnem in ciljno usmerjenem izobraževalnemu delu. Stavbni fond izobraževalnih institucij je namreč izredno velik in potrebe so zelo velike, zato so sredstva za zagotovitev fizičnih pogojev za izvajanje izobraževalnega procesa nujno potrebna. Predvidene so naložbe v kritično izobraževalno in visokošolsko infrastrukturo, ki pa ima pomemben multiplikacijski učinek, saj prispeva k izboljšanju kakovosti izobraževalnega procesa in krepitvi odpornosti izobraževalnega sistema. Naložbe bodo skladne s Strategijo in akcijskim načrtom za ozelenitev javne izobraževalne in raziskovalne infrastrukture v Sloveniji do leta 2030, s čimer bomo prispevali k zelenemu prehodu. </w:t>
            </w:r>
            <w:r>
              <w:rPr>
                <w:i/>
                <w:iCs/>
                <w:color w:val="000000"/>
              </w:rPr>
              <w:t xml:space="preserve">Investicije v objekte in infrastrukturo imajo pomemben vpliv na izboljšanje kakovosti izobraževalnega procesa. Sodobni prostori, napredna tehnologija in fleksibilna infrastruktura omogočajo, da študenti pridobijo praktične izkušnje, dostopajo do najboljših raziskovalnih zmogljivosti ter se vključijo v globalno skupnost znanja. Hkrati takšne naložbe krepijo povezave med univerzami in gospodarstvom ter prispevajo k trajnostnemu in odpornemu izobraževalnemu sistemu, ki se lahko uspešno prilagaja prihodnjim izzivom. </w:t>
            </w:r>
            <w:r>
              <w:rPr>
                <w:color w:val="000000"/>
              </w:rPr>
              <w:t>V skladu z navedenim so prednostno predlagana vlaganja v izobraževalno infrastrukturo Univerze v Mariboru kot del inovacijske platforme Innovum. Ob tem je nujno za celovito izvedbo in realizacijo inovacijske platforme Innovum izvesti razvojni projekt "Prizidava in rekonstrukcija III. Gimnazije Maribor". Sredstva so v celoti načrtovana v Vzhodni kohezijski regiji, ki je zaznamovana z demografskimi, socialnimi in ekonomskimi razmerami, ki ovirajo razvoj potenciala regije. Z vlaganji v izobraževalno infrastrukturo bodo ustvarjeni kot rečeno ustrezni nujni pogoji za multiplikativne učinke, kar bo vplivalo na zmanjševanje razvojnega zaostanka KRVS. Gre za investicije, ki bodo imele sinergijske učinke s predlogi investicij v okviru SC RSO1.1, s čimer bo ustvarjeno celovito podporno okolje za soočanje z izzivi družbe tako na področju izobraževanja kot tudi raziskav in razvoja. Kolikor bo relevantno, bo izvajanje ukrepov skladno s pobudo Novi evropski Bauhaus za uspešno povezovanje načela trajnosti, estetike in vključevanja, da bi našli dostopne, vključujoče, trajnostne in privlačne rešitve za podnebne izzive. Z vlaganji v razvoj javne izobraževalne infrastrukture bomo, skladno z Zakonom o organizaciji in financiranju vzgoje in izobraževanja[1] ter Resolucijo o nacionalnem programu visokega šolstva do 2030[2], prispevali k ukrepom za doseganje strateških ciljev na področju kakovosti, ki so še posebej usmerjeni v uveljavljanje tematike solidarnosti, kakovosti dela, socialne varnosti, družbene kohezije, vključevanja ranljivih ter obrobnih skupin, nediskriminatornosti in podobnega. Ukrep je komplementaren z ukrepoma na področju krepitve ustreznosti izobraževalnega sistema za trg dela na SC ESO4.5;</w:t>
            </w:r>
          </w:p>
          <w:p w14:paraId="7B28F084" w14:textId="77777777" w:rsidR="00A77B3E" w:rsidRDefault="00A77B3E">
            <w:pPr>
              <w:spacing w:before="5pt"/>
              <w:rPr>
                <w:color w:val="000000"/>
              </w:rPr>
            </w:pPr>
          </w:p>
          <w:p w14:paraId="6C9FEE56" w14:textId="77777777" w:rsidR="00A77B3E" w:rsidRDefault="00B16CCF">
            <w:pPr>
              <w:spacing w:before="5pt"/>
              <w:rPr>
                <w:color w:val="000000"/>
              </w:rPr>
            </w:pPr>
            <w:r>
              <w:rPr>
                <w:color w:val="000000"/>
              </w:rPr>
              <w:t xml:space="preserve">•zagotovitev ustrezne </w:t>
            </w:r>
            <w:r>
              <w:rPr>
                <w:i/>
                <w:iCs/>
                <w:color w:val="000000"/>
              </w:rPr>
              <w:t>informacijsko-komunikacijske tehnologije javnih visokošolskih zavodov in javnih visokošolskih knjižnic</w:t>
            </w:r>
            <w:r>
              <w:rPr>
                <w:color w:val="000000"/>
              </w:rPr>
              <w:t xml:space="preserve"> v podporo digitalizaciji izvajanja visokošolskega študijskega procesa v učilnici in na daljavo ter z njim neposredno povezanega administrativnega dela. Zagotavljalo se bo ustrezno IKT (infrastrukturo in opremo) visokošolskih zavodov za dvig kakovosti izvajanja študijskega procesa z uporabo IKT in večjo odpornost izobraževalnega procesa na daljavo. Zagotovitev opreme in infrastrukturnih storitev komplementarno dopolnjuje vzpostavitev celovitega podpornega okolja na visokošolskih zavodih osredotočeno na študenta in aktivnosti za uspešno in pravočasno zaključevanje študija (ukrep na SC ESO4.5) ter razvoj digitalnih kompetenc študentov oziroma diplomantov v okviru reforme in investicije v NOO.</w:t>
            </w:r>
          </w:p>
          <w:p w14:paraId="4E875925" w14:textId="77777777" w:rsidR="00A77B3E" w:rsidRDefault="00A77B3E">
            <w:pPr>
              <w:spacing w:before="5pt"/>
              <w:rPr>
                <w:color w:val="000000"/>
              </w:rPr>
            </w:pPr>
          </w:p>
          <w:p w14:paraId="3973BCAE" w14:textId="77777777" w:rsidR="00A77B3E" w:rsidRDefault="00B16CCF">
            <w:pPr>
              <w:spacing w:before="5pt"/>
              <w:rPr>
                <w:color w:val="000000"/>
              </w:rPr>
            </w:pPr>
            <w:r>
              <w:rPr>
                <w:color w:val="000000"/>
              </w:rPr>
              <w:t xml:space="preserve">•zagotovitev ustrezne </w:t>
            </w:r>
            <w:r>
              <w:rPr>
                <w:i/>
                <w:iCs/>
                <w:color w:val="000000"/>
              </w:rPr>
              <w:t>IKT infrastrukture in opreme organizacij v mladinskem sektorju</w:t>
            </w:r>
            <w:r>
              <w:rPr>
                <w:color w:val="000000"/>
              </w:rPr>
              <w:t>, s čimer se bodo zagotovili osnovni pogoji za izvajanje in razvoj kakovostnega mladinskega dela in neformalnega izobraževanja, kar komplementarno dopolnjuje krepitev kompetenc mladih za večjo zaposljivost in aktivno državljanstvo preko kakovostnega mladinskega dela (ukrep na SC ESO4.7).</w:t>
            </w:r>
          </w:p>
          <w:p w14:paraId="281A29B1" w14:textId="77777777" w:rsidR="00A77B3E" w:rsidRDefault="00A77B3E">
            <w:pPr>
              <w:spacing w:before="5pt"/>
              <w:rPr>
                <w:color w:val="000000"/>
              </w:rPr>
            </w:pPr>
          </w:p>
          <w:p w14:paraId="0EBE33E9" w14:textId="77777777" w:rsidR="00A77B3E" w:rsidRDefault="00B16CCF">
            <w:pPr>
              <w:spacing w:before="5pt"/>
              <w:rPr>
                <w:color w:val="000000"/>
              </w:rPr>
            </w:pPr>
            <w:r>
              <w:rPr>
                <w:color w:val="000000"/>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V skladu s Tehničnimi smernicami za uporabo »načela, da se ne škoduje bistveno« smo za vsak predviden ukrep ocenili njegov vpliv na okoljske cilje ter ugotovili, da noben izmed predvidenih ukrepov v okviru predmetnega specifičnega cilja nima bistvenega škodljivega vpliva na katerega koli od šestih okoljskih ciljev pod pogojem upoštevanja tehničnih meril, navedenih v Prilogi: DNSH.</w:t>
            </w:r>
          </w:p>
          <w:p w14:paraId="31DA257F" w14:textId="77777777" w:rsidR="00A77B3E" w:rsidRDefault="00A77B3E">
            <w:pPr>
              <w:spacing w:before="5pt"/>
              <w:rPr>
                <w:color w:val="000000"/>
              </w:rPr>
            </w:pPr>
          </w:p>
          <w:p w14:paraId="18DD474A" w14:textId="77777777" w:rsidR="00A77B3E" w:rsidRDefault="00B16CCF">
            <w:pPr>
              <w:spacing w:before="5pt"/>
              <w:rPr>
                <w:color w:val="000000"/>
              </w:rPr>
            </w:pPr>
            <w:r>
              <w:rPr>
                <w:color w:val="000000"/>
              </w:rPr>
              <w:t>[1] Uradni list RS, dostopno na: http://pisrs.si/Pis.web/pregledPredpisa?id=ZAKO445.</w:t>
            </w:r>
          </w:p>
          <w:p w14:paraId="7C04A6AA" w14:textId="77777777" w:rsidR="00A77B3E" w:rsidRDefault="00B16CCF">
            <w:pPr>
              <w:spacing w:before="5pt"/>
              <w:rPr>
                <w:color w:val="000000"/>
              </w:rPr>
            </w:pPr>
            <w:r>
              <w:rPr>
                <w:color w:val="000000"/>
              </w:rPr>
              <w:t>[2] Uradni list RS, dostopno na: http://www.pisrs.si/Pis.web/pregledPredpisa?id=RESO139.</w:t>
            </w:r>
          </w:p>
          <w:p w14:paraId="597ABE38" w14:textId="77777777" w:rsidR="00A77B3E" w:rsidRDefault="00A77B3E">
            <w:pPr>
              <w:spacing w:before="5pt"/>
              <w:rPr>
                <w:color w:val="000000"/>
                <w:sz w:val="6"/>
              </w:rPr>
            </w:pPr>
          </w:p>
          <w:p w14:paraId="54E04AED" w14:textId="77777777" w:rsidR="00A77B3E" w:rsidRDefault="00A77B3E">
            <w:pPr>
              <w:spacing w:before="5pt"/>
              <w:rPr>
                <w:color w:val="000000"/>
                <w:sz w:val="6"/>
              </w:rPr>
            </w:pPr>
          </w:p>
        </w:tc>
      </w:tr>
    </w:tbl>
    <w:p w14:paraId="1B1302F0" w14:textId="77777777" w:rsidR="00A77B3E" w:rsidRDefault="00A77B3E">
      <w:pPr>
        <w:spacing w:before="5pt"/>
        <w:rPr>
          <w:color w:val="000000"/>
        </w:rPr>
      </w:pPr>
    </w:p>
    <w:p w14:paraId="43647AC4" w14:textId="77777777" w:rsidR="00A77B3E" w:rsidRDefault="00B16CCF">
      <w:pPr>
        <w:pStyle w:val="Naslov5"/>
        <w:spacing w:before="5pt" w:after="0pt"/>
        <w:rPr>
          <w:b w:val="0"/>
          <w:i w:val="0"/>
          <w:color w:val="000000"/>
          <w:sz w:val="24"/>
        </w:rPr>
      </w:pPr>
      <w:bookmarkStart w:id="407" w:name="_Toc256001168"/>
      <w:r>
        <w:rPr>
          <w:b w:val="0"/>
          <w:i w:val="0"/>
          <w:color w:val="000000"/>
          <w:sz w:val="24"/>
        </w:rPr>
        <w:t>Glavne ciljne skupine – člen 22(3)(d)(iii) uredbe o skupnih določbah:</w:t>
      </w:r>
      <w:bookmarkEnd w:id="407"/>
    </w:p>
    <w:p w14:paraId="00C6994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2365178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F31E18" w14:textId="77777777" w:rsidR="00A77B3E" w:rsidRDefault="00A77B3E">
            <w:pPr>
              <w:spacing w:before="5pt"/>
              <w:rPr>
                <w:color w:val="000000"/>
                <w:sz w:val="0"/>
              </w:rPr>
            </w:pPr>
          </w:p>
          <w:p w14:paraId="52D66EBD" w14:textId="77777777" w:rsidR="00A77B3E" w:rsidRDefault="00B16CCF">
            <w:pPr>
              <w:spacing w:before="5pt"/>
              <w:rPr>
                <w:color w:val="000000"/>
              </w:rPr>
            </w:pPr>
            <w:r>
              <w:rPr>
                <w:color w:val="000000"/>
              </w:rPr>
              <w:t>Ciljne skupine: VIZ, visokošolski zavodi, javne visokošolske knjižnice, organizacije v mladinskem sektorjuin drugi deležniki.</w:t>
            </w:r>
          </w:p>
          <w:p w14:paraId="07631CCF" w14:textId="77777777" w:rsidR="00A77B3E" w:rsidRDefault="00A77B3E">
            <w:pPr>
              <w:spacing w:before="5pt"/>
              <w:rPr>
                <w:color w:val="000000"/>
              </w:rPr>
            </w:pPr>
          </w:p>
          <w:p w14:paraId="0054E401" w14:textId="77777777" w:rsidR="00A77B3E" w:rsidRDefault="00B16CCF">
            <w:pPr>
              <w:spacing w:before="5pt"/>
              <w:rPr>
                <w:color w:val="000000"/>
              </w:rPr>
            </w:pPr>
            <w:r>
              <w:rPr>
                <w:color w:val="000000"/>
              </w:rPr>
              <w:t>Upravičenci: VIZ, visokošolski zavodi, javne visokošolske knjižnice, organizacije v mladinskem sektorju in drugi deležniki.</w:t>
            </w:r>
          </w:p>
          <w:p w14:paraId="53BBB3AF" w14:textId="77777777" w:rsidR="00A77B3E" w:rsidRDefault="00A77B3E">
            <w:pPr>
              <w:spacing w:before="5pt"/>
              <w:rPr>
                <w:color w:val="000000"/>
                <w:sz w:val="6"/>
              </w:rPr>
            </w:pPr>
          </w:p>
          <w:p w14:paraId="62E918B1" w14:textId="77777777" w:rsidR="00A77B3E" w:rsidRDefault="00A77B3E">
            <w:pPr>
              <w:spacing w:before="5pt"/>
              <w:rPr>
                <w:color w:val="000000"/>
                <w:sz w:val="6"/>
              </w:rPr>
            </w:pPr>
          </w:p>
        </w:tc>
      </w:tr>
    </w:tbl>
    <w:p w14:paraId="7844EFC8" w14:textId="77777777" w:rsidR="00A77B3E" w:rsidRDefault="00A77B3E">
      <w:pPr>
        <w:spacing w:before="5pt"/>
        <w:rPr>
          <w:color w:val="000000"/>
        </w:rPr>
      </w:pPr>
    </w:p>
    <w:p w14:paraId="07AFC605" w14:textId="77777777" w:rsidR="00A77B3E" w:rsidRDefault="00B16CCF">
      <w:pPr>
        <w:pStyle w:val="Naslov5"/>
        <w:spacing w:before="5pt" w:after="0pt"/>
        <w:rPr>
          <w:b w:val="0"/>
          <w:i w:val="0"/>
          <w:color w:val="000000"/>
          <w:sz w:val="24"/>
        </w:rPr>
      </w:pPr>
      <w:bookmarkStart w:id="408" w:name="_Toc256001169"/>
      <w:r>
        <w:rPr>
          <w:b w:val="0"/>
          <w:i w:val="0"/>
          <w:color w:val="000000"/>
          <w:sz w:val="24"/>
        </w:rPr>
        <w:t>Ukrepi za zaščito enakosti, vključenosti in nediskriminacije – člen 22(3)(d)(iv) uredbe o skupnih določbah in člen 6 uredbe o ESS+</w:t>
      </w:r>
      <w:bookmarkEnd w:id="408"/>
    </w:p>
    <w:p w14:paraId="7D4C52C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007CF9B8"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0FA501" w14:textId="77777777" w:rsidR="00A77B3E" w:rsidRDefault="00A77B3E">
            <w:pPr>
              <w:spacing w:before="5pt"/>
              <w:rPr>
                <w:color w:val="000000"/>
                <w:sz w:val="0"/>
              </w:rPr>
            </w:pPr>
          </w:p>
          <w:p w14:paraId="173A10FA" w14:textId="77777777" w:rsidR="00A77B3E" w:rsidRDefault="00B16CCF">
            <w:pPr>
              <w:spacing w:before="5pt"/>
              <w:rPr>
                <w:color w:val="000000"/>
              </w:rPr>
            </w:pPr>
            <w:r>
              <w:rPr>
                <w:color w:val="000000"/>
              </w:rPr>
              <w:t xml:space="preserve">Spoštovanje načel enakosti, vključenosti in nediskriminacije bo zagotovljeno pri izvajanju vseh aktivnosti na vseh ravneh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Načelo se bo upoštevalo tudi v okviru sistema upravljanja in nadzora. </w:t>
            </w:r>
          </w:p>
          <w:p w14:paraId="29A9F2CE" w14:textId="77777777" w:rsidR="00A77B3E" w:rsidRDefault="00A77B3E">
            <w:pPr>
              <w:spacing w:before="5pt"/>
              <w:rPr>
                <w:color w:val="000000"/>
              </w:rPr>
            </w:pPr>
          </w:p>
          <w:p w14:paraId="77D49436" w14:textId="77777777" w:rsidR="00A77B3E" w:rsidRDefault="00B16CCF">
            <w:pPr>
              <w:spacing w:before="5pt"/>
              <w:rPr>
                <w:color w:val="000000"/>
              </w:rPr>
            </w:pPr>
            <w:r>
              <w:rPr>
                <w:color w:val="000000"/>
              </w:rPr>
              <w:t>V okviru specifičnega cilja bo pri gradnji stavb omogočena dostopnost z arhitekturno prilagodljivostjo vsem skupinam prebivalstva, zlasti invalidom. Hkrati bodo ukrepi vlaganj v izobraževalno in visokošolsko infrastrukturo v skladu z osnovnimi načeli vzgoje in izobraževanja zagotavljali dostopnost vsem šolajočim. Z vlaganji v razvoj te infrastrukture bomo v skladu z nacionalno zakonodajo in strateškimi dokumenti (ZOFVI in ReNPVŠ30) prispevali k ciljem zagotavljanja kakovostnega izobraževanja oz. študija, dostopnega vsem državljanom EU na vseh stopnjah izobraževanja ne glede osebne okoliščine posameznice ali posameznika, saj so ukrepi še posebej usmerjeni v uveljavljene tematike solidarnosti, kakovosti dela, socialne varnosti, družbene kohezije, vključevanja ranljivih ter obrobnih skupin, nediskriminatornosti in podobnega. Ukrepa za zagotovitev IKT infrastrukture na področju visokega šolstva in organizacij v mladinskem sektorju pa bosta zagotovila večjo dostopnost do storitev, ki jih ponujajo predmetne institucije, s čimer se bo omogočila večja vključenost mladih v izobraževanje, tako terciarno kot neformalno.</w:t>
            </w:r>
          </w:p>
          <w:p w14:paraId="3146D17B" w14:textId="77777777" w:rsidR="00A77B3E" w:rsidRDefault="00A77B3E">
            <w:pPr>
              <w:spacing w:before="5pt"/>
              <w:rPr>
                <w:color w:val="000000"/>
                <w:sz w:val="6"/>
              </w:rPr>
            </w:pPr>
          </w:p>
          <w:p w14:paraId="04DF2AE3" w14:textId="77777777" w:rsidR="00A77B3E" w:rsidRDefault="00A77B3E">
            <w:pPr>
              <w:spacing w:before="5pt"/>
              <w:rPr>
                <w:color w:val="000000"/>
                <w:sz w:val="6"/>
              </w:rPr>
            </w:pPr>
          </w:p>
        </w:tc>
      </w:tr>
    </w:tbl>
    <w:p w14:paraId="5584C49C" w14:textId="77777777" w:rsidR="00A77B3E" w:rsidRDefault="00A77B3E">
      <w:pPr>
        <w:spacing w:before="5pt"/>
        <w:rPr>
          <w:color w:val="000000"/>
        </w:rPr>
      </w:pPr>
    </w:p>
    <w:p w14:paraId="61777A6D" w14:textId="77777777" w:rsidR="00A77B3E" w:rsidRDefault="00B16CCF">
      <w:pPr>
        <w:pStyle w:val="Naslov5"/>
        <w:spacing w:before="5pt" w:after="0pt"/>
        <w:rPr>
          <w:b w:val="0"/>
          <w:i w:val="0"/>
          <w:color w:val="000000"/>
          <w:sz w:val="24"/>
        </w:rPr>
      </w:pPr>
      <w:bookmarkStart w:id="409" w:name="_Toc256001170"/>
      <w:r>
        <w:rPr>
          <w:b w:val="0"/>
          <w:i w:val="0"/>
          <w:color w:val="000000"/>
          <w:sz w:val="24"/>
        </w:rPr>
        <w:t>Navedba specifičnih ciljnih ozemelj, vključno z načrtovano uporabo teritorialnih orodij – člen 22(3)(d)(v) uredbe o skupnih določbah</w:t>
      </w:r>
      <w:bookmarkEnd w:id="409"/>
    </w:p>
    <w:p w14:paraId="3FA0802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3F579848"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619990" w14:textId="77777777" w:rsidR="00A77B3E" w:rsidRDefault="00A77B3E">
            <w:pPr>
              <w:spacing w:before="5pt"/>
              <w:rPr>
                <w:color w:val="000000"/>
                <w:sz w:val="0"/>
              </w:rPr>
            </w:pPr>
          </w:p>
          <w:p w14:paraId="3A4CD5AC" w14:textId="77777777" w:rsidR="00A77B3E" w:rsidRDefault="00B16CCF">
            <w:pPr>
              <w:spacing w:before="5pt"/>
              <w:rPr>
                <w:color w:val="000000"/>
              </w:rPr>
            </w:pPr>
            <w:r>
              <w:rPr>
                <w:color w:val="000000"/>
              </w:rPr>
              <w:t>Z vidika regije, so sredstva tega specifičnega cilja načrtovana zgolj v KRVS, saj le-ta razvojno zaostaja za KRZS in je zaznamovana z demografskimi, socialnimi in ekonomskimi razmerami, ki ovirajo razvoj potenciala regije. Zato je nujno ustvariti ustrezne pogoje za multiplikativne učinke, kar bo vplivalo na zmanjševanje razvojnega zaostanka KRVS. Dodaten razlog z vidika visokošolske infrastrukture je tudi ta, da kar 44 % študentov, ki imajo stalno bivališče v KRVS študira na visokošolskih zavodih v KRZS. Z ukrepi se bo zagotavljalo ustrezno infrastrukturo in opremo, tudi IKT, visokošolskih zavodov, s čimer bomo omogočili večjo dostopnost visokega šolstva v regiji, kjer študenti bivajo, kar je za socialno ogrožene lažje oz. se bodo mogoče prej odločili za študij v KRVS. Uporaba teritorialnih pristopov na tem specifičnem cilju ni predvidena.</w:t>
            </w:r>
          </w:p>
          <w:p w14:paraId="30ADEF58" w14:textId="77777777" w:rsidR="00A77B3E" w:rsidRDefault="00A77B3E">
            <w:pPr>
              <w:spacing w:before="5pt"/>
              <w:rPr>
                <w:color w:val="000000"/>
                <w:sz w:val="6"/>
              </w:rPr>
            </w:pPr>
          </w:p>
          <w:p w14:paraId="1BC3BDDD" w14:textId="77777777" w:rsidR="00A77B3E" w:rsidRDefault="00A77B3E">
            <w:pPr>
              <w:spacing w:before="5pt"/>
              <w:rPr>
                <w:color w:val="000000"/>
                <w:sz w:val="6"/>
              </w:rPr>
            </w:pPr>
          </w:p>
        </w:tc>
      </w:tr>
    </w:tbl>
    <w:p w14:paraId="1E79E98F" w14:textId="77777777" w:rsidR="00A77B3E" w:rsidRDefault="00A77B3E">
      <w:pPr>
        <w:spacing w:before="5pt"/>
        <w:rPr>
          <w:color w:val="000000"/>
        </w:rPr>
      </w:pPr>
    </w:p>
    <w:p w14:paraId="4601DFE7" w14:textId="77777777" w:rsidR="00A77B3E" w:rsidRDefault="00B16CCF">
      <w:pPr>
        <w:pStyle w:val="Naslov5"/>
        <w:spacing w:before="5pt" w:after="0pt"/>
        <w:rPr>
          <w:b w:val="0"/>
          <w:i w:val="0"/>
          <w:color w:val="000000"/>
          <w:sz w:val="24"/>
        </w:rPr>
      </w:pPr>
      <w:bookmarkStart w:id="410" w:name="_Toc256001171"/>
      <w:r>
        <w:rPr>
          <w:b w:val="0"/>
          <w:i w:val="0"/>
          <w:color w:val="000000"/>
          <w:sz w:val="24"/>
        </w:rPr>
        <w:t>Medregionalni, čezmejni in transnacionalni ukrepi – člen 22(3)(d)(vi) uredbe o skupnih določbah</w:t>
      </w:r>
      <w:bookmarkEnd w:id="410"/>
    </w:p>
    <w:p w14:paraId="50F7694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5D682D67"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8F7448" w14:textId="77777777" w:rsidR="00A77B3E" w:rsidRDefault="00A77B3E">
            <w:pPr>
              <w:spacing w:before="5pt"/>
              <w:rPr>
                <w:color w:val="000000"/>
                <w:sz w:val="0"/>
              </w:rPr>
            </w:pPr>
          </w:p>
          <w:p w14:paraId="206CC8AC" w14:textId="77777777" w:rsidR="00A77B3E" w:rsidRDefault="00B16CCF">
            <w:pPr>
              <w:spacing w:before="5pt"/>
              <w:rPr>
                <w:color w:val="000000"/>
              </w:rPr>
            </w:pPr>
            <w:r>
              <w:rPr>
                <w:color w:val="000000"/>
              </w:rPr>
              <w:lastRenderedPageBreak/>
              <w:t>V okviru navedenega specifičnega cilja medregionalni, čezmejni in transnacionalni ukrepi niso predvideni, saj gre za ukrepe investiranja v javne izobraževalne zavode, ki delujejo na področju Republike Slovenije in so namenjene prvenstveno prebivalcem Slovenije.</w:t>
            </w:r>
          </w:p>
          <w:p w14:paraId="085B3226" w14:textId="77777777" w:rsidR="00A77B3E" w:rsidRDefault="00A77B3E">
            <w:pPr>
              <w:spacing w:before="5pt"/>
              <w:rPr>
                <w:color w:val="000000"/>
                <w:sz w:val="6"/>
              </w:rPr>
            </w:pPr>
          </w:p>
          <w:p w14:paraId="2D9F901B" w14:textId="77777777" w:rsidR="00A77B3E" w:rsidRDefault="00A77B3E">
            <w:pPr>
              <w:spacing w:before="5pt"/>
              <w:rPr>
                <w:color w:val="000000"/>
                <w:sz w:val="6"/>
              </w:rPr>
            </w:pPr>
          </w:p>
        </w:tc>
      </w:tr>
    </w:tbl>
    <w:p w14:paraId="00A2C135" w14:textId="77777777" w:rsidR="00A77B3E" w:rsidRDefault="00A77B3E">
      <w:pPr>
        <w:spacing w:before="5pt"/>
        <w:rPr>
          <w:color w:val="000000"/>
        </w:rPr>
      </w:pPr>
    </w:p>
    <w:p w14:paraId="7EDABA3C" w14:textId="77777777" w:rsidR="00A77B3E" w:rsidRDefault="00B16CCF">
      <w:pPr>
        <w:pStyle w:val="Naslov5"/>
        <w:spacing w:before="5pt" w:after="0pt"/>
        <w:rPr>
          <w:b w:val="0"/>
          <w:i w:val="0"/>
          <w:color w:val="000000"/>
          <w:sz w:val="24"/>
        </w:rPr>
      </w:pPr>
      <w:bookmarkStart w:id="411" w:name="_Toc256001172"/>
      <w:r>
        <w:rPr>
          <w:b w:val="0"/>
          <w:i w:val="0"/>
          <w:color w:val="000000"/>
          <w:sz w:val="24"/>
        </w:rPr>
        <w:t>Načrtovana uporaba finančnih instrumentov – člen 22(3)(d)(vii) uredbe o skupnih določbah</w:t>
      </w:r>
      <w:bookmarkEnd w:id="411"/>
    </w:p>
    <w:p w14:paraId="2827818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5F6562E3"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A1662D" w14:textId="77777777" w:rsidR="00A77B3E" w:rsidRDefault="00A77B3E">
            <w:pPr>
              <w:spacing w:before="5pt"/>
              <w:rPr>
                <w:color w:val="000000"/>
                <w:sz w:val="0"/>
              </w:rPr>
            </w:pPr>
          </w:p>
          <w:p w14:paraId="60D9740F" w14:textId="77777777" w:rsidR="00A77B3E" w:rsidRDefault="00B16CCF">
            <w:pPr>
              <w:spacing w:before="5pt"/>
              <w:rPr>
                <w:color w:val="000000"/>
              </w:rPr>
            </w:pPr>
            <w:r>
              <w:rPr>
                <w:color w:val="000000"/>
              </w:rPr>
              <w:t>Predvidena je uporaba nepovratnih virov. V okviru predmetnega specifičnega cilja uporaba finančnih instrumentov v skladu z izsledki analize Predhodnih ocen potreb trga in vrzeli financiranja na trgu za izvajanje finančnih instrumentov v programskem obdobju 2021-2027 (julij 2022) ni predvidena. Predlagani ukrepi ne ustvarjajo prihodkov oziroma prihrankov, zaradi česar uporaba finančnih instrumentov ni smiselna oziroma ustrezna. Gre namreč za ukrepe, ki se nanašajo na javne vzgojno izobraževalne organizacije ter organizacije v mladinskem sektorju, ki so večinoma v lasti države oz. so nevladne organizacije in nimajo tržne dejavnosti oziroma je le-ta v zelo omejenem obsegu in večinoma namenska, zato se ne morejo zadolževati na trgu.</w:t>
            </w:r>
          </w:p>
          <w:p w14:paraId="114647A2" w14:textId="77777777" w:rsidR="00A77B3E" w:rsidRDefault="00A77B3E">
            <w:pPr>
              <w:spacing w:before="5pt"/>
              <w:rPr>
                <w:color w:val="000000"/>
                <w:sz w:val="6"/>
              </w:rPr>
            </w:pPr>
          </w:p>
          <w:p w14:paraId="5036BFB5" w14:textId="77777777" w:rsidR="00A77B3E" w:rsidRDefault="00A77B3E">
            <w:pPr>
              <w:spacing w:before="5pt"/>
              <w:rPr>
                <w:color w:val="000000"/>
                <w:sz w:val="6"/>
              </w:rPr>
            </w:pPr>
          </w:p>
        </w:tc>
      </w:tr>
    </w:tbl>
    <w:p w14:paraId="4F8F7A07" w14:textId="77777777" w:rsidR="00A77B3E" w:rsidRDefault="00A77B3E">
      <w:pPr>
        <w:spacing w:before="5pt"/>
        <w:rPr>
          <w:color w:val="000000"/>
        </w:rPr>
      </w:pPr>
    </w:p>
    <w:p w14:paraId="4E493708" w14:textId="77777777" w:rsidR="00A77B3E" w:rsidRDefault="00B16CCF">
      <w:pPr>
        <w:pStyle w:val="Naslov4"/>
        <w:spacing w:before="5pt" w:after="0pt"/>
        <w:rPr>
          <w:b w:val="0"/>
          <w:color w:val="000000"/>
          <w:sz w:val="24"/>
        </w:rPr>
      </w:pPr>
      <w:bookmarkStart w:id="412" w:name="_Toc256001173"/>
      <w:r>
        <w:rPr>
          <w:b w:val="0"/>
          <w:color w:val="000000"/>
          <w:sz w:val="24"/>
        </w:rPr>
        <w:t>2.1.1.1.2. Kazalniki</w:t>
      </w:r>
      <w:bookmarkEnd w:id="412"/>
    </w:p>
    <w:p w14:paraId="69D11B99" w14:textId="77777777" w:rsidR="00A77B3E" w:rsidRDefault="00A77B3E">
      <w:pPr>
        <w:spacing w:before="5pt"/>
        <w:rPr>
          <w:color w:val="000000"/>
          <w:sz w:val="0"/>
        </w:rPr>
      </w:pPr>
    </w:p>
    <w:p w14:paraId="161CB9CA" w14:textId="77777777" w:rsidR="00A77B3E" w:rsidRDefault="00B16CCF">
      <w:pPr>
        <w:spacing w:before="5pt"/>
        <w:rPr>
          <w:color w:val="000000"/>
          <w:sz w:val="0"/>
        </w:rPr>
      </w:pPr>
      <w:r>
        <w:rPr>
          <w:color w:val="000000"/>
        </w:rPr>
        <w:t>Sklic: člen 22(3)(d)(ii) uredbe o skupnih določbah in člen 8 uredbe o ESRR in Kohezijskem skladu</w:t>
      </w:r>
    </w:p>
    <w:p w14:paraId="671041DD" w14:textId="77777777" w:rsidR="00A77B3E" w:rsidRDefault="00B16CCF">
      <w:pPr>
        <w:pStyle w:val="Naslov5"/>
        <w:spacing w:before="5pt" w:after="0pt"/>
        <w:rPr>
          <w:b w:val="0"/>
          <w:i w:val="0"/>
          <w:color w:val="000000"/>
          <w:sz w:val="24"/>
        </w:rPr>
      </w:pPr>
      <w:bookmarkStart w:id="413" w:name="_Toc256001174"/>
      <w:r>
        <w:rPr>
          <w:b w:val="0"/>
          <w:i w:val="0"/>
          <w:color w:val="000000"/>
          <w:sz w:val="24"/>
        </w:rPr>
        <w:t>Tabela 2: Kazalniki učinka</w:t>
      </w:r>
      <w:bookmarkEnd w:id="413"/>
    </w:p>
    <w:p w14:paraId="75BBA01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905"/>
        <w:gridCol w:w="1759"/>
        <w:gridCol w:w="1173"/>
        <w:gridCol w:w="1823"/>
        <w:gridCol w:w="2116"/>
        <w:gridCol w:w="2452"/>
        <w:gridCol w:w="1360"/>
        <w:gridCol w:w="1318"/>
        <w:gridCol w:w="1266"/>
      </w:tblGrid>
      <w:tr w:rsidR="00823317" w14:paraId="43CFDAC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F86B6A"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3DA70A"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3DE2D3"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33C1B3"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9AAC0B"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C70ECB"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8F51B2"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3DEC3C" w14:textId="77777777" w:rsidR="00A77B3E" w:rsidRDefault="00B16CCF">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9C9A14" w14:textId="77777777" w:rsidR="00A77B3E" w:rsidRDefault="00B16CCF">
            <w:pPr>
              <w:spacing w:before="5pt"/>
              <w:jc w:val="center"/>
              <w:rPr>
                <w:color w:val="000000"/>
                <w:sz w:val="20"/>
              </w:rPr>
            </w:pPr>
            <w:r>
              <w:rPr>
                <w:color w:val="000000"/>
                <w:sz w:val="20"/>
              </w:rPr>
              <w:t>Cilj (2029)</w:t>
            </w:r>
          </w:p>
        </w:tc>
      </w:tr>
      <w:tr w:rsidR="00823317" w14:paraId="573CBB9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086174"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8F673A" w14:textId="77777777" w:rsidR="00A77B3E" w:rsidRDefault="00B16CCF">
            <w:pPr>
              <w:spacing w:before="5pt"/>
              <w:rPr>
                <w:color w:val="000000"/>
                <w:sz w:val="20"/>
              </w:rPr>
            </w:pPr>
            <w:r>
              <w:rPr>
                <w:color w:val="000000"/>
                <w:sz w:val="20"/>
              </w:rPr>
              <w:t>RSO4.2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77C581"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E0D0DC"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B97072" w14:textId="77777777" w:rsidR="00A77B3E" w:rsidRDefault="00B16CCF">
            <w:pPr>
              <w:spacing w:before="5pt"/>
              <w:rPr>
                <w:color w:val="000000"/>
                <w:sz w:val="20"/>
              </w:rPr>
            </w:pPr>
            <w:r>
              <w:rPr>
                <w:color w:val="000000"/>
                <w:sz w:val="20"/>
              </w:rPr>
              <w:t>RCO67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1BAE3E" w14:textId="77777777" w:rsidR="00A77B3E" w:rsidRDefault="00B16CCF">
            <w:pPr>
              <w:spacing w:before="5pt"/>
              <w:rPr>
                <w:color w:val="000000"/>
                <w:sz w:val="20"/>
              </w:rPr>
            </w:pPr>
            <w:r>
              <w:rPr>
                <w:color w:val="000000"/>
                <w:sz w:val="20"/>
              </w:rPr>
              <w:t>Število otrok na razred v novih ali posodobljenih izobraževalnih ustanovah</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F8386C" w14:textId="77777777" w:rsidR="00A77B3E" w:rsidRDefault="00B16CCF">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994E0B"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53C86D" w14:textId="77777777" w:rsidR="00A77B3E" w:rsidRDefault="00B16CCF">
            <w:pPr>
              <w:spacing w:before="5pt"/>
              <w:jc w:val="end"/>
              <w:rPr>
                <w:color w:val="000000"/>
                <w:sz w:val="20"/>
              </w:rPr>
            </w:pPr>
            <w:r>
              <w:rPr>
                <w:color w:val="000000"/>
                <w:sz w:val="20"/>
              </w:rPr>
              <w:t>500,00</w:t>
            </w:r>
          </w:p>
        </w:tc>
      </w:tr>
      <w:tr w:rsidR="00823317" w14:paraId="5A8C5B9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F46578"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E5847B" w14:textId="77777777" w:rsidR="00A77B3E" w:rsidRDefault="00B16CCF">
            <w:pPr>
              <w:spacing w:before="5pt"/>
              <w:rPr>
                <w:color w:val="000000"/>
                <w:sz w:val="20"/>
              </w:rPr>
            </w:pPr>
            <w:r>
              <w:rPr>
                <w:color w:val="000000"/>
                <w:sz w:val="20"/>
              </w:rPr>
              <w:t>RSO4.2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18655C"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F54BDE"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6C6E7E" w14:textId="77777777" w:rsidR="00A77B3E" w:rsidRDefault="00B16CCF">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D7D8B9" w14:textId="77777777" w:rsidR="00A77B3E" w:rsidRDefault="00B16CCF">
            <w:pPr>
              <w:spacing w:before="5pt"/>
              <w:rPr>
                <w:color w:val="000000"/>
                <w:sz w:val="20"/>
              </w:rPr>
            </w:pPr>
            <w:r>
              <w:rPr>
                <w:color w:val="000000"/>
                <w:sz w:val="20"/>
              </w:rPr>
              <w:t>Organizacije, ki se podprejo za vključitev nove IKT opreme in storitev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A22246" w14:textId="77777777" w:rsidR="00A77B3E" w:rsidRDefault="00B16CCF">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09B504" w14:textId="77777777" w:rsidR="00A77B3E" w:rsidRDefault="00B16CCF">
            <w:pPr>
              <w:spacing w:before="5pt"/>
              <w:jc w:val="end"/>
              <w:rPr>
                <w:color w:val="000000"/>
                <w:sz w:val="20"/>
              </w:rPr>
            </w:pPr>
            <w:r>
              <w:rPr>
                <w:color w:val="000000"/>
                <w:sz w:val="20"/>
              </w:rPr>
              <w:t>2,00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722F45" w14:textId="77777777" w:rsidR="00A77B3E" w:rsidRDefault="00B16CCF">
            <w:pPr>
              <w:spacing w:before="5pt"/>
              <w:jc w:val="end"/>
              <w:rPr>
                <w:color w:val="000000"/>
                <w:sz w:val="20"/>
              </w:rPr>
            </w:pPr>
            <w:r>
              <w:rPr>
                <w:color w:val="000000"/>
                <w:sz w:val="20"/>
              </w:rPr>
              <w:t>38,00</w:t>
            </w:r>
          </w:p>
        </w:tc>
      </w:tr>
    </w:tbl>
    <w:p w14:paraId="55A24429" w14:textId="77777777" w:rsidR="00A77B3E" w:rsidRDefault="00A77B3E">
      <w:pPr>
        <w:spacing w:before="5pt"/>
        <w:rPr>
          <w:color w:val="000000"/>
          <w:sz w:val="20"/>
        </w:rPr>
      </w:pPr>
    </w:p>
    <w:p w14:paraId="4D1DBB5A" w14:textId="77777777" w:rsidR="00A77B3E" w:rsidRDefault="00B16CCF">
      <w:pPr>
        <w:spacing w:before="5pt"/>
        <w:rPr>
          <w:color w:val="000000"/>
          <w:sz w:val="0"/>
        </w:rPr>
      </w:pPr>
      <w:r>
        <w:rPr>
          <w:color w:val="000000"/>
        </w:rPr>
        <w:t>Sklic: člen 22(3)(d)(ii) uredbe o skupnih določbah</w:t>
      </w:r>
    </w:p>
    <w:p w14:paraId="08A9391A" w14:textId="77777777" w:rsidR="00A77B3E" w:rsidRDefault="00B16CCF">
      <w:pPr>
        <w:pStyle w:val="Naslov5"/>
        <w:spacing w:before="5pt" w:after="0pt"/>
        <w:rPr>
          <w:b w:val="0"/>
          <w:i w:val="0"/>
          <w:color w:val="000000"/>
          <w:sz w:val="24"/>
        </w:rPr>
      </w:pPr>
      <w:bookmarkStart w:id="414" w:name="_Toc256001175"/>
      <w:r>
        <w:rPr>
          <w:b w:val="0"/>
          <w:i w:val="0"/>
          <w:color w:val="000000"/>
          <w:sz w:val="24"/>
        </w:rPr>
        <w:t>Tabela 3: Kazalniki rezultatov</w:t>
      </w:r>
      <w:bookmarkEnd w:id="414"/>
    </w:p>
    <w:p w14:paraId="5F003FE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77"/>
        <w:gridCol w:w="1180"/>
        <w:gridCol w:w="787"/>
        <w:gridCol w:w="1223"/>
        <w:gridCol w:w="1419"/>
        <w:gridCol w:w="1645"/>
        <w:gridCol w:w="1700"/>
        <w:gridCol w:w="1251"/>
        <w:gridCol w:w="1320"/>
        <w:gridCol w:w="849"/>
        <w:gridCol w:w="1496"/>
        <w:gridCol w:w="1025"/>
      </w:tblGrid>
      <w:tr w:rsidR="00823317" w14:paraId="1ABA485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A0A098"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3D9D9E"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D48B4B"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AF08E5E"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9288FD"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9E0768"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A8F1526"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2B09A7" w14:textId="77777777" w:rsidR="00A77B3E" w:rsidRDefault="00B16CCF">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41E2402" w14:textId="77777777" w:rsidR="00A77B3E" w:rsidRDefault="00B16CCF">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58407B" w14:textId="77777777" w:rsidR="00A77B3E" w:rsidRDefault="00B16CCF">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AEB422" w14:textId="77777777" w:rsidR="00A77B3E" w:rsidRDefault="00B16CCF">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414329" w14:textId="77777777" w:rsidR="00A77B3E" w:rsidRDefault="00B16CCF">
            <w:pPr>
              <w:spacing w:before="5pt"/>
              <w:jc w:val="center"/>
              <w:rPr>
                <w:color w:val="000000"/>
                <w:sz w:val="20"/>
              </w:rPr>
            </w:pPr>
            <w:r>
              <w:rPr>
                <w:color w:val="000000"/>
                <w:sz w:val="20"/>
              </w:rPr>
              <w:t>Opombe</w:t>
            </w:r>
          </w:p>
        </w:tc>
      </w:tr>
      <w:tr w:rsidR="00823317" w14:paraId="6980D46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75561D" w14:textId="77777777" w:rsidR="00A77B3E" w:rsidRDefault="00B16CCF">
            <w:pPr>
              <w:spacing w:before="5pt"/>
              <w:rPr>
                <w:color w:val="000000"/>
                <w:sz w:val="20"/>
              </w:rPr>
            </w:pPr>
            <w:r>
              <w:rPr>
                <w:color w:val="000000"/>
                <w:sz w:val="20"/>
              </w:rPr>
              <w:lastRenderedPageBreak/>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759F0D" w14:textId="77777777" w:rsidR="00A77B3E" w:rsidRDefault="00B16CCF">
            <w:pPr>
              <w:spacing w:before="5pt"/>
              <w:rPr>
                <w:color w:val="000000"/>
                <w:sz w:val="20"/>
              </w:rPr>
            </w:pPr>
            <w:r>
              <w:rPr>
                <w:color w:val="000000"/>
                <w:sz w:val="20"/>
              </w:rPr>
              <w:t>RSO4.2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63B421"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0219F2"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AA4F74" w14:textId="77777777" w:rsidR="00A77B3E" w:rsidRDefault="00B16CCF">
            <w:pPr>
              <w:spacing w:before="5pt"/>
              <w:rPr>
                <w:color w:val="000000"/>
                <w:sz w:val="20"/>
              </w:rPr>
            </w:pPr>
            <w:r>
              <w:rPr>
                <w:color w:val="000000"/>
                <w:sz w:val="20"/>
              </w:rPr>
              <w:t>RCR71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B6D667" w14:textId="77777777" w:rsidR="00A77B3E" w:rsidRDefault="00B16CCF">
            <w:pPr>
              <w:spacing w:before="5pt"/>
              <w:rPr>
                <w:color w:val="000000"/>
                <w:sz w:val="20"/>
              </w:rPr>
            </w:pPr>
            <w:r>
              <w:rPr>
                <w:color w:val="000000"/>
                <w:sz w:val="20"/>
              </w:rPr>
              <w:t>Letno število uporabnikov novih ali posodobljenih izobraževalnih ustanov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4C0F47" w14:textId="77777777" w:rsidR="00A77B3E" w:rsidRDefault="00B16CCF">
            <w:pPr>
              <w:spacing w:before="5pt"/>
              <w:rPr>
                <w:color w:val="000000"/>
                <w:sz w:val="20"/>
              </w:rPr>
            </w:pPr>
            <w:r>
              <w:rPr>
                <w:color w:val="000000"/>
                <w:sz w:val="20"/>
              </w:rPr>
              <w:t>uporabniki/leto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F2D2F5"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93FBBC" w14:textId="77777777" w:rsidR="00A77B3E" w:rsidRDefault="00B16CCF">
            <w:pPr>
              <w:spacing w:before="5pt"/>
              <w:jc w:val="center"/>
              <w:rPr>
                <w:color w:val="000000"/>
                <w:sz w:val="20"/>
              </w:rPr>
            </w:pPr>
            <w:r>
              <w:rPr>
                <w:color w:val="000000"/>
                <w:sz w:val="2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2D4985" w14:textId="77777777" w:rsidR="00A77B3E" w:rsidRDefault="00B16CCF">
            <w:pPr>
              <w:spacing w:before="5pt"/>
              <w:jc w:val="end"/>
              <w:rPr>
                <w:color w:val="000000"/>
                <w:sz w:val="20"/>
              </w:rPr>
            </w:pPr>
            <w:r>
              <w:rPr>
                <w:color w:val="000000"/>
                <w:sz w:val="20"/>
              </w:rPr>
              <w:t>500,00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6A2E36" w14:textId="77777777" w:rsidR="00A77B3E" w:rsidRDefault="00B16CCF">
            <w:pPr>
              <w:spacing w:before="5pt"/>
              <w:rPr>
                <w:color w:val="000000"/>
                <w:sz w:val="20"/>
              </w:rPr>
            </w:pPr>
            <w:r>
              <w:rPr>
                <w:color w:val="000000"/>
                <w:sz w:val="20"/>
              </w:rPr>
              <w:t>Upravičenec, MIZŠ</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7B9E9D" w14:textId="77777777" w:rsidR="00A77B3E" w:rsidRDefault="00A77B3E">
            <w:pPr>
              <w:spacing w:before="5pt"/>
              <w:rPr>
                <w:color w:val="000000"/>
                <w:sz w:val="20"/>
              </w:rPr>
            </w:pPr>
          </w:p>
        </w:tc>
      </w:tr>
      <w:tr w:rsidR="00823317" w14:paraId="411BF75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6299A4"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ACF0F5" w14:textId="77777777" w:rsidR="00A77B3E" w:rsidRDefault="00B16CCF">
            <w:pPr>
              <w:spacing w:before="5pt"/>
              <w:rPr>
                <w:color w:val="000000"/>
                <w:sz w:val="20"/>
              </w:rPr>
            </w:pPr>
            <w:r>
              <w:rPr>
                <w:color w:val="000000"/>
                <w:sz w:val="20"/>
              </w:rPr>
              <w:t>RSO4.2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A4D2AD"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331170"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30C051" w14:textId="77777777" w:rsidR="00A77B3E" w:rsidRDefault="00B16CCF">
            <w:pPr>
              <w:spacing w:before="5pt"/>
              <w:rPr>
                <w:color w:val="000000"/>
                <w:sz w:val="20"/>
              </w:rPr>
            </w:pPr>
            <w:r>
              <w:rPr>
                <w:color w:val="000000"/>
                <w:sz w:val="20"/>
              </w:rPr>
              <w:t>18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4EB9F7" w14:textId="77777777" w:rsidR="00A77B3E" w:rsidRDefault="00B16CCF">
            <w:pPr>
              <w:spacing w:before="5pt"/>
              <w:rPr>
                <w:color w:val="000000"/>
                <w:sz w:val="20"/>
              </w:rPr>
            </w:pPr>
            <w:r>
              <w:rPr>
                <w:color w:val="000000"/>
                <w:sz w:val="20"/>
              </w:rPr>
              <w:t>Delež organizacij, ki so vključile novo IKT opremo in storitve v procese izobraževanja in usposabljanja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413111" w14:textId="77777777" w:rsidR="00A77B3E" w:rsidRDefault="00B16CCF">
            <w:pPr>
              <w:spacing w:before="5pt"/>
              <w:rPr>
                <w:color w:val="000000"/>
                <w:sz w:val="20"/>
              </w:rPr>
            </w:pPr>
            <w:r>
              <w:rPr>
                <w:color w:val="000000"/>
                <w:sz w:val="20"/>
              </w:rPr>
              <w:t>odstotek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042813"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824501" w14:textId="77777777" w:rsidR="00A77B3E" w:rsidRDefault="00B16CCF">
            <w:pPr>
              <w:spacing w:before="5pt"/>
              <w:jc w:val="center"/>
              <w:rPr>
                <w:color w:val="000000"/>
                <w:sz w:val="20"/>
              </w:rPr>
            </w:pPr>
            <w:r>
              <w:rPr>
                <w:color w:val="000000"/>
                <w:sz w:val="20"/>
              </w:rPr>
              <w:t>2023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9E2AFA" w14:textId="77777777" w:rsidR="00A77B3E" w:rsidRDefault="00B16CCF">
            <w:pPr>
              <w:spacing w:before="5pt"/>
              <w:jc w:val="end"/>
              <w:rPr>
                <w:color w:val="000000"/>
                <w:sz w:val="20"/>
              </w:rPr>
            </w:pPr>
            <w:r>
              <w:rPr>
                <w:color w:val="000000"/>
                <w:sz w:val="20"/>
              </w:rPr>
              <w:t>100,00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E39D13" w14:textId="77777777" w:rsidR="00A77B3E" w:rsidRDefault="00B16CCF">
            <w:pPr>
              <w:spacing w:before="5pt"/>
              <w:rPr>
                <w:color w:val="000000"/>
                <w:sz w:val="20"/>
              </w:rPr>
            </w:pPr>
            <w:r>
              <w:rPr>
                <w:color w:val="000000"/>
                <w:sz w:val="20"/>
              </w:rPr>
              <w:t>Upravičenec, MIZŠ</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0DBD18" w14:textId="77777777" w:rsidR="00A77B3E" w:rsidRDefault="00A77B3E">
            <w:pPr>
              <w:spacing w:before="5pt"/>
              <w:rPr>
                <w:color w:val="000000"/>
                <w:sz w:val="20"/>
              </w:rPr>
            </w:pPr>
          </w:p>
        </w:tc>
      </w:tr>
    </w:tbl>
    <w:p w14:paraId="68EDAD16" w14:textId="77777777" w:rsidR="00A77B3E" w:rsidRDefault="00A77B3E">
      <w:pPr>
        <w:spacing w:before="5pt"/>
        <w:rPr>
          <w:color w:val="000000"/>
          <w:sz w:val="20"/>
        </w:rPr>
      </w:pPr>
    </w:p>
    <w:p w14:paraId="011610F8" w14:textId="77777777" w:rsidR="00A77B3E" w:rsidRDefault="00B16CCF">
      <w:pPr>
        <w:pStyle w:val="Naslov4"/>
        <w:spacing w:before="5pt" w:after="0pt"/>
        <w:rPr>
          <w:b w:val="0"/>
          <w:color w:val="000000"/>
          <w:sz w:val="24"/>
        </w:rPr>
      </w:pPr>
      <w:bookmarkStart w:id="415" w:name="_Toc256001176"/>
      <w:r>
        <w:rPr>
          <w:b w:val="0"/>
          <w:color w:val="000000"/>
          <w:sz w:val="24"/>
        </w:rPr>
        <w:t>2.1.1.1.3. Okvirna razčlenitev načrtovanih sredstev (EU) glede na vrsto ukrepa</w:t>
      </w:r>
      <w:bookmarkEnd w:id="415"/>
    </w:p>
    <w:p w14:paraId="4695A3C1" w14:textId="77777777" w:rsidR="00A77B3E" w:rsidRDefault="00A77B3E">
      <w:pPr>
        <w:spacing w:before="5pt"/>
        <w:rPr>
          <w:color w:val="000000"/>
          <w:sz w:val="0"/>
        </w:rPr>
      </w:pPr>
    </w:p>
    <w:p w14:paraId="75B7FCA7" w14:textId="77777777" w:rsidR="00A77B3E" w:rsidRDefault="00B16CCF">
      <w:pPr>
        <w:spacing w:before="5pt"/>
        <w:rPr>
          <w:color w:val="000000"/>
          <w:sz w:val="0"/>
        </w:rPr>
      </w:pPr>
      <w:r>
        <w:rPr>
          <w:color w:val="000000"/>
        </w:rPr>
        <w:t>Sklic: člen 22(3)(d)(viii) uredbe o skupnih določbah</w:t>
      </w:r>
    </w:p>
    <w:p w14:paraId="2E647A4C" w14:textId="77777777" w:rsidR="00A77B3E" w:rsidRDefault="00B16CCF">
      <w:pPr>
        <w:pStyle w:val="Naslov5"/>
        <w:spacing w:before="5pt" w:after="0pt"/>
        <w:rPr>
          <w:b w:val="0"/>
          <w:i w:val="0"/>
          <w:color w:val="000000"/>
          <w:sz w:val="24"/>
        </w:rPr>
      </w:pPr>
      <w:bookmarkStart w:id="416" w:name="_Toc256001177"/>
      <w:r>
        <w:rPr>
          <w:b w:val="0"/>
          <w:i w:val="0"/>
          <w:color w:val="000000"/>
          <w:sz w:val="24"/>
        </w:rPr>
        <w:t>Tabela 4: Razsežnost 1 – področje ukrepanja</w:t>
      </w:r>
      <w:bookmarkEnd w:id="416"/>
    </w:p>
    <w:p w14:paraId="5FB4712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85"/>
        <w:gridCol w:w="2293"/>
        <w:gridCol w:w="1665"/>
        <w:gridCol w:w="2376"/>
        <w:gridCol w:w="3226"/>
        <w:gridCol w:w="3127"/>
      </w:tblGrid>
      <w:tr w:rsidR="00823317" w14:paraId="1BC789E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66B4B3"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2EF958"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204EEE"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80CF82"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A5A046"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023C14" w14:textId="77777777" w:rsidR="00A77B3E" w:rsidRDefault="00B16CCF">
            <w:pPr>
              <w:spacing w:before="5pt"/>
              <w:jc w:val="center"/>
              <w:rPr>
                <w:color w:val="000000"/>
                <w:sz w:val="20"/>
              </w:rPr>
            </w:pPr>
            <w:r>
              <w:rPr>
                <w:color w:val="000000"/>
                <w:sz w:val="20"/>
              </w:rPr>
              <w:t>Znesek (v EUR)</w:t>
            </w:r>
          </w:p>
        </w:tc>
      </w:tr>
      <w:tr w:rsidR="00823317" w14:paraId="486C49F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02746E"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39700F" w14:textId="77777777" w:rsidR="00A77B3E" w:rsidRDefault="00B16CCF">
            <w:pPr>
              <w:spacing w:before="5pt"/>
              <w:rPr>
                <w:color w:val="000000"/>
                <w:sz w:val="20"/>
              </w:rPr>
            </w:pPr>
            <w:r>
              <w:rPr>
                <w:color w:val="000000"/>
                <w:sz w:val="20"/>
              </w:rPr>
              <w:t>RSO4.2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8CCFF5"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12C20B"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AB0A3F" w14:textId="77777777" w:rsidR="00A77B3E" w:rsidRDefault="00B16CCF">
            <w:pPr>
              <w:spacing w:before="5pt"/>
              <w:rPr>
                <w:color w:val="000000"/>
                <w:sz w:val="20"/>
              </w:rPr>
            </w:pPr>
            <w:r>
              <w:rPr>
                <w:color w:val="000000"/>
                <w:sz w:val="20"/>
              </w:rPr>
              <w:t>043. Gradnja novih energijsko učinkovitih stavb</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B4DC18" w14:textId="77777777" w:rsidR="00A77B3E" w:rsidRDefault="00B16CCF">
            <w:pPr>
              <w:spacing w:before="5pt"/>
              <w:jc w:val="end"/>
              <w:rPr>
                <w:color w:val="000000"/>
                <w:sz w:val="20"/>
              </w:rPr>
            </w:pPr>
            <w:r>
              <w:rPr>
                <w:color w:val="000000"/>
                <w:sz w:val="20"/>
              </w:rPr>
              <w:t>17.850.000,00</w:t>
            </w:r>
          </w:p>
        </w:tc>
      </w:tr>
      <w:tr w:rsidR="00823317" w14:paraId="595F755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5DE92F"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C79E39" w14:textId="77777777" w:rsidR="00A77B3E" w:rsidRDefault="00B16CCF">
            <w:pPr>
              <w:spacing w:before="5pt"/>
              <w:rPr>
                <w:color w:val="000000"/>
                <w:sz w:val="20"/>
              </w:rPr>
            </w:pPr>
            <w:r>
              <w:rPr>
                <w:color w:val="000000"/>
                <w:sz w:val="20"/>
              </w:rPr>
              <w:t>RSO4.2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0DA4C9"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776FB6"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0577E8" w14:textId="77777777" w:rsidR="00A77B3E" w:rsidRDefault="00B16CCF">
            <w:pPr>
              <w:spacing w:before="5pt"/>
              <w:rPr>
                <w:color w:val="000000"/>
                <w:sz w:val="20"/>
              </w:rPr>
            </w:pPr>
            <w:r>
              <w:rPr>
                <w:color w:val="000000"/>
                <w:sz w:val="20"/>
              </w:rPr>
              <w:t>122. Infrastruktura za osnovnošolsko in srednješolsko izobraževanje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D5C125" w14:textId="77777777" w:rsidR="00A77B3E" w:rsidRDefault="00B16CCF">
            <w:pPr>
              <w:spacing w:before="5pt"/>
              <w:jc w:val="end"/>
              <w:rPr>
                <w:color w:val="000000"/>
                <w:sz w:val="20"/>
              </w:rPr>
            </w:pPr>
            <w:r>
              <w:rPr>
                <w:color w:val="000000"/>
                <w:sz w:val="20"/>
              </w:rPr>
              <w:t>10.180.061,00</w:t>
            </w:r>
          </w:p>
        </w:tc>
      </w:tr>
      <w:tr w:rsidR="00823317" w14:paraId="1A62399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248C34"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237053" w14:textId="77777777" w:rsidR="00A77B3E" w:rsidRDefault="00B16CCF">
            <w:pPr>
              <w:spacing w:before="5pt"/>
              <w:rPr>
                <w:color w:val="000000"/>
                <w:sz w:val="20"/>
              </w:rPr>
            </w:pPr>
            <w:r>
              <w:rPr>
                <w:color w:val="000000"/>
                <w:sz w:val="20"/>
              </w:rPr>
              <w:t>RSO4.2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98D3EE"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0718A5"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493AD9" w14:textId="77777777" w:rsidR="00A77B3E" w:rsidRDefault="00B16CCF">
            <w:pPr>
              <w:spacing w:before="5pt"/>
              <w:rPr>
                <w:color w:val="000000"/>
                <w:sz w:val="20"/>
              </w:rPr>
            </w:pPr>
            <w:r>
              <w:rPr>
                <w:color w:val="000000"/>
                <w:sz w:val="20"/>
              </w:rPr>
              <w:t>123. Infrastruktura za terciarno izobraževanje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63668E" w14:textId="77777777" w:rsidR="00A77B3E" w:rsidRDefault="00B16CCF">
            <w:pPr>
              <w:spacing w:before="5pt"/>
              <w:jc w:val="end"/>
              <w:rPr>
                <w:color w:val="000000"/>
                <w:sz w:val="20"/>
              </w:rPr>
            </w:pPr>
            <w:r>
              <w:rPr>
                <w:color w:val="000000"/>
                <w:sz w:val="20"/>
              </w:rPr>
              <w:t>2.975.000,00</w:t>
            </w:r>
          </w:p>
        </w:tc>
      </w:tr>
      <w:tr w:rsidR="00823317" w14:paraId="5FE6AE2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4928AE"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AA8397" w14:textId="77777777" w:rsidR="00A77B3E" w:rsidRDefault="00B16CCF">
            <w:pPr>
              <w:spacing w:before="5pt"/>
              <w:rPr>
                <w:color w:val="000000"/>
                <w:sz w:val="20"/>
              </w:rPr>
            </w:pPr>
            <w:r>
              <w:rPr>
                <w:color w:val="000000"/>
                <w:sz w:val="20"/>
              </w:rPr>
              <w:t>RSO4.2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86EC4F"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244BDF"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7F7431" w14:textId="77777777" w:rsidR="00A77B3E" w:rsidRDefault="00B16CCF">
            <w:pPr>
              <w:spacing w:before="5pt"/>
              <w:rPr>
                <w:color w:val="000000"/>
                <w:sz w:val="20"/>
              </w:rPr>
            </w:pPr>
            <w:r>
              <w:rPr>
                <w:color w:val="000000"/>
                <w:sz w:val="20"/>
              </w:rPr>
              <w:t>124. Infrastruktura za poklicno izobraževanje in usposabljanje ter izobraževanje odraslih</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9965E3" w14:textId="77777777" w:rsidR="00A77B3E" w:rsidRDefault="00B16CCF">
            <w:pPr>
              <w:spacing w:before="5pt"/>
              <w:jc w:val="end"/>
              <w:rPr>
                <w:color w:val="000000"/>
                <w:sz w:val="20"/>
              </w:rPr>
            </w:pPr>
            <w:r>
              <w:rPr>
                <w:color w:val="000000"/>
                <w:sz w:val="20"/>
              </w:rPr>
              <w:t>1.795.000,00</w:t>
            </w:r>
          </w:p>
        </w:tc>
      </w:tr>
      <w:tr w:rsidR="00823317" w14:paraId="504D4D1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B4BFBA"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2C1212" w14:textId="77777777" w:rsidR="00A77B3E" w:rsidRDefault="00B16CCF">
            <w:pPr>
              <w:spacing w:before="5pt"/>
              <w:rPr>
                <w:color w:val="000000"/>
                <w:sz w:val="20"/>
              </w:rPr>
            </w:pPr>
            <w:r>
              <w:rPr>
                <w:color w:val="000000"/>
                <w:sz w:val="20"/>
              </w:rPr>
              <w:t>RSO4.2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BE0BA9"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D24B6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A395A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B1A681" w14:textId="77777777" w:rsidR="00A77B3E" w:rsidRDefault="00B16CCF">
            <w:pPr>
              <w:spacing w:before="5pt"/>
              <w:jc w:val="end"/>
              <w:rPr>
                <w:color w:val="000000"/>
                <w:sz w:val="20"/>
              </w:rPr>
            </w:pPr>
            <w:r>
              <w:rPr>
                <w:color w:val="000000"/>
                <w:sz w:val="20"/>
              </w:rPr>
              <w:t>32.800.061,00</w:t>
            </w:r>
          </w:p>
        </w:tc>
      </w:tr>
    </w:tbl>
    <w:p w14:paraId="4094892F" w14:textId="77777777" w:rsidR="00A77B3E" w:rsidRDefault="00A77B3E">
      <w:pPr>
        <w:spacing w:before="5pt"/>
        <w:rPr>
          <w:color w:val="000000"/>
          <w:sz w:val="20"/>
        </w:rPr>
      </w:pPr>
    </w:p>
    <w:p w14:paraId="1D5FB1A2" w14:textId="77777777" w:rsidR="00A77B3E" w:rsidRDefault="00B16CCF">
      <w:pPr>
        <w:pStyle w:val="Naslov5"/>
        <w:spacing w:before="5pt" w:after="0pt"/>
        <w:rPr>
          <w:b w:val="0"/>
          <w:i w:val="0"/>
          <w:color w:val="000000"/>
          <w:sz w:val="24"/>
        </w:rPr>
      </w:pPr>
      <w:bookmarkStart w:id="417" w:name="_Toc256001178"/>
      <w:r>
        <w:rPr>
          <w:b w:val="0"/>
          <w:i w:val="0"/>
          <w:color w:val="000000"/>
          <w:sz w:val="24"/>
        </w:rPr>
        <w:t>Tabela 5: Razsežnost 2 – oblika financiranja</w:t>
      </w:r>
      <w:bookmarkEnd w:id="417"/>
    </w:p>
    <w:p w14:paraId="7B2E5A5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93"/>
        <w:gridCol w:w="2392"/>
        <w:gridCol w:w="1737"/>
        <w:gridCol w:w="2480"/>
        <w:gridCol w:w="2706"/>
        <w:gridCol w:w="3264"/>
      </w:tblGrid>
      <w:tr w:rsidR="00823317" w14:paraId="5AE5262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4D5257"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5CA20D"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C1D3BE"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E50626"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829CFC0"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13BA76" w14:textId="77777777" w:rsidR="00A77B3E" w:rsidRDefault="00B16CCF">
            <w:pPr>
              <w:spacing w:before="5pt"/>
              <w:jc w:val="center"/>
              <w:rPr>
                <w:color w:val="000000"/>
                <w:sz w:val="20"/>
              </w:rPr>
            </w:pPr>
            <w:r>
              <w:rPr>
                <w:color w:val="000000"/>
                <w:sz w:val="20"/>
              </w:rPr>
              <w:t>Znesek (v EUR)</w:t>
            </w:r>
          </w:p>
        </w:tc>
      </w:tr>
      <w:tr w:rsidR="00823317" w14:paraId="35D7927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F62FA4"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8E6F42" w14:textId="77777777" w:rsidR="00A77B3E" w:rsidRDefault="00B16CCF">
            <w:pPr>
              <w:spacing w:before="5pt"/>
              <w:rPr>
                <w:color w:val="000000"/>
                <w:sz w:val="20"/>
              </w:rPr>
            </w:pPr>
            <w:r>
              <w:rPr>
                <w:color w:val="000000"/>
                <w:sz w:val="20"/>
              </w:rPr>
              <w:t>RSO4.2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4F1829"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5EA6ED"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369742" w14:textId="77777777" w:rsidR="00A77B3E" w:rsidRDefault="00B16CCF">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558B8D" w14:textId="77777777" w:rsidR="00A77B3E" w:rsidRDefault="00B16CCF">
            <w:pPr>
              <w:spacing w:before="5pt"/>
              <w:jc w:val="end"/>
              <w:rPr>
                <w:color w:val="000000"/>
                <w:sz w:val="20"/>
              </w:rPr>
            </w:pPr>
            <w:r>
              <w:rPr>
                <w:color w:val="000000"/>
                <w:sz w:val="20"/>
              </w:rPr>
              <w:t>32.800.061,00</w:t>
            </w:r>
          </w:p>
        </w:tc>
      </w:tr>
      <w:tr w:rsidR="00823317" w14:paraId="5953B5E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1B9F53" w14:textId="77777777" w:rsidR="00A77B3E" w:rsidRDefault="00B16CCF">
            <w:pPr>
              <w:spacing w:before="5pt"/>
              <w:rPr>
                <w:color w:val="000000"/>
                <w:sz w:val="20"/>
              </w:rPr>
            </w:pPr>
            <w:r>
              <w:rPr>
                <w:color w:val="000000"/>
                <w:sz w:val="20"/>
              </w:rPr>
              <w:lastRenderedPageBreak/>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BC0BCC" w14:textId="77777777" w:rsidR="00A77B3E" w:rsidRDefault="00B16CCF">
            <w:pPr>
              <w:spacing w:before="5pt"/>
              <w:rPr>
                <w:color w:val="000000"/>
                <w:sz w:val="20"/>
              </w:rPr>
            </w:pPr>
            <w:r>
              <w:rPr>
                <w:color w:val="000000"/>
                <w:sz w:val="20"/>
              </w:rPr>
              <w:t>RSO4.2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1D4004"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2DA80F"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94F4C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7F7260" w14:textId="77777777" w:rsidR="00A77B3E" w:rsidRDefault="00B16CCF">
            <w:pPr>
              <w:spacing w:before="5pt"/>
              <w:jc w:val="end"/>
              <w:rPr>
                <w:color w:val="000000"/>
                <w:sz w:val="20"/>
              </w:rPr>
            </w:pPr>
            <w:r>
              <w:rPr>
                <w:color w:val="000000"/>
                <w:sz w:val="20"/>
              </w:rPr>
              <w:t>32.800.061,00</w:t>
            </w:r>
          </w:p>
        </w:tc>
      </w:tr>
    </w:tbl>
    <w:p w14:paraId="7B7711E5" w14:textId="77777777" w:rsidR="00A77B3E" w:rsidRDefault="00A77B3E">
      <w:pPr>
        <w:spacing w:before="5pt"/>
        <w:rPr>
          <w:color w:val="000000"/>
          <w:sz w:val="20"/>
        </w:rPr>
      </w:pPr>
    </w:p>
    <w:p w14:paraId="21F6855D" w14:textId="77777777" w:rsidR="00A77B3E" w:rsidRDefault="00B16CCF">
      <w:pPr>
        <w:pStyle w:val="Naslov5"/>
        <w:spacing w:before="5pt" w:after="0pt"/>
        <w:rPr>
          <w:b w:val="0"/>
          <w:i w:val="0"/>
          <w:color w:val="000000"/>
          <w:sz w:val="24"/>
        </w:rPr>
      </w:pPr>
      <w:bookmarkStart w:id="418" w:name="_Toc256001179"/>
      <w:r>
        <w:rPr>
          <w:b w:val="0"/>
          <w:i w:val="0"/>
          <w:color w:val="000000"/>
          <w:sz w:val="24"/>
        </w:rPr>
        <w:t>Tabela 6: Razsežnost 3 – mehanizem za ozemeljsko izvrševanje in ozemeljski pristop</w:t>
      </w:r>
      <w:bookmarkEnd w:id="418"/>
    </w:p>
    <w:p w14:paraId="09670E5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26"/>
        <w:gridCol w:w="2331"/>
        <w:gridCol w:w="1692"/>
        <w:gridCol w:w="2416"/>
        <w:gridCol w:w="3027"/>
        <w:gridCol w:w="3180"/>
      </w:tblGrid>
      <w:tr w:rsidR="00823317" w14:paraId="4A91F52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9DD301"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B4BE6E"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FA5F78"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2D72CF"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09A3E7A"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5B888A" w14:textId="77777777" w:rsidR="00A77B3E" w:rsidRDefault="00B16CCF">
            <w:pPr>
              <w:spacing w:before="5pt"/>
              <w:jc w:val="center"/>
              <w:rPr>
                <w:color w:val="000000"/>
                <w:sz w:val="20"/>
              </w:rPr>
            </w:pPr>
            <w:r>
              <w:rPr>
                <w:color w:val="000000"/>
                <w:sz w:val="20"/>
              </w:rPr>
              <w:t>Znesek (v EUR)</w:t>
            </w:r>
          </w:p>
        </w:tc>
      </w:tr>
      <w:tr w:rsidR="00823317" w14:paraId="19B04F8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764C34"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5656D5" w14:textId="77777777" w:rsidR="00A77B3E" w:rsidRDefault="00B16CCF">
            <w:pPr>
              <w:spacing w:before="5pt"/>
              <w:rPr>
                <w:color w:val="000000"/>
                <w:sz w:val="20"/>
              </w:rPr>
            </w:pPr>
            <w:r>
              <w:rPr>
                <w:color w:val="000000"/>
                <w:sz w:val="20"/>
              </w:rPr>
              <w:t>RSO4.2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4E1175"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007471"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800311" w14:textId="77777777" w:rsidR="00A77B3E" w:rsidRDefault="00B16CCF">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029238" w14:textId="77777777" w:rsidR="00A77B3E" w:rsidRDefault="00B16CCF">
            <w:pPr>
              <w:spacing w:before="5pt"/>
              <w:jc w:val="end"/>
              <w:rPr>
                <w:color w:val="000000"/>
                <w:sz w:val="20"/>
              </w:rPr>
            </w:pPr>
            <w:r>
              <w:rPr>
                <w:color w:val="000000"/>
                <w:sz w:val="20"/>
              </w:rPr>
              <w:t>32.800.061,00</w:t>
            </w:r>
          </w:p>
        </w:tc>
      </w:tr>
      <w:tr w:rsidR="00823317" w14:paraId="362CCCB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E7B813"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8D7610" w14:textId="77777777" w:rsidR="00A77B3E" w:rsidRDefault="00B16CCF">
            <w:pPr>
              <w:spacing w:before="5pt"/>
              <w:rPr>
                <w:color w:val="000000"/>
                <w:sz w:val="20"/>
              </w:rPr>
            </w:pPr>
            <w:r>
              <w:rPr>
                <w:color w:val="000000"/>
                <w:sz w:val="20"/>
              </w:rPr>
              <w:t>RSO4.2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F71065"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3C983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A8E959"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0CD3F8" w14:textId="77777777" w:rsidR="00A77B3E" w:rsidRDefault="00B16CCF">
            <w:pPr>
              <w:spacing w:before="5pt"/>
              <w:jc w:val="end"/>
              <w:rPr>
                <w:color w:val="000000"/>
                <w:sz w:val="20"/>
              </w:rPr>
            </w:pPr>
            <w:r>
              <w:rPr>
                <w:color w:val="000000"/>
                <w:sz w:val="20"/>
              </w:rPr>
              <w:t>32.800.061,00</w:t>
            </w:r>
          </w:p>
        </w:tc>
      </w:tr>
    </w:tbl>
    <w:p w14:paraId="6FB6CA51" w14:textId="77777777" w:rsidR="00A77B3E" w:rsidRDefault="00A77B3E">
      <w:pPr>
        <w:spacing w:before="5pt"/>
        <w:rPr>
          <w:color w:val="000000"/>
          <w:sz w:val="20"/>
        </w:rPr>
      </w:pPr>
    </w:p>
    <w:p w14:paraId="527C81F5" w14:textId="77777777" w:rsidR="00A77B3E" w:rsidRDefault="00B16CCF">
      <w:pPr>
        <w:pStyle w:val="Naslov5"/>
        <w:spacing w:before="5pt" w:after="0pt"/>
        <w:rPr>
          <w:b w:val="0"/>
          <w:i w:val="0"/>
          <w:color w:val="000000"/>
          <w:sz w:val="24"/>
        </w:rPr>
      </w:pPr>
      <w:bookmarkStart w:id="419" w:name="_Toc256001180"/>
      <w:r>
        <w:rPr>
          <w:b w:val="0"/>
          <w:i w:val="0"/>
          <w:color w:val="000000"/>
          <w:sz w:val="24"/>
        </w:rPr>
        <w:t>Tabela 7: Razsežnost 6 – sekundarna področja ESS+</w:t>
      </w:r>
      <w:bookmarkEnd w:id="419"/>
    </w:p>
    <w:p w14:paraId="0D9269A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117"/>
        <w:gridCol w:w="2877"/>
        <w:gridCol w:w="1780"/>
        <w:gridCol w:w="2982"/>
        <w:gridCol w:w="2259"/>
        <w:gridCol w:w="2157"/>
      </w:tblGrid>
      <w:tr w:rsidR="00823317" w14:paraId="2DB16E5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EBD062"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A61998"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309576"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E2C762"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07A34A"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D101990" w14:textId="77777777" w:rsidR="00A77B3E" w:rsidRDefault="00B16CCF">
            <w:pPr>
              <w:spacing w:before="5pt"/>
              <w:jc w:val="center"/>
              <w:rPr>
                <w:color w:val="000000"/>
                <w:sz w:val="20"/>
              </w:rPr>
            </w:pPr>
            <w:r>
              <w:rPr>
                <w:color w:val="000000"/>
                <w:sz w:val="20"/>
              </w:rPr>
              <w:t>Znesek (v EUR)</w:t>
            </w:r>
          </w:p>
        </w:tc>
      </w:tr>
    </w:tbl>
    <w:p w14:paraId="0AE224CC" w14:textId="77777777" w:rsidR="00A77B3E" w:rsidRDefault="00A77B3E">
      <w:pPr>
        <w:spacing w:before="5pt"/>
        <w:rPr>
          <w:color w:val="000000"/>
          <w:sz w:val="20"/>
        </w:rPr>
      </w:pPr>
    </w:p>
    <w:p w14:paraId="20AA53E5" w14:textId="77777777" w:rsidR="00A77B3E" w:rsidRDefault="00B16CCF">
      <w:pPr>
        <w:pStyle w:val="Naslov5"/>
        <w:spacing w:before="5pt" w:after="0pt"/>
        <w:rPr>
          <w:b w:val="0"/>
          <w:i w:val="0"/>
          <w:color w:val="000000"/>
          <w:sz w:val="24"/>
        </w:rPr>
      </w:pPr>
      <w:bookmarkStart w:id="420" w:name="_Toc256001181"/>
      <w:r>
        <w:rPr>
          <w:b w:val="0"/>
          <w:i w:val="0"/>
          <w:color w:val="000000"/>
          <w:sz w:val="24"/>
        </w:rPr>
        <w:t>Tabela 8: Razsežnost 7 – razsežnost enakosti spolov v okviru ESS+*, ESRR, Kohezijskega sklada in SPP</w:t>
      </w:r>
      <w:bookmarkEnd w:id="420"/>
    </w:p>
    <w:p w14:paraId="41612AF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13"/>
        <w:gridCol w:w="2411"/>
        <w:gridCol w:w="1750"/>
        <w:gridCol w:w="2498"/>
        <w:gridCol w:w="2612"/>
        <w:gridCol w:w="3288"/>
      </w:tblGrid>
      <w:tr w:rsidR="00823317" w14:paraId="39E82D3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BB31F5"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785C1E"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72DC1D"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73300F"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077C1A"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30C452" w14:textId="77777777" w:rsidR="00A77B3E" w:rsidRDefault="00B16CCF">
            <w:pPr>
              <w:spacing w:before="5pt"/>
              <w:jc w:val="center"/>
              <w:rPr>
                <w:color w:val="000000"/>
                <w:sz w:val="20"/>
              </w:rPr>
            </w:pPr>
            <w:r>
              <w:rPr>
                <w:color w:val="000000"/>
                <w:sz w:val="20"/>
              </w:rPr>
              <w:t>Znesek (v EUR)</w:t>
            </w:r>
          </w:p>
        </w:tc>
      </w:tr>
      <w:tr w:rsidR="00823317" w14:paraId="6028240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1B965C"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64192C" w14:textId="77777777" w:rsidR="00A77B3E" w:rsidRDefault="00B16CCF">
            <w:pPr>
              <w:spacing w:before="5pt"/>
              <w:rPr>
                <w:color w:val="000000"/>
                <w:sz w:val="20"/>
              </w:rPr>
            </w:pPr>
            <w:r>
              <w:rPr>
                <w:color w:val="000000"/>
                <w:sz w:val="20"/>
              </w:rPr>
              <w:t>RSO4.2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2666FA"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49754A"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256415" w14:textId="77777777" w:rsidR="00A77B3E" w:rsidRDefault="00B16CCF">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7D6F6A" w14:textId="77777777" w:rsidR="00A77B3E" w:rsidRDefault="00B16CCF">
            <w:pPr>
              <w:spacing w:before="5pt"/>
              <w:jc w:val="end"/>
              <w:rPr>
                <w:color w:val="000000"/>
                <w:sz w:val="20"/>
              </w:rPr>
            </w:pPr>
            <w:r>
              <w:rPr>
                <w:color w:val="000000"/>
                <w:sz w:val="20"/>
              </w:rPr>
              <w:t>32.800.061,00</w:t>
            </w:r>
          </w:p>
        </w:tc>
      </w:tr>
      <w:tr w:rsidR="00823317" w14:paraId="7E497D0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FAF74E"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EE7893" w14:textId="77777777" w:rsidR="00A77B3E" w:rsidRDefault="00B16CCF">
            <w:pPr>
              <w:spacing w:before="5pt"/>
              <w:rPr>
                <w:color w:val="000000"/>
                <w:sz w:val="20"/>
              </w:rPr>
            </w:pPr>
            <w:r>
              <w:rPr>
                <w:color w:val="000000"/>
                <w:sz w:val="20"/>
              </w:rPr>
              <w:t>RSO4.2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948860"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40B725"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BEF256"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63BCAA" w14:textId="77777777" w:rsidR="00A77B3E" w:rsidRDefault="00B16CCF">
            <w:pPr>
              <w:spacing w:before="5pt"/>
              <w:jc w:val="end"/>
              <w:rPr>
                <w:color w:val="000000"/>
                <w:sz w:val="20"/>
              </w:rPr>
            </w:pPr>
            <w:r>
              <w:rPr>
                <w:color w:val="000000"/>
                <w:sz w:val="20"/>
              </w:rPr>
              <w:t>32.800.061,00</w:t>
            </w:r>
          </w:p>
        </w:tc>
      </w:tr>
    </w:tbl>
    <w:p w14:paraId="644F5DDF" w14:textId="77777777" w:rsidR="00A77B3E" w:rsidRDefault="00B16CCF">
      <w:pPr>
        <w:spacing w:before="5pt"/>
        <w:rPr>
          <w:color w:val="000000"/>
          <w:sz w:val="20"/>
        </w:rPr>
      </w:pPr>
      <w:r>
        <w:rPr>
          <w:color w:val="000000"/>
          <w:sz w:val="20"/>
        </w:rPr>
        <w:t>* Načeloma 40 % za ESS+ prispeva k spremljanju enakosti spolov. 100 % se uporabi, kadar se država članica odloči za uporabo člena 6 uredbe o ESS+.</w:t>
      </w:r>
    </w:p>
    <w:p w14:paraId="53D1217B" w14:textId="77777777" w:rsidR="00A77B3E" w:rsidRDefault="00B16CCF">
      <w:pPr>
        <w:pStyle w:val="Naslov4"/>
        <w:spacing w:before="5pt" w:after="0pt"/>
        <w:rPr>
          <w:b w:val="0"/>
          <w:color w:val="000000"/>
          <w:sz w:val="24"/>
        </w:rPr>
      </w:pPr>
      <w:r>
        <w:rPr>
          <w:b w:val="0"/>
          <w:color w:val="000000"/>
          <w:sz w:val="24"/>
        </w:rPr>
        <w:br w:type="page"/>
      </w:r>
      <w:bookmarkStart w:id="421" w:name="_Toc256001182"/>
      <w:r>
        <w:rPr>
          <w:b w:val="0"/>
          <w:color w:val="000000"/>
          <w:sz w:val="24"/>
        </w:rPr>
        <w:lastRenderedPageBreak/>
        <w:t>2.1.1.1. Specifični cilj: ESO4.1. Izboljšanje dostopa do zaposlitve in aktivacijski ukrepi za vse iskalce zaposlitve, zlasti mlade, predvsem v okviru izvajanja jamstva za mlade, dolgotrajno brezposelne in prikrajšane skupine na trgu dela, in neaktivne osebe, kot tudi s spodbujanjem samozaposlovanja in socialnega gospodarstva (ESS+)</w:t>
      </w:r>
      <w:bookmarkEnd w:id="421"/>
    </w:p>
    <w:p w14:paraId="18FE53FD" w14:textId="77777777" w:rsidR="00A77B3E" w:rsidRDefault="00A77B3E">
      <w:pPr>
        <w:spacing w:before="5pt"/>
        <w:rPr>
          <w:color w:val="000000"/>
          <w:sz w:val="0"/>
        </w:rPr>
      </w:pPr>
    </w:p>
    <w:p w14:paraId="6FE8BE64" w14:textId="77777777" w:rsidR="00A77B3E" w:rsidRDefault="00B16CCF">
      <w:pPr>
        <w:pStyle w:val="Naslov4"/>
        <w:spacing w:before="5pt" w:after="0pt"/>
        <w:rPr>
          <w:b w:val="0"/>
          <w:color w:val="000000"/>
          <w:sz w:val="24"/>
        </w:rPr>
      </w:pPr>
      <w:bookmarkStart w:id="422" w:name="_Toc256001183"/>
      <w:r>
        <w:rPr>
          <w:b w:val="0"/>
          <w:color w:val="000000"/>
          <w:sz w:val="24"/>
        </w:rPr>
        <w:t>2.1.1.1.1. Ukrepi skladov</w:t>
      </w:r>
      <w:bookmarkEnd w:id="422"/>
    </w:p>
    <w:p w14:paraId="4EDCE5FB" w14:textId="77777777" w:rsidR="00A77B3E" w:rsidRDefault="00A77B3E">
      <w:pPr>
        <w:spacing w:before="5pt"/>
        <w:rPr>
          <w:color w:val="000000"/>
          <w:sz w:val="0"/>
        </w:rPr>
      </w:pPr>
    </w:p>
    <w:p w14:paraId="0B6FBE81" w14:textId="77777777" w:rsidR="00A77B3E" w:rsidRDefault="00B16CCF">
      <w:pPr>
        <w:spacing w:before="5pt"/>
        <w:rPr>
          <w:color w:val="000000"/>
          <w:sz w:val="0"/>
        </w:rPr>
      </w:pPr>
      <w:r>
        <w:rPr>
          <w:color w:val="000000"/>
        </w:rPr>
        <w:t>Sklic: člen 22(3)(d)(i), (iii), (iv), (v), (vi) in (vii) uredbe o skupnih določbah</w:t>
      </w:r>
    </w:p>
    <w:p w14:paraId="58EC190D" w14:textId="77777777" w:rsidR="00A77B3E" w:rsidRDefault="00B16CCF">
      <w:pPr>
        <w:pStyle w:val="Naslov5"/>
        <w:spacing w:before="5pt" w:after="0pt"/>
        <w:rPr>
          <w:b w:val="0"/>
          <w:i w:val="0"/>
          <w:color w:val="000000"/>
          <w:sz w:val="24"/>
        </w:rPr>
      </w:pPr>
      <w:bookmarkStart w:id="423" w:name="_Toc256001184"/>
      <w:r>
        <w:rPr>
          <w:b w:val="0"/>
          <w:i w:val="0"/>
          <w:color w:val="000000"/>
          <w:sz w:val="24"/>
        </w:rPr>
        <w:t>Povezane vrste ukrepov – člen 22(3)(d)(i) uredbe o skupnih določbah in člen 6 uredbe o ESS+:</w:t>
      </w:r>
      <w:bookmarkEnd w:id="423"/>
    </w:p>
    <w:p w14:paraId="7489FEC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3E617CD2"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00308B" w14:textId="77777777" w:rsidR="00A77B3E" w:rsidRDefault="00A77B3E">
            <w:pPr>
              <w:spacing w:before="5pt"/>
              <w:rPr>
                <w:color w:val="000000"/>
                <w:sz w:val="0"/>
              </w:rPr>
            </w:pPr>
          </w:p>
          <w:p w14:paraId="3B53484C" w14:textId="77777777" w:rsidR="00A77B3E" w:rsidRDefault="00B16CCF">
            <w:pPr>
              <w:spacing w:before="5pt"/>
              <w:rPr>
                <w:color w:val="000000"/>
              </w:rPr>
            </w:pPr>
            <w:r>
              <w:rPr>
                <w:color w:val="000000"/>
              </w:rPr>
              <w:t>Da bi v prihodnje zagotovili ustrezne in zadostne kadre za potrebe delodajalcev bo v Sloveniji posebno pozornost in prilagojene aktivnosti treba nameniti celotni skupini brezposelnih oseb, še zlasti pa dolgotrajno brezposelnim, starejšim in nizko izobraženim (tudi oseb z ISCED 3 ravnjo izobrazbe), kot tudi iskalcem zaposlitve ter osebam, katerih zaposlitev oz. samozaposlitev je ogrožena, predvsem z vidika zagotavljanja ustreznih kompetenc za lažji prehod na trg delovne sile ter skrajševanje trajanja brezposelnosti. Potrebna je krepitev opolnomočenosti zgoraj navedenih ciljnih skupin na trgu dela z vidika poznavanja pravic iz delovnih razmerij s ciljem zagotavljanja njihove socialne varnosti, zlasti ko bi se lahko soočali z zaposlitvami v atipičnih oblikah dela, prikritimi delovnimi razmerji ali prekarizacijo dela. Predpogoj za učinkovitost ukrepov v tem SC je ustvarjanje novih in kakovostnejših delovnih mest, za katere bo potrebno posebno pozornost namenjati tudi krepitvi digitalnih kompetenc, znanj za zeleni prehod in krožno gospodarstvo ter za družbeni razvoj nasploh[1]kot tudi dodatnemu oblikovanju ukrepov za spodbujanje zaposlovanja mladih in dolgotrajno brezposelnih.</w:t>
            </w:r>
          </w:p>
          <w:p w14:paraId="05095292" w14:textId="77777777" w:rsidR="00A77B3E" w:rsidRDefault="00A77B3E">
            <w:pPr>
              <w:spacing w:before="5pt"/>
              <w:rPr>
                <w:color w:val="000000"/>
              </w:rPr>
            </w:pPr>
          </w:p>
          <w:p w14:paraId="51B15F0A" w14:textId="77777777" w:rsidR="00A77B3E" w:rsidRDefault="00B16CCF">
            <w:pPr>
              <w:spacing w:before="5pt"/>
              <w:rPr>
                <w:color w:val="000000"/>
              </w:rPr>
            </w:pPr>
            <w:r>
              <w:rPr>
                <w:color w:val="000000"/>
              </w:rPr>
              <w:t>Poleg tega je ključno na eni strani zagotavljanje socialne varnosti zaposlenim v nestandardnih oblikah dela, odpravljanje prikritih delovnih razmerij in prekarizacije dela, na drugi strani pa ustvarjanje novih in kakovostnejših delovnih mest ter oblikovanje ukrepov za spodbujanje zaposlovanja mladih in dolgotrajno brezposelnih.</w:t>
            </w:r>
          </w:p>
          <w:p w14:paraId="1C97DEB9" w14:textId="77777777" w:rsidR="00A77B3E" w:rsidRDefault="00A77B3E">
            <w:pPr>
              <w:spacing w:before="5pt"/>
              <w:rPr>
                <w:color w:val="000000"/>
              </w:rPr>
            </w:pPr>
          </w:p>
          <w:p w14:paraId="09481BC1" w14:textId="77777777" w:rsidR="00A77B3E" w:rsidRDefault="00B16CCF">
            <w:pPr>
              <w:spacing w:before="5pt"/>
              <w:rPr>
                <w:color w:val="000000"/>
              </w:rPr>
            </w:pPr>
            <w:r>
              <w:rPr>
                <w:color w:val="000000"/>
              </w:rPr>
              <w:t>V okviru specifičnega cilja ESO4.1 bodo tako podprti naslednji ukrepi:</w:t>
            </w:r>
          </w:p>
          <w:p w14:paraId="2E5D6599" w14:textId="77777777" w:rsidR="00A77B3E" w:rsidRDefault="00A77B3E">
            <w:pPr>
              <w:spacing w:before="5pt"/>
              <w:rPr>
                <w:color w:val="000000"/>
              </w:rPr>
            </w:pPr>
          </w:p>
          <w:p w14:paraId="500F780C" w14:textId="77777777" w:rsidR="00A77B3E" w:rsidRDefault="00B16CCF">
            <w:pPr>
              <w:spacing w:before="5pt"/>
              <w:rPr>
                <w:color w:val="000000"/>
              </w:rPr>
            </w:pPr>
            <w:r>
              <w:rPr>
                <w:color w:val="000000"/>
              </w:rPr>
              <w:t xml:space="preserve">•izvajanje ukrepov </w:t>
            </w:r>
            <w:r>
              <w:rPr>
                <w:i/>
                <w:iCs/>
                <w:color w:val="000000"/>
              </w:rPr>
              <w:t>aktivne politike zaposlovanja</w:t>
            </w:r>
            <w:r>
              <w:rPr>
                <w:color w:val="000000"/>
              </w:rPr>
              <w:t xml:space="preserve"> (APZ) za učinkovito in hitro spodbujanje dostopa do zaposlitve za ciljne skupine starejših, nižje izobraženih, invalidov in neaktivnih v njihovem obdobju delovne aktivnosti preko aktivacije z usposabljanjem in izobraževanjem brezposelnih oseb in spodbudami za zaposlitev (subvencije za zaposlitev, povračila dela plače, ipd.). Vsebina neformalnih usposabljanj ali formalnih izobraževanj za brezposelne osebe bo opredeljena oz. še bolj prilagojena glede na potrebe delodajalcev predvsem na lokalni ravni območnih služb ZRSZ, upoštevajoč trajnost in zelena delovna mesta, avtomatizacijo in digitalizacijo delovnih mest. Identifikacijo potreb delodajalcev pri iskanju ustreznih kadrov bomo okrepili preko ukrepov SC ESO4.2, v okviru načrtovane</w:t>
            </w:r>
            <w:r>
              <w:rPr>
                <w:i/>
                <w:iCs/>
                <w:color w:val="000000"/>
              </w:rPr>
              <w:t xml:space="preserve"> Platforme trga dela, </w:t>
            </w:r>
            <w:r>
              <w:rPr>
                <w:color w:val="000000"/>
              </w:rPr>
              <w:t>potrebnih na trgu dela in mreže pisarn za delodajalce na ZRSZ. Glede na potrebe delodajalcev bodo osebe vključene v ciljno usmerjena usposabljanja.</w:t>
            </w:r>
          </w:p>
          <w:p w14:paraId="7C7D398D" w14:textId="77777777" w:rsidR="00A77B3E" w:rsidRDefault="00B16CCF">
            <w:pPr>
              <w:spacing w:before="5pt"/>
              <w:rPr>
                <w:color w:val="000000"/>
              </w:rPr>
            </w:pPr>
            <w:r>
              <w:rPr>
                <w:color w:val="000000"/>
              </w:rPr>
              <w:t>V obdobju 2021-2027 se bo še bolj povezalo spodbude za zaposlitev s predhodnim usposabljanjem ali poskusnim delom ter spremljanjem po zaposlitvi brezposelnih oseb iz najbolj ranljivih ciljnih skupin[2], in sicer s ciljem zagotavljati ustrezne kompetence za potrebe delodajalcev ter posledično stabilnejše/dolgotrajnejše zaposlitve oz. preprečevanja njihove dolgotrajne brezposelnosti.</w:t>
            </w:r>
          </w:p>
          <w:p w14:paraId="6B15C437" w14:textId="77777777" w:rsidR="00A77B3E" w:rsidRDefault="00B16CCF">
            <w:pPr>
              <w:spacing w:before="5pt"/>
              <w:rPr>
                <w:color w:val="000000"/>
              </w:rPr>
            </w:pPr>
            <w:r>
              <w:rPr>
                <w:color w:val="000000"/>
              </w:rPr>
              <w:lastRenderedPageBreak/>
              <w:t>Za doseganje ciljev Akcijskega načrta Evropskega stebra socialnih pravic in nacionalnih ciljev Slovenije 2030 bodo ukrepi usmerjeni predvsem v zmanjšanje dolgotrajne brezposelnosti in brezposelnosti nizko izobraženih ter podaljševanje delovne aktivnosti predvsem starejših, pri katerih bo ključnega pomena vključenost v vseživljenjsko učenje za potrebe prilagajanja digitalizaciji in avtomatizaciji delovnih mest. Ukrepi bodo oblikovani upoštevajoč teritorialne neenakosti. V skladu s potrebami se bodo sredstva namenjala v obeh kohezijskih regijah, intenziteta bo v KRVS nekoliko večja.</w:t>
            </w:r>
          </w:p>
          <w:p w14:paraId="3D1564B2" w14:textId="77777777" w:rsidR="00A77B3E" w:rsidRDefault="00B16CCF">
            <w:pPr>
              <w:spacing w:before="5pt"/>
              <w:rPr>
                <w:color w:val="000000"/>
              </w:rPr>
            </w:pPr>
            <w:r>
              <w:rPr>
                <w:color w:val="000000"/>
              </w:rPr>
              <w:t>Ukrepi bodo naslavljali tudi vključevanje migrantov na trg dela prek vključitev posameznikov v programe APZ, s čimer bo omogočen dostop do delodajalcev. Zagotovljena bo enaka obravnava in vključevanje moških in žensk v ukrepe. Ukrepi bodo naslavljali tudi najbolj ranljive skupine žensk in moških.</w:t>
            </w:r>
          </w:p>
          <w:p w14:paraId="78C4DE19" w14:textId="77777777" w:rsidR="00A77B3E" w:rsidRDefault="00A77B3E">
            <w:pPr>
              <w:spacing w:before="5pt"/>
              <w:rPr>
                <w:color w:val="000000"/>
              </w:rPr>
            </w:pPr>
          </w:p>
          <w:p w14:paraId="33895254" w14:textId="77777777" w:rsidR="00A77B3E" w:rsidRDefault="00B16CCF">
            <w:pPr>
              <w:spacing w:before="5pt"/>
              <w:rPr>
                <w:color w:val="000000"/>
              </w:rPr>
            </w:pPr>
            <w:r>
              <w:rPr>
                <w:color w:val="000000"/>
              </w:rPr>
              <w:t xml:space="preserve">•izvajanje </w:t>
            </w:r>
            <w:r>
              <w:rPr>
                <w:i/>
                <w:iCs/>
                <w:color w:val="000000"/>
              </w:rPr>
              <w:t xml:space="preserve">programov za ohranitev na trgu dela tistih skupin, katerih zaposlitev oziroma samozaposlitev je ogrožena ali začasna, zmanjševanje in preprečevanje prekarnosti ter preprečevanje prehoda nazaj v brezposelnost za ciljne skupine, ki se soočajo z atipičnimi oblikami dela, </w:t>
            </w:r>
            <w:r>
              <w:rPr>
                <w:color w:val="000000"/>
              </w:rPr>
              <w:t>in sicer:</w:t>
            </w:r>
          </w:p>
          <w:p w14:paraId="36283410" w14:textId="77777777" w:rsidR="00A77B3E" w:rsidRDefault="00B16CCF">
            <w:pPr>
              <w:spacing w:before="5pt"/>
              <w:rPr>
                <w:color w:val="000000"/>
              </w:rPr>
            </w:pPr>
            <w:r>
              <w:rPr>
                <w:color w:val="000000"/>
              </w:rPr>
              <w:t>oprogrami za ohranitev na trgu dela tistih skupin, katerih (samo)zaposlitev je ogrožena, začasna ali prekarna,</w:t>
            </w:r>
            <w:r>
              <w:rPr>
                <w:i/>
                <w:iCs/>
                <w:color w:val="000000"/>
              </w:rPr>
              <w:t xml:space="preserve"> </w:t>
            </w:r>
            <w:r>
              <w:rPr>
                <w:color w:val="000000"/>
              </w:rPr>
              <w:t>s katerimi se spodbuja vključevanje zaposlenih v različne oblike informiranja, motiviranja, kariernega svetovanja, usposabljanja ali izobraževanja (kjer bo omogočeno vključevanje tudi v programe usposabljanj in izobraževanj s področja zelenih, trajnostnih, digitalnih in drugih vsebin, ki bodo prilagojena potrebam trga dela). S tem se bo zaposlenim in prekarnim delavcem, katerih zaposlitev je ogrožena ali se soočajo z atipičnimi oblikami dela, omogočil lažji prehod na nova delovna mesta ali nova zaposlitev oz. se jim bodo povečale zaposlitvene možnosti. Tako se bo lahko pravočasno aktiviralo osebe in preprečevalo njihov prehod v odprto brezposelnost.</w:t>
            </w:r>
          </w:p>
          <w:p w14:paraId="3F621198" w14:textId="77777777" w:rsidR="00A77B3E" w:rsidRDefault="00B16CCF">
            <w:pPr>
              <w:spacing w:before="5pt"/>
              <w:rPr>
                <w:color w:val="000000"/>
              </w:rPr>
            </w:pPr>
            <w:r>
              <w:rPr>
                <w:color w:val="000000"/>
              </w:rPr>
              <w:t>oNaslavljanje problematike prekarnosti mladih na trgu dela z vzpostavitvijo podpornega okolja v mladinskem sektorju in izvedbo pilotnih projektov na terenu. V okviru podpornega okolja se bo zagotovilo ustrezno ozaveščanje in opolnomočenje mladih in akterjev v mladinskem sektorju (organizacij in mladinskih delavcev) ter informiranje splošne javnosti, o problematiki prekarnosti med mladimi. V okviru izvedbe pilotnih projektov na terenu bodo opolnomočene organizacije v mladinskem sektorju mladim nudile podporo pri ozaveščanju o prekarnosti, soočenju s posledicami prekarnosti in prekarnih oblik zaposlitev tudi v okviru usposabljanj. Pri aktivnostih se bo ukrep oprl na načela in metode kakovostnega mladinskega dela. Ukrep se bo izvajal na nacionalni ravni z namenom sistemske podpore na nacionalni ravni.</w:t>
            </w:r>
          </w:p>
          <w:p w14:paraId="3049CE82" w14:textId="77777777" w:rsidR="00A77B3E" w:rsidRDefault="00A77B3E">
            <w:pPr>
              <w:spacing w:before="5pt"/>
              <w:rPr>
                <w:color w:val="000000"/>
              </w:rPr>
            </w:pPr>
          </w:p>
          <w:p w14:paraId="1A842659" w14:textId="77777777" w:rsidR="00A77B3E" w:rsidRDefault="00B16CCF">
            <w:pPr>
              <w:spacing w:before="5pt"/>
              <w:rPr>
                <w:color w:val="000000"/>
              </w:rPr>
            </w:pPr>
            <w:r>
              <w:rPr>
                <w:color w:val="000000"/>
              </w:rPr>
              <w:t>•</w:t>
            </w:r>
            <w:r>
              <w:rPr>
                <w:i/>
                <w:iCs/>
                <w:color w:val="000000"/>
              </w:rPr>
              <w:t>ukrepi spodbujanja samozaposlovanja in socialnega gospodarstva, in sicer:</w:t>
            </w:r>
          </w:p>
          <w:p w14:paraId="5ABFE4FE" w14:textId="77777777" w:rsidR="00A77B3E" w:rsidRDefault="00B16CCF">
            <w:pPr>
              <w:spacing w:before="5pt"/>
              <w:rPr>
                <w:color w:val="000000"/>
              </w:rPr>
            </w:pPr>
            <w:r>
              <w:rPr>
                <w:color w:val="000000"/>
              </w:rPr>
              <w:t>orazvoj in profesionalizacija socialnega gospodarstva s ciljem povečanja zaposlitvenih možnosti v sektorju socialne ekonomije, izboljšanja kompetenc zaposlenih ter ustvarjanja kakovostnih in varnih zaposlitev ter povečanjem sposobnosti sektorja za aplikacijo družbenih inovacij v delovne oziroma poslovne modele, ki bodo podprte v MSP oziroma socialnih podjetjih. Ukrep bo usmerjen v vzpostavitev podpornega okolja, sistema mentorstev ter neposredne podpore za razvoj, subjektov socialne ekonomije oziroma oseb, vključenih v ukrepe z namenom spodbujanja razvoja storitev in blaga z družbenimi učinki. Ukrepi bodo komplementarno dopolnjevali spodbude MSP in subjektov socialne ekonomije ter jim omogočili boljši dostop do trga in posledično ustvarjanje novih delovnih mest. Profesionalizacija bo usmerjena tudi v uporabo in razvoj digitalnih kompetenc, novih poslovnih modelov ter veščin za ustvarjenje in merjene družbenih učinkov socialnih podjetij oziroma učinkov razvitih družbenih inovacij.</w:t>
            </w:r>
          </w:p>
          <w:p w14:paraId="0EC0DB1D" w14:textId="77777777" w:rsidR="00A77B3E" w:rsidRDefault="00B16CCF">
            <w:pPr>
              <w:spacing w:before="5pt"/>
              <w:rPr>
                <w:color w:val="000000"/>
              </w:rPr>
            </w:pPr>
            <w:r>
              <w:rPr>
                <w:color w:val="000000"/>
              </w:rPr>
              <w:t xml:space="preserve">oProgrami usposabljanja za spodbujanje ženskega podjetništva, spodbujanje ustvarjalnosti, podjetnosti in inovativnosti pri mladih ter implementacija novih poslovnih modelov vključno s podporo trajnostni integraciji na trg dela: za ženske in mlade, ki želijo postati podjetniki ali podjetnice, je potrebna podpora </w:t>
            </w:r>
            <w:r>
              <w:rPr>
                <w:color w:val="000000"/>
              </w:rPr>
              <w:lastRenderedPageBreak/>
              <w:t>pred vstopom na podjetniško pot kakor tudi po ustanovitvi podjetja. Z intenzivnim in daljšim brezplačnim usposabljanjem bomo omogočili pridobitev kompetenc, z namenom ženske in mlade opolnomočiti za podjetništvo, tudi s poudarkom na specifičnih kompetencah, vezanih na globalne trende.</w:t>
            </w:r>
          </w:p>
          <w:p w14:paraId="17A29E29" w14:textId="77777777" w:rsidR="00A77B3E" w:rsidRDefault="00B16CCF">
            <w:pPr>
              <w:spacing w:before="5pt"/>
              <w:rPr>
                <w:color w:val="000000"/>
              </w:rPr>
            </w:pPr>
            <w:r>
              <w:rPr>
                <w:color w:val="000000"/>
              </w:rPr>
              <w:t>Na osnovi izkušenj iz 2014-2020 glede podpore posebnim ciljnim skupinam (mladi, ženske) s subvencijami in spodbudne učinke, bomo te ciljne skupine v obdobju 2021-2027 podprli na način, da iz CP 1 zagotovimo subvencije za začetek podjetniške poti, v okviru CP 4 pa bodo lahko te ciljne skupine nadgradile svoje kompetence prek usposabljanj, mentorstev itd. Kombinacija spodbud kaže tudi že pri drugih ukrepih na dobre rezultate oz. dodano vrednost k neposredni finančni spodbudi. Na ta način tudi poskušamo z različnimi skladi naslavljati komplementarne vsebine za dosego boljših rezultatov.</w:t>
            </w:r>
          </w:p>
          <w:p w14:paraId="549A4E54" w14:textId="77777777" w:rsidR="00A77B3E" w:rsidRDefault="00B16CCF">
            <w:pPr>
              <w:spacing w:before="5pt"/>
              <w:rPr>
                <w:color w:val="000000"/>
              </w:rPr>
            </w:pPr>
            <w:r>
              <w:rPr>
                <w:color w:val="000000"/>
              </w:rPr>
              <w:t>oV okviru študije izvedljivosti pogodbeništva z družbenim učinkom v Sloveniji sta bila identificirana dva pilotna projekta, med njima projekt spodbujanja zaposlovanja mladih, ki niso zaposleni niti se ne izobražujejo, v turizmu. Izvedba omenjenega pilotnega projekta, s katerim bi izboljšali dostop do zaposlitev mladim, bi bila potrebna, da bi lahko preizkusili nov pristop v praksi in da bi k izvajanju takšnih projektov v prihodnje pritegnili zasebne investitorje. Za spodbujanje ženskega podjetništva bi se smiselno uporabil enak pristop.</w:t>
            </w:r>
          </w:p>
          <w:p w14:paraId="3EBBD8A3" w14:textId="77777777" w:rsidR="00A77B3E" w:rsidRDefault="00A77B3E">
            <w:pPr>
              <w:spacing w:before="5pt"/>
              <w:rPr>
                <w:color w:val="000000"/>
              </w:rPr>
            </w:pPr>
          </w:p>
          <w:p w14:paraId="4772C32D" w14:textId="77777777" w:rsidR="00A77B3E" w:rsidRDefault="00B16CCF">
            <w:pPr>
              <w:spacing w:before="5pt"/>
              <w:rPr>
                <w:color w:val="000000"/>
              </w:rPr>
            </w:pPr>
            <w:r>
              <w:rPr>
                <w:color w:val="000000"/>
              </w:rPr>
              <w:t>Gre za ukrepe, ki po svoji naravi nimajo predvidljivega negativnega vpliva na okoljske cilje, ki bi bil povezan z neposrednimi in primarnimi posrednimi učinki ukrepa v življenjskem ciklu oz. je ta vpliv nepomemben, zato so skladni z načelom DNSH.</w:t>
            </w:r>
          </w:p>
          <w:p w14:paraId="18B666A6" w14:textId="77777777" w:rsidR="00A77B3E" w:rsidRDefault="00B16CCF">
            <w:pPr>
              <w:spacing w:before="5pt"/>
              <w:rPr>
                <w:color w:val="000000"/>
              </w:rPr>
            </w:pPr>
            <w:r>
              <w:rPr>
                <w:color w:val="000000"/>
              </w:rPr>
              <w:t>[1] EK, Poročilo o državi - Slovenija 2020, delovni dokument služb Komisije, SWD (2020), 523 final, Bruselj.</w:t>
            </w:r>
          </w:p>
          <w:p w14:paraId="288CA4DB" w14:textId="77777777" w:rsidR="00A77B3E" w:rsidRDefault="00B16CCF">
            <w:pPr>
              <w:spacing w:before="5pt"/>
              <w:rPr>
                <w:color w:val="000000"/>
              </w:rPr>
            </w:pPr>
            <w:r>
              <w:rPr>
                <w:color w:val="000000"/>
              </w:rPr>
              <w:t>[2] ZRSZ, Poročilo o dolgotrajno brezposelnih osebah, september 2021. Dostopno na: https://www.ess.gov.si/_files/13926/DBO_2021.pdf.</w:t>
            </w:r>
          </w:p>
          <w:p w14:paraId="369D2207" w14:textId="77777777" w:rsidR="00A77B3E" w:rsidRDefault="00A77B3E">
            <w:pPr>
              <w:spacing w:before="5pt"/>
              <w:rPr>
                <w:color w:val="000000"/>
                <w:sz w:val="6"/>
              </w:rPr>
            </w:pPr>
          </w:p>
          <w:p w14:paraId="452F306C" w14:textId="77777777" w:rsidR="00A77B3E" w:rsidRDefault="00A77B3E">
            <w:pPr>
              <w:spacing w:before="5pt"/>
              <w:rPr>
                <w:color w:val="000000"/>
                <w:sz w:val="6"/>
              </w:rPr>
            </w:pPr>
          </w:p>
        </w:tc>
      </w:tr>
    </w:tbl>
    <w:p w14:paraId="3CFE591C" w14:textId="77777777" w:rsidR="00A77B3E" w:rsidRDefault="00A77B3E">
      <w:pPr>
        <w:spacing w:before="5pt"/>
        <w:rPr>
          <w:color w:val="000000"/>
        </w:rPr>
      </w:pPr>
    </w:p>
    <w:p w14:paraId="04AD5254" w14:textId="77777777" w:rsidR="00A77B3E" w:rsidRDefault="00B16CCF">
      <w:pPr>
        <w:pStyle w:val="Naslov5"/>
        <w:spacing w:before="5pt" w:after="0pt"/>
        <w:rPr>
          <w:b w:val="0"/>
          <w:i w:val="0"/>
          <w:color w:val="000000"/>
          <w:sz w:val="24"/>
        </w:rPr>
      </w:pPr>
      <w:bookmarkStart w:id="424" w:name="_Toc256001185"/>
      <w:r>
        <w:rPr>
          <w:b w:val="0"/>
          <w:i w:val="0"/>
          <w:color w:val="000000"/>
          <w:sz w:val="24"/>
        </w:rPr>
        <w:t>Glavne ciljne skupine – člen 22(3)(d)(iii) uredbe o skupnih določbah:</w:t>
      </w:r>
      <w:bookmarkEnd w:id="424"/>
    </w:p>
    <w:p w14:paraId="083C1B1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09AF16F8"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E8DCAA" w14:textId="77777777" w:rsidR="00A77B3E" w:rsidRDefault="00A77B3E">
            <w:pPr>
              <w:spacing w:before="5pt"/>
              <w:rPr>
                <w:color w:val="000000"/>
                <w:sz w:val="0"/>
              </w:rPr>
            </w:pPr>
          </w:p>
          <w:p w14:paraId="746610EA" w14:textId="77777777" w:rsidR="00A77B3E" w:rsidRDefault="00B16CCF">
            <w:pPr>
              <w:spacing w:before="5pt"/>
              <w:rPr>
                <w:color w:val="000000"/>
              </w:rPr>
            </w:pPr>
            <w:r>
              <w:rPr>
                <w:color w:val="000000"/>
              </w:rPr>
              <w:t>Ciljne skupine so:</w:t>
            </w:r>
          </w:p>
          <w:p w14:paraId="0AA3D2D4" w14:textId="77777777" w:rsidR="00A77B3E" w:rsidRDefault="00B16CCF">
            <w:pPr>
              <w:spacing w:before="5pt"/>
              <w:rPr>
                <w:color w:val="000000"/>
              </w:rPr>
            </w:pPr>
            <w:r>
              <w:rPr>
                <w:color w:val="000000"/>
              </w:rPr>
              <w:t xml:space="preserve">•Brezposelni z visokim tveganjem za nastanek dolgotrajne brezposelnosti, dolgotrajno brezposelni, zlasti nizko izobraženi (ISCED 3 ali manj), starejši od 50 let. </w:t>
            </w:r>
          </w:p>
          <w:p w14:paraId="49DBBF32" w14:textId="77777777" w:rsidR="00A77B3E" w:rsidRDefault="00B16CCF">
            <w:pPr>
              <w:spacing w:before="5pt"/>
              <w:rPr>
                <w:color w:val="000000"/>
              </w:rPr>
            </w:pPr>
            <w:r>
              <w:rPr>
                <w:color w:val="000000"/>
              </w:rPr>
              <w:t>•Zaposleni, katerih zaposlitev je ogrožena, zaradi različnih sprememb, ali prekarna.</w:t>
            </w:r>
          </w:p>
          <w:p w14:paraId="0E42B324" w14:textId="77777777" w:rsidR="00A77B3E" w:rsidRDefault="00B16CCF">
            <w:pPr>
              <w:spacing w:before="5pt"/>
              <w:rPr>
                <w:color w:val="000000"/>
              </w:rPr>
            </w:pPr>
            <w:r>
              <w:rPr>
                <w:color w:val="000000"/>
              </w:rPr>
              <w:t>•Mladi od 15 do vključno 29 let in mladinski delavci.</w:t>
            </w:r>
          </w:p>
          <w:p w14:paraId="2FDF149E" w14:textId="77777777" w:rsidR="00A77B3E" w:rsidRDefault="00B16CCF">
            <w:pPr>
              <w:spacing w:before="5pt"/>
              <w:rPr>
                <w:color w:val="000000"/>
              </w:rPr>
            </w:pPr>
            <w:r>
              <w:rPr>
                <w:color w:val="000000"/>
              </w:rPr>
              <w:t>•Prikrajšani delavci, resno prikrajšani delavci in invalidi, ki jih določa Uredba Komisije (EU) št. 651/2014.</w:t>
            </w:r>
          </w:p>
          <w:p w14:paraId="1C26AF24" w14:textId="77777777" w:rsidR="00A77B3E" w:rsidRDefault="00B16CCF">
            <w:pPr>
              <w:spacing w:before="5pt"/>
              <w:rPr>
                <w:color w:val="000000"/>
              </w:rPr>
            </w:pPr>
            <w:r>
              <w:rPr>
                <w:color w:val="000000"/>
              </w:rPr>
              <w:t>•Potencialne ženske podjetnice in podjetnice začetnice, ministrstva, izvajalske institucije.</w:t>
            </w:r>
          </w:p>
          <w:p w14:paraId="1319C555" w14:textId="77777777" w:rsidR="00A77B3E" w:rsidRDefault="00B16CCF">
            <w:pPr>
              <w:spacing w:before="5pt"/>
              <w:rPr>
                <w:color w:val="000000"/>
              </w:rPr>
            </w:pPr>
            <w:r>
              <w:rPr>
                <w:color w:val="000000"/>
              </w:rPr>
              <w:t>•Potencialni mladi podjetniki in podjetniki začetniki, ministrstva, izvajalske institucije.</w:t>
            </w:r>
          </w:p>
          <w:p w14:paraId="5EB40BC5" w14:textId="77777777" w:rsidR="00A77B3E" w:rsidRDefault="00B16CCF">
            <w:pPr>
              <w:spacing w:before="5pt"/>
              <w:rPr>
                <w:color w:val="000000"/>
              </w:rPr>
            </w:pPr>
            <w:r>
              <w:rPr>
                <w:color w:val="000000"/>
              </w:rPr>
              <w:t>•Prikrajšani in resno prikrajšani delavci skladno z Zakonom o socialnem podjetništvu (v nadaljevanju: ZSocP).</w:t>
            </w:r>
          </w:p>
          <w:p w14:paraId="3C345FC1" w14:textId="77777777" w:rsidR="00A77B3E" w:rsidRDefault="00B16CCF">
            <w:pPr>
              <w:spacing w:before="5pt"/>
              <w:rPr>
                <w:color w:val="000000"/>
              </w:rPr>
            </w:pPr>
            <w:r>
              <w:rPr>
                <w:color w:val="000000"/>
              </w:rPr>
              <w:t xml:space="preserve">•Socialna podjetja in subjekti socialne ekonomije skladno z ZSocP. </w:t>
            </w:r>
          </w:p>
          <w:p w14:paraId="404A4B20" w14:textId="77777777" w:rsidR="00A77B3E" w:rsidRDefault="00B16CCF">
            <w:pPr>
              <w:spacing w:before="5pt"/>
              <w:rPr>
                <w:color w:val="000000"/>
              </w:rPr>
            </w:pPr>
            <w:r>
              <w:rPr>
                <w:color w:val="000000"/>
              </w:rPr>
              <w:t>•NVO.</w:t>
            </w:r>
          </w:p>
          <w:p w14:paraId="7D30E68F" w14:textId="77777777" w:rsidR="00A77B3E" w:rsidRDefault="00A77B3E">
            <w:pPr>
              <w:spacing w:before="5pt"/>
              <w:rPr>
                <w:color w:val="000000"/>
              </w:rPr>
            </w:pPr>
          </w:p>
          <w:p w14:paraId="5809F748" w14:textId="77777777" w:rsidR="00A77B3E" w:rsidRDefault="00B16CCF">
            <w:pPr>
              <w:spacing w:before="5pt"/>
              <w:rPr>
                <w:color w:val="000000"/>
              </w:rPr>
            </w:pPr>
            <w:r>
              <w:rPr>
                <w:color w:val="000000"/>
              </w:rPr>
              <w:t>Upravičenci: ZRSZ, JŠRIPS, ponudniki socialnih in izobraževalnih storitev, NVO, ministrstva, izvajalske institucije, organizacije v mladinskem sektorju, subjekti s področja kulture, MSP, raziskovalne organizacije, inkubatorji, subjekti socialne ekonomije, mladi, potencialne podjetnice, regionalne razvojne agencije in zbornice.</w:t>
            </w:r>
          </w:p>
          <w:p w14:paraId="11605E66" w14:textId="77777777" w:rsidR="00A77B3E" w:rsidRDefault="00A77B3E">
            <w:pPr>
              <w:spacing w:before="5pt"/>
              <w:rPr>
                <w:color w:val="000000"/>
                <w:sz w:val="6"/>
              </w:rPr>
            </w:pPr>
          </w:p>
          <w:p w14:paraId="39122F58" w14:textId="77777777" w:rsidR="00A77B3E" w:rsidRDefault="00A77B3E">
            <w:pPr>
              <w:spacing w:before="5pt"/>
              <w:rPr>
                <w:color w:val="000000"/>
                <w:sz w:val="6"/>
              </w:rPr>
            </w:pPr>
          </w:p>
        </w:tc>
      </w:tr>
    </w:tbl>
    <w:p w14:paraId="1D10CCF6" w14:textId="77777777" w:rsidR="00A77B3E" w:rsidRDefault="00A77B3E">
      <w:pPr>
        <w:spacing w:before="5pt"/>
        <w:rPr>
          <w:color w:val="000000"/>
        </w:rPr>
      </w:pPr>
    </w:p>
    <w:p w14:paraId="2893BAEE" w14:textId="77777777" w:rsidR="00A77B3E" w:rsidRDefault="00B16CCF">
      <w:pPr>
        <w:pStyle w:val="Naslov5"/>
        <w:spacing w:before="5pt" w:after="0pt"/>
        <w:rPr>
          <w:b w:val="0"/>
          <w:i w:val="0"/>
          <w:color w:val="000000"/>
          <w:sz w:val="24"/>
        </w:rPr>
      </w:pPr>
      <w:bookmarkStart w:id="425" w:name="_Toc256001186"/>
      <w:r>
        <w:rPr>
          <w:b w:val="0"/>
          <w:i w:val="0"/>
          <w:color w:val="000000"/>
          <w:sz w:val="24"/>
        </w:rPr>
        <w:t>Ukrepi za zaščito enakosti, vključenosti in nediskriminacije – člen 22(3)(d)(iv) uredbe o skupnih določbah in člen 6 uredbe o ESS+</w:t>
      </w:r>
      <w:bookmarkEnd w:id="425"/>
    </w:p>
    <w:p w14:paraId="467713D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6E8276C4"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407DE9" w14:textId="77777777" w:rsidR="00A77B3E" w:rsidRDefault="00A77B3E">
            <w:pPr>
              <w:spacing w:before="5pt"/>
              <w:rPr>
                <w:color w:val="000000"/>
                <w:sz w:val="0"/>
              </w:rPr>
            </w:pPr>
          </w:p>
          <w:p w14:paraId="022B41F1" w14:textId="77777777" w:rsidR="00A77B3E" w:rsidRDefault="00B16CCF">
            <w:pPr>
              <w:spacing w:before="5pt"/>
              <w:rPr>
                <w:color w:val="000000"/>
              </w:rPr>
            </w:pPr>
            <w:r>
              <w:rPr>
                <w:color w:val="000000"/>
              </w:rPr>
              <w:t xml:space="preserve">Spoštovanje načel enakosti, vključenosti in nediskriminacije bo zagotovljeno na vseh ravneh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w:t>
            </w:r>
          </w:p>
          <w:p w14:paraId="508D7C69" w14:textId="77777777" w:rsidR="00A77B3E" w:rsidRDefault="00A77B3E">
            <w:pPr>
              <w:spacing w:before="5pt"/>
              <w:rPr>
                <w:color w:val="000000"/>
              </w:rPr>
            </w:pPr>
          </w:p>
          <w:p w14:paraId="5EEABB63" w14:textId="77777777" w:rsidR="00A77B3E" w:rsidRDefault="00B16CCF">
            <w:pPr>
              <w:spacing w:before="5pt"/>
              <w:rPr>
                <w:color w:val="000000"/>
              </w:rPr>
            </w:pPr>
            <w:r>
              <w:rPr>
                <w:color w:val="000000"/>
              </w:rPr>
              <w:t>Ukrepi za izboljšanje dostopa do zaposlitve in aktivacijski ukrepi za vse iskalce zaposlitve, zlasti mlade, dolgotrajno brezposelne in prikrajšane skupine na trgu dela ter neaktivne osebe so skladni s ciljem Strategije za trajnostni razvoj, saj spodbujajo razvoj demokratične, socialno vključujoče in pravične družbe, ki spoštuje temeljne pravice in kulturno raznolikost, ustvarja enake možnosti ter se bori proti vsem oblikam diskriminacije. Ukrepi podpirajo uresničevanje Evropskega stebra socialnih pravic - poglavje I: Enake možnosti in dostop do trga dela, saj bodo upoštevana načela nediskriminacije ter vključevanje ne glede na spol, raso ali etično poreklo, vero ali prepričanje, invalidnost ali spolno usmerjenost. Vključitev v ukrepe bo brezposelnim osebam, predvsem dolgotrajno brezposelnim, nizko izobraženim (ISCED 3 ali manj) ter osebam, starejšim od 50 let, omogočala boljše možnosti za zaposlitev oziroma varno zaposlitev in posledično izhod iz socialne ogroženosti. Ukrepi bodo imeli trajne pozitivne vplive na kariere posameznikov, saj bodo s pridobljenimi znanji avtonomno upravljali z lastno kariero in pridobili dostop do trajnejših zaposlitev. Ukrepi bodo ohranjali delovna mesta, ki bi bila sicer zaradi posledic epidemije ali drugih razlogov ogrožena. S tem bo zagotovljena ekonomska in socialna varnost zaposlenih na ogroženih delovnih mestih. Na drugi strani pa bodo ukrepi s področja naslavljanja problematike prekarnosti mladih na trgu dela (15 do 29 let) vplivali predvsem na njihovo manjšo izpostavljenost prekarnim oblikam dela. S programi usposabljanja za spodbujanje ženskega podjetništva ter za spodbujanje ustvarjalnosti, podjetnosti in inovativnosti pri mladih se bo prispevalo k dolgotrajni integraciji žensk in mladih na trg dela.</w:t>
            </w:r>
          </w:p>
          <w:p w14:paraId="6E239D61" w14:textId="77777777" w:rsidR="00A77B3E" w:rsidRDefault="00A77B3E">
            <w:pPr>
              <w:spacing w:before="5pt"/>
              <w:rPr>
                <w:color w:val="000000"/>
                <w:sz w:val="6"/>
              </w:rPr>
            </w:pPr>
          </w:p>
          <w:p w14:paraId="675978F7" w14:textId="77777777" w:rsidR="00A77B3E" w:rsidRDefault="00A77B3E">
            <w:pPr>
              <w:spacing w:before="5pt"/>
              <w:rPr>
                <w:color w:val="000000"/>
                <w:sz w:val="6"/>
              </w:rPr>
            </w:pPr>
          </w:p>
        </w:tc>
      </w:tr>
    </w:tbl>
    <w:p w14:paraId="1E1331A5" w14:textId="77777777" w:rsidR="00A77B3E" w:rsidRDefault="00A77B3E">
      <w:pPr>
        <w:spacing w:before="5pt"/>
        <w:rPr>
          <w:color w:val="000000"/>
        </w:rPr>
      </w:pPr>
    </w:p>
    <w:p w14:paraId="616444E8" w14:textId="77777777" w:rsidR="00A77B3E" w:rsidRDefault="00B16CCF">
      <w:pPr>
        <w:pStyle w:val="Naslov5"/>
        <w:spacing w:before="5pt" w:after="0pt"/>
        <w:rPr>
          <w:b w:val="0"/>
          <w:i w:val="0"/>
          <w:color w:val="000000"/>
          <w:sz w:val="24"/>
        </w:rPr>
      </w:pPr>
      <w:bookmarkStart w:id="426" w:name="_Toc256001187"/>
      <w:r>
        <w:rPr>
          <w:b w:val="0"/>
          <w:i w:val="0"/>
          <w:color w:val="000000"/>
          <w:sz w:val="24"/>
        </w:rPr>
        <w:t>Navedba specifičnih ciljnih ozemelj, vključno z načrtovano uporabo teritorialnih orodij – člen 22(3)(d)(v) uredbe o skupnih določbah</w:t>
      </w:r>
      <w:bookmarkEnd w:id="426"/>
    </w:p>
    <w:p w14:paraId="5EB45A7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0B03D953"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FE5294" w14:textId="77777777" w:rsidR="00A77B3E" w:rsidRDefault="00A77B3E">
            <w:pPr>
              <w:spacing w:before="5pt"/>
              <w:rPr>
                <w:color w:val="000000"/>
                <w:sz w:val="0"/>
              </w:rPr>
            </w:pPr>
          </w:p>
          <w:p w14:paraId="02B2D415" w14:textId="77777777" w:rsidR="00A77B3E" w:rsidRDefault="00B16CCF">
            <w:pPr>
              <w:spacing w:before="5pt"/>
              <w:rPr>
                <w:color w:val="000000"/>
              </w:rPr>
            </w:pPr>
            <w:r>
              <w:rPr>
                <w:color w:val="000000"/>
              </w:rPr>
              <w:t>V okviru navedenega specifičnega cilja ni predvidena uporaba teritorialnih orodij.</w:t>
            </w:r>
          </w:p>
          <w:p w14:paraId="217ED4B7" w14:textId="77777777" w:rsidR="00A77B3E" w:rsidRDefault="00A77B3E">
            <w:pPr>
              <w:spacing w:before="5pt"/>
              <w:rPr>
                <w:color w:val="000000"/>
                <w:sz w:val="6"/>
              </w:rPr>
            </w:pPr>
          </w:p>
          <w:p w14:paraId="19B334F8" w14:textId="77777777" w:rsidR="00A77B3E" w:rsidRDefault="00A77B3E">
            <w:pPr>
              <w:spacing w:before="5pt"/>
              <w:rPr>
                <w:color w:val="000000"/>
                <w:sz w:val="6"/>
              </w:rPr>
            </w:pPr>
          </w:p>
        </w:tc>
      </w:tr>
    </w:tbl>
    <w:p w14:paraId="2DB506B7" w14:textId="77777777" w:rsidR="00A77B3E" w:rsidRDefault="00A77B3E">
      <w:pPr>
        <w:spacing w:before="5pt"/>
        <w:rPr>
          <w:color w:val="000000"/>
        </w:rPr>
      </w:pPr>
    </w:p>
    <w:p w14:paraId="14CF71DA" w14:textId="77777777" w:rsidR="00A77B3E" w:rsidRDefault="00B16CCF">
      <w:pPr>
        <w:pStyle w:val="Naslov5"/>
        <w:spacing w:before="5pt" w:after="0pt"/>
        <w:rPr>
          <w:b w:val="0"/>
          <w:i w:val="0"/>
          <w:color w:val="000000"/>
          <w:sz w:val="24"/>
        </w:rPr>
      </w:pPr>
      <w:bookmarkStart w:id="427" w:name="_Toc256001188"/>
      <w:r>
        <w:rPr>
          <w:b w:val="0"/>
          <w:i w:val="0"/>
          <w:color w:val="000000"/>
          <w:sz w:val="24"/>
        </w:rPr>
        <w:lastRenderedPageBreak/>
        <w:t>Medregionalni, čezmejni in transnacionalni ukrepi – člen 22(3)(d)(vi) uredbe o skupnih določbah</w:t>
      </w:r>
      <w:bookmarkEnd w:id="427"/>
    </w:p>
    <w:p w14:paraId="754F63B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2EF7B774"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B1C4DE" w14:textId="77777777" w:rsidR="00A77B3E" w:rsidRDefault="00A77B3E">
            <w:pPr>
              <w:spacing w:before="5pt"/>
              <w:rPr>
                <w:color w:val="000000"/>
                <w:sz w:val="0"/>
              </w:rPr>
            </w:pPr>
          </w:p>
          <w:p w14:paraId="1BDA3A83" w14:textId="77777777" w:rsidR="00A77B3E" w:rsidRDefault="00B16CCF">
            <w:pPr>
              <w:spacing w:before="5pt"/>
              <w:rPr>
                <w:color w:val="000000"/>
              </w:rPr>
            </w:pPr>
            <w:r>
              <w:rPr>
                <w:color w:val="000000"/>
              </w:rPr>
              <w:t>V okviru navedenega specifičnega cilja medregionalni, čezmejni in transnacionalni ukrepi niso predvideni, saj gre za ukrepe, ki so namenjeni brezposelnim osebam ter osebam, katerih zaposlitev oz. samozaposlitev je ogrožena za lažji prehod na trg delovne sile ter skrajševanje trajanja brezposelnosti. Treba je torej predvsem upoštevati potrebe oz. specifike prebivalcev Slovenije.</w:t>
            </w:r>
          </w:p>
          <w:p w14:paraId="1E038079" w14:textId="77777777" w:rsidR="00A77B3E" w:rsidRDefault="00A77B3E">
            <w:pPr>
              <w:spacing w:before="5pt"/>
              <w:rPr>
                <w:color w:val="000000"/>
                <w:sz w:val="6"/>
              </w:rPr>
            </w:pPr>
          </w:p>
          <w:p w14:paraId="07645403" w14:textId="77777777" w:rsidR="00A77B3E" w:rsidRDefault="00A77B3E">
            <w:pPr>
              <w:spacing w:before="5pt"/>
              <w:rPr>
                <w:color w:val="000000"/>
                <w:sz w:val="6"/>
              </w:rPr>
            </w:pPr>
          </w:p>
        </w:tc>
      </w:tr>
    </w:tbl>
    <w:p w14:paraId="7045B81A" w14:textId="77777777" w:rsidR="00A77B3E" w:rsidRDefault="00A77B3E">
      <w:pPr>
        <w:spacing w:before="5pt"/>
        <w:rPr>
          <w:color w:val="000000"/>
        </w:rPr>
      </w:pPr>
    </w:p>
    <w:p w14:paraId="3DB4AAEB" w14:textId="77777777" w:rsidR="00A77B3E" w:rsidRDefault="00B16CCF">
      <w:pPr>
        <w:pStyle w:val="Naslov5"/>
        <w:spacing w:before="5pt" w:after="0pt"/>
        <w:rPr>
          <w:b w:val="0"/>
          <w:i w:val="0"/>
          <w:color w:val="000000"/>
          <w:sz w:val="24"/>
        </w:rPr>
      </w:pPr>
      <w:bookmarkStart w:id="428" w:name="_Toc256001189"/>
      <w:r>
        <w:rPr>
          <w:b w:val="0"/>
          <w:i w:val="0"/>
          <w:color w:val="000000"/>
          <w:sz w:val="24"/>
        </w:rPr>
        <w:t>Načrtovana uporaba finančnih instrumentov – člen 22(3)(d)(vii) uredbe o skupnih določbah</w:t>
      </w:r>
      <w:bookmarkEnd w:id="428"/>
    </w:p>
    <w:p w14:paraId="570DBB6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71F109BF"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DA796A" w14:textId="77777777" w:rsidR="00A77B3E" w:rsidRDefault="00A77B3E">
            <w:pPr>
              <w:spacing w:before="5pt"/>
              <w:rPr>
                <w:color w:val="000000"/>
                <w:sz w:val="0"/>
              </w:rPr>
            </w:pPr>
          </w:p>
          <w:p w14:paraId="0C70B70B" w14:textId="77777777" w:rsidR="00A77B3E" w:rsidRDefault="00B16CCF">
            <w:pPr>
              <w:spacing w:before="5pt"/>
              <w:rPr>
                <w:color w:val="000000"/>
              </w:rPr>
            </w:pPr>
            <w:r>
              <w:rPr>
                <w:color w:val="000000"/>
              </w:rPr>
              <w:t>Predvidena je uporaba nepovratnih virov. V okviru predmetnega specifičnega cilja uporaba finančnih instrumentov namreč v skladu z izsledki analize Predhodnih ocen potreb trga in vrzeli financiranja na trgu za izvajanje finančnih instrumentov v programskem obdobju 2021-2027 (julij 2022) ni predvidena. Predlagani ukrepi ne ustvarjajo prihodkov oziroma prihrankov, zaradi česar uporaba finančnih instrumentov ni smiselna oziroma ustrezna.</w:t>
            </w:r>
          </w:p>
          <w:p w14:paraId="5B2AEB2C" w14:textId="77777777" w:rsidR="00A77B3E" w:rsidRDefault="00A77B3E">
            <w:pPr>
              <w:spacing w:before="5pt"/>
              <w:rPr>
                <w:color w:val="000000"/>
                <w:sz w:val="6"/>
              </w:rPr>
            </w:pPr>
          </w:p>
          <w:p w14:paraId="188CF072" w14:textId="77777777" w:rsidR="00A77B3E" w:rsidRDefault="00A77B3E">
            <w:pPr>
              <w:spacing w:before="5pt"/>
              <w:rPr>
                <w:color w:val="000000"/>
                <w:sz w:val="6"/>
              </w:rPr>
            </w:pPr>
          </w:p>
        </w:tc>
      </w:tr>
    </w:tbl>
    <w:p w14:paraId="470FD767" w14:textId="77777777" w:rsidR="00A77B3E" w:rsidRDefault="00A77B3E">
      <w:pPr>
        <w:spacing w:before="5pt"/>
        <w:rPr>
          <w:color w:val="000000"/>
        </w:rPr>
      </w:pPr>
    </w:p>
    <w:p w14:paraId="45C75D5D" w14:textId="77777777" w:rsidR="00A77B3E" w:rsidRDefault="00B16CCF">
      <w:pPr>
        <w:pStyle w:val="Naslov4"/>
        <w:spacing w:before="5pt" w:after="0pt"/>
        <w:rPr>
          <w:b w:val="0"/>
          <w:color w:val="000000"/>
          <w:sz w:val="24"/>
        </w:rPr>
      </w:pPr>
      <w:bookmarkStart w:id="429" w:name="_Toc256001190"/>
      <w:r>
        <w:rPr>
          <w:b w:val="0"/>
          <w:color w:val="000000"/>
          <w:sz w:val="24"/>
        </w:rPr>
        <w:t>2.1.1.1.2. Kazalniki</w:t>
      </w:r>
      <w:bookmarkEnd w:id="429"/>
    </w:p>
    <w:p w14:paraId="0C55958D" w14:textId="77777777" w:rsidR="00A77B3E" w:rsidRDefault="00A77B3E">
      <w:pPr>
        <w:spacing w:before="5pt"/>
        <w:rPr>
          <w:color w:val="000000"/>
          <w:sz w:val="0"/>
        </w:rPr>
      </w:pPr>
    </w:p>
    <w:p w14:paraId="4A56F0C1" w14:textId="77777777" w:rsidR="00A77B3E" w:rsidRDefault="00B16CCF">
      <w:pPr>
        <w:spacing w:before="5pt"/>
        <w:rPr>
          <w:color w:val="000000"/>
          <w:sz w:val="0"/>
        </w:rPr>
      </w:pPr>
      <w:r>
        <w:rPr>
          <w:color w:val="000000"/>
        </w:rPr>
        <w:t>Sklic: člen 22(3)(d)(ii) uredbe o skupnih določbah in člen 8 uredbe o ESRR in Kohezijskem skladu</w:t>
      </w:r>
    </w:p>
    <w:p w14:paraId="045EEE3D" w14:textId="77777777" w:rsidR="00A77B3E" w:rsidRDefault="00B16CCF">
      <w:pPr>
        <w:pStyle w:val="Naslov5"/>
        <w:spacing w:before="5pt" w:after="0pt"/>
        <w:rPr>
          <w:b w:val="0"/>
          <w:i w:val="0"/>
          <w:color w:val="000000"/>
          <w:sz w:val="24"/>
        </w:rPr>
      </w:pPr>
      <w:bookmarkStart w:id="430" w:name="_Toc256001191"/>
      <w:r>
        <w:rPr>
          <w:b w:val="0"/>
          <w:i w:val="0"/>
          <w:color w:val="000000"/>
          <w:sz w:val="24"/>
        </w:rPr>
        <w:t>Tabela 2: Kazalniki učinka</w:t>
      </w:r>
      <w:bookmarkEnd w:id="430"/>
    </w:p>
    <w:p w14:paraId="48E650A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31"/>
        <w:gridCol w:w="1689"/>
        <w:gridCol w:w="1049"/>
        <w:gridCol w:w="1751"/>
        <w:gridCol w:w="2032"/>
        <w:gridCol w:w="2275"/>
        <w:gridCol w:w="1388"/>
        <w:gridCol w:w="1488"/>
        <w:gridCol w:w="1669"/>
      </w:tblGrid>
      <w:tr w:rsidR="00823317" w14:paraId="1FE5142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B032B7"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96647A"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999FE5"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97EC89"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59FD29"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521357"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DBCDDC8"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94E7B9" w14:textId="77777777" w:rsidR="00A77B3E" w:rsidRDefault="00B16CCF">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8A622C" w14:textId="77777777" w:rsidR="00A77B3E" w:rsidRDefault="00B16CCF">
            <w:pPr>
              <w:spacing w:before="5pt"/>
              <w:jc w:val="center"/>
              <w:rPr>
                <w:color w:val="000000"/>
                <w:sz w:val="20"/>
              </w:rPr>
            </w:pPr>
            <w:r>
              <w:rPr>
                <w:color w:val="000000"/>
                <w:sz w:val="20"/>
              </w:rPr>
              <w:t>Cilj (2029)</w:t>
            </w:r>
          </w:p>
        </w:tc>
      </w:tr>
      <w:tr w:rsidR="00823317" w14:paraId="46268AF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4280F8"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5A8668" w14:textId="77777777" w:rsidR="00A77B3E" w:rsidRDefault="00B16CCF">
            <w:pPr>
              <w:spacing w:before="5pt"/>
              <w:rPr>
                <w:color w:val="000000"/>
                <w:sz w:val="20"/>
              </w:rPr>
            </w:pPr>
            <w:r>
              <w:rPr>
                <w:color w:val="000000"/>
                <w:sz w:val="20"/>
              </w:rPr>
              <w:t>ESO4.1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E3153A"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B23CEB"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D7DE1D" w14:textId="77777777" w:rsidR="00A77B3E" w:rsidRDefault="00B16CCF">
            <w:pPr>
              <w:spacing w:before="5pt"/>
              <w:rPr>
                <w:color w:val="000000"/>
                <w:sz w:val="20"/>
              </w:rPr>
            </w:pPr>
            <w:r>
              <w:rPr>
                <w:color w:val="000000"/>
                <w:sz w:val="20"/>
              </w:rPr>
              <w:t>EECO02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70B0BE" w14:textId="77777777" w:rsidR="00A77B3E" w:rsidRDefault="00B16CCF">
            <w:pPr>
              <w:spacing w:before="5pt"/>
              <w:rPr>
                <w:color w:val="000000"/>
                <w:sz w:val="20"/>
              </w:rPr>
            </w:pPr>
            <w:r>
              <w:rPr>
                <w:color w:val="000000"/>
                <w:sz w:val="20"/>
              </w:rPr>
              <w:t>Brezposelni, vključno z dolgotrajno brezposelnimi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3910F6" w14:textId="77777777" w:rsidR="00A77B3E" w:rsidRDefault="00B16CCF">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4C8016" w14:textId="77777777" w:rsidR="00A77B3E" w:rsidRDefault="00B16CCF">
            <w:pPr>
              <w:spacing w:before="5pt"/>
              <w:jc w:val="end"/>
              <w:rPr>
                <w:color w:val="000000"/>
                <w:sz w:val="20"/>
              </w:rPr>
            </w:pPr>
            <w:r>
              <w:rPr>
                <w:color w:val="000000"/>
                <w:sz w:val="20"/>
              </w:rPr>
              <w:t>1.223,00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DABA36" w14:textId="77777777" w:rsidR="00A77B3E" w:rsidRDefault="00B16CCF">
            <w:pPr>
              <w:spacing w:before="5pt"/>
              <w:jc w:val="end"/>
              <w:rPr>
                <w:color w:val="000000"/>
                <w:sz w:val="20"/>
              </w:rPr>
            </w:pPr>
            <w:r>
              <w:rPr>
                <w:color w:val="000000"/>
                <w:sz w:val="20"/>
              </w:rPr>
              <w:t>6.739,00</w:t>
            </w:r>
          </w:p>
        </w:tc>
      </w:tr>
      <w:tr w:rsidR="00823317" w14:paraId="6F0356C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AD643E"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EB81CE" w14:textId="77777777" w:rsidR="00A77B3E" w:rsidRDefault="00B16CCF">
            <w:pPr>
              <w:spacing w:before="5pt"/>
              <w:rPr>
                <w:color w:val="000000"/>
                <w:sz w:val="20"/>
              </w:rPr>
            </w:pPr>
            <w:r>
              <w:rPr>
                <w:color w:val="000000"/>
                <w:sz w:val="20"/>
              </w:rPr>
              <w:t>ESO4.1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DF8929"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9DD51F"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05B70A" w14:textId="77777777" w:rsidR="00A77B3E" w:rsidRDefault="00B16CCF">
            <w:pPr>
              <w:spacing w:before="5pt"/>
              <w:rPr>
                <w:color w:val="000000"/>
                <w:sz w:val="20"/>
              </w:rPr>
            </w:pPr>
            <w:r>
              <w:rPr>
                <w:color w:val="000000"/>
                <w:sz w:val="20"/>
              </w:rPr>
              <w:t>EECO19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4BDDFC" w14:textId="77777777" w:rsidR="00A77B3E" w:rsidRDefault="00B16CCF">
            <w:pPr>
              <w:spacing w:before="5pt"/>
              <w:rPr>
                <w:color w:val="000000"/>
                <w:sz w:val="20"/>
              </w:rPr>
            </w:pPr>
            <w:r>
              <w:rPr>
                <w:color w:val="000000"/>
                <w:sz w:val="20"/>
              </w:rPr>
              <w:t>Število mikro, malih in srednjih podjetij, ki so prejela podporo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90075B" w14:textId="77777777" w:rsidR="00A77B3E" w:rsidRDefault="00B16CCF">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76FCCE" w14:textId="77777777" w:rsidR="00A77B3E" w:rsidRDefault="00B16CCF">
            <w:pPr>
              <w:spacing w:before="5pt"/>
              <w:jc w:val="end"/>
              <w:rPr>
                <w:color w:val="000000"/>
                <w:sz w:val="20"/>
              </w:rPr>
            </w:pPr>
            <w:r>
              <w:rPr>
                <w:color w:val="000000"/>
                <w:sz w:val="20"/>
              </w:rPr>
              <w:t>7,00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CD675D" w14:textId="77777777" w:rsidR="00A77B3E" w:rsidRDefault="00B16CCF">
            <w:pPr>
              <w:spacing w:before="5pt"/>
              <w:jc w:val="end"/>
              <w:rPr>
                <w:color w:val="000000"/>
                <w:sz w:val="20"/>
              </w:rPr>
            </w:pPr>
            <w:r>
              <w:rPr>
                <w:color w:val="000000"/>
                <w:sz w:val="20"/>
              </w:rPr>
              <w:t>16,00</w:t>
            </w:r>
          </w:p>
        </w:tc>
      </w:tr>
      <w:tr w:rsidR="00823317" w14:paraId="69A6AA7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2574E6"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027C97" w14:textId="77777777" w:rsidR="00A77B3E" w:rsidRDefault="00B16CCF">
            <w:pPr>
              <w:spacing w:before="5pt"/>
              <w:rPr>
                <w:color w:val="000000"/>
                <w:sz w:val="20"/>
              </w:rPr>
            </w:pPr>
            <w:r>
              <w:rPr>
                <w:color w:val="000000"/>
                <w:sz w:val="20"/>
              </w:rPr>
              <w:t>ESO4.1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726906"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33DF8D"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13EBEE" w14:textId="77777777" w:rsidR="00A77B3E" w:rsidRDefault="00B16CCF">
            <w:pPr>
              <w:spacing w:before="5pt"/>
              <w:rPr>
                <w:color w:val="000000"/>
                <w:sz w:val="20"/>
              </w:rPr>
            </w:pPr>
            <w:r>
              <w:rPr>
                <w:color w:val="000000"/>
                <w:sz w:val="20"/>
              </w:rPr>
              <w:t>EECO02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4EDCC9" w14:textId="77777777" w:rsidR="00A77B3E" w:rsidRDefault="00B16CCF">
            <w:pPr>
              <w:spacing w:before="5pt"/>
              <w:rPr>
                <w:color w:val="000000"/>
                <w:sz w:val="20"/>
              </w:rPr>
            </w:pPr>
            <w:r>
              <w:rPr>
                <w:color w:val="000000"/>
                <w:sz w:val="20"/>
              </w:rPr>
              <w:t>Brezposelni, vključno z dolgotrajno brezposelnimi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78BDE5" w14:textId="77777777" w:rsidR="00A77B3E" w:rsidRDefault="00B16CCF">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19E0D9" w14:textId="77777777" w:rsidR="00A77B3E" w:rsidRDefault="00B16CCF">
            <w:pPr>
              <w:spacing w:before="5pt"/>
              <w:jc w:val="end"/>
              <w:rPr>
                <w:color w:val="000000"/>
                <w:sz w:val="20"/>
              </w:rPr>
            </w:pPr>
            <w:r>
              <w:rPr>
                <w:color w:val="000000"/>
                <w:sz w:val="20"/>
              </w:rPr>
              <w:t>4.890,00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D39276" w14:textId="77777777" w:rsidR="00A77B3E" w:rsidRDefault="00B16CCF">
            <w:pPr>
              <w:spacing w:before="5pt"/>
              <w:jc w:val="end"/>
              <w:rPr>
                <w:color w:val="000000"/>
                <w:sz w:val="20"/>
              </w:rPr>
            </w:pPr>
            <w:r>
              <w:rPr>
                <w:color w:val="000000"/>
                <w:sz w:val="20"/>
              </w:rPr>
              <w:t>17.948,00</w:t>
            </w:r>
          </w:p>
        </w:tc>
      </w:tr>
      <w:tr w:rsidR="00823317" w14:paraId="58447D0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E6326E"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297D54" w14:textId="77777777" w:rsidR="00A77B3E" w:rsidRDefault="00B16CCF">
            <w:pPr>
              <w:spacing w:before="5pt"/>
              <w:rPr>
                <w:color w:val="000000"/>
                <w:sz w:val="20"/>
              </w:rPr>
            </w:pPr>
            <w:r>
              <w:rPr>
                <w:color w:val="000000"/>
                <w:sz w:val="20"/>
              </w:rPr>
              <w:t>ESO4.1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B9D16B"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A39770"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F58BE9" w14:textId="77777777" w:rsidR="00A77B3E" w:rsidRDefault="00B16CCF">
            <w:pPr>
              <w:spacing w:before="5pt"/>
              <w:rPr>
                <w:color w:val="000000"/>
                <w:sz w:val="20"/>
              </w:rPr>
            </w:pPr>
            <w:r>
              <w:rPr>
                <w:color w:val="000000"/>
                <w:sz w:val="20"/>
              </w:rPr>
              <w:t>EECO19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055CE3" w14:textId="77777777" w:rsidR="00A77B3E" w:rsidRDefault="00B16CCF">
            <w:pPr>
              <w:spacing w:before="5pt"/>
              <w:rPr>
                <w:color w:val="000000"/>
                <w:sz w:val="20"/>
              </w:rPr>
            </w:pPr>
            <w:r>
              <w:rPr>
                <w:color w:val="000000"/>
                <w:sz w:val="20"/>
              </w:rPr>
              <w:t>Število mikro, malih in srednjih podjetij, ki so prejela podporo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C931E1" w14:textId="77777777" w:rsidR="00A77B3E" w:rsidRDefault="00B16CCF">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8B4E2C" w14:textId="77777777" w:rsidR="00A77B3E" w:rsidRDefault="00B16CCF">
            <w:pPr>
              <w:spacing w:before="5pt"/>
              <w:jc w:val="end"/>
              <w:rPr>
                <w:color w:val="000000"/>
                <w:sz w:val="20"/>
              </w:rPr>
            </w:pPr>
            <w:r>
              <w:rPr>
                <w:color w:val="000000"/>
                <w:sz w:val="20"/>
              </w:rPr>
              <w:t>59,00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42A1C3" w14:textId="77777777" w:rsidR="00A77B3E" w:rsidRDefault="00B16CCF">
            <w:pPr>
              <w:spacing w:before="5pt"/>
              <w:jc w:val="end"/>
              <w:rPr>
                <w:color w:val="000000"/>
                <w:sz w:val="20"/>
              </w:rPr>
            </w:pPr>
            <w:r>
              <w:rPr>
                <w:color w:val="000000"/>
                <w:sz w:val="20"/>
              </w:rPr>
              <w:t>141,00</w:t>
            </w:r>
          </w:p>
        </w:tc>
      </w:tr>
    </w:tbl>
    <w:p w14:paraId="567D2F16" w14:textId="77777777" w:rsidR="00A77B3E" w:rsidRDefault="00A77B3E">
      <w:pPr>
        <w:spacing w:before="5pt"/>
        <w:rPr>
          <w:color w:val="000000"/>
          <w:sz w:val="20"/>
        </w:rPr>
      </w:pPr>
    </w:p>
    <w:p w14:paraId="1B844C04" w14:textId="77777777" w:rsidR="00A77B3E" w:rsidRDefault="00B16CCF">
      <w:pPr>
        <w:spacing w:before="5pt"/>
        <w:rPr>
          <w:color w:val="000000"/>
          <w:sz w:val="0"/>
        </w:rPr>
      </w:pPr>
      <w:r>
        <w:rPr>
          <w:color w:val="000000"/>
        </w:rPr>
        <w:t>Sklic: člen 22(3)(d)(ii) uredbe o skupnih določbah</w:t>
      </w:r>
    </w:p>
    <w:p w14:paraId="3D64F3F2" w14:textId="77777777" w:rsidR="00A77B3E" w:rsidRDefault="00B16CCF">
      <w:pPr>
        <w:pStyle w:val="Naslov5"/>
        <w:spacing w:before="5pt" w:after="0pt"/>
        <w:rPr>
          <w:b w:val="0"/>
          <w:i w:val="0"/>
          <w:color w:val="000000"/>
          <w:sz w:val="24"/>
        </w:rPr>
      </w:pPr>
      <w:bookmarkStart w:id="431" w:name="_Toc256001192"/>
      <w:r>
        <w:rPr>
          <w:b w:val="0"/>
          <w:i w:val="0"/>
          <w:color w:val="000000"/>
          <w:sz w:val="24"/>
        </w:rPr>
        <w:lastRenderedPageBreak/>
        <w:t>Tabela 3: Kazalniki rezultatov</w:t>
      </w:r>
      <w:bookmarkEnd w:id="431"/>
    </w:p>
    <w:p w14:paraId="64EF511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401"/>
        <w:gridCol w:w="1293"/>
        <w:gridCol w:w="803"/>
        <w:gridCol w:w="1341"/>
        <w:gridCol w:w="1556"/>
        <w:gridCol w:w="1495"/>
        <w:gridCol w:w="1000"/>
        <w:gridCol w:w="1371"/>
        <w:gridCol w:w="1447"/>
        <w:gridCol w:w="1139"/>
        <w:gridCol w:w="1202"/>
        <w:gridCol w:w="1124"/>
      </w:tblGrid>
      <w:tr w:rsidR="00823317" w14:paraId="0B06DDE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C07F3AB"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1BC60E"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89E640"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52CC97"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7F7E32"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1906A0"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200662"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A1D63C" w14:textId="77777777" w:rsidR="00A77B3E" w:rsidRDefault="00B16CCF">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A4A6B8" w14:textId="77777777" w:rsidR="00A77B3E" w:rsidRDefault="00B16CCF">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9CC267" w14:textId="77777777" w:rsidR="00A77B3E" w:rsidRDefault="00B16CCF">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DAAFED" w14:textId="77777777" w:rsidR="00A77B3E" w:rsidRDefault="00B16CCF">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9BEE04" w14:textId="77777777" w:rsidR="00A77B3E" w:rsidRDefault="00B16CCF">
            <w:pPr>
              <w:spacing w:before="5pt"/>
              <w:jc w:val="center"/>
              <w:rPr>
                <w:color w:val="000000"/>
                <w:sz w:val="20"/>
              </w:rPr>
            </w:pPr>
            <w:r>
              <w:rPr>
                <w:color w:val="000000"/>
                <w:sz w:val="20"/>
              </w:rPr>
              <w:t>Opombe</w:t>
            </w:r>
          </w:p>
        </w:tc>
      </w:tr>
      <w:tr w:rsidR="00823317" w14:paraId="7CF90F4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7BC794"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A43862" w14:textId="77777777" w:rsidR="00A77B3E" w:rsidRDefault="00B16CCF">
            <w:pPr>
              <w:spacing w:before="5pt"/>
              <w:rPr>
                <w:color w:val="000000"/>
                <w:sz w:val="20"/>
              </w:rPr>
            </w:pPr>
            <w:r>
              <w:rPr>
                <w:color w:val="000000"/>
                <w:sz w:val="20"/>
              </w:rPr>
              <w:t>ESO4.1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13C33E"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3611D7"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5749A9" w14:textId="77777777" w:rsidR="00A77B3E" w:rsidRDefault="00B16CCF">
            <w:pPr>
              <w:spacing w:before="5pt"/>
              <w:rPr>
                <w:color w:val="000000"/>
                <w:sz w:val="20"/>
              </w:rPr>
            </w:pPr>
            <w:r>
              <w:rPr>
                <w:color w:val="000000"/>
                <w:sz w:val="20"/>
              </w:rPr>
              <w:t>EECR04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B1A918" w14:textId="77777777" w:rsidR="00A77B3E" w:rsidRDefault="00B16CCF">
            <w:pPr>
              <w:spacing w:before="5pt"/>
              <w:rPr>
                <w:color w:val="000000"/>
                <w:sz w:val="20"/>
              </w:rPr>
            </w:pPr>
            <w:r>
              <w:rPr>
                <w:color w:val="000000"/>
                <w:sz w:val="20"/>
              </w:rPr>
              <w:t>Udeleženci, ki imajo po zaključku sodelovanja zaposlitev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B0C93E" w14:textId="77777777" w:rsidR="00A77B3E" w:rsidRDefault="00B16CCF">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255352" w14:textId="77777777" w:rsidR="00A77B3E" w:rsidRDefault="00B16CCF">
            <w:pPr>
              <w:spacing w:before="5pt"/>
              <w:jc w:val="end"/>
              <w:rPr>
                <w:color w:val="000000"/>
                <w:sz w:val="20"/>
              </w:rPr>
            </w:pPr>
            <w:r>
              <w:rPr>
                <w:color w:val="000000"/>
                <w:sz w:val="20"/>
              </w:rPr>
              <w:t>6.955,00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FA5E1D" w14:textId="77777777" w:rsidR="00A77B3E" w:rsidRDefault="00B16CCF">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F9329C" w14:textId="77777777" w:rsidR="00A77B3E" w:rsidRDefault="00B16CCF">
            <w:pPr>
              <w:spacing w:before="5pt"/>
              <w:jc w:val="end"/>
              <w:rPr>
                <w:color w:val="000000"/>
                <w:sz w:val="20"/>
              </w:rPr>
            </w:pPr>
            <w:r>
              <w:rPr>
                <w:color w:val="000000"/>
                <w:sz w:val="20"/>
              </w:rPr>
              <w:t>2.644,00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176DBB" w14:textId="77777777" w:rsidR="00A77B3E" w:rsidRDefault="00B16CCF">
            <w:pPr>
              <w:spacing w:before="5pt"/>
              <w:rPr>
                <w:color w:val="000000"/>
                <w:sz w:val="20"/>
              </w:rPr>
            </w:pPr>
            <w:r>
              <w:rPr>
                <w:color w:val="000000"/>
                <w:sz w:val="20"/>
              </w:rPr>
              <w:t>MDDSZ</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D9575C" w14:textId="77777777" w:rsidR="00A77B3E" w:rsidRDefault="00A77B3E">
            <w:pPr>
              <w:spacing w:before="5pt"/>
              <w:rPr>
                <w:color w:val="000000"/>
                <w:sz w:val="20"/>
              </w:rPr>
            </w:pPr>
          </w:p>
        </w:tc>
      </w:tr>
      <w:tr w:rsidR="00823317" w14:paraId="6368352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CC1319"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058D1C" w14:textId="77777777" w:rsidR="00A77B3E" w:rsidRDefault="00B16CCF">
            <w:pPr>
              <w:spacing w:before="5pt"/>
              <w:rPr>
                <w:color w:val="000000"/>
                <w:sz w:val="20"/>
              </w:rPr>
            </w:pPr>
            <w:r>
              <w:rPr>
                <w:color w:val="000000"/>
                <w:sz w:val="20"/>
              </w:rPr>
              <w:t>ESO4.1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033BB8"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16E5CC"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7AA8CA" w14:textId="77777777" w:rsidR="00A77B3E" w:rsidRDefault="00B16CCF">
            <w:pPr>
              <w:spacing w:before="5pt"/>
              <w:rPr>
                <w:color w:val="000000"/>
                <w:sz w:val="20"/>
              </w:rPr>
            </w:pPr>
            <w:r>
              <w:rPr>
                <w:color w:val="000000"/>
                <w:sz w:val="20"/>
              </w:rPr>
              <w:t>EECR04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AA1384" w14:textId="77777777" w:rsidR="00A77B3E" w:rsidRDefault="00B16CCF">
            <w:pPr>
              <w:spacing w:before="5pt"/>
              <w:rPr>
                <w:color w:val="000000"/>
                <w:sz w:val="20"/>
              </w:rPr>
            </w:pPr>
            <w:r>
              <w:rPr>
                <w:color w:val="000000"/>
                <w:sz w:val="20"/>
              </w:rPr>
              <w:t>Udeleženci, ki imajo po zaključku sodelovanja zaposlitev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BB8964" w14:textId="77777777" w:rsidR="00A77B3E" w:rsidRDefault="00B16CCF">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92A463" w14:textId="77777777" w:rsidR="00A77B3E" w:rsidRDefault="00B16CCF">
            <w:pPr>
              <w:spacing w:before="5pt"/>
              <w:jc w:val="end"/>
              <w:rPr>
                <w:color w:val="000000"/>
                <w:sz w:val="20"/>
              </w:rPr>
            </w:pPr>
            <w:r>
              <w:rPr>
                <w:color w:val="000000"/>
                <w:sz w:val="20"/>
              </w:rPr>
              <w:t>8.869,00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B92262" w14:textId="77777777" w:rsidR="00A77B3E" w:rsidRDefault="00B16CCF">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69012F" w14:textId="77777777" w:rsidR="00A77B3E" w:rsidRDefault="00B16CCF">
            <w:pPr>
              <w:spacing w:before="5pt"/>
              <w:jc w:val="end"/>
              <w:rPr>
                <w:color w:val="000000"/>
                <w:sz w:val="20"/>
              </w:rPr>
            </w:pPr>
            <w:r>
              <w:rPr>
                <w:color w:val="000000"/>
                <w:sz w:val="20"/>
              </w:rPr>
              <w:t>6.027,00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5F6461" w14:textId="77777777" w:rsidR="00A77B3E" w:rsidRDefault="00B16CCF">
            <w:pPr>
              <w:spacing w:before="5pt"/>
              <w:rPr>
                <w:color w:val="000000"/>
                <w:sz w:val="20"/>
              </w:rPr>
            </w:pPr>
            <w:r>
              <w:rPr>
                <w:color w:val="000000"/>
                <w:sz w:val="20"/>
              </w:rPr>
              <w:t>MDDSZ</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9AC445" w14:textId="77777777" w:rsidR="00A77B3E" w:rsidRDefault="00A77B3E">
            <w:pPr>
              <w:spacing w:before="5pt"/>
              <w:rPr>
                <w:color w:val="000000"/>
                <w:sz w:val="20"/>
              </w:rPr>
            </w:pPr>
          </w:p>
        </w:tc>
      </w:tr>
    </w:tbl>
    <w:p w14:paraId="2FCCDC56" w14:textId="77777777" w:rsidR="00A77B3E" w:rsidRDefault="00A77B3E">
      <w:pPr>
        <w:spacing w:before="5pt"/>
        <w:rPr>
          <w:color w:val="000000"/>
          <w:sz w:val="20"/>
        </w:rPr>
      </w:pPr>
    </w:p>
    <w:p w14:paraId="612D92AD" w14:textId="77777777" w:rsidR="00A77B3E" w:rsidRDefault="00B16CCF">
      <w:pPr>
        <w:pStyle w:val="Naslov4"/>
        <w:spacing w:before="5pt" w:after="0pt"/>
        <w:rPr>
          <w:b w:val="0"/>
          <w:color w:val="000000"/>
          <w:sz w:val="24"/>
        </w:rPr>
      </w:pPr>
      <w:bookmarkStart w:id="432" w:name="_Toc256001193"/>
      <w:r>
        <w:rPr>
          <w:b w:val="0"/>
          <w:color w:val="000000"/>
          <w:sz w:val="24"/>
        </w:rPr>
        <w:t>2.1.1.1.3. Okvirna razčlenitev načrtovanih sredstev (EU) glede na vrsto ukrepa</w:t>
      </w:r>
      <w:bookmarkEnd w:id="432"/>
    </w:p>
    <w:p w14:paraId="2C60E2F8" w14:textId="77777777" w:rsidR="00A77B3E" w:rsidRDefault="00A77B3E">
      <w:pPr>
        <w:spacing w:before="5pt"/>
        <w:rPr>
          <w:color w:val="000000"/>
          <w:sz w:val="0"/>
        </w:rPr>
      </w:pPr>
    </w:p>
    <w:p w14:paraId="1BF0220E" w14:textId="77777777" w:rsidR="00A77B3E" w:rsidRDefault="00B16CCF">
      <w:pPr>
        <w:spacing w:before="5pt"/>
        <w:rPr>
          <w:color w:val="000000"/>
          <w:sz w:val="0"/>
        </w:rPr>
      </w:pPr>
      <w:r>
        <w:rPr>
          <w:color w:val="000000"/>
        </w:rPr>
        <w:t>Sklic: člen 22(3)(d)(viii) uredbe o skupnih določbah</w:t>
      </w:r>
    </w:p>
    <w:p w14:paraId="66574462" w14:textId="77777777" w:rsidR="00A77B3E" w:rsidRDefault="00B16CCF">
      <w:pPr>
        <w:pStyle w:val="Naslov5"/>
        <w:spacing w:before="5pt" w:after="0pt"/>
        <w:rPr>
          <w:b w:val="0"/>
          <w:i w:val="0"/>
          <w:color w:val="000000"/>
          <w:sz w:val="24"/>
        </w:rPr>
      </w:pPr>
      <w:bookmarkStart w:id="433" w:name="_Toc256001194"/>
      <w:r>
        <w:rPr>
          <w:b w:val="0"/>
          <w:i w:val="0"/>
          <w:color w:val="000000"/>
          <w:sz w:val="24"/>
        </w:rPr>
        <w:t>Tabela 4: Razsežnost 1 – področje ukrepanja</w:t>
      </w:r>
      <w:bookmarkEnd w:id="433"/>
    </w:p>
    <w:p w14:paraId="3CE7408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95"/>
        <w:gridCol w:w="2301"/>
        <w:gridCol w:w="1671"/>
        <w:gridCol w:w="2385"/>
        <w:gridCol w:w="2934"/>
        <w:gridCol w:w="3386"/>
      </w:tblGrid>
      <w:tr w:rsidR="00823317" w14:paraId="0BE3A86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A2C46C"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562D1E"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0D8F1F"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386D14"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BD89C9"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5B9EB1" w14:textId="77777777" w:rsidR="00A77B3E" w:rsidRDefault="00B16CCF">
            <w:pPr>
              <w:spacing w:before="5pt"/>
              <w:jc w:val="center"/>
              <w:rPr>
                <w:color w:val="000000"/>
                <w:sz w:val="20"/>
              </w:rPr>
            </w:pPr>
            <w:r>
              <w:rPr>
                <w:color w:val="000000"/>
                <w:sz w:val="20"/>
              </w:rPr>
              <w:t>Znesek (v EUR)</w:t>
            </w:r>
          </w:p>
        </w:tc>
      </w:tr>
      <w:tr w:rsidR="00823317" w14:paraId="0C755FE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BFF818"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9D7C8B" w14:textId="77777777" w:rsidR="00A77B3E" w:rsidRDefault="00B16CCF">
            <w:pPr>
              <w:spacing w:before="5pt"/>
              <w:rPr>
                <w:color w:val="000000"/>
                <w:sz w:val="20"/>
              </w:rPr>
            </w:pPr>
            <w:r>
              <w:rPr>
                <w:color w:val="000000"/>
                <w:sz w:val="20"/>
              </w:rPr>
              <w:t>ESO4.1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BFD9CE"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139098"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9F127A" w14:textId="77777777" w:rsidR="00A77B3E" w:rsidRDefault="00B16CCF">
            <w:pPr>
              <w:spacing w:before="5pt"/>
              <w:rPr>
                <w:color w:val="000000"/>
                <w:sz w:val="20"/>
              </w:rPr>
            </w:pPr>
            <w:r>
              <w:rPr>
                <w:color w:val="000000"/>
                <w:sz w:val="20"/>
              </w:rPr>
              <w:t>134. Ukrepi za izboljšanje dostopa do zaposlitve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94A472" w14:textId="77777777" w:rsidR="00A77B3E" w:rsidRDefault="00B16CCF">
            <w:pPr>
              <w:spacing w:before="5pt"/>
              <w:jc w:val="end"/>
              <w:rPr>
                <w:color w:val="000000"/>
                <w:sz w:val="20"/>
              </w:rPr>
            </w:pPr>
            <w:r>
              <w:rPr>
                <w:color w:val="000000"/>
                <w:sz w:val="20"/>
              </w:rPr>
              <w:t>16.665.783,00</w:t>
            </w:r>
          </w:p>
        </w:tc>
      </w:tr>
      <w:tr w:rsidR="00823317" w14:paraId="47B3ECD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EC6355"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AB5B84" w14:textId="77777777" w:rsidR="00A77B3E" w:rsidRDefault="00B16CCF">
            <w:pPr>
              <w:spacing w:before="5pt"/>
              <w:rPr>
                <w:color w:val="000000"/>
                <w:sz w:val="20"/>
              </w:rPr>
            </w:pPr>
            <w:r>
              <w:rPr>
                <w:color w:val="000000"/>
                <w:sz w:val="20"/>
              </w:rPr>
              <w:t>ESO4.1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E2B42B"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268798"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2CD857" w14:textId="77777777" w:rsidR="00A77B3E" w:rsidRDefault="00B16CCF">
            <w:pPr>
              <w:spacing w:before="5pt"/>
              <w:rPr>
                <w:color w:val="000000"/>
                <w:sz w:val="20"/>
              </w:rPr>
            </w:pPr>
            <w:r>
              <w:rPr>
                <w:color w:val="000000"/>
                <w:sz w:val="20"/>
              </w:rPr>
              <w:t xml:space="preserve">136. Posebna podpora za zaposlovanje mladih in socialno-ekonomsko vključevanje mladih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7460D6" w14:textId="77777777" w:rsidR="00A77B3E" w:rsidRDefault="00B16CCF">
            <w:pPr>
              <w:spacing w:before="5pt"/>
              <w:jc w:val="end"/>
              <w:rPr>
                <w:color w:val="000000"/>
                <w:sz w:val="20"/>
              </w:rPr>
            </w:pPr>
            <w:r>
              <w:rPr>
                <w:color w:val="000000"/>
                <w:sz w:val="20"/>
              </w:rPr>
              <w:t>1.725.000,00</w:t>
            </w:r>
          </w:p>
        </w:tc>
      </w:tr>
      <w:tr w:rsidR="00823317" w14:paraId="0C93D5D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922B74"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99ED2F" w14:textId="77777777" w:rsidR="00A77B3E" w:rsidRDefault="00B16CCF">
            <w:pPr>
              <w:spacing w:before="5pt"/>
              <w:rPr>
                <w:color w:val="000000"/>
                <w:sz w:val="20"/>
              </w:rPr>
            </w:pPr>
            <w:r>
              <w:rPr>
                <w:color w:val="000000"/>
                <w:sz w:val="20"/>
              </w:rPr>
              <w:t>ESO4.1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2D216E"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684E74"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969BA6" w14:textId="77777777" w:rsidR="00A77B3E" w:rsidRDefault="00B16CCF">
            <w:pPr>
              <w:spacing w:before="5pt"/>
              <w:rPr>
                <w:color w:val="000000"/>
                <w:sz w:val="20"/>
              </w:rPr>
            </w:pPr>
            <w:r>
              <w:rPr>
                <w:color w:val="000000"/>
                <w:sz w:val="20"/>
              </w:rPr>
              <w:t xml:space="preserve">138. Podpora za socialno gospodarstvo in socialna podjetja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DDEB2B" w14:textId="77777777" w:rsidR="00A77B3E" w:rsidRDefault="00B16CCF">
            <w:pPr>
              <w:spacing w:before="5pt"/>
              <w:jc w:val="end"/>
              <w:rPr>
                <w:color w:val="000000"/>
                <w:sz w:val="20"/>
              </w:rPr>
            </w:pPr>
            <w:r>
              <w:rPr>
                <w:color w:val="000000"/>
                <w:sz w:val="20"/>
              </w:rPr>
              <w:t>690.000,00</w:t>
            </w:r>
          </w:p>
        </w:tc>
      </w:tr>
      <w:tr w:rsidR="00823317" w14:paraId="4F480DB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7F97D0"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EFBFF6" w14:textId="77777777" w:rsidR="00A77B3E" w:rsidRDefault="00B16CCF">
            <w:pPr>
              <w:spacing w:before="5pt"/>
              <w:rPr>
                <w:color w:val="000000"/>
                <w:sz w:val="20"/>
              </w:rPr>
            </w:pPr>
            <w:r>
              <w:rPr>
                <w:color w:val="000000"/>
                <w:sz w:val="20"/>
              </w:rPr>
              <w:t>ESO4.1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A3F916"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97AE16"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FE6DD1" w14:textId="77777777" w:rsidR="00A77B3E" w:rsidRDefault="00B16CCF">
            <w:pPr>
              <w:spacing w:before="5pt"/>
              <w:rPr>
                <w:color w:val="000000"/>
                <w:sz w:val="20"/>
              </w:rPr>
            </w:pPr>
            <w:r>
              <w:rPr>
                <w:color w:val="000000"/>
                <w:sz w:val="20"/>
              </w:rPr>
              <w:t>134. Ukrepi za izboljšanje dostopa do zaposlitve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C7AD16" w14:textId="77777777" w:rsidR="00A77B3E" w:rsidRDefault="00B16CCF">
            <w:pPr>
              <w:spacing w:before="5pt"/>
              <w:jc w:val="end"/>
              <w:rPr>
                <w:color w:val="000000"/>
                <w:sz w:val="20"/>
              </w:rPr>
            </w:pPr>
            <w:r>
              <w:rPr>
                <w:color w:val="000000"/>
                <w:sz w:val="20"/>
              </w:rPr>
              <w:t>73.523.475,00</w:t>
            </w:r>
          </w:p>
        </w:tc>
      </w:tr>
      <w:tr w:rsidR="00823317" w14:paraId="732B3B9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440951"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26335B" w14:textId="77777777" w:rsidR="00A77B3E" w:rsidRDefault="00B16CCF">
            <w:pPr>
              <w:spacing w:before="5pt"/>
              <w:rPr>
                <w:color w:val="000000"/>
                <w:sz w:val="20"/>
              </w:rPr>
            </w:pPr>
            <w:r>
              <w:rPr>
                <w:color w:val="000000"/>
                <w:sz w:val="20"/>
              </w:rPr>
              <w:t>ESO4.1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8CF61D"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CA7806"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6B4E94" w14:textId="77777777" w:rsidR="00A77B3E" w:rsidRDefault="00B16CCF">
            <w:pPr>
              <w:spacing w:before="5pt"/>
              <w:rPr>
                <w:color w:val="000000"/>
                <w:sz w:val="20"/>
              </w:rPr>
            </w:pPr>
            <w:r>
              <w:rPr>
                <w:color w:val="000000"/>
                <w:sz w:val="20"/>
              </w:rPr>
              <w:t xml:space="preserve">136. Posebna podpora za zaposlovanje mladih in socialno-ekonomsko vključevanje mladih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B259C9" w14:textId="77777777" w:rsidR="00A77B3E" w:rsidRDefault="00B16CCF">
            <w:pPr>
              <w:spacing w:before="5pt"/>
              <w:jc w:val="end"/>
              <w:rPr>
                <w:color w:val="000000"/>
                <w:sz w:val="20"/>
              </w:rPr>
            </w:pPr>
            <w:r>
              <w:rPr>
                <w:color w:val="000000"/>
                <w:sz w:val="20"/>
              </w:rPr>
              <w:t>6.333.000,00</w:t>
            </w:r>
          </w:p>
        </w:tc>
      </w:tr>
      <w:tr w:rsidR="00823317" w14:paraId="5960290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996226" w14:textId="77777777" w:rsidR="00A77B3E" w:rsidRDefault="00B16CCF">
            <w:pPr>
              <w:spacing w:before="5pt"/>
              <w:rPr>
                <w:color w:val="000000"/>
                <w:sz w:val="20"/>
              </w:rPr>
            </w:pPr>
            <w:r>
              <w:rPr>
                <w:color w:val="000000"/>
                <w:sz w:val="20"/>
              </w:rPr>
              <w:lastRenderedPageBreak/>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572D71" w14:textId="77777777" w:rsidR="00A77B3E" w:rsidRDefault="00B16CCF">
            <w:pPr>
              <w:spacing w:before="5pt"/>
              <w:rPr>
                <w:color w:val="000000"/>
                <w:sz w:val="20"/>
              </w:rPr>
            </w:pPr>
            <w:r>
              <w:rPr>
                <w:color w:val="000000"/>
                <w:sz w:val="20"/>
              </w:rPr>
              <w:t>ESO4.1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76EF2A"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C1F10D"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4974EA" w14:textId="77777777" w:rsidR="00A77B3E" w:rsidRDefault="00B16CCF">
            <w:pPr>
              <w:spacing w:before="5pt"/>
              <w:rPr>
                <w:color w:val="000000"/>
                <w:sz w:val="20"/>
              </w:rPr>
            </w:pPr>
            <w:r>
              <w:rPr>
                <w:color w:val="000000"/>
                <w:sz w:val="20"/>
              </w:rPr>
              <w:t xml:space="preserve">138. Podpora za socialno gospodarstvo in socialna podjetja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16EBC8" w14:textId="77777777" w:rsidR="00A77B3E" w:rsidRDefault="00B16CCF">
            <w:pPr>
              <w:spacing w:before="5pt"/>
              <w:jc w:val="end"/>
              <w:rPr>
                <w:color w:val="000000"/>
                <w:sz w:val="20"/>
              </w:rPr>
            </w:pPr>
            <w:r>
              <w:rPr>
                <w:color w:val="000000"/>
                <w:sz w:val="20"/>
              </w:rPr>
              <w:t>6.170.000,00</w:t>
            </w:r>
          </w:p>
        </w:tc>
      </w:tr>
      <w:tr w:rsidR="00823317" w14:paraId="52AF198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12D56C"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926EF2" w14:textId="77777777" w:rsidR="00A77B3E" w:rsidRDefault="00B16CCF">
            <w:pPr>
              <w:spacing w:before="5pt"/>
              <w:rPr>
                <w:color w:val="000000"/>
                <w:sz w:val="20"/>
              </w:rPr>
            </w:pPr>
            <w:r>
              <w:rPr>
                <w:color w:val="000000"/>
                <w:sz w:val="20"/>
              </w:rPr>
              <w:t>ESO4.1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B7042C"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27BFB0"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F18327"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413C32" w14:textId="77777777" w:rsidR="00A77B3E" w:rsidRDefault="00B16CCF">
            <w:pPr>
              <w:spacing w:before="5pt"/>
              <w:jc w:val="end"/>
              <w:rPr>
                <w:color w:val="000000"/>
                <w:sz w:val="20"/>
              </w:rPr>
            </w:pPr>
            <w:r>
              <w:rPr>
                <w:color w:val="000000"/>
                <w:sz w:val="20"/>
              </w:rPr>
              <w:t>105.107.258,00</w:t>
            </w:r>
          </w:p>
        </w:tc>
      </w:tr>
    </w:tbl>
    <w:p w14:paraId="22729E25" w14:textId="77777777" w:rsidR="00A77B3E" w:rsidRDefault="00A77B3E">
      <w:pPr>
        <w:spacing w:before="5pt"/>
        <w:rPr>
          <w:color w:val="000000"/>
          <w:sz w:val="20"/>
        </w:rPr>
      </w:pPr>
    </w:p>
    <w:p w14:paraId="2229A5F8" w14:textId="77777777" w:rsidR="00A77B3E" w:rsidRDefault="00B16CCF">
      <w:pPr>
        <w:pStyle w:val="Naslov5"/>
        <w:spacing w:before="5pt" w:after="0pt"/>
        <w:rPr>
          <w:b w:val="0"/>
          <w:i w:val="0"/>
          <w:color w:val="000000"/>
          <w:sz w:val="24"/>
        </w:rPr>
      </w:pPr>
      <w:bookmarkStart w:id="434" w:name="_Toc256001195"/>
      <w:r>
        <w:rPr>
          <w:b w:val="0"/>
          <w:i w:val="0"/>
          <w:color w:val="000000"/>
          <w:sz w:val="24"/>
        </w:rPr>
        <w:t>Tabela 5: Razsežnost 2 – oblika financiranja</w:t>
      </w:r>
      <w:bookmarkEnd w:id="434"/>
    </w:p>
    <w:p w14:paraId="32D0DB3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49"/>
        <w:gridCol w:w="2353"/>
        <w:gridCol w:w="1708"/>
        <w:gridCol w:w="2439"/>
        <w:gridCol w:w="2661"/>
        <w:gridCol w:w="3462"/>
      </w:tblGrid>
      <w:tr w:rsidR="00823317" w14:paraId="2D29556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17752DC"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9B26F08"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D5A46B8"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57DF41"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1C955C"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9AAE9C" w14:textId="77777777" w:rsidR="00A77B3E" w:rsidRDefault="00B16CCF">
            <w:pPr>
              <w:spacing w:before="5pt"/>
              <w:jc w:val="center"/>
              <w:rPr>
                <w:color w:val="000000"/>
                <w:sz w:val="20"/>
              </w:rPr>
            </w:pPr>
            <w:r>
              <w:rPr>
                <w:color w:val="000000"/>
                <w:sz w:val="20"/>
              </w:rPr>
              <w:t>Znesek (v EUR)</w:t>
            </w:r>
          </w:p>
        </w:tc>
      </w:tr>
      <w:tr w:rsidR="00823317" w14:paraId="76FCEF7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BD9214"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99DE4E" w14:textId="77777777" w:rsidR="00A77B3E" w:rsidRDefault="00B16CCF">
            <w:pPr>
              <w:spacing w:before="5pt"/>
              <w:rPr>
                <w:color w:val="000000"/>
                <w:sz w:val="20"/>
              </w:rPr>
            </w:pPr>
            <w:r>
              <w:rPr>
                <w:color w:val="000000"/>
                <w:sz w:val="20"/>
              </w:rPr>
              <w:t>ESO4.1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F25CC2"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DD5338"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CE75E4" w14:textId="77777777" w:rsidR="00A77B3E" w:rsidRDefault="00B16CCF">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8D90E7" w14:textId="77777777" w:rsidR="00A77B3E" w:rsidRDefault="00B16CCF">
            <w:pPr>
              <w:spacing w:before="5pt"/>
              <w:jc w:val="end"/>
              <w:rPr>
                <w:color w:val="000000"/>
                <w:sz w:val="20"/>
              </w:rPr>
            </w:pPr>
            <w:r>
              <w:rPr>
                <w:color w:val="000000"/>
                <w:sz w:val="20"/>
              </w:rPr>
              <w:t>19.080.783,00</w:t>
            </w:r>
          </w:p>
        </w:tc>
      </w:tr>
      <w:tr w:rsidR="00823317" w14:paraId="36366C0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7BAA9B"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4CD840" w14:textId="77777777" w:rsidR="00A77B3E" w:rsidRDefault="00B16CCF">
            <w:pPr>
              <w:spacing w:before="5pt"/>
              <w:rPr>
                <w:color w:val="000000"/>
                <w:sz w:val="20"/>
              </w:rPr>
            </w:pPr>
            <w:r>
              <w:rPr>
                <w:color w:val="000000"/>
                <w:sz w:val="20"/>
              </w:rPr>
              <w:t>ESO4.1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10BDDB"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5053A7"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A5F707" w14:textId="77777777" w:rsidR="00A77B3E" w:rsidRDefault="00B16CCF">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027459" w14:textId="77777777" w:rsidR="00A77B3E" w:rsidRDefault="00B16CCF">
            <w:pPr>
              <w:spacing w:before="5pt"/>
              <w:jc w:val="end"/>
              <w:rPr>
                <w:color w:val="000000"/>
                <w:sz w:val="20"/>
              </w:rPr>
            </w:pPr>
            <w:r>
              <w:rPr>
                <w:color w:val="000000"/>
                <w:sz w:val="20"/>
              </w:rPr>
              <w:t>86.026.475,00</w:t>
            </w:r>
          </w:p>
        </w:tc>
      </w:tr>
      <w:tr w:rsidR="00823317" w14:paraId="6FD7768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DA0487"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ECA8A7" w14:textId="77777777" w:rsidR="00A77B3E" w:rsidRDefault="00B16CCF">
            <w:pPr>
              <w:spacing w:before="5pt"/>
              <w:rPr>
                <w:color w:val="000000"/>
                <w:sz w:val="20"/>
              </w:rPr>
            </w:pPr>
            <w:r>
              <w:rPr>
                <w:color w:val="000000"/>
                <w:sz w:val="20"/>
              </w:rPr>
              <w:t>ESO4.1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0EE0F0"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D841F6"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674DF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27B1A9" w14:textId="77777777" w:rsidR="00A77B3E" w:rsidRDefault="00B16CCF">
            <w:pPr>
              <w:spacing w:before="5pt"/>
              <w:jc w:val="end"/>
              <w:rPr>
                <w:color w:val="000000"/>
                <w:sz w:val="20"/>
              </w:rPr>
            </w:pPr>
            <w:r>
              <w:rPr>
                <w:color w:val="000000"/>
                <w:sz w:val="20"/>
              </w:rPr>
              <w:t>105.107.258,00</w:t>
            </w:r>
          </w:p>
        </w:tc>
      </w:tr>
    </w:tbl>
    <w:p w14:paraId="37EC47CE" w14:textId="77777777" w:rsidR="00A77B3E" w:rsidRDefault="00A77B3E">
      <w:pPr>
        <w:spacing w:before="5pt"/>
        <w:rPr>
          <w:color w:val="000000"/>
          <w:sz w:val="20"/>
        </w:rPr>
      </w:pPr>
    </w:p>
    <w:p w14:paraId="7E8B8D6A" w14:textId="77777777" w:rsidR="00A77B3E" w:rsidRDefault="00B16CCF">
      <w:pPr>
        <w:pStyle w:val="Naslov5"/>
        <w:spacing w:before="5pt" w:after="0pt"/>
        <w:rPr>
          <w:b w:val="0"/>
          <w:i w:val="0"/>
          <w:color w:val="000000"/>
          <w:sz w:val="24"/>
        </w:rPr>
      </w:pPr>
      <w:bookmarkStart w:id="435" w:name="_Toc256001196"/>
      <w:r>
        <w:rPr>
          <w:b w:val="0"/>
          <w:i w:val="0"/>
          <w:color w:val="000000"/>
          <w:sz w:val="24"/>
        </w:rPr>
        <w:t>Tabela 6: Razsežnost 3 – mehanizem za ozemeljsko izvrševanje in ozemeljski pristop</w:t>
      </w:r>
      <w:bookmarkEnd w:id="435"/>
    </w:p>
    <w:p w14:paraId="4ABD04B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85"/>
        <w:gridCol w:w="2293"/>
        <w:gridCol w:w="1665"/>
        <w:gridCol w:w="2377"/>
        <w:gridCol w:w="2978"/>
        <w:gridCol w:w="3374"/>
      </w:tblGrid>
      <w:tr w:rsidR="00823317" w14:paraId="54343DF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6A6E7E"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1DB057"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402C7E7"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9BBE201"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DA0839"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7A2D99" w14:textId="77777777" w:rsidR="00A77B3E" w:rsidRDefault="00B16CCF">
            <w:pPr>
              <w:spacing w:before="5pt"/>
              <w:jc w:val="center"/>
              <w:rPr>
                <w:color w:val="000000"/>
                <w:sz w:val="20"/>
              </w:rPr>
            </w:pPr>
            <w:r>
              <w:rPr>
                <w:color w:val="000000"/>
                <w:sz w:val="20"/>
              </w:rPr>
              <w:t>Znesek (v EUR)</w:t>
            </w:r>
          </w:p>
        </w:tc>
      </w:tr>
      <w:tr w:rsidR="00823317" w14:paraId="4D02A81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392E06"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A79676" w14:textId="77777777" w:rsidR="00A77B3E" w:rsidRDefault="00B16CCF">
            <w:pPr>
              <w:spacing w:before="5pt"/>
              <w:rPr>
                <w:color w:val="000000"/>
                <w:sz w:val="20"/>
              </w:rPr>
            </w:pPr>
            <w:r>
              <w:rPr>
                <w:color w:val="000000"/>
                <w:sz w:val="20"/>
              </w:rPr>
              <w:t>ESO4.1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44177D"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460287"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DBF972" w14:textId="77777777" w:rsidR="00A77B3E" w:rsidRDefault="00B16CCF">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FD3C64" w14:textId="77777777" w:rsidR="00A77B3E" w:rsidRDefault="00B16CCF">
            <w:pPr>
              <w:spacing w:before="5pt"/>
              <w:jc w:val="end"/>
              <w:rPr>
                <w:color w:val="000000"/>
                <w:sz w:val="20"/>
              </w:rPr>
            </w:pPr>
            <w:r>
              <w:rPr>
                <w:color w:val="000000"/>
                <w:sz w:val="20"/>
              </w:rPr>
              <w:t>19.080.783,00</w:t>
            </w:r>
          </w:p>
        </w:tc>
      </w:tr>
      <w:tr w:rsidR="00823317" w14:paraId="3E0F439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F74A13"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E1C54C" w14:textId="77777777" w:rsidR="00A77B3E" w:rsidRDefault="00B16CCF">
            <w:pPr>
              <w:spacing w:before="5pt"/>
              <w:rPr>
                <w:color w:val="000000"/>
                <w:sz w:val="20"/>
              </w:rPr>
            </w:pPr>
            <w:r>
              <w:rPr>
                <w:color w:val="000000"/>
                <w:sz w:val="20"/>
              </w:rPr>
              <w:t>ESO4.1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5ABAF7"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C38512"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D50097" w14:textId="77777777" w:rsidR="00A77B3E" w:rsidRDefault="00B16CCF">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84A734" w14:textId="77777777" w:rsidR="00A77B3E" w:rsidRDefault="00B16CCF">
            <w:pPr>
              <w:spacing w:before="5pt"/>
              <w:jc w:val="end"/>
              <w:rPr>
                <w:color w:val="000000"/>
                <w:sz w:val="20"/>
              </w:rPr>
            </w:pPr>
            <w:r>
              <w:rPr>
                <w:color w:val="000000"/>
                <w:sz w:val="20"/>
              </w:rPr>
              <w:t>86.026.475,00</w:t>
            </w:r>
          </w:p>
        </w:tc>
      </w:tr>
      <w:tr w:rsidR="00823317" w14:paraId="7B60FF4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A0DF8E"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AD3369" w14:textId="77777777" w:rsidR="00A77B3E" w:rsidRDefault="00B16CCF">
            <w:pPr>
              <w:spacing w:before="5pt"/>
              <w:rPr>
                <w:color w:val="000000"/>
                <w:sz w:val="20"/>
              </w:rPr>
            </w:pPr>
            <w:r>
              <w:rPr>
                <w:color w:val="000000"/>
                <w:sz w:val="20"/>
              </w:rPr>
              <w:t>ESO4.1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9A2167"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005997"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79C24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1F287C" w14:textId="77777777" w:rsidR="00A77B3E" w:rsidRDefault="00B16CCF">
            <w:pPr>
              <w:spacing w:before="5pt"/>
              <w:jc w:val="end"/>
              <w:rPr>
                <w:color w:val="000000"/>
                <w:sz w:val="20"/>
              </w:rPr>
            </w:pPr>
            <w:r>
              <w:rPr>
                <w:color w:val="000000"/>
                <w:sz w:val="20"/>
              </w:rPr>
              <w:t>105.107.258,00</w:t>
            </w:r>
          </w:p>
        </w:tc>
      </w:tr>
    </w:tbl>
    <w:p w14:paraId="532E25A7" w14:textId="77777777" w:rsidR="00A77B3E" w:rsidRDefault="00A77B3E">
      <w:pPr>
        <w:spacing w:before="5pt"/>
        <w:rPr>
          <w:color w:val="000000"/>
          <w:sz w:val="20"/>
        </w:rPr>
      </w:pPr>
    </w:p>
    <w:p w14:paraId="2C675003" w14:textId="77777777" w:rsidR="00A77B3E" w:rsidRDefault="00B16CCF">
      <w:pPr>
        <w:pStyle w:val="Naslov5"/>
        <w:spacing w:before="5pt" w:after="0pt"/>
        <w:rPr>
          <w:b w:val="0"/>
          <w:i w:val="0"/>
          <w:color w:val="000000"/>
          <w:sz w:val="24"/>
        </w:rPr>
      </w:pPr>
      <w:bookmarkStart w:id="436" w:name="_Toc256001197"/>
      <w:r>
        <w:rPr>
          <w:b w:val="0"/>
          <w:i w:val="0"/>
          <w:color w:val="000000"/>
          <w:sz w:val="24"/>
        </w:rPr>
        <w:t>Tabela 7: Razsežnost 6 – sekundarna področja ESS+</w:t>
      </w:r>
      <w:bookmarkEnd w:id="436"/>
    </w:p>
    <w:p w14:paraId="12753C7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95"/>
        <w:gridCol w:w="2301"/>
        <w:gridCol w:w="1671"/>
        <w:gridCol w:w="2385"/>
        <w:gridCol w:w="2934"/>
        <w:gridCol w:w="3386"/>
      </w:tblGrid>
      <w:tr w:rsidR="00823317" w14:paraId="3807136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9E4022"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0F1F15"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285474"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3CA84E"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117AB9"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9DE281" w14:textId="77777777" w:rsidR="00A77B3E" w:rsidRDefault="00B16CCF">
            <w:pPr>
              <w:spacing w:before="5pt"/>
              <w:jc w:val="center"/>
              <w:rPr>
                <w:color w:val="000000"/>
                <w:sz w:val="20"/>
              </w:rPr>
            </w:pPr>
            <w:r>
              <w:rPr>
                <w:color w:val="000000"/>
                <w:sz w:val="20"/>
              </w:rPr>
              <w:t>Znesek (v EUR)</w:t>
            </w:r>
          </w:p>
        </w:tc>
      </w:tr>
      <w:tr w:rsidR="00823317" w14:paraId="5BF39A1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812F04"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F56DF1" w14:textId="77777777" w:rsidR="00A77B3E" w:rsidRDefault="00B16CCF">
            <w:pPr>
              <w:spacing w:before="5pt"/>
              <w:rPr>
                <w:color w:val="000000"/>
                <w:sz w:val="20"/>
              </w:rPr>
            </w:pPr>
            <w:r>
              <w:rPr>
                <w:color w:val="000000"/>
                <w:sz w:val="20"/>
              </w:rPr>
              <w:t>ESO4.1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8786F3"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51054D"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451977" w14:textId="77777777" w:rsidR="00A77B3E" w:rsidRDefault="00B16CCF">
            <w:pPr>
              <w:spacing w:before="5pt"/>
              <w:rPr>
                <w:color w:val="000000"/>
                <w:sz w:val="20"/>
              </w:rPr>
            </w:pPr>
            <w:r>
              <w:rPr>
                <w:color w:val="000000"/>
                <w:sz w:val="20"/>
              </w:rPr>
              <w:t>01. Prispevanje k zelenim znanjem in spretnostim ter delovnim mestom in zelenemu gospodarstvu</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EEB071" w14:textId="77777777" w:rsidR="00A77B3E" w:rsidRDefault="00B16CCF">
            <w:pPr>
              <w:spacing w:before="5pt"/>
              <w:jc w:val="end"/>
              <w:rPr>
                <w:color w:val="000000"/>
                <w:sz w:val="20"/>
              </w:rPr>
            </w:pPr>
            <w:r>
              <w:rPr>
                <w:color w:val="000000"/>
                <w:sz w:val="20"/>
              </w:rPr>
              <w:t>800.000,00</w:t>
            </w:r>
          </w:p>
        </w:tc>
      </w:tr>
      <w:tr w:rsidR="00823317" w14:paraId="0ED214B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6B69A8"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C10AD3" w14:textId="77777777" w:rsidR="00A77B3E" w:rsidRDefault="00B16CCF">
            <w:pPr>
              <w:spacing w:before="5pt"/>
              <w:rPr>
                <w:color w:val="000000"/>
                <w:sz w:val="20"/>
              </w:rPr>
            </w:pPr>
            <w:r>
              <w:rPr>
                <w:color w:val="000000"/>
                <w:sz w:val="20"/>
              </w:rPr>
              <w:t>ESO4.1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C934B7"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F8382F"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902589" w14:textId="77777777" w:rsidR="00A77B3E" w:rsidRDefault="00B16CCF">
            <w:pPr>
              <w:spacing w:before="5pt"/>
              <w:rPr>
                <w:color w:val="000000"/>
                <w:sz w:val="20"/>
              </w:rPr>
            </w:pPr>
            <w:r>
              <w:rPr>
                <w:color w:val="000000"/>
                <w:sz w:val="20"/>
              </w:rPr>
              <w:t>08. Krepitev zmogljivosti organizacij civilne družbe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FCD707" w14:textId="77777777" w:rsidR="00A77B3E" w:rsidRDefault="00B16CCF">
            <w:pPr>
              <w:spacing w:before="5pt"/>
              <w:jc w:val="end"/>
              <w:rPr>
                <w:color w:val="000000"/>
                <w:sz w:val="20"/>
              </w:rPr>
            </w:pPr>
            <w:r>
              <w:rPr>
                <w:color w:val="000000"/>
                <w:sz w:val="20"/>
              </w:rPr>
              <w:t>1.595.000,00</w:t>
            </w:r>
          </w:p>
        </w:tc>
      </w:tr>
      <w:tr w:rsidR="00823317" w14:paraId="6863CE9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717CE9"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D1B49D" w14:textId="77777777" w:rsidR="00A77B3E" w:rsidRDefault="00B16CCF">
            <w:pPr>
              <w:spacing w:before="5pt"/>
              <w:rPr>
                <w:color w:val="000000"/>
                <w:sz w:val="20"/>
              </w:rPr>
            </w:pPr>
            <w:r>
              <w:rPr>
                <w:color w:val="000000"/>
                <w:sz w:val="20"/>
              </w:rPr>
              <w:t>ESO4.1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0AA6D4"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AEEAE7"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76A298" w14:textId="77777777" w:rsidR="00A77B3E" w:rsidRDefault="00B16CCF">
            <w:pPr>
              <w:spacing w:before="5pt"/>
              <w:rPr>
                <w:color w:val="000000"/>
                <w:sz w:val="20"/>
              </w:rPr>
            </w:pPr>
            <w:r>
              <w:rPr>
                <w:color w:val="000000"/>
                <w:sz w:val="20"/>
              </w:rPr>
              <w:t>09. Ni relevantno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4872AB" w14:textId="77777777" w:rsidR="00A77B3E" w:rsidRDefault="00B16CCF">
            <w:pPr>
              <w:spacing w:before="5pt"/>
              <w:jc w:val="end"/>
              <w:rPr>
                <w:color w:val="000000"/>
                <w:sz w:val="20"/>
              </w:rPr>
            </w:pPr>
            <w:r>
              <w:rPr>
                <w:color w:val="000000"/>
                <w:sz w:val="20"/>
              </w:rPr>
              <w:t>16.685.783,00</w:t>
            </w:r>
          </w:p>
        </w:tc>
      </w:tr>
      <w:tr w:rsidR="00823317" w14:paraId="0E07478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F9EAE5" w14:textId="77777777" w:rsidR="00A77B3E" w:rsidRDefault="00B16CCF">
            <w:pPr>
              <w:spacing w:before="5pt"/>
              <w:rPr>
                <w:color w:val="000000"/>
                <w:sz w:val="20"/>
              </w:rPr>
            </w:pPr>
            <w:r>
              <w:rPr>
                <w:color w:val="000000"/>
                <w:sz w:val="20"/>
              </w:rPr>
              <w:lastRenderedPageBreak/>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B5442F" w14:textId="77777777" w:rsidR="00A77B3E" w:rsidRDefault="00B16CCF">
            <w:pPr>
              <w:spacing w:before="5pt"/>
              <w:rPr>
                <w:color w:val="000000"/>
                <w:sz w:val="20"/>
              </w:rPr>
            </w:pPr>
            <w:r>
              <w:rPr>
                <w:color w:val="000000"/>
                <w:sz w:val="20"/>
              </w:rPr>
              <w:t>ESO4.1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05959E"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49A05F"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9A2B6A" w14:textId="77777777" w:rsidR="00A77B3E" w:rsidRDefault="00B16CCF">
            <w:pPr>
              <w:spacing w:before="5pt"/>
              <w:rPr>
                <w:color w:val="000000"/>
                <w:sz w:val="20"/>
              </w:rPr>
            </w:pPr>
            <w:r>
              <w:rPr>
                <w:color w:val="000000"/>
                <w:sz w:val="20"/>
              </w:rPr>
              <w:t>01. Prispevanje k zelenim znanjem in spretnostim ter delovnim mestom in zelenemu gospodarstvu</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803F3F" w14:textId="77777777" w:rsidR="00A77B3E" w:rsidRDefault="00B16CCF">
            <w:pPr>
              <w:spacing w:before="5pt"/>
              <w:jc w:val="end"/>
              <w:rPr>
                <w:color w:val="000000"/>
                <w:sz w:val="20"/>
              </w:rPr>
            </w:pPr>
            <w:r>
              <w:rPr>
                <w:color w:val="000000"/>
                <w:sz w:val="20"/>
              </w:rPr>
              <w:t>6.800.000,00</w:t>
            </w:r>
          </w:p>
        </w:tc>
      </w:tr>
      <w:tr w:rsidR="00823317" w14:paraId="36C8715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4EDDD4"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A0F02D" w14:textId="77777777" w:rsidR="00A77B3E" w:rsidRDefault="00B16CCF">
            <w:pPr>
              <w:spacing w:before="5pt"/>
              <w:rPr>
                <w:color w:val="000000"/>
                <w:sz w:val="20"/>
              </w:rPr>
            </w:pPr>
            <w:r>
              <w:rPr>
                <w:color w:val="000000"/>
                <w:sz w:val="20"/>
              </w:rPr>
              <w:t>ESO4.1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2A9FDF"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4430AF"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0CA163" w14:textId="77777777" w:rsidR="00A77B3E" w:rsidRDefault="00B16CCF">
            <w:pPr>
              <w:spacing w:before="5pt"/>
              <w:rPr>
                <w:color w:val="000000"/>
                <w:sz w:val="20"/>
              </w:rPr>
            </w:pPr>
            <w:r>
              <w:rPr>
                <w:color w:val="000000"/>
                <w:sz w:val="20"/>
              </w:rPr>
              <w:t>08. Krepitev zmogljivosti organizacij civilne družbe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981774" w14:textId="77777777" w:rsidR="00A77B3E" w:rsidRDefault="00B16CCF">
            <w:pPr>
              <w:spacing w:before="5pt"/>
              <w:jc w:val="end"/>
              <w:rPr>
                <w:color w:val="000000"/>
                <w:sz w:val="20"/>
              </w:rPr>
            </w:pPr>
            <w:r>
              <w:rPr>
                <w:color w:val="000000"/>
                <w:sz w:val="20"/>
              </w:rPr>
              <w:t>8.503.000,00</w:t>
            </w:r>
          </w:p>
        </w:tc>
      </w:tr>
      <w:tr w:rsidR="00823317" w14:paraId="3EBEED9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B1EDC7"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FBC1D6" w14:textId="77777777" w:rsidR="00A77B3E" w:rsidRDefault="00B16CCF">
            <w:pPr>
              <w:spacing w:before="5pt"/>
              <w:rPr>
                <w:color w:val="000000"/>
                <w:sz w:val="20"/>
              </w:rPr>
            </w:pPr>
            <w:r>
              <w:rPr>
                <w:color w:val="000000"/>
                <w:sz w:val="20"/>
              </w:rPr>
              <w:t>ESO4.1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4800B6"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503B61"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02DC58" w14:textId="77777777" w:rsidR="00A77B3E" w:rsidRDefault="00B16CCF">
            <w:pPr>
              <w:spacing w:before="5pt"/>
              <w:rPr>
                <w:color w:val="000000"/>
                <w:sz w:val="20"/>
              </w:rPr>
            </w:pPr>
            <w:r>
              <w:rPr>
                <w:color w:val="000000"/>
                <w:sz w:val="20"/>
              </w:rPr>
              <w:t>09. Ni relevantno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CBE939" w14:textId="77777777" w:rsidR="00A77B3E" w:rsidRDefault="00B16CCF">
            <w:pPr>
              <w:spacing w:before="5pt"/>
              <w:jc w:val="end"/>
              <w:rPr>
                <w:color w:val="000000"/>
                <w:sz w:val="20"/>
              </w:rPr>
            </w:pPr>
            <w:r>
              <w:rPr>
                <w:color w:val="000000"/>
                <w:sz w:val="20"/>
              </w:rPr>
              <w:t>70.723.475,00</w:t>
            </w:r>
          </w:p>
        </w:tc>
      </w:tr>
      <w:tr w:rsidR="00823317" w14:paraId="2444095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ADE1C5"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BB1E94" w14:textId="77777777" w:rsidR="00A77B3E" w:rsidRDefault="00B16CCF">
            <w:pPr>
              <w:spacing w:before="5pt"/>
              <w:rPr>
                <w:color w:val="000000"/>
                <w:sz w:val="20"/>
              </w:rPr>
            </w:pPr>
            <w:r>
              <w:rPr>
                <w:color w:val="000000"/>
                <w:sz w:val="20"/>
              </w:rPr>
              <w:t>ESO4.1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90EFB3"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48A15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631FA9"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C27D0C" w14:textId="77777777" w:rsidR="00A77B3E" w:rsidRDefault="00B16CCF">
            <w:pPr>
              <w:spacing w:before="5pt"/>
              <w:jc w:val="end"/>
              <w:rPr>
                <w:color w:val="000000"/>
                <w:sz w:val="20"/>
              </w:rPr>
            </w:pPr>
            <w:r>
              <w:rPr>
                <w:color w:val="000000"/>
                <w:sz w:val="20"/>
              </w:rPr>
              <w:t>105.107.258,00</w:t>
            </w:r>
          </w:p>
        </w:tc>
      </w:tr>
    </w:tbl>
    <w:p w14:paraId="6127B349" w14:textId="77777777" w:rsidR="00A77B3E" w:rsidRDefault="00A77B3E">
      <w:pPr>
        <w:spacing w:before="5pt"/>
        <w:rPr>
          <w:color w:val="000000"/>
          <w:sz w:val="20"/>
        </w:rPr>
      </w:pPr>
    </w:p>
    <w:p w14:paraId="4B15DF72" w14:textId="77777777" w:rsidR="00A77B3E" w:rsidRDefault="00B16CCF">
      <w:pPr>
        <w:pStyle w:val="Naslov5"/>
        <w:spacing w:before="5pt" w:after="0pt"/>
        <w:rPr>
          <w:b w:val="0"/>
          <w:i w:val="0"/>
          <w:color w:val="000000"/>
          <w:sz w:val="24"/>
        </w:rPr>
      </w:pPr>
      <w:bookmarkStart w:id="437" w:name="_Toc256001198"/>
      <w:r>
        <w:rPr>
          <w:b w:val="0"/>
          <w:i w:val="0"/>
          <w:color w:val="000000"/>
          <w:sz w:val="24"/>
        </w:rPr>
        <w:t>Tabela 8: Razsežnost 7 – razsežnost enakosti spolov v okviru ESS+*, ESRR, Kohezijskega sklada in SPP</w:t>
      </w:r>
      <w:bookmarkEnd w:id="437"/>
    </w:p>
    <w:p w14:paraId="2129EFC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59"/>
        <w:gridCol w:w="2268"/>
        <w:gridCol w:w="1647"/>
        <w:gridCol w:w="2351"/>
        <w:gridCol w:w="3109"/>
        <w:gridCol w:w="3338"/>
      </w:tblGrid>
      <w:tr w:rsidR="00823317" w14:paraId="609DD14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E09D8D"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091885"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FE682F"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EF7997"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185745"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D8BB7F" w14:textId="77777777" w:rsidR="00A77B3E" w:rsidRDefault="00B16CCF">
            <w:pPr>
              <w:spacing w:before="5pt"/>
              <w:jc w:val="center"/>
              <w:rPr>
                <w:color w:val="000000"/>
                <w:sz w:val="20"/>
              </w:rPr>
            </w:pPr>
            <w:r>
              <w:rPr>
                <w:color w:val="000000"/>
                <w:sz w:val="20"/>
              </w:rPr>
              <w:t>Znesek (v EUR)</w:t>
            </w:r>
          </w:p>
        </w:tc>
      </w:tr>
      <w:tr w:rsidR="00823317" w14:paraId="2D9E2B9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7257FA"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A5DABA" w14:textId="77777777" w:rsidR="00A77B3E" w:rsidRDefault="00B16CCF">
            <w:pPr>
              <w:spacing w:before="5pt"/>
              <w:rPr>
                <w:color w:val="000000"/>
                <w:sz w:val="20"/>
              </w:rPr>
            </w:pPr>
            <w:r>
              <w:rPr>
                <w:color w:val="000000"/>
                <w:sz w:val="20"/>
              </w:rPr>
              <w:t>ESO4.1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C4E14C"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03DE47"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731013" w14:textId="77777777" w:rsidR="00A77B3E" w:rsidRDefault="00B16CCF">
            <w:pPr>
              <w:spacing w:before="5pt"/>
              <w:rPr>
                <w:color w:val="000000"/>
                <w:sz w:val="20"/>
              </w:rPr>
            </w:pPr>
            <w:r>
              <w:rPr>
                <w:color w:val="000000"/>
                <w:sz w:val="20"/>
              </w:rPr>
              <w:t>01. Osredotočanje na enakost spolov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3C9148" w14:textId="77777777" w:rsidR="00A77B3E" w:rsidRDefault="00B16CCF">
            <w:pPr>
              <w:spacing w:before="5pt"/>
              <w:jc w:val="end"/>
              <w:rPr>
                <w:color w:val="000000"/>
                <w:sz w:val="20"/>
              </w:rPr>
            </w:pPr>
            <w:r>
              <w:rPr>
                <w:color w:val="000000"/>
                <w:sz w:val="20"/>
              </w:rPr>
              <w:t>473.289,00</w:t>
            </w:r>
          </w:p>
        </w:tc>
      </w:tr>
      <w:tr w:rsidR="00823317" w14:paraId="7D29C2E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FBB8D8"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EF00A5" w14:textId="77777777" w:rsidR="00A77B3E" w:rsidRDefault="00B16CCF">
            <w:pPr>
              <w:spacing w:before="5pt"/>
              <w:rPr>
                <w:color w:val="000000"/>
                <w:sz w:val="20"/>
              </w:rPr>
            </w:pPr>
            <w:r>
              <w:rPr>
                <w:color w:val="000000"/>
                <w:sz w:val="20"/>
              </w:rPr>
              <w:t>ESO4.1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F8B367"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073AD4"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68AAA4" w14:textId="77777777" w:rsidR="00A77B3E" w:rsidRDefault="00B16CCF">
            <w:pPr>
              <w:spacing w:before="5pt"/>
              <w:rPr>
                <w:color w:val="000000"/>
                <w:sz w:val="20"/>
              </w:rPr>
            </w:pPr>
            <w:r>
              <w:rPr>
                <w:color w:val="000000"/>
                <w:sz w:val="20"/>
              </w:rPr>
              <w:t>02. Vključevanje vidika spola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66FDF8" w14:textId="77777777" w:rsidR="00A77B3E" w:rsidRDefault="00B16CCF">
            <w:pPr>
              <w:spacing w:before="5pt"/>
              <w:jc w:val="end"/>
              <w:rPr>
                <w:color w:val="000000"/>
                <w:sz w:val="20"/>
              </w:rPr>
            </w:pPr>
            <w:r>
              <w:rPr>
                <w:color w:val="000000"/>
                <w:sz w:val="20"/>
              </w:rPr>
              <w:t>18.607.494,00</w:t>
            </w:r>
          </w:p>
        </w:tc>
      </w:tr>
      <w:tr w:rsidR="00823317" w14:paraId="180AAF0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26C70C"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AEFAF0" w14:textId="77777777" w:rsidR="00A77B3E" w:rsidRDefault="00B16CCF">
            <w:pPr>
              <w:spacing w:before="5pt"/>
              <w:rPr>
                <w:color w:val="000000"/>
                <w:sz w:val="20"/>
              </w:rPr>
            </w:pPr>
            <w:r>
              <w:rPr>
                <w:color w:val="000000"/>
                <w:sz w:val="20"/>
              </w:rPr>
              <w:t>ESO4.1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DDB263"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115AB5"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D183F5" w14:textId="77777777" w:rsidR="00A77B3E" w:rsidRDefault="00B16CCF">
            <w:pPr>
              <w:spacing w:before="5pt"/>
              <w:rPr>
                <w:color w:val="000000"/>
                <w:sz w:val="20"/>
              </w:rPr>
            </w:pPr>
            <w:r>
              <w:rPr>
                <w:color w:val="000000"/>
                <w:sz w:val="20"/>
              </w:rPr>
              <w:t>01. Osredotočanje na enakost spolov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C01C4E" w14:textId="77777777" w:rsidR="00A77B3E" w:rsidRDefault="00B16CCF">
            <w:pPr>
              <w:spacing w:before="5pt"/>
              <w:jc w:val="end"/>
              <w:rPr>
                <w:color w:val="000000"/>
                <w:sz w:val="20"/>
              </w:rPr>
            </w:pPr>
            <w:r>
              <w:rPr>
                <w:color w:val="000000"/>
                <w:sz w:val="20"/>
              </w:rPr>
              <w:t>1.688.164,00</w:t>
            </w:r>
          </w:p>
        </w:tc>
      </w:tr>
      <w:tr w:rsidR="00823317" w14:paraId="2245D55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EA9A4E"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2E8397" w14:textId="77777777" w:rsidR="00A77B3E" w:rsidRDefault="00B16CCF">
            <w:pPr>
              <w:spacing w:before="5pt"/>
              <w:rPr>
                <w:color w:val="000000"/>
                <w:sz w:val="20"/>
              </w:rPr>
            </w:pPr>
            <w:r>
              <w:rPr>
                <w:color w:val="000000"/>
                <w:sz w:val="20"/>
              </w:rPr>
              <w:t>ESO4.1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7B2F5E"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D4F833"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428835" w14:textId="77777777" w:rsidR="00A77B3E" w:rsidRDefault="00B16CCF">
            <w:pPr>
              <w:spacing w:before="5pt"/>
              <w:rPr>
                <w:color w:val="000000"/>
                <w:sz w:val="20"/>
              </w:rPr>
            </w:pPr>
            <w:r>
              <w:rPr>
                <w:color w:val="000000"/>
                <w:sz w:val="20"/>
              </w:rPr>
              <w:t>02. Vključevanje vidika spola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701E44" w14:textId="77777777" w:rsidR="00A77B3E" w:rsidRDefault="00B16CCF">
            <w:pPr>
              <w:spacing w:before="5pt"/>
              <w:jc w:val="end"/>
              <w:rPr>
                <w:color w:val="000000"/>
                <w:sz w:val="20"/>
              </w:rPr>
            </w:pPr>
            <w:r>
              <w:rPr>
                <w:color w:val="000000"/>
                <w:sz w:val="20"/>
              </w:rPr>
              <w:t>84.338.311,00</w:t>
            </w:r>
          </w:p>
        </w:tc>
      </w:tr>
      <w:tr w:rsidR="00823317" w14:paraId="31738E5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16651D"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31F9B4" w14:textId="77777777" w:rsidR="00A77B3E" w:rsidRDefault="00B16CCF">
            <w:pPr>
              <w:spacing w:before="5pt"/>
              <w:rPr>
                <w:color w:val="000000"/>
                <w:sz w:val="20"/>
              </w:rPr>
            </w:pPr>
            <w:r>
              <w:rPr>
                <w:color w:val="000000"/>
                <w:sz w:val="20"/>
              </w:rPr>
              <w:t>ESO4.1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454515"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781689"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0572C9"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119451" w14:textId="77777777" w:rsidR="00A77B3E" w:rsidRDefault="00B16CCF">
            <w:pPr>
              <w:spacing w:before="5pt"/>
              <w:jc w:val="end"/>
              <w:rPr>
                <w:color w:val="000000"/>
                <w:sz w:val="20"/>
              </w:rPr>
            </w:pPr>
            <w:r>
              <w:rPr>
                <w:color w:val="000000"/>
                <w:sz w:val="20"/>
              </w:rPr>
              <w:t>105.107.258,00</w:t>
            </w:r>
          </w:p>
        </w:tc>
      </w:tr>
    </w:tbl>
    <w:p w14:paraId="39277751" w14:textId="77777777" w:rsidR="00A77B3E" w:rsidRDefault="00B16CCF">
      <w:pPr>
        <w:spacing w:before="5pt"/>
        <w:rPr>
          <w:color w:val="000000"/>
          <w:sz w:val="20"/>
        </w:rPr>
      </w:pPr>
      <w:r>
        <w:rPr>
          <w:color w:val="000000"/>
          <w:sz w:val="20"/>
        </w:rPr>
        <w:t>* Načeloma 40 % za ESS+ prispeva k spremljanju enakosti spolov. 100 % se uporabi, kadar se država članica odloči za uporabo člena 6 uredbe o ESS+.</w:t>
      </w:r>
    </w:p>
    <w:p w14:paraId="3A19399D" w14:textId="77777777" w:rsidR="00A77B3E" w:rsidRDefault="00B16CCF">
      <w:pPr>
        <w:pStyle w:val="Naslov4"/>
        <w:spacing w:before="5pt" w:after="0pt"/>
        <w:rPr>
          <w:b w:val="0"/>
          <w:color w:val="000000"/>
          <w:sz w:val="24"/>
        </w:rPr>
      </w:pPr>
      <w:r>
        <w:rPr>
          <w:b w:val="0"/>
          <w:color w:val="000000"/>
          <w:sz w:val="24"/>
        </w:rPr>
        <w:br w:type="page"/>
      </w:r>
      <w:bookmarkStart w:id="438" w:name="_Toc256001199"/>
      <w:r>
        <w:rPr>
          <w:b w:val="0"/>
          <w:color w:val="000000"/>
          <w:sz w:val="24"/>
        </w:rPr>
        <w:lastRenderedPageBreak/>
        <w:t>2.1.1.1. Specifični cilj: ESO4.2. Posodabljanje institucij in služb trga dela za oceno in predvidevanje potreb po veščinah ter zagotavljanje pravočasne in prilagojene pomoči in podpore pri usklajevanju ponudbe in povpraševanja na trgu dela, prehodih in mobilnosti (ESS+)</w:t>
      </w:r>
      <w:bookmarkEnd w:id="438"/>
    </w:p>
    <w:p w14:paraId="74C4180B" w14:textId="77777777" w:rsidR="00A77B3E" w:rsidRDefault="00A77B3E">
      <w:pPr>
        <w:spacing w:before="5pt"/>
        <w:rPr>
          <w:color w:val="000000"/>
          <w:sz w:val="0"/>
        </w:rPr>
      </w:pPr>
    </w:p>
    <w:p w14:paraId="21DB604C" w14:textId="77777777" w:rsidR="00A77B3E" w:rsidRDefault="00B16CCF">
      <w:pPr>
        <w:pStyle w:val="Naslov4"/>
        <w:spacing w:before="5pt" w:after="0pt"/>
        <w:rPr>
          <w:b w:val="0"/>
          <w:color w:val="000000"/>
          <w:sz w:val="24"/>
        </w:rPr>
      </w:pPr>
      <w:bookmarkStart w:id="439" w:name="_Toc256001200"/>
      <w:r>
        <w:rPr>
          <w:b w:val="0"/>
          <w:color w:val="000000"/>
          <w:sz w:val="24"/>
        </w:rPr>
        <w:t>2.1.1.1.1. Ukrepi skladov</w:t>
      </w:r>
      <w:bookmarkEnd w:id="439"/>
    </w:p>
    <w:p w14:paraId="780A18A6" w14:textId="77777777" w:rsidR="00A77B3E" w:rsidRDefault="00A77B3E">
      <w:pPr>
        <w:spacing w:before="5pt"/>
        <w:rPr>
          <w:color w:val="000000"/>
          <w:sz w:val="0"/>
        </w:rPr>
      </w:pPr>
    </w:p>
    <w:p w14:paraId="36609EBA" w14:textId="77777777" w:rsidR="00A77B3E" w:rsidRDefault="00B16CCF">
      <w:pPr>
        <w:spacing w:before="5pt"/>
        <w:rPr>
          <w:color w:val="000000"/>
          <w:sz w:val="0"/>
        </w:rPr>
      </w:pPr>
      <w:r>
        <w:rPr>
          <w:color w:val="000000"/>
        </w:rPr>
        <w:t>Sklic: člen 22(3)(d)(i), (iii), (iv), (v), (vi) in (vii) uredbe o skupnih določbah</w:t>
      </w:r>
    </w:p>
    <w:p w14:paraId="33B61A51" w14:textId="77777777" w:rsidR="00A77B3E" w:rsidRDefault="00B16CCF">
      <w:pPr>
        <w:pStyle w:val="Naslov5"/>
        <w:spacing w:before="5pt" w:after="0pt"/>
        <w:rPr>
          <w:b w:val="0"/>
          <w:i w:val="0"/>
          <w:color w:val="000000"/>
          <w:sz w:val="24"/>
        </w:rPr>
      </w:pPr>
      <w:bookmarkStart w:id="440" w:name="_Toc256001201"/>
      <w:r>
        <w:rPr>
          <w:b w:val="0"/>
          <w:i w:val="0"/>
          <w:color w:val="000000"/>
          <w:sz w:val="24"/>
        </w:rPr>
        <w:t>Povezane vrste ukrepov – člen 22(3)(d)(i) uredbe o skupnih določbah in člen 6 uredbe o ESS+:</w:t>
      </w:r>
      <w:bookmarkEnd w:id="440"/>
    </w:p>
    <w:p w14:paraId="6C1C599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668FF780"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A69AC1" w14:textId="77777777" w:rsidR="00A77B3E" w:rsidRDefault="00A77B3E">
            <w:pPr>
              <w:spacing w:before="5pt"/>
              <w:rPr>
                <w:color w:val="000000"/>
                <w:sz w:val="0"/>
              </w:rPr>
            </w:pPr>
          </w:p>
          <w:p w14:paraId="108B92F1" w14:textId="77777777" w:rsidR="00A77B3E" w:rsidRDefault="00B16CCF">
            <w:pPr>
              <w:spacing w:before="5pt"/>
              <w:rPr>
                <w:color w:val="000000"/>
              </w:rPr>
            </w:pPr>
            <w:r>
              <w:rPr>
                <w:color w:val="000000"/>
              </w:rPr>
              <w:t>S posodobitvijo institucij in služb trga dela ter modernizacijo njihovih storitev bo zagotovljena večja usklajenost ponudbe in povpraševanja, predvidevanje potreb po spretnostih, prehodov in mobilnost na trgu dela ter predvsem ustrezna usposobljenost zaposlenih v institucijah trga dela. Načrtuje se dodatna digitalizacija in racionalizacija delovnih procesov, razvijanje novih storitev, krepitev povezovanja vseh deležnikov na trgu dela, kot je izpostavljeno tudi v Predlogu skupnega poročila Komisije in Sveta o zaposlovanju k Sporočilu Komisije o letni strategiji za trajnostno rast za leto 2020[1].</w:t>
            </w:r>
          </w:p>
          <w:p w14:paraId="5590DD33" w14:textId="77777777" w:rsidR="00A77B3E" w:rsidRDefault="00B16CCF">
            <w:pPr>
              <w:spacing w:before="5pt"/>
              <w:rPr>
                <w:color w:val="000000"/>
              </w:rPr>
            </w:pPr>
            <w:r>
              <w:rPr>
                <w:color w:val="000000"/>
              </w:rPr>
              <w:t>Med neaktivnimi mladimi, ki niso registrirani kot brezposelni je približno polovica vseh NEET. Gre za posebej ranljivo ciljno skupino mladih, ki nimajo izobrazbe ali poklicne usposobljenosti, niti ustreznih delovnih izkušenj in kompetenc, zato je za to skupino potrebno prilagojeno ukrepanje, da se jih uspešno vključi na trg dela in se jim omogoči uspešno socialno integracijo, in s tem izogne trajnejšim dolgoročnim posledicam za posameznika in družbo.</w:t>
            </w:r>
          </w:p>
          <w:p w14:paraId="3182C977" w14:textId="77777777" w:rsidR="00A77B3E" w:rsidRDefault="00B16CCF">
            <w:pPr>
              <w:spacing w:before="5pt"/>
              <w:rPr>
                <w:color w:val="000000"/>
              </w:rPr>
            </w:pPr>
            <w:r>
              <w:rPr>
                <w:color w:val="000000"/>
              </w:rPr>
              <w:t>V okviru specifičnega cilja ESO4.2 bodo z ukrepi naslovljena predvsem naslednja področja, ki bodo skladna s cilji podnebne nevtralnosti in digitalnega prehoda:</w:t>
            </w:r>
          </w:p>
          <w:p w14:paraId="0177AF34" w14:textId="77777777" w:rsidR="00A77B3E" w:rsidRDefault="00B16CCF">
            <w:pPr>
              <w:spacing w:before="5pt"/>
              <w:rPr>
                <w:color w:val="000000"/>
              </w:rPr>
            </w:pPr>
            <w:r>
              <w:rPr>
                <w:color w:val="000000"/>
              </w:rPr>
              <w:t>•</w:t>
            </w:r>
            <w:r>
              <w:rPr>
                <w:i/>
                <w:iCs/>
                <w:color w:val="000000"/>
              </w:rPr>
              <w:t xml:space="preserve"> platforma trga dela</w:t>
            </w:r>
            <w:r>
              <w:rPr>
                <w:color w:val="000000"/>
              </w:rPr>
              <w:t>: ukrep je namenjen vzpostavitvi celovitega in sistemskega orodja za napovedovanje kompetenc za posamezne poklice, zato se bo znotraj ukrepa razvijalo in nadgrajevalo instrumente, kot je platforma trga dela za napovedovanje kompetenc, ki bo s sodobno tehnologijo in metodologijo podprto orodje za tri ključna področja razvoja kadrov: (i) srednjeročno/dolgoročno napovedovanje potreb po poklicih in kompetencah, (ii) ugotavljanje vrzeli v poklicih in kompetencah glede na napovedi in neskladja v realnem času ter (iii) predlog umestitve relevantnih kompetenc v obstoječe in morebitne nove programe izobraževanja/usposabljanja glede na potrebe trga dela/ugotovljene vrzeli v poklicih in kompetencah;</w:t>
            </w:r>
          </w:p>
          <w:p w14:paraId="6789109D" w14:textId="77777777" w:rsidR="00A77B3E" w:rsidRDefault="00B16CCF">
            <w:pPr>
              <w:spacing w:before="5pt"/>
              <w:rPr>
                <w:color w:val="000000"/>
              </w:rPr>
            </w:pPr>
            <w:r>
              <w:rPr>
                <w:color w:val="000000"/>
              </w:rPr>
              <w:t xml:space="preserve">• </w:t>
            </w:r>
            <w:r>
              <w:rPr>
                <w:i/>
                <w:iCs/>
                <w:color w:val="000000"/>
              </w:rPr>
              <w:t>modernizacija storitev in povezovanje institucij trga dela,</w:t>
            </w:r>
            <w:r>
              <w:rPr>
                <w:color w:val="000000"/>
              </w:rPr>
              <w:t xml:space="preserve"> za hitrejše, bolj učinkovito in ciljno izvajanje ukrepov na področju aktivne politike zaposlovanja, z namenom učinkovitejšega zmanjševanja neskladij na trgu dela. V okviru navedenega področja se načrtuje izvajanje naslednjih ukrepov:</w:t>
            </w:r>
          </w:p>
          <w:p w14:paraId="104F561E" w14:textId="77777777" w:rsidR="00A77B3E" w:rsidRDefault="00B16CCF">
            <w:pPr>
              <w:spacing w:before="5pt"/>
              <w:rPr>
                <w:color w:val="000000"/>
              </w:rPr>
            </w:pPr>
            <w:r>
              <w:rPr>
                <w:color w:val="000000"/>
              </w:rPr>
              <w:t>o krepitev mreže pisarn za delodajalce na ZRSZ, ki delodajalcem zagotavljajo storitve po načelu »vse na enem mestu«. Potrebe kažejo predvsem na nujnost uvajanja novih svetovalnih storitev za delodajalce, ki bodo izrabljale možnosti digitalizacije ter spodbujale inkluzivnosti in raznolikosti na delovnem mestu, družbeno odgovornost in trajnega zaposlovanja ter povezovanje z združenji delodajalcev na nacionalni in regionalni ravni. S tem se bo podprlo potrebe delodajalcev pri iskanju ustreznih kadrov.</w:t>
            </w:r>
          </w:p>
          <w:p w14:paraId="4EA77E3C" w14:textId="77777777" w:rsidR="00A77B3E" w:rsidRDefault="00B16CCF">
            <w:pPr>
              <w:spacing w:before="5pt"/>
              <w:rPr>
                <w:color w:val="000000"/>
              </w:rPr>
            </w:pPr>
            <w:r>
              <w:rPr>
                <w:color w:val="000000"/>
              </w:rPr>
              <w:t xml:space="preserve">o posodobitev storitev v okviru institucij trga dela: ključni cilj je vzpostavitev »sodobne zaposlitvene platforme«, ki učinkovito povezuje delodajalce in iskalce zaposlitve ter svetovalce zavoda. Ukrep zagotavlja usklajeno, usmerjeno in povezano delo ključnih institucij na trgu dela (kot so ZRSZ, JŠRIPS, CSD in drugih, ki lahko prispevajo k izboljšanju položaja na trgu dela), kar bo omogočilo učinkovito naslavljanje problema dolgotrajne brezposelnosti ter obvladovanja novih izzivov trga dela. Navedeno zahteva mreženje in vzpostavitev sodelovanja med institucijami na trgu dela ter obravnavo posameznikovih potreb na ZRSZ, tudi v sodelovanju z drugimi institucijami. V skladu z rezultati analize OECD v okviru projekta »Aktivna politika zaposlovanja z namenom zniževanja dolgotrajne brezposelnosti v Sloveniji« je ključno na ZRSZ okrepiti izvajanje oddaljenih storitev (kot npr.: spletne </w:t>
            </w:r>
            <w:r>
              <w:rPr>
                <w:color w:val="000000"/>
              </w:rPr>
              <w:lastRenderedPageBreak/>
              <w:t>storitve, telefon, e-pošta), izboljšati usposobljenost/sposobnost ZRSZ za nudenje svetovanj, okrepiti storitve profiliranja brezposelnih in dodatno prilagoditi programe in storitve.</w:t>
            </w:r>
          </w:p>
          <w:p w14:paraId="0AA2ACA0" w14:textId="77777777" w:rsidR="00A77B3E" w:rsidRDefault="00A77B3E">
            <w:pPr>
              <w:spacing w:before="5pt"/>
              <w:rPr>
                <w:color w:val="000000"/>
              </w:rPr>
            </w:pPr>
          </w:p>
          <w:p w14:paraId="1DC52E06" w14:textId="77777777" w:rsidR="00A77B3E" w:rsidRDefault="00B16CCF">
            <w:pPr>
              <w:spacing w:before="5pt"/>
              <w:rPr>
                <w:color w:val="000000"/>
              </w:rPr>
            </w:pPr>
            <w:r>
              <w:rPr>
                <w:color w:val="000000"/>
              </w:rPr>
              <w:t xml:space="preserve">• </w:t>
            </w:r>
            <w:r>
              <w:rPr>
                <w:i/>
                <w:iCs/>
                <w:color w:val="000000"/>
              </w:rPr>
              <w:t>nadaljnje delovanje mreže EURES nacionalnih uradov za usklajevanje</w:t>
            </w:r>
            <w:r>
              <w:rPr>
                <w:color w:val="000000"/>
              </w:rPr>
              <w:t>, ki deluje v podporo mobilnosti delavcev pri vstopanju na EU trg dela. Z izvajanjem storitev bo mreža EURES prispevala k informiranju in ozaveščanju mobilnih delavcev o njihovih pravicah ter nudila podporo pri odločitvah na karierni poti v primeru želje po mobilnosti ter pri soočanju s situacijo na EU trgu dela. Predviden ukrep omogoča »aktivno podporo pri zaposlitvi«. Posledično se bodo podprle tudi potrebe delodajalcev pri iskanju ustreznih kadrov. Slovenski EURES bo sodeloval pri aktivnostih Evropskega organa za delo pri vzpodbujanju in zagotavljanju pravične mobilnosti delavcev v EU in pobudi ALMA (v tem okviru se bo izvajala Nacionalna shema mobilnosti za NEET, glede na značilnost ciljne skupine NEET in problematike zaposlovanja mladih od 18-35 let, ki je povezana z dolgotrajno brezposelnostjo, je ta problem zaznan v vseh statističnih regijah Slovenije), kar bo prispevalo k uresničevanju Evropskega stebra socialnih pravic, poglavje II Pošteni delovni pogoji.</w:t>
            </w:r>
          </w:p>
          <w:p w14:paraId="308362FD" w14:textId="77777777" w:rsidR="00A77B3E" w:rsidRDefault="00A77B3E">
            <w:pPr>
              <w:spacing w:before="5pt"/>
              <w:rPr>
                <w:color w:val="000000"/>
              </w:rPr>
            </w:pPr>
          </w:p>
          <w:p w14:paraId="3B795056" w14:textId="77777777" w:rsidR="00A77B3E" w:rsidRDefault="00B16CCF">
            <w:pPr>
              <w:spacing w:before="5pt"/>
              <w:rPr>
                <w:color w:val="000000"/>
              </w:rPr>
            </w:pPr>
            <w:r>
              <w:rPr>
                <w:color w:val="000000"/>
              </w:rPr>
              <w:t>Gre za ukrepe, ki po svoji naravi nimajo predvidljivega negativnega vpliva na okoljske cilje, ki bi bil povezan z neposrednimi in primarnimi posrednimi učinki ukrepa v življenjskem ciklu oz. je ta vpliv nepomemben, zato so skladni z načelom DNSH.</w:t>
            </w:r>
          </w:p>
          <w:p w14:paraId="380BD792" w14:textId="77777777" w:rsidR="00A77B3E" w:rsidRDefault="00A77B3E">
            <w:pPr>
              <w:spacing w:before="5pt"/>
              <w:rPr>
                <w:color w:val="000000"/>
              </w:rPr>
            </w:pPr>
          </w:p>
          <w:p w14:paraId="3959DE32" w14:textId="77777777" w:rsidR="00A77B3E" w:rsidRDefault="00B16CCF">
            <w:pPr>
              <w:spacing w:before="5pt"/>
              <w:rPr>
                <w:color w:val="000000"/>
              </w:rPr>
            </w:pPr>
            <w:r>
              <w:rPr>
                <w:color w:val="000000"/>
              </w:rPr>
              <w:t>[1] COM/2019/653 final. Dostopno na: https://eur-lex.europa.eu/legal-content/SL/TXT/?uri=CELEX:52019DC0653.</w:t>
            </w:r>
          </w:p>
          <w:p w14:paraId="47ADFC0E" w14:textId="77777777" w:rsidR="00A77B3E" w:rsidRDefault="00A77B3E">
            <w:pPr>
              <w:spacing w:before="5pt"/>
              <w:rPr>
                <w:color w:val="000000"/>
                <w:sz w:val="6"/>
              </w:rPr>
            </w:pPr>
          </w:p>
          <w:p w14:paraId="78AB8165" w14:textId="77777777" w:rsidR="00A77B3E" w:rsidRDefault="00A77B3E">
            <w:pPr>
              <w:spacing w:before="5pt"/>
              <w:rPr>
                <w:color w:val="000000"/>
                <w:sz w:val="6"/>
              </w:rPr>
            </w:pPr>
          </w:p>
        </w:tc>
      </w:tr>
    </w:tbl>
    <w:p w14:paraId="3C16D46C" w14:textId="77777777" w:rsidR="00A77B3E" w:rsidRDefault="00A77B3E">
      <w:pPr>
        <w:spacing w:before="5pt"/>
        <w:rPr>
          <w:color w:val="000000"/>
        </w:rPr>
      </w:pPr>
    </w:p>
    <w:p w14:paraId="52E014CA" w14:textId="77777777" w:rsidR="00A77B3E" w:rsidRDefault="00B16CCF">
      <w:pPr>
        <w:pStyle w:val="Naslov5"/>
        <w:spacing w:before="5pt" w:after="0pt"/>
        <w:rPr>
          <w:b w:val="0"/>
          <w:i w:val="0"/>
          <w:color w:val="000000"/>
          <w:sz w:val="24"/>
        </w:rPr>
      </w:pPr>
      <w:bookmarkStart w:id="441" w:name="_Toc256001202"/>
      <w:r>
        <w:rPr>
          <w:b w:val="0"/>
          <w:i w:val="0"/>
          <w:color w:val="000000"/>
          <w:sz w:val="24"/>
        </w:rPr>
        <w:t>Glavne ciljne skupine – člen 22(3)(d)(iii) uredbe o skupnih določbah:</w:t>
      </w:r>
      <w:bookmarkEnd w:id="441"/>
    </w:p>
    <w:p w14:paraId="798A764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4494DAB2"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E77288" w14:textId="77777777" w:rsidR="00A77B3E" w:rsidRDefault="00A77B3E">
            <w:pPr>
              <w:spacing w:before="5pt"/>
              <w:rPr>
                <w:color w:val="000000"/>
                <w:sz w:val="0"/>
              </w:rPr>
            </w:pPr>
          </w:p>
          <w:p w14:paraId="7D2199DA" w14:textId="77777777" w:rsidR="00A77B3E" w:rsidRDefault="00B16CCF">
            <w:pPr>
              <w:spacing w:before="5pt"/>
              <w:rPr>
                <w:color w:val="000000"/>
              </w:rPr>
            </w:pPr>
            <w:r>
              <w:rPr>
                <w:color w:val="000000"/>
              </w:rPr>
              <w:t>Ciljne skupine: ZRSZ, institucije, ki delujejo na trgu dela in izobraževanja (npr. SURS, CPI, UMAR, JŠRIPS, CSD, Inšpektorat RS za delo, idr.), iskalci zaposlitve, med njimi tudi NEET, delodajalci, socialni partnerji, NVO, delodajalska združenja.</w:t>
            </w:r>
          </w:p>
          <w:p w14:paraId="0D184738" w14:textId="77777777" w:rsidR="00A77B3E" w:rsidRDefault="00A77B3E">
            <w:pPr>
              <w:spacing w:before="5pt"/>
              <w:rPr>
                <w:color w:val="000000"/>
              </w:rPr>
            </w:pPr>
          </w:p>
          <w:p w14:paraId="7770EF1B" w14:textId="77777777" w:rsidR="00A77B3E" w:rsidRDefault="00B16CCF">
            <w:pPr>
              <w:spacing w:before="5pt"/>
              <w:rPr>
                <w:color w:val="000000"/>
              </w:rPr>
            </w:pPr>
            <w:r>
              <w:rPr>
                <w:color w:val="000000"/>
              </w:rPr>
              <w:t>Upravičenci: ZRSZ, JŠRIPS in CSD.</w:t>
            </w:r>
          </w:p>
          <w:p w14:paraId="4291CEC0" w14:textId="77777777" w:rsidR="00A77B3E" w:rsidRDefault="00A77B3E">
            <w:pPr>
              <w:spacing w:before="5pt"/>
              <w:rPr>
                <w:color w:val="000000"/>
                <w:sz w:val="6"/>
              </w:rPr>
            </w:pPr>
          </w:p>
          <w:p w14:paraId="6EB583F9" w14:textId="77777777" w:rsidR="00A77B3E" w:rsidRDefault="00A77B3E">
            <w:pPr>
              <w:spacing w:before="5pt"/>
              <w:rPr>
                <w:color w:val="000000"/>
                <w:sz w:val="6"/>
              </w:rPr>
            </w:pPr>
          </w:p>
        </w:tc>
      </w:tr>
    </w:tbl>
    <w:p w14:paraId="1D96C698" w14:textId="77777777" w:rsidR="00A77B3E" w:rsidRDefault="00A77B3E">
      <w:pPr>
        <w:spacing w:before="5pt"/>
        <w:rPr>
          <w:color w:val="000000"/>
        </w:rPr>
      </w:pPr>
    </w:p>
    <w:p w14:paraId="3C4D6639" w14:textId="77777777" w:rsidR="00A77B3E" w:rsidRDefault="00B16CCF">
      <w:pPr>
        <w:pStyle w:val="Naslov5"/>
        <w:spacing w:before="5pt" w:after="0pt"/>
        <w:rPr>
          <w:b w:val="0"/>
          <w:i w:val="0"/>
          <w:color w:val="000000"/>
          <w:sz w:val="24"/>
        </w:rPr>
      </w:pPr>
      <w:bookmarkStart w:id="442" w:name="_Toc256001203"/>
      <w:r>
        <w:rPr>
          <w:b w:val="0"/>
          <w:i w:val="0"/>
          <w:color w:val="000000"/>
          <w:sz w:val="24"/>
        </w:rPr>
        <w:t>Ukrepi za zaščito enakosti, vključenosti in nediskriminacije – člen 22(3)(d)(iv) uredbe o skupnih določbah in člen 6 uredbe o ESS+</w:t>
      </w:r>
      <w:bookmarkEnd w:id="442"/>
    </w:p>
    <w:p w14:paraId="00576A9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3C65D65F"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A1843E" w14:textId="77777777" w:rsidR="00A77B3E" w:rsidRDefault="00A77B3E">
            <w:pPr>
              <w:spacing w:before="5pt"/>
              <w:rPr>
                <w:color w:val="000000"/>
                <w:sz w:val="0"/>
              </w:rPr>
            </w:pPr>
          </w:p>
          <w:p w14:paraId="335B0063" w14:textId="77777777" w:rsidR="00A77B3E" w:rsidRDefault="00B16CCF">
            <w:pPr>
              <w:spacing w:before="5pt"/>
              <w:rPr>
                <w:color w:val="000000"/>
              </w:rPr>
            </w:pPr>
            <w:r>
              <w:rPr>
                <w:color w:val="000000"/>
              </w:rPr>
              <w:t xml:space="preserve">Spoštovanje načel enakosti, vključenosti in nediskriminacije bo zagotovljeno pri izvajanju vseh aktivnosti na vseh ravneh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w:t>
            </w:r>
            <w:r>
              <w:rPr>
                <w:color w:val="000000"/>
              </w:rPr>
              <w:lastRenderedPageBreak/>
              <w:t>varstvo človekovih pravic, zlasti s Konvencijo ZN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w:t>
            </w:r>
          </w:p>
          <w:p w14:paraId="452AB13A" w14:textId="77777777" w:rsidR="00A77B3E" w:rsidRDefault="00A77B3E">
            <w:pPr>
              <w:spacing w:before="5pt"/>
              <w:rPr>
                <w:color w:val="000000"/>
              </w:rPr>
            </w:pPr>
          </w:p>
          <w:p w14:paraId="11DDE10E" w14:textId="77777777" w:rsidR="00A77B3E" w:rsidRDefault="00B16CCF">
            <w:pPr>
              <w:spacing w:before="5pt"/>
              <w:rPr>
                <w:color w:val="000000"/>
              </w:rPr>
            </w:pPr>
            <w:r>
              <w:rPr>
                <w:color w:val="000000"/>
              </w:rPr>
              <w:t>EURES storitve bodo odprte za vse državljane EU/EGP in Švicarske koordinacije, ne glede na spol in njihov status ter podpirajo uresničevanje Evropskega stebra socialnih pravic - poglavje I: Enake možnosti in dostop do trga dela. Spodbujalo se bo k enakosti vključevanja v nacionalno shemo mobilnosti oz. nediskriminatorni dostopnosti do storitev.</w:t>
            </w:r>
          </w:p>
          <w:p w14:paraId="080F878B" w14:textId="77777777" w:rsidR="00A77B3E" w:rsidRDefault="00A77B3E">
            <w:pPr>
              <w:spacing w:before="5pt"/>
              <w:rPr>
                <w:color w:val="000000"/>
              </w:rPr>
            </w:pPr>
          </w:p>
          <w:p w14:paraId="56CF8E7A" w14:textId="77777777" w:rsidR="00A77B3E" w:rsidRDefault="00B16CCF">
            <w:pPr>
              <w:spacing w:before="5pt"/>
              <w:rPr>
                <w:color w:val="000000"/>
              </w:rPr>
            </w:pPr>
            <w:r>
              <w:rPr>
                <w:color w:val="000000"/>
              </w:rPr>
              <w:t>Pri izvajanju ukrepov se bo upoštevalo načelo zagotavljanja enakosti spolov. Ukrepi bodo naslavljali tudi najbolj ranljive skupine žensk in moških.</w:t>
            </w:r>
          </w:p>
          <w:p w14:paraId="7399B3E3" w14:textId="77777777" w:rsidR="00A77B3E" w:rsidRDefault="00A77B3E">
            <w:pPr>
              <w:spacing w:before="5pt"/>
              <w:rPr>
                <w:color w:val="000000"/>
                <w:sz w:val="6"/>
              </w:rPr>
            </w:pPr>
          </w:p>
          <w:p w14:paraId="6A96F5F0" w14:textId="77777777" w:rsidR="00A77B3E" w:rsidRDefault="00A77B3E">
            <w:pPr>
              <w:spacing w:before="5pt"/>
              <w:rPr>
                <w:color w:val="000000"/>
                <w:sz w:val="6"/>
              </w:rPr>
            </w:pPr>
          </w:p>
        </w:tc>
      </w:tr>
    </w:tbl>
    <w:p w14:paraId="29DDE0B7" w14:textId="77777777" w:rsidR="00A77B3E" w:rsidRDefault="00A77B3E">
      <w:pPr>
        <w:spacing w:before="5pt"/>
        <w:rPr>
          <w:color w:val="000000"/>
        </w:rPr>
      </w:pPr>
    </w:p>
    <w:p w14:paraId="40029D07" w14:textId="77777777" w:rsidR="00A77B3E" w:rsidRDefault="00B16CCF">
      <w:pPr>
        <w:pStyle w:val="Naslov5"/>
        <w:spacing w:before="5pt" w:after="0pt"/>
        <w:rPr>
          <w:b w:val="0"/>
          <w:i w:val="0"/>
          <w:color w:val="000000"/>
          <w:sz w:val="24"/>
        </w:rPr>
      </w:pPr>
      <w:bookmarkStart w:id="443" w:name="_Toc256001204"/>
      <w:r>
        <w:rPr>
          <w:b w:val="0"/>
          <w:i w:val="0"/>
          <w:color w:val="000000"/>
          <w:sz w:val="24"/>
        </w:rPr>
        <w:t>Navedba specifičnih ciljnih ozemelj, vključno z načrtovano uporabo teritorialnih orodij – člen 22(3)(d)(v) uredbe o skupnih določbah</w:t>
      </w:r>
      <w:bookmarkEnd w:id="443"/>
    </w:p>
    <w:p w14:paraId="3F4EF97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35C7B2F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C662D0" w14:textId="77777777" w:rsidR="00A77B3E" w:rsidRDefault="00A77B3E">
            <w:pPr>
              <w:spacing w:before="5pt"/>
              <w:rPr>
                <w:color w:val="000000"/>
                <w:sz w:val="0"/>
              </w:rPr>
            </w:pPr>
          </w:p>
          <w:p w14:paraId="7CC9B20E" w14:textId="77777777" w:rsidR="00A77B3E" w:rsidRDefault="00B16CCF">
            <w:pPr>
              <w:spacing w:before="5pt"/>
              <w:rPr>
                <w:color w:val="000000"/>
              </w:rPr>
            </w:pPr>
            <w:r>
              <w:rPr>
                <w:color w:val="000000"/>
              </w:rPr>
              <w:t>V okviru navedenega specifičnega cilja ni predvidena uporaba teritorialnih orodij.</w:t>
            </w:r>
          </w:p>
          <w:p w14:paraId="60C0C3E3" w14:textId="77777777" w:rsidR="00A77B3E" w:rsidRDefault="00A77B3E">
            <w:pPr>
              <w:spacing w:before="5pt"/>
              <w:rPr>
                <w:color w:val="000000"/>
                <w:sz w:val="6"/>
              </w:rPr>
            </w:pPr>
          </w:p>
          <w:p w14:paraId="5E27BE98" w14:textId="77777777" w:rsidR="00A77B3E" w:rsidRDefault="00A77B3E">
            <w:pPr>
              <w:spacing w:before="5pt"/>
              <w:rPr>
                <w:color w:val="000000"/>
                <w:sz w:val="6"/>
              </w:rPr>
            </w:pPr>
          </w:p>
        </w:tc>
      </w:tr>
    </w:tbl>
    <w:p w14:paraId="4929C78F" w14:textId="77777777" w:rsidR="00A77B3E" w:rsidRDefault="00A77B3E">
      <w:pPr>
        <w:spacing w:before="5pt"/>
        <w:rPr>
          <w:color w:val="000000"/>
        </w:rPr>
      </w:pPr>
    </w:p>
    <w:p w14:paraId="62D98F44" w14:textId="77777777" w:rsidR="00A77B3E" w:rsidRDefault="00B16CCF">
      <w:pPr>
        <w:pStyle w:val="Naslov5"/>
        <w:spacing w:before="5pt" w:after="0pt"/>
        <w:rPr>
          <w:b w:val="0"/>
          <w:i w:val="0"/>
          <w:color w:val="000000"/>
          <w:sz w:val="24"/>
        </w:rPr>
      </w:pPr>
      <w:bookmarkStart w:id="444" w:name="_Toc256001205"/>
      <w:r>
        <w:rPr>
          <w:b w:val="0"/>
          <w:i w:val="0"/>
          <w:color w:val="000000"/>
          <w:sz w:val="24"/>
        </w:rPr>
        <w:t>Medregionalni, čezmejni in transnacionalni ukrepi – člen 22(3)(d)(vi) uredbe o skupnih določbah</w:t>
      </w:r>
      <w:bookmarkEnd w:id="444"/>
    </w:p>
    <w:p w14:paraId="4F5A072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3C7936B7"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D07E9D" w14:textId="77777777" w:rsidR="00A77B3E" w:rsidRDefault="00A77B3E">
            <w:pPr>
              <w:spacing w:before="5pt"/>
              <w:rPr>
                <w:color w:val="000000"/>
                <w:sz w:val="0"/>
              </w:rPr>
            </w:pPr>
          </w:p>
          <w:p w14:paraId="18963005" w14:textId="77777777" w:rsidR="00A77B3E" w:rsidRDefault="00B16CCF">
            <w:pPr>
              <w:spacing w:before="5pt"/>
              <w:rPr>
                <w:color w:val="000000"/>
              </w:rPr>
            </w:pPr>
            <w:r>
              <w:rPr>
                <w:color w:val="000000"/>
              </w:rPr>
              <w:t xml:space="preserve">EURES (EURopean Employment Services) je omrežje javnih služb za zaposlovanje ter njihovih nacionalnih članov in partnerjev v 27 državah EU ter Švice, Islandije, Lihtenštajna in Norveške. Sodelovanje v mreži EURES torej pomeni biti del mreže več kot 1.000 svetovalcev EURES iz navedenih 31 držav, preko katere se zagotavlja svetovanje in posredovanje zaposlitev na evropskem trgu dela ter informacije o življenju in delu v državah članicah EU/EGP in Švici. EURES storitve torej presegajo meje programskega območja, saj gre za storitve, ki so odprte za vse državljane EU/EGP in Švicarske koordinacije. Sodelovanje v mreži koordinacijskih uradov EURES zajema različne oblike povezovanja, kot npr. redni sestanki, udeležba na delavnicah itd. </w:t>
            </w:r>
          </w:p>
          <w:p w14:paraId="54BCE145" w14:textId="77777777" w:rsidR="00A77B3E" w:rsidRDefault="00A77B3E">
            <w:pPr>
              <w:spacing w:before="5pt"/>
              <w:rPr>
                <w:color w:val="000000"/>
                <w:sz w:val="6"/>
              </w:rPr>
            </w:pPr>
          </w:p>
          <w:p w14:paraId="6D1AE968" w14:textId="77777777" w:rsidR="00A77B3E" w:rsidRDefault="00A77B3E">
            <w:pPr>
              <w:spacing w:before="5pt"/>
              <w:rPr>
                <w:color w:val="000000"/>
                <w:sz w:val="6"/>
              </w:rPr>
            </w:pPr>
          </w:p>
        </w:tc>
      </w:tr>
    </w:tbl>
    <w:p w14:paraId="1134CEBE" w14:textId="77777777" w:rsidR="00A77B3E" w:rsidRDefault="00A77B3E">
      <w:pPr>
        <w:spacing w:before="5pt"/>
        <w:rPr>
          <w:color w:val="000000"/>
        </w:rPr>
      </w:pPr>
    </w:p>
    <w:p w14:paraId="31EC14B5" w14:textId="77777777" w:rsidR="00A77B3E" w:rsidRDefault="00B16CCF">
      <w:pPr>
        <w:pStyle w:val="Naslov5"/>
        <w:spacing w:before="5pt" w:after="0pt"/>
        <w:rPr>
          <w:b w:val="0"/>
          <w:i w:val="0"/>
          <w:color w:val="000000"/>
          <w:sz w:val="24"/>
        </w:rPr>
      </w:pPr>
      <w:bookmarkStart w:id="445" w:name="_Toc256001206"/>
      <w:r>
        <w:rPr>
          <w:b w:val="0"/>
          <w:i w:val="0"/>
          <w:color w:val="000000"/>
          <w:sz w:val="24"/>
        </w:rPr>
        <w:t>Načrtovana uporaba finančnih instrumentov – člen 22(3)(d)(vii) uredbe o skupnih določbah</w:t>
      </w:r>
      <w:bookmarkEnd w:id="445"/>
    </w:p>
    <w:p w14:paraId="48E33AB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6F19AC47"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5186CE" w14:textId="77777777" w:rsidR="00A77B3E" w:rsidRDefault="00A77B3E">
            <w:pPr>
              <w:spacing w:before="5pt"/>
              <w:rPr>
                <w:color w:val="000000"/>
                <w:sz w:val="0"/>
              </w:rPr>
            </w:pPr>
          </w:p>
          <w:p w14:paraId="62AD695F" w14:textId="77777777" w:rsidR="00A77B3E" w:rsidRDefault="00B16CCF">
            <w:pPr>
              <w:spacing w:before="5pt"/>
              <w:rPr>
                <w:color w:val="000000"/>
              </w:rPr>
            </w:pPr>
            <w:r>
              <w:rPr>
                <w:color w:val="000000"/>
              </w:rPr>
              <w:lastRenderedPageBreak/>
              <w:t>V okviru predmetnega specifičnega cilja uporaba finančnih instrumentov v skladu z izsledki analize Predhodnih ocen potreb trga in vrzeli financiranja na trgu za izvajanje finančnih instrumentov v programskem obdobju 2021-2027 (julij 2022) ni predvidena. Uporaba finančnih instrumentov ni smiselna oziroma ustrezna, saj predlagani ukrepi ne ustvarjajo prihodkov oziroma prihrankov. Predvidena je uporaba nepovratnih virov, saj so upravičenci javni zavodi, ki izvajajo ukrepe na nacionalni ravni, za kar pridobijo nacionalna sredstva oz. druga namenska sredstva, kot npr. projektna sredstva, in nimajo tržnih dejavnosti, ki bi jih lahko uporabili za kritje posojil iz finančnih instrumentov.</w:t>
            </w:r>
          </w:p>
          <w:p w14:paraId="31B047DD" w14:textId="77777777" w:rsidR="00A77B3E" w:rsidRDefault="00A77B3E">
            <w:pPr>
              <w:spacing w:before="5pt"/>
              <w:rPr>
                <w:color w:val="000000"/>
                <w:sz w:val="6"/>
              </w:rPr>
            </w:pPr>
          </w:p>
          <w:p w14:paraId="52C1C7C5" w14:textId="77777777" w:rsidR="00A77B3E" w:rsidRDefault="00A77B3E">
            <w:pPr>
              <w:spacing w:before="5pt"/>
              <w:rPr>
                <w:color w:val="000000"/>
                <w:sz w:val="6"/>
              </w:rPr>
            </w:pPr>
          </w:p>
        </w:tc>
      </w:tr>
    </w:tbl>
    <w:p w14:paraId="46F30638" w14:textId="77777777" w:rsidR="00A77B3E" w:rsidRDefault="00A77B3E">
      <w:pPr>
        <w:spacing w:before="5pt"/>
        <w:rPr>
          <w:color w:val="000000"/>
        </w:rPr>
      </w:pPr>
    </w:p>
    <w:p w14:paraId="744277DE" w14:textId="77777777" w:rsidR="00A77B3E" w:rsidRDefault="00B16CCF">
      <w:pPr>
        <w:pStyle w:val="Naslov4"/>
        <w:spacing w:before="5pt" w:after="0pt"/>
        <w:rPr>
          <w:b w:val="0"/>
          <w:color w:val="000000"/>
          <w:sz w:val="24"/>
        </w:rPr>
      </w:pPr>
      <w:bookmarkStart w:id="446" w:name="_Toc256001207"/>
      <w:r>
        <w:rPr>
          <w:b w:val="0"/>
          <w:color w:val="000000"/>
          <w:sz w:val="24"/>
        </w:rPr>
        <w:t>2.1.1.1.2. Kazalniki</w:t>
      </w:r>
      <w:bookmarkEnd w:id="446"/>
    </w:p>
    <w:p w14:paraId="34FD8492" w14:textId="77777777" w:rsidR="00A77B3E" w:rsidRDefault="00A77B3E">
      <w:pPr>
        <w:spacing w:before="5pt"/>
        <w:rPr>
          <w:color w:val="000000"/>
          <w:sz w:val="0"/>
        </w:rPr>
      </w:pPr>
    </w:p>
    <w:p w14:paraId="7CD3B7DE" w14:textId="77777777" w:rsidR="00A77B3E" w:rsidRDefault="00B16CCF">
      <w:pPr>
        <w:spacing w:before="5pt"/>
        <w:rPr>
          <w:color w:val="000000"/>
          <w:sz w:val="0"/>
        </w:rPr>
      </w:pPr>
      <w:r>
        <w:rPr>
          <w:color w:val="000000"/>
        </w:rPr>
        <w:t>Sklic: člen 22(3)(d)(ii) uredbe o skupnih določbah in člen 8 uredbe o ESRR in Kohezijskem skladu</w:t>
      </w:r>
    </w:p>
    <w:p w14:paraId="6141AFE4" w14:textId="77777777" w:rsidR="00A77B3E" w:rsidRDefault="00B16CCF">
      <w:pPr>
        <w:pStyle w:val="Naslov5"/>
        <w:spacing w:before="5pt" w:after="0pt"/>
        <w:rPr>
          <w:b w:val="0"/>
          <w:i w:val="0"/>
          <w:color w:val="000000"/>
          <w:sz w:val="24"/>
        </w:rPr>
      </w:pPr>
      <w:bookmarkStart w:id="447" w:name="_Toc256001208"/>
      <w:r>
        <w:rPr>
          <w:b w:val="0"/>
          <w:i w:val="0"/>
          <w:color w:val="000000"/>
          <w:sz w:val="24"/>
        </w:rPr>
        <w:t>Tabela 2: Kazalniki učinka</w:t>
      </w:r>
      <w:bookmarkEnd w:id="447"/>
    </w:p>
    <w:p w14:paraId="30059B9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028"/>
        <w:gridCol w:w="1871"/>
        <w:gridCol w:w="1161"/>
        <w:gridCol w:w="1939"/>
        <w:gridCol w:w="2250"/>
        <w:gridCol w:w="1692"/>
        <w:gridCol w:w="1515"/>
        <w:gridCol w:w="1402"/>
        <w:gridCol w:w="1314"/>
      </w:tblGrid>
      <w:tr w:rsidR="00823317" w14:paraId="1EDEC52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2DC611"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1146374"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38147C"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76AD7E"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EA8973"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A7CFF9"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E2836E"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D91C74" w14:textId="77777777" w:rsidR="00A77B3E" w:rsidRDefault="00B16CCF">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32573F9" w14:textId="77777777" w:rsidR="00A77B3E" w:rsidRDefault="00B16CCF">
            <w:pPr>
              <w:spacing w:before="5pt"/>
              <w:jc w:val="center"/>
              <w:rPr>
                <w:color w:val="000000"/>
                <w:sz w:val="20"/>
              </w:rPr>
            </w:pPr>
            <w:r>
              <w:rPr>
                <w:color w:val="000000"/>
                <w:sz w:val="20"/>
              </w:rPr>
              <w:t>Cilj (2029)</w:t>
            </w:r>
          </w:p>
        </w:tc>
      </w:tr>
      <w:tr w:rsidR="00823317" w14:paraId="3EDD0B5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3EAE74"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B77BF1" w14:textId="77777777" w:rsidR="00A77B3E" w:rsidRDefault="00B16CCF">
            <w:pPr>
              <w:spacing w:before="5pt"/>
              <w:rPr>
                <w:color w:val="000000"/>
                <w:sz w:val="20"/>
              </w:rPr>
            </w:pPr>
            <w:r>
              <w:rPr>
                <w:color w:val="000000"/>
                <w:sz w:val="20"/>
              </w:rPr>
              <w:t>ESO4.2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1ACAA7"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DD5D7B"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58186A" w14:textId="77777777" w:rsidR="00A77B3E" w:rsidRDefault="00B16CCF">
            <w:pPr>
              <w:spacing w:before="5pt"/>
              <w:rPr>
                <w:color w:val="000000"/>
                <w:sz w:val="20"/>
              </w:rPr>
            </w:pPr>
            <w:r>
              <w:rPr>
                <w:color w:val="000000"/>
                <w:sz w:val="20"/>
              </w:rPr>
              <w:t>EECO18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AD8773" w14:textId="77777777" w:rsidR="00A77B3E" w:rsidRDefault="00B16CCF">
            <w:pPr>
              <w:spacing w:before="5pt"/>
              <w:rPr>
                <w:color w:val="000000"/>
                <w:sz w:val="20"/>
              </w:rPr>
            </w:pPr>
            <w:r>
              <w:rPr>
                <w:color w:val="000000"/>
                <w:sz w:val="20"/>
              </w:rPr>
              <w:t>Število javnih uprav ali javnih služb, ki so prejele podporo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324B07" w14:textId="77777777" w:rsidR="00A77B3E" w:rsidRDefault="00B16CCF">
            <w:pPr>
              <w:spacing w:before="5pt"/>
              <w:rPr>
                <w:color w:val="000000"/>
                <w:sz w:val="20"/>
              </w:rPr>
            </w:pPr>
            <w:r>
              <w:rPr>
                <w:color w:val="000000"/>
                <w:sz w:val="20"/>
              </w:rPr>
              <w:t>subjekti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7515F3" w14:textId="77777777" w:rsidR="00A77B3E" w:rsidRDefault="00B16CCF">
            <w:pPr>
              <w:spacing w:before="5pt"/>
              <w:jc w:val="end"/>
              <w:rPr>
                <w:color w:val="000000"/>
                <w:sz w:val="20"/>
              </w:rPr>
            </w:pPr>
            <w:r>
              <w:rPr>
                <w:color w:val="000000"/>
                <w:sz w:val="20"/>
              </w:rPr>
              <w:t>7,00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D7CCEA" w14:textId="77777777" w:rsidR="00A77B3E" w:rsidRDefault="00B16CCF">
            <w:pPr>
              <w:spacing w:before="5pt"/>
              <w:jc w:val="end"/>
              <w:rPr>
                <w:color w:val="000000"/>
                <w:sz w:val="20"/>
              </w:rPr>
            </w:pPr>
            <w:r>
              <w:rPr>
                <w:color w:val="000000"/>
                <w:sz w:val="20"/>
              </w:rPr>
              <w:t>7,00</w:t>
            </w:r>
          </w:p>
        </w:tc>
      </w:tr>
      <w:tr w:rsidR="00823317" w14:paraId="52AED11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08FCBF"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D4F3B2" w14:textId="77777777" w:rsidR="00A77B3E" w:rsidRDefault="00B16CCF">
            <w:pPr>
              <w:spacing w:before="5pt"/>
              <w:rPr>
                <w:color w:val="000000"/>
                <w:sz w:val="20"/>
              </w:rPr>
            </w:pPr>
            <w:r>
              <w:rPr>
                <w:color w:val="000000"/>
                <w:sz w:val="20"/>
              </w:rPr>
              <w:t>ESO4.2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95B201"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DAAF00"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78564A" w14:textId="77777777" w:rsidR="00A77B3E" w:rsidRDefault="00B16CCF">
            <w:pPr>
              <w:spacing w:before="5pt"/>
              <w:rPr>
                <w:color w:val="000000"/>
                <w:sz w:val="20"/>
              </w:rPr>
            </w:pPr>
            <w:r>
              <w:rPr>
                <w:color w:val="000000"/>
                <w:sz w:val="20"/>
              </w:rPr>
              <w:t>EECO18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930CB5" w14:textId="77777777" w:rsidR="00A77B3E" w:rsidRDefault="00B16CCF">
            <w:pPr>
              <w:spacing w:before="5pt"/>
              <w:rPr>
                <w:color w:val="000000"/>
                <w:sz w:val="20"/>
              </w:rPr>
            </w:pPr>
            <w:r>
              <w:rPr>
                <w:color w:val="000000"/>
                <w:sz w:val="20"/>
              </w:rPr>
              <w:t>Število javnih uprav ali javnih služb, ki so prejele podporo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5B3B97" w14:textId="77777777" w:rsidR="00A77B3E" w:rsidRDefault="00B16CCF">
            <w:pPr>
              <w:spacing w:before="5pt"/>
              <w:rPr>
                <w:color w:val="000000"/>
                <w:sz w:val="20"/>
              </w:rPr>
            </w:pPr>
            <w:r>
              <w:rPr>
                <w:color w:val="000000"/>
                <w:sz w:val="20"/>
              </w:rPr>
              <w:t>subjekti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0A06C4" w14:textId="77777777" w:rsidR="00A77B3E" w:rsidRDefault="00B16CCF">
            <w:pPr>
              <w:spacing w:before="5pt"/>
              <w:jc w:val="end"/>
              <w:rPr>
                <w:color w:val="000000"/>
                <w:sz w:val="20"/>
              </w:rPr>
            </w:pPr>
            <w:r>
              <w:rPr>
                <w:color w:val="000000"/>
                <w:sz w:val="20"/>
              </w:rPr>
              <w:t>11,00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B2713C" w14:textId="77777777" w:rsidR="00A77B3E" w:rsidRDefault="00B16CCF">
            <w:pPr>
              <w:spacing w:before="5pt"/>
              <w:jc w:val="end"/>
              <w:rPr>
                <w:color w:val="000000"/>
                <w:sz w:val="20"/>
              </w:rPr>
            </w:pPr>
            <w:r>
              <w:rPr>
                <w:color w:val="000000"/>
                <w:sz w:val="20"/>
              </w:rPr>
              <w:t>11,00</w:t>
            </w:r>
          </w:p>
        </w:tc>
      </w:tr>
    </w:tbl>
    <w:p w14:paraId="1797D4A5" w14:textId="77777777" w:rsidR="00A77B3E" w:rsidRDefault="00A77B3E">
      <w:pPr>
        <w:spacing w:before="5pt"/>
        <w:rPr>
          <w:color w:val="000000"/>
          <w:sz w:val="20"/>
        </w:rPr>
      </w:pPr>
    </w:p>
    <w:p w14:paraId="36C57264" w14:textId="77777777" w:rsidR="00A77B3E" w:rsidRDefault="00B16CCF">
      <w:pPr>
        <w:spacing w:before="5pt"/>
        <w:rPr>
          <w:color w:val="000000"/>
          <w:sz w:val="0"/>
        </w:rPr>
      </w:pPr>
      <w:r>
        <w:rPr>
          <w:color w:val="000000"/>
        </w:rPr>
        <w:t>Sklic: člen 22(3)(d)(ii) uredbe o skupnih določbah</w:t>
      </w:r>
    </w:p>
    <w:p w14:paraId="4FC245DC" w14:textId="77777777" w:rsidR="00A77B3E" w:rsidRDefault="00B16CCF">
      <w:pPr>
        <w:pStyle w:val="Naslov5"/>
        <w:spacing w:before="5pt" w:after="0pt"/>
        <w:rPr>
          <w:b w:val="0"/>
          <w:i w:val="0"/>
          <w:color w:val="000000"/>
          <w:sz w:val="24"/>
        </w:rPr>
      </w:pPr>
      <w:bookmarkStart w:id="448" w:name="_Toc256001209"/>
      <w:r>
        <w:rPr>
          <w:b w:val="0"/>
          <w:i w:val="0"/>
          <w:color w:val="000000"/>
          <w:sz w:val="24"/>
        </w:rPr>
        <w:t>Tabela 3: Kazalniki rezultatov</w:t>
      </w:r>
      <w:bookmarkEnd w:id="448"/>
    </w:p>
    <w:p w14:paraId="6AFEF97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20"/>
        <w:gridCol w:w="1219"/>
        <w:gridCol w:w="757"/>
        <w:gridCol w:w="1264"/>
        <w:gridCol w:w="1467"/>
        <w:gridCol w:w="1481"/>
        <w:gridCol w:w="943"/>
        <w:gridCol w:w="1292"/>
        <w:gridCol w:w="1364"/>
        <w:gridCol w:w="1205"/>
        <w:gridCol w:w="1481"/>
        <w:gridCol w:w="1379"/>
      </w:tblGrid>
      <w:tr w:rsidR="00823317" w14:paraId="1759072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B51D53"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32E3EE"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5ECEB9"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2D3798"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BA9863"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74F1D9"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6ECA42"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51F0D6" w14:textId="77777777" w:rsidR="00A77B3E" w:rsidRDefault="00B16CCF">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9117B0" w14:textId="77777777" w:rsidR="00A77B3E" w:rsidRDefault="00B16CCF">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467B87" w14:textId="77777777" w:rsidR="00A77B3E" w:rsidRDefault="00B16CCF">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1FDB38C" w14:textId="77777777" w:rsidR="00A77B3E" w:rsidRDefault="00B16CCF">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DDE2F7" w14:textId="77777777" w:rsidR="00A77B3E" w:rsidRDefault="00B16CCF">
            <w:pPr>
              <w:spacing w:before="5pt"/>
              <w:jc w:val="center"/>
              <w:rPr>
                <w:color w:val="000000"/>
                <w:sz w:val="20"/>
              </w:rPr>
            </w:pPr>
            <w:r>
              <w:rPr>
                <w:color w:val="000000"/>
                <w:sz w:val="20"/>
              </w:rPr>
              <w:t>Opombe</w:t>
            </w:r>
          </w:p>
        </w:tc>
      </w:tr>
      <w:tr w:rsidR="00823317" w14:paraId="379FAB1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7452E3"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9CA1A4" w14:textId="77777777" w:rsidR="00A77B3E" w:rsidRDefault="00B16CCF">
            <w:pPr>
              <w:spacing w:before="5pt"/>
              <w:rPr>
                <w:color w:val="000000"/>
                <w:sz w:val="20"/>
              </w:rPr>
            </w:pPr>
            <w:r>
              <w:rPr>
                <w:color w:val="000000"/>
                <w:sz w:val="20"/>
              </w:rPr>
              <w:t>ESO4.2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F1B584"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CD77D9"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7BAA16" w14:textId="77777777" w:rsidR="00A77B3E" w:rsidRDefault="00B16CCF">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38B0D7" w14:textId="77777777" w:rsidR="00A77B3E" w:rsidRDefault="00B16CCF">
            <w:pPr>
              <w:spacing w:before="5pt"/>
              <w:rPr>
                <w:color w:val="000000"/>
                <w:sz w:val="20"/>
              </w:rPr>
            </w:pPr>
            <w:r>
              <w:rPr>
                <w:color w:val="000000"/>
                <w:sz w:val="20"/>
              </w:rPr>
              <w:t xml:space="preserve">Letno število registriranih uporabnikov portala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E4C6FB" w14:textId="77777777" w:rsidR="00A77B3E" w:rsidRDefault="00B16CCF">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B243DD"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E25DF5" w14:textId="77777777" w:rsidR="00A77B3E" w:rsidRDefault="00B16CCF">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3B76C4" w14:textId="77777777" w:rsidR="00A77B3E" w:rsidRDefault="00B16CCF">
            <w:pPr>
              <w:spacing w:before="5pt"/>
              <w:jc w:val="end"/>
              <w:rPr>
                <w:color w:val="000000"/>
                <w:sz w:val="20"/>
              </w:rPr>
            </w:pPr>
            <w:r>
              <w:rPr>
                <w:color w:val="000000"/>
                <w:sz w:val="20"/>
              </w:rPr>
              <w:t>97.500,00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48133A" w14:textId="77777777" w:rsidR="00A77B3E" w:rsidRDefault="00B16CCF">
            <w:pPr>
              <w:spacing w:before="5pt"/>
              <w:rPr>
                <w:color w:val="000000"/>
                <w:sz w:val="20"/>
              </w:rPr>
            </w:pPr>
            <w:r>
              <w:rPr>
                <w:color w:val="000000"/>
                <w:sz w:val="20"/>
              </w:rPr>
              <w:t>Upravičenec in eMA2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163943" w14:textId="77777777" w:rsidR="00A77B3E" w:rsidRDefault="00B16CCF">
            <w:pPr>
              <w:spacing w:before="5pt"/>
              <w:rPr>
                <w:color w:val="000000"/>
                <w:sz w:val="20"/>
              </w:rPr>
            </w:pPr>
            <w:r>
              <w:rPr>
                <w:color w:val="000000"/>
                <w:sz w:val="20"/>
              </w:rPr>
              <w:t>Končna vrednost je opredeljena na ravni Slovenije.</w:t>
            </w:r>
          </w:p>
        </w:tc>
      </w:tr>
      <w:tr w:rsidR="00823317" w14:paraId="60081DC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735ADD" w14:textId="77777777" w:rsidR="00A77B3E" w:rsidRDefault="00B16CCF">
            <w:pPr>
              <w:spacing w:before="5pt"/>
              <w:rPr>
                <w:color w:val="000000"/>
                <w:sz w:val="20"/>
              </w:rPr>
            </w:pPr>
            <w:r>
              <w:rPr>
                <w:color w:val="000000"/>
                <w:sz w:val="20"/>
              </w:rPr>
              <w:lastRenderedPageBreak/>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718B07" w14:textId="77777777" w:rsidR="00A77B3E" w:rsidRDefault="00B16CCF">
            <w:pPr>
              <w:spacing w:before="5pt"/>
              <w:rPr>
                <w:color w:val="000000"/>
                <w:sz w:val="20"/>
              </w:rPr>
            </w:pPr>
            <w:r>
              <w:rPr>
                <w:color w:val="000000"/>
                <w:sz w:val="20"/>
              </w:rPr>
              <w:t>ESO4.2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EF74F7"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671772"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FB69F2" w14:textId="77777777" w:rsidR="00A77B3E" w:rsidRDefault="00B16CCF">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1C5ABB" w14:textId="77777777" w:rsidR="00A77B3E" w:rsidRDefault="00B16CCF">
            <w:pPr>
              <w:spacing w:before="5pt"/>
              <w:rPr>
                <w:color w:val="000000"/>
                <w:sz w:val="20"/>
              </w:rPr>
            </w:pPr>
            <w:r>
              <w:rPr>
                <w:color w:val="000000"/>
                <w:sz w:val="20"/>
              </w:rPr>
              <w:t xml:space="preserve">Letno število registriranih uporabnikov portala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D18E7B" w14:textId="77777777" w:rsidR="00A77B3E" w:rsidRDefault="00B16CCF">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53B04A"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9EFC25" w14:textId="77777777" w:rsidR="00A77B3E" w:rsidRDefault="00B16CCF">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3BFB8D" w14:textId="77777777" w:rsidR="00A77B3E" w:rsidRDefault="00B16CCF">
            <w:pPr>
              <w:spacing w:before="5pt"/>
              <w:jc w:val="end"/>
              <w:rPr>
                <w:color w:val="000000"/>
                <w:sz w:val="20"/>
              </w:rPr>
            </w:pPr>
            <w:r>
              <w:rPr>
                <w:color w:val="000000"/>
                <w:sz w:val="20"/>
              </w:rPr>
              <w:t>97.500,00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2DF71C" w14:textId="77777777" w:rsidR="00A77B3E" w:rsidRDefault="00B16CCF">
            <w:pPr>
              <w:spacing w:before="5pt"/>
              <w:rPr>
                <w:color w:val="000000"/>
                <w:sz w:val="20"/>
              </w:rPr>
            </w:pPr>
            <w:r>
              <w:rPr>
                <w:color w:val="000000"/>
                <w:sz w:val="20"/>
              </w:rPr>
              <w:t>Upravičenec in eMA2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6DD16E" w14:textId="77777777" w:rsidR="00A77B3E" w:rsidRDefault="00B16CCF">
            <w:pPr>
              <w:spacing w:before="5pt"/>
              <w:rPr>
                <w:color w:val="000000"/>
                <w:sz w:val="20"/>
              </w:rPr>
            </w:pPr>
            <w:r>
              <w:rPr>
                <w:color w:val="000000"/>
                <w:sz w:val="20"/>
              </w:rPr>
              <w:t>Končna vrednost je opredeljena na ravni Slovenije.</w:t>
            </w:r>
          </w:p>
        </w:tc>
      </w:tr>
    </w:tbl>
    <w:p w14:paraId="326B8408" w14:textId="77777777" w:rsidR="00A77B3E" w:rsidRDefault="00A77B3E">
      <w:pPr>
        <w:spacing w:before="5pt"/>
        <w:rPr>
          <w:color w:val="000000"/>
          <w:sz w:val="20"/>
        </w:rPr>
      </w:pPr>
    </w:p>
    <w:p w14:paraId="61B502D7" w14:textId="77777777" w:rsidR="00A77B3E" w:rsidRDefault="00B16CCF">
      <w:pPr>
        <w:pStyle w:val="Naslov4"/>
        <w:spacing w:before="5pt" w:after="0pt"/>
        <w:rPr>
          <w:b w:val="0"/>
          <w:color w:val="000000"/>
          <w:sz w:val="24"/>
        </w:rPr>
      </w:pPr>
      <w:bookmarkStart w:id="449" w:name="_Toc256001210"/>
      <w:r>
        <w:rPr>
          <w:b w:val="0"/>
          <w:color w:val="000000"/>
          <w:sz w:val="24"/>
        </w:rPr>
        <w:t>2.1.1.1.3. Okvirna razčlenitev načrtovanih sredstev (EU) glede na vrsto ukrepa</w:t>
      </w:r>
      <w:bookmarkEnd w:id="449"/>
    </w:p>
    <w:p w14:paraId="783AED6F" w14:textId="77777777" w:rsidR="00A77B3E" w:rsidRDefault="00A77B3E">
      <w:pPr>
        <w:spacing w:before="5pt"/>
        <w:rPr>
          <w:color w:val="000000"/>
          <w:sz w:val="0"/>
        </w:rPr>
      </w:pPr>
    </w:p>
    <w:p w14:paraId="07B3BAC8" w14:textId="77777777" w:rsidR="00A77B3E" w:rsidRDefault="00B16CCF">
      <w:pPr>
        <w:spacing w:before="5pt"/>
        <w:rPr>
          <w:color w:val="000000"/>
          <w:sz w:val="0"/>
        </w:rPr>
      </w:pPr>
      <w:r>
        <w:rPr>
          <w:color w:val="000000"/>
        </w:rPr>
        <w:t>Sklic: člen 22(3)(d)(viii) uredbe o skupnih določbah</w:t>
      </w:r>
    </w:p>
    <w:p w14:paraId="15113D16" w14:textId="77777777" w:rsidR="00A77B3E" w:rsidRDefault="00B16CCF">
      <w:pPr>
        <w:pStyle w:val="Naslov5"/>
        <w:spacing w:before="5pt" w:after="0pt"/>
        <w:rPr>
          <w:b w:val="0"/>
          <w:i w:val="0"/>
          <w:color w:val="000000"/>
          <w:sz w:val="24"/>
        </w:rPr>
      </w:pPr>
      <w:bookmarkStart w:id="450" w:name="_Toc256001211"/>
      <w:r>
        <w:rPr>
          <w:b w:val="0"/>
          <w:i w:val="0"/>
          <w:color w:val="000000"/>
          <w:sz w:val="24"/>
        </w:rPr>
        <w:t>Tabela 4: Razsežnost 1 – področje ukrepanja</w:t>
      </w:r>
      <w:bookmarkEnd w:id="450"/>
    </w:p>
    <w:p w14:paraId="516131D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08"/>
        <w:gridCol w:w="2314"/>
        <w:gridCol w:w="1680"/>
        <w:gridCol w:w="2399"/>
        <w:gridCol w:w="3114"/>
        <w:gridCol w:w="3157"/>
      </w:tblGrid>
      <w:tr w:rsidR="00823317" w14:paraId="1D0FD68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C1A51A"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E79F6D"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DBEF4A"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77C9CA"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853767"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AB4F59" w14:textId="77777777" w:rsidR="00A77B3E" w:rsidRDefault="00B16CCF">
            <w:pPr>
              <w:spacing w:before="5pt"/>
              <w:jc w:val="center"/>
              <w:rPr>
                <w:color w:val="000000"/>
                <w:sz w:val="20"/>
              </w:rPr>
            </w:pPr>
            <w:r>
              <w:rPr>
                <w:color w:val="000000"/>
                <w:sz w:val="20"/>
              </w:rPr>
              <w:t>Znesek (v EUR)</w:t>
            </w:r>
          </w:p>
        </w:tc>
      </w:tr>
      <w:tr w:rsidR="00823317" w14:paraId="2994D5F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A51684"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5D7EE5" w14:textId="77777777" w:rsidR="00A77B3E" w:rsidRDefault="00B16CCF">
            <w:pPr>
              <w:spacing w:before="5pt"/>
              <w:rPr>
                <w:color w:val="000000"/>
                <w:sz w:val="20"/>
              </w:rPr>
            </w:pPr>
            <w:r>
              <w:rPr>
                <w:color w:val="000000"/>
                <w:sz w:val="20"/>
              </w:rPr>
              <w:t>ESO4.2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DA1930"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054C55"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4E497F" w14:textId="77777777" w:rsidR="00A77B3E" w:rsidRDefault="00B16CCF">
            <w:pPr>
              <w:spacing w:before="5pt"/>
              <w:rPr>
                <w:color w:val="000000"/>
                <w:sz w:val="20"/>
              </w:rPr>
            </w:pPr>
            <w:r>
              <w:rPr>
                <w:color w:val="000000"/>
                <w:sz w:val="20"/>
              </w:rPr>
              <w:t xml:space="preserve">139. Ukrepi za posodobitev in okrepitev institucij trga dela in storitve za ocenjevanje in predvidevanje potreb po spretnostih ter za zagotovitev pravočasne in prilagojene pomoči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666747" w14:textId="77777777" w:rsidR="00A77B3E" w:rsidRDefault="00B16CCF">
            <w:pPr>
              <w:spacing w:before="5pt"/>
              <w:jc w:val="end"/>
              <w:rPr>
                <w:color w:val="000000"/>
                <w:sz w:val="20"/>
              </w:rPr>
            </w:pPr>
            <w:r>
              <w:rPr>
                <w:color w:val="000000"/>
                <w:sz w:val="20"/>
              </w:rPr>
              <w:t>6.570.000,00</w:t>
            </w:r>
          </w:p>
        </w:tc>
      </w:tr>
      <w:tr w:rsidR="00823317" w14:paraId="77B20ED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E1A0BA"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DFCF4B" w14:textId="77777777" w:rsidR="00A77B3E" w:rsidRDefault="00B16CCF">
            <w:pPr>
              <w:spacing w:before="5pt"/>
              <w:rPr>
                <w:color w:val="000000"/>
                <w:sz w:val="20"/>
              </w:rPr>
            </w:pPr>
            <w:r>
              <w:rPr>
                <w:color w:val="000000"/>
                <w:sz w:val="20"/>
              </w:rPr>
              <w:t>ESO4.2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205447"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4DEE14"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B33748" w14:textId="77777777" w:rsidR="00A77B3E" w:rsidRDefault="00B16CCF">
            <w:pPr>
              <w:spacing w:before="5pt"/>
              <w:rPr>
                <w:color w:val="000000"/>
                <w:sz w:val="20"/>
              </w:rPr>
            </w:pPr>
            <w:r>
              <w:rPr>
                <w:color w:val="000000"/>
                <w:sz w:val="20"/>
              </w:rPr>
              <w:t xml:space="preserve">139. Ukrepi za posodobitev in okrepitev institucij trga dela in storitve za ocenjevanje in predvidevanje potreb po spretnostih ter za zagotovitev pravočasne in prilagojene pomoči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5C799A" w14:textId="77777777" w:rsidR="00A77B3E" w:rsidRDefault="00B16CCF">
            <w:pPr>
              <w:spacing w:before="5pt"/>
              <w:jc w:val="end"/>
              <w:rPr>
                <w:color w:val="000000"/>
                <w:sz w:val="20"/>
              </w:rPr>
            </w:pPr>
            <w:r>
              <w:rPr>
                <w:color w:val="000000"/>
                <w:sz w:val="20"/>
              </w:rPr>
              <w:t>24.459.161,00</w:t>
            </w:r>
          </w:p>
        </w:tc>
      </w:tr>
      <w:tr w:rsidR="00823317" w14:paraId="3FC66AA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F03EBA"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A31959" w14:textId="77777777" w:rsidR="00A77B3E" w:rsidRDefault="00B16CCF">
            <w:pPr>
              <w:spacing w:before="5pt"/>
              <w:rPr>
                <w:color w:val="000000"/>
                <w:sz w:val="20"/>
              </w:rPr>
            </w:pPr>
            <w:r>
              <w:rPr>
                <w:color w:val="000000"/>
                <w:sz w:val="20"/>
              </w:rPr>
              <w:t>ESO4.2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103283"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6EBAD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0359B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95D2D7" w14:textId="77777777" w:rsidR="00A77B3E" w:rsidRDefault="00B16CCF">
            <w:pPr>
              <w:spacing w:before="5pt"/>
              <w:jc w:val="end"/>
              <w:rPr>
                <w:color w:val="000000"/>
                <w:sz w:val="20"/>
              </w:rPr>
            </w:pPr>
            <w:r>
              <w:rPr>
                <w:color w:val="000000"/>
                <w:sz w:val="20"/>
              </w:rPr>
              <w:t>31.029.161,00</w:t>
            </w:r>
          </w:p>
        </w:tc>
      </w:tr>
    </w:tbl>
    <w:p w14:paraId="39F58B3D" w14:textId="77777777" w:rsidR="00A77B3E" w:rsidRDefault="00A77B3E">
      <w:pPr>
        <w:spacing w:before="5pt"/>
        <w:rPr>
          <w:color w:val="000000"/>
          <w:sz w:val="20"/>
        </w:rPr>
      </w:pPr>
    </w:p>
    <w:p w14:paraId="1BEB7A74" w14:textId="77777777" w:rsidR="00A77B3E" w:rsidRDefault="00B16CCF">
      <w:pPr>
        <w:pStyle w:val="Naslov5"/>
        <w:spacing w:before="5pt" w:after="0pt"/>
        <w:rPr>
          <w:b w:val="0"/>
          <w:i w:val="0"/>
          <w:color w:val="000000"/>
          <w:sz w:val="24"/>
        </w:rPr>
      </w:pPr>
      <w:bookmarkStart w:id="451" w:name="_Toc256001212"/>
      <w:r>
        <w:rPr>
          <w:b w:val="0"/>
          <w:i w:val="0"/>
          <w:color w:val="000000"/>
          <w:sz w:val="24"/>
        </w:rPr>
        <w:t>Tabela 5: Razsežnost 2 – oblika financiranja</w:t>
      </w:r>
      <w:bookmarkEnd w:id="451"/>
    </w:p>
    <w:p w14:paraId="33C57F1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93"/>
        <w:gridCol w:w="2392"/>
        <w:gridCol w:w="1737"/>
        <w:gridCol w:w="2480"/>
        <w:gridCol w:w="2706"/>
        <w:gridCol w:w="3264"/>
      </w:tblGrid>
      <w:tr w:rsidR="00823317" w14:paraId="6A922C8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A8A198"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4C05B4"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83C126"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E95CB42"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A397DD"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05E0E9" w14:textId="77777777" w:rsidR="00A77B3E" w:rsidRDefault="00B16CCF">
            <w:pPr>
              <w:spacing w:before="5pt"/>
              <w:jc w:val="center"/>
              <w:rPr>
                <w:color w:val="000000"/>
                <w:sz w:val="20"/>
              </w:rPr>
            </w:pPr>
            <w:r>
              <w:rPr>
                <w:color w:val="000000"/>
                <w:sz w:val="20"/>
              </w:rPr>
              <w:t>Znesek (v EUR)</w:t>
            </w:r>
          </w:p>
        </w:tc>
      </w:tr>
      <w:tr w:rsidR="00823317" w14:paraId="2ABCB65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C20CE3"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750089" w14:textId="77777777" w:rsidR="00A77B3E" w:rsidRDefault="00B16CCF">
            <w:pPr>
              <w:spacing w:before="5pt"/>
              <w:rPr>
                <w:color w:val="000000"/>
                <w:sz w:val="20"/>
              </w:rPr>
            </w:pPr>
            <w:r>
              <w:rPr>
                <w:color w:val="000000"/>
                <w:sz w:val="20"/>
              </w:rPr>
              <w:t>ESO4.2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A257B7"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0C006B"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78C2CA" w14:textId="77777777" w:rsidR="00A77B3E" w:rsidRDefault="00B16CCF">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D5A8E3" w14:textId="77777777" w:rsidR="00A77B3E" w:rsidRDefault="00B16CCF">
            <w:pPr>
              <w:spacing w:before="5pt"/>
              <w:jc w:val="end"/>
              <w:rPr>
                <w:color w:val="000000"/>
                <w:sz w:val="20"/>
              </w:rPr>
            </w:pPr>
            <w:r>
              <w:rPr>
                <w:color w:val="000000"/>
                <w:sz w:val="20"/>
              </w:rPr>
              <w:t>6.570.000,00</w:t>
            </w:r>
          </w:p>
        </w:tc>
      </w:tr>
      <w:tr w:rsidR="00823317" w14:paraId="12973F1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AC62C7"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563C18" w14:textId="77777777" w:rsidR="00A77B3E" w:rsidRDefault="00B16CCF">
            <w:pPr>
              <w:spacing w:before="5pt"/>
              <w:rPr>
                <w:color w:val="000000"/>
                <w:sz w:val="20"/>
              </w:rPr>
            </w:pPr>
            <w:r>
              <w:rPr>
                <w:color w:val="000000"/>
                <w:sz w:val="20"/>
              </w:rPr>
              <w:t>ESO4.2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4C295A"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DB4A39"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BB2F2A" w14:textId="77777777" w:rsidR="00A77B3E" w:rsidRDefault="00B16CCF">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0D62E1" w14:textId="77777777" w:rsidR="00A77B3E" w:rsidRDefault="00B16CCF">
            <w:pPr>
              <w:spacing w:before="5pt"/>
              <w:jc w:val="end"/>
              <w:rPr>
                <w:color w:val="000000"/>
                <w:sz w:val="20"/>
              </w:rPr>
            </w:pPr>
            <w:r>
              <w:rPr>
                <w:color w:val="000000"/>
                <w:sz w:val="20"/>
              </w:rPr>
              <w:t>24.459.161,00</w:t>
            </w:r>
          </w:p>
        </w:tc>
      </w:tr>
      <w:tr w:rsidR="00823317" w14:paraId="2D5F66A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5AFCE3"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A47384" w14:textId="77777777" w:rsidR="00A77B3E" w:rsidRDefault="00B16CCF">
            <w:pPr>
              <w:spacing w:before="5pt"/>
              <w:rPr>
                <w:color w:val="000000"/>
                <w:sz w:val="20"/>
              </w:rPr>
            </w:pPr>
            <w:r>
              <w:rPr>
                <w:color w:val="000000"/>
                <w:sz w:val="20"/>
              </w:rPr>
              <w:t>ESO4.2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F09419"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6E7AB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67A802"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A53E9A" w14:textId="77777777" w:rsidR="00A77B3E" w:rsidRDefault="00B16CCF">
            <w:pPr>
              <w:spacing w:before="5pt"/>
              <w:jc w:val="end"/>
              <w:rPr>
                <w:color w:val="000000"/>
                <w:sz w:val="20"/>
              </w:rPr>
            </w:pPr>
            <w:r>
              <w:rPr>
                <w:color w:val="000000"/>
                <w:sz w:val="20"/>
              </w:rPr>
              <w:t>31.029.161,00</w:t>
            </w:r>
          </w:p>
        </w:tc>
      </w:tr>
    </w:tbl>
    <w:p w14:paraId="3FF2AE53" w14:textId="77777777" w:rsidR="00A77B3E" w:rsidRDefault="00A77B3E">
      <w:pPr>
        <w:spacing w:before="5pt"/>
        <w:rPr>
          <w:color w:val="000000"/>
          <w:sz w:val="20"/>
        </w:rPr>
      </w:pPr>
    </w:p>
    <w:p w14:paraId="5C1677D3" w14:textId="77777777" w:rsidR="00A77B3E" w:rsidRDefault="00B16CCF">
      <w:pPr>
        <w:pStyle w:val="Naslov5"/>
        <w:spacing w:before="5pt" w:after="0pt"/>
        <w:rPr>
          <w:b w:val="0"/>
          <w:i w:val="0"/>
          <w:color w:val="000000"/>
          <w:sz w:val="24"/>
        </w:rPr>
      </w:pPr>
      <w:bookmarkStart w:id="452" w:name="_Toc256001213"/>
      <w:r>
        <w:rPr>
          <w:b w:val="0"/>
          <w:i w:val="0"/>
          <w:color w:val="000000"/>
          <w:sz w:val="24"/>
        </w:rPr>
        <w:t>Tabela 6: Razsežnost 3 – mehanizem za ozemeljsko izvrševanje in ozemeljski pristop</w:t>
      </w:r>
      <w:bookmarkEnd w:id="452"/>
    </w:p>
    <w:p w14:paraId="64FFB30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26"/>
        <w:gridCol w:w="2331"/>
        <w:gridCol w:w="1692"/>
        <w:gridCol w:w="2416"/>
        <w:gridCol w:w="3027"/>
        <w:gridCol w:w="3180"/>
      </w:tblGrid>
      <w:tr w:rsidR="00823317" w14:paraId="35EFBB4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847B39"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780576"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764BD8"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487E5A"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241736"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9B6EA0" w14:textId="77777777" w:rsidR="00A77B3E" w:rsidRDefault="00B16CCF">
            <w:pPr>
              <w:spacing w:before="5pt"/>
              <w:jc w:val="center"/>
              <w:rPr>
                <w:color w:val="000000"/>
                <w:sz w:val="20"/>
              </w:rPr>
            </w:pPr>
            <w:r>
              <w:rPr>
                <w:color w:val="000000"/>
                <w:sz w:val="20"/>
              </w:rPr>
              <w:t>Znesek (v EUR)</w:t>
            </w:r>
          </w:p>
        </w:tc>
      </w:tr>
      <w:tr w:rsidR="00823317" w14:paraId="5874528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F073C0"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95683D" w14:textId="77777777" w:rsidR="00A77B3E" w:rsidRDefault="00B16CCF">
            <w:pPr>
              <w:spacing w:before="5pt"/>
              <w:rPr>
                <w:color w:val="000000"/>
                <w:sz w:val="20"/>
              </w:rPr>
            </w:pPr>
            <w:r>
              <w:rPr>
                <w:color w:val="000000"/>
                <w:sz w:val="20"/>
              </w:rPr>
              <w:t>ESO4.2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CCBDAF"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95AE06"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421902" w14:textId="77777777" w:rsidR="00A77B3E" w:rsidRDefault="00B16CCF">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C6533E" w14:textId="77777777" w:rsidR="00A77B3E" w:rsidRDefault="00B16CCF">
            <w:pPr>
              <w:spacing w:before="5pt"/>
              <w:jc w:val="end"/>
              <w:rPr>
                <w:color w:val="000000"/>
                <w:sz w:val="20"/>
              </w:rPr>
            </w:pPr>
            <w:r>
              <w:rPr>
                <w:color w:val="000000"/>
                <w:sz w:val="20"/>
              </w:rPr>
              <w:t>6.570.000,00</w:t>
            </w:r>
          </w:p>
        </w:tc>
      </w:tr>
      <w:tr w:rsidR="00823317" w14:paraId="72606EB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8FF40C"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921767" w14:textId="77777777" w:rsidR="00A77B3E" w:rsidRDefault="00B16CCF">
            <w:pPr>
              <w:spacing w:before="5pt"/>
              <w:rPr>
                <w:color w:val="000000"/>
                <w:sz w:val="20"/>
              </w:rPr>
            </w:pPr>
            <w:r>
              <w:rPr>
                <w:color w:val="000000"/>
                <w:sz w:val="20"/>
              </w:rPr>
              <w:t>ESO4.2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986FE3"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090F8C"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A65945" w14:textId="77777777" w:rsidR="00A77B3E" w:rsidRDefault="00B16CCF">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BB8169" w14:textId="77777777" w:rsidR="00A77B3E" w:rsidRDefault="00B16CCF">
            <w:pPr>
              <w:spacing w:before="5pt"/>
              <w:jc w:val="end"/>
              <w:rPr>
                <w:color w:val="000000"/>
                <w:sz w:val="20"/>
              </w:rPr>
            </w:pPr>
            <w:r>
              <w:rPr>
                <w:color w:val="000000"/>
                <w:sz w:val="20"/>
              </w:rPr>
              <w:t>24.459.161,00</w:t>
            </w:r>
          </w:p>
        </w:tc>
      </w:tr>
      <w:tr w:rsidR="00823317" w14:paraId="59F4430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842696"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C94D0B" w14:textId="77777777" w:rsidR="00A77B3E" w:rsidRDefault="00B16CCF">
            <w:pPr>
              <w:spacing w:before="5pt"/>
              <w:rPr>
                <w:color w:val="000000"/>
                <w:sz w:val="20"/>
              </w:rPr>
            </w:pPr>
            <w:r>
              <w:rPr>
                <w:color w:val="000000"/>
                <w:sz w:val="20"/>
              </w:rPr>
              <w:t>ESO4.2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9D5EE9"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4EE82A"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2D5832"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9D2DD5" w14:textId="77777777" w:rsidR="00A77B3E" w:rsidRDefault="00B16CCF">
            <w:pPr>
              <w:spacing w:before="5pt"/>
              <w:jc w:val="end"/>
              <w:rPr>
                <w:color w:val="000000"/>
                <w:sz w:val="20"/>
              </w:rPr>
            </w:pPr>
            <w:r>
              <w:rPr>
                <w:color w:val="000000"/>
                <w:sz w:val="20"/>
              </w:rPr>
              <w:t>31.029.161,00</w:t>
            </w:r>
          </w:p>
        </w:tc>
      </w:tr>
    </w:tbl>
    <w:p w14:paraId="0ABB7C85" w14:textId="77777777" w:rsidR="00A77B3E" w:rsidRDefault="00A77B3E">
      <w:pPr>
        <w:spacing w:before="5pt"/>
        <w:rPr>
          <w:color w:val="000000"/>
          <w:sz w:val="20"/>
        </w:rPr>
      </w:pPr>
    </w:p>
    <w:p w14:paraId="55A4B728" w14:textId="77777777" w:rsidR="00A77B3E" w:rsidRDefault="00B16CCF">
      <w:pPr>
        <w:pStyle w:val="Naslov5"/>
        <w:spacing w:before="5pt" w:after="0pt"/>
        <w:rPr>
          <w:b w:val="0"/>
          <w:i w:val="0"/>
          <w:color w:val="000000"/>
          <w:sz w:val="24"/>
        </w:rPr>
      </w:pPr>
      <w:bookmarkStart w:id="453" w:name="_Toc256001214"/>
      <w:r>
        <w:rPr>
          <w:b w:val="0"/>
          <w:i w:val="0"/>
          <w:color w:val="000000"/>
          <w:sz w:val="24"/>
        </w:rPr>
        <w:t>Tabela 7: Razsežnost 6 – sekundarna področja ESS+</w:t>
      </w:r>
      <w:bookmarkEnd w:id="453"/>
    </w:p>
    <w:p w14:paraId="2B13664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62"/>
        <w:gridCol w:w="2457"/>
        <w:gridCol w:w="1784"/>
        <w:gridCol w:w="2547"/>
        <w:gridCol w:w="2370"/>
        <w:gridCol w:w="3352"/>
      </w:tblGrid>
      <w:tr w:rsidR="00823317" w14:paraId="232E8DE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469498"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8BF61EA"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11C078E"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5A993F"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B5C460"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3B8372" w14:textId="77777777" w:rsidR="00A77B3E" w:rsidRDefault="00B16CCF">
            <w:pPr>
              <w:spacing w:before="5pt"/>
              <w:jc w:val="center"/>
              <w:rPr>
                <w:color w:val="000000"/>
                <w:sz w:val="20"/>
              </w:rPr>
            </w:pPr>
            <w:r>
              <w:rPr>
                <w:color w:val="000000"/>
                <w:sz w:val="20"/>
              </w:rPr>
              <w:t>Znesek (v EUR)</w:t>
            </w:r>
          </w:p>
        </w:tc>
      </w:tr>
      <w:tr w:rsidR="00823317" w14:paraId="09EE25E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067018"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0723C2" w14:textId="77777777" w:rsidR="00A77B3E" w:rsidRDefault="00B16CCF">
            <w:pPr>
              <w:spacing w:before="5pt"/>
              <w:rPr>
                <w:color w:val="000000"/>
                <w:sz w:val="20"/>
              </w:rPr>
            </w:pPr>
            <w:r>
              <w:rPr>
                <w:color w:val="000000"/>
                <w:sz w:val="20"/>
              </w:rPr>
              <w:t>ESO4.2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F3978D"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09E067"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F2A3A3" w14:textId="77777777" w:rsidR="00A77B3E" w:rsidRDefault="00B16CCF">
            <w:pPr>
              <w:spacing w:before="5pt"/>
              <w:rPr>
                <w:color w:val="000000"/>
                <w:sz w:val="20"/>
              </w:rPr>
            </w:pPr>
            <w:r>
              <w:rPr>
                <w:color w:val="000000"/>
                <w:sz w:val="20"/>
              </w:rPr>
              <w:t>02. Razvoj digitalnih znanj in spretnosti ter delovnih mest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7C8458" w14:textId="77777777" w:rsidR="00A77B3E" w:rsidRDefault="00B16CCF">
            <w:pPr>
              <w:spacing w:before="5pt"/>
              <w:jc w:val="end"/>
              <w:rPr>
                <w:color w:val="000000"/>
                <w:sz w:val="20"/>
              </w:rPr>
            </w:pPr>
            <w:r>
              <w:rPr>
                <w:color w:val="000000"/>
                <w:sz w:val="20"/>
              </w:rPr>
              <w:t>6.570.000,00</w:t>
            </w:r>
          </w:p>
        </w:tc>
      </w:tr>
      <w:tr w:rsidR="00823317" w14:paraId="7E34C28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309AD6"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B0B2A6" w14:textId="77777777" w:rsidR="00A77B3E" w:rsidRDefault="00B16CCF">
            <w:pPr>
              <w:spacing w:before="5pt"/>
              <w:rPr>
                <w:color w:val="000000"/>
                <w:sz w:val="20"/>
              </w:rPr>
            </w:pPr>
            <w:r>
              <w:rPr>
                <w:color w:val="000000"/>
                <w:sz w:val="20"/>
              </w:rPr>
              <w:t>ESO4.2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C258E8"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D98483"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BD7353" w14:textId="77777777" w:rsidR="00A77B3E" w:rsidRDefault="00B16CCF">
            <w:pPr>
              <w:spacing w:before="5pt"/>
              <w:rPr>
                <w:color w:val="000000"/>
                <w:sz w:val="20"/>
              </w:rPr>
            </w:pPr>
            <w:r>
              <w:rPr>
                <w:color w:val="000000"/>
                <w:sz w:val="20"/>
              </w:rPr>
              <w:t>02. Razvoj digitalnih znanj in spretnosti ter delovnih mest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FE19E9" w14:textId="77777777" w:rsidR="00A77B3E" w:rsidRDefault="00B16CCF">
            <w:pPr>
              <w:spacing w:before="5pt"/>
              <w:jc w:val="end"/>
              <w:rPr>
                <w:color w:val="000000"/>
                <w:sz w:val="20"/>
              </w:rPr>
            </w:pPr>
            <w:r>
              <w:rPr>
                <w:color w:val="000000"/>
                <w:sz w:val="20"/>
              </w:rPr>
              <w:t>24.459.161,00</w:t>
            </w:r>
          </w:p>
        </w:tc>
      </w:tr>
      <w:tr w:rsidR="00823317" w14:paraId="64A6961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18A34B"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3D48B1" w14:textId="77777777" w:rsidR="00A77B3E" w:rsidRDefault="00B16CCF">
            <w:pPr>
              <w:spacing w:before="5pt"/>
              <w:rPr>
                <w:color w:val="000000"/>
                <w:sz w:val="20"/>
              </w:rPr>
            </w:pPr>
            <w:r>
              <w:rPr>
                <w:color w:val="000000"/>
                <w:sz w:val="20"/>
              </w:rPr>
              <w:t>ESO4.2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1A7CFA"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395206"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0C636E"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4F5618" w14:textId="77777777" w:rsidR="00A77B3E" w:rsidRDefault="00B16CCF">
            <w:pPr>
              <w:spacing w:before="5pt"/>
              <w:jc w:val="end"/>
              <w:rPr>
                <w:color w:val="000000"/>
                <w:sz w:val="20"/>
              </w:rPr>
            </w:pPr>
            <w:r>
              <w:rPr>
                <w:color w:val="000000"/>
                <w:sz w:val="20"/>
              </w:rPr>
              <w:t>31.029.161,00</w:t>
            </w:r>
          </w:p>
        </w:tc>
      </w:tr>
    </w:tbl>
    <w:p w14:paraId="65D97D45" w14:textId="77777777" w:rsidR="00A77B3E" w:rsidRDefault="00A77B3E">
      <w:pPr>
        <w:spacing w:before="5pt"/>
        <w:rPr>
          <w:color w:val="000000"/>
          <w:sz w:val="20"/>
        </w:rPr>
      </w:pPr>
    </w:p>
    <w:p w14:paraId="63A7BCBF" w14:textId="77777777" w:rsidR="00A77B3E" w:rsidRDefault="00B16CCF">
      <w:pPr>
        <w:pStyle w:val="Naslov5"/>
        <w:spacing w:before="5pt" w:after="0pt"/>
        <w:rPr>
          <w:b w:val="0"/>
          <w:i w:val="0"/>
          <w:color w:val="000000"/>
          <w:sz w:val="24"/>
        </w:rPr>
      </w:pPr>
      <w:bookmarkStart w:id="454" w:name="_Toc256001215"/>
      <w:r>
        <w:rPr>
          <w:b w:val="0"/>
          <w:i w:val="0"/>
          <w:color w:val="000000"/>
          <w:sz w:val="24"/>
        </w:rPr>
        <w:t>Tabela 8: Razsežnost 7 – razsežnost enakosti spolov v okviru ESS+*, ESRR, Kohezijskega sklada in SPP</w:t>
      </w:r>
      <w:bookmarkEnd w:id="454"/>
    </w:p>
    <w:p w14:paraId="3500CED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35"/>
        <w:gridCol w:w="2339"/>
        <w:gridCol w:w="1699"/>
        <w:gridCol w:w="2425"/>
        <w:gridCol w:w="2983"/>
        <w:gridCol w:w="3191"/>
      </w:tblGrid>
      <w:tr w:rsidR="00823317" w14:paraId="68A0DEE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0B032F"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862B6A"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3C7FC3"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FE383A"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BFE17C"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3A38C7" w14:textId="77777777" w:rsidR="00A77B3E" w:rsidRDefault="00B16CCF">
            <w:pPr>
              <w:spacing w:before="5pt"/>
              <w:jc w:val="center"/>
              <w:rPr>
                <w:color w:val="000000"/>
                <w:sz w:val="20"/>
              </w:rPr>
            </w:pPr>
            <w:r>
              <w:rPr>
                <w:color w:val="000000"/>
                <w:sz w:val="20"/>
              </w:rPr>
              <w:t>Znesek (v EUR)</w:t>
            </w:r>
          </w:p>
        </w:tc>
      </w:tr>
      <w:tr w:rsidR="00823317" w14:paraId="68FD4B6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93BE4B"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F851EA" w14:textId="77777777" w:rsidR="00A77B3E" w:rsidRDefault="00B16CCF">
            <w:pPr>
              <w:spacing w:before="5pt"/>
              <w:rPr>
                <w:color w:val="000000"/>
                <w:sz w:val="20"/>
              </w:rPr>
            </w:pPr>
            <w:r>
              <w:rPr>
                <w:color w:val="000000"/>
                <w:sz w:val="20"/>
              </w:rPr>
              <w:t>ESO4.2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6B2B7D"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703E11"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09DBFB" w14:textId="77777777" w:rsidR="00A77B3E" w:rsidRDefault="00B16CCF">
            <w:pPr>
              <w:spacing w:before="5pt"/>
              <w:rPr>
                <w:color w:val="000000"/>
                <w:sz w:val="20"/>
              </w:rPr>
            </w:pPr>
            <w:r>
              <w:rPr>
                <w:color w:val="000000"/>
                <w:sz w:val="20"/>
              </w:rPr>
              <w:t>02. Vključevanje vidika spola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4902CE" w14:textId="77777777" w:rsidR="00A77B3E" w:rsidRDefault="00B16CCF">
            <w:pPr>
              <w:spacing w:before="5pt"/>
              <w:jc w:val="end"/>
              <w:rPr>
                <w:color w:val="000000"/>
                <w:sz w:val="20"/>
              </w:rPr>
            </w:pPr>
            <w:r>
              <w:rPr>
                <w:color w:val="000000"/>
                <w:sz w:val="20"/>
              </w:rPr>
              <w:t>6.570.000,00</w:t>
            </w:r>
          </w:p>
        </w:tc>
      </w:tr>
      <w:tr w:rsidR="00823317" w14:paraId="59A6019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42EC49"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6F9C77" w14:textId="77777777" w:rsidR="00A77B3E" w:rsidRDefault="00B16CCF">
            <w:pPr>
              <w:spacing w:before="5pt"/>
              <w:rPr>
                <w:color w:val="000000"/>
                <w:sz w:val="20"/>
              </w:rPr>
            </w:pPr>
            <w:r>
              <w:rPr>
                <w:color w:val="000000"/>
                <w:sz w:val="20"/>
              </w:rPr>
              <w:t>ESO4.2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D242F1"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5EFCDB"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172736" w14:textId="77777777" w:rsidR="00A77B3E" w:rsidRDefault="00B16CCF">
            <w:pPr>
              <w:spacing w:before="5pt"/>
              <w:rPr>
                <w:color w:val="000000"/>
                <w:sz w:val="20"/>
              </w:rPr>
            </w:pPr>
            <w:r>
              <w:rPr>
                <w:color w:val="000000"/>
                <w:sz w:val="20"/>
              </w:rPr>
              <w:t>02. Vključevanje vidika spola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4831A9" w14:textId="77777777" w:rsidR="00A77B3E" w:rsidRDefault="00B16CCF">
            <w:pPr>
              <w:spacing w:before="5pt"/>
              <w:jc w:val="end"/>
              <w:rPr>
                <w:color w:val="000000"/>
                <w:sz w:val="20"/>
              </w:rPr>
            </w:pPr>
            <w:r>
              <w:rPr>
                <w:color w:val="000000"/>
                <w:sz w:val="20"/>
              </w:rPr>
              <w:t>24.459.161,00</w:t>
            </w:r>
          </w:p>
        </w:tc>
      </w:tr>
      <w:tr w:rsidR="00823317" w14:paraId="62C66AC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9754CB"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9CDB44" w14:textId="77777777" w:rsidR="00A77B3E" w:rsidRDefault="00B16CCF">
            <w:pPr>
              <w:spacing w:before="5pt"/>
              <w:rPr>
                <w:color w:val="000000"/>
                <w:sz w:val="20"/>
              </w:rPr>
            </w:pPr>
            <w:r>
              <w:rPr>
                <w:color w:val="000000"/>
                <w:sz w:val="20"/>
              </w:rPr>
              <w:t>ESO4.2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94B2A5"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962FD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B64B62"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76C73E" w14:textId="77777777" w:rsidR="00A77B3E" w:rsidRDefault="00B16CCF">
            <w:pPr>
              <w:spacing w:before="5pt"/>
              <w:jc w:val="end"/>
              <w:rPr>
                <w:color w:val="000000"/>
                <w:sz w:val="20"/>
              </w:rPr>
            </w:pPr>
            <w:r>
              <w:rPr>
                <w:color w:val="000000"/>
                <w:sz w:val="20"/>
              </w:rPr>
              <w:t>31.029.161,00</w:t>
            </w:r>
          </w:p>
        </w:tc>
      </w:tr>
    </w:tbl>
    <w:p w14:paraId="70FBBC58" w14:textId="77777777" w:rsidR="00A77B3E" w:rsidRDefault="00B16CCF">
      <w:pPr>
        <w:spacing w:before="5pt"/>
        <w:rPr>
          <w:color w:val="000000"/>
          <w:sz w:val="20"/>
        </w:rPr>
      </w:pPr>
      <w:r>
        <w:rPr>
          <w:color w:val="000000"/>
          <w:sz w:val="20"/>
        </w:rPr>
        <w:t>* Načeloma 40 % za ESS+ prispeva k spremljanju enakosti spolov. 100 % se uporabi, kadar se država članica odloči za uporabo člena 6 uredbe o ESS+.</w:t>
      </w:r>
    </w:p>
    <w:p w14:paraId="04756A91" w14:textId="77777777" w:rsidR="00A77B3E" w:rsidRDefault="00B16CCF">
      <w:pPr>
        <w:pStyle w:val="Naslov4"/>
        <w:spacing w:before="5pt" w:after="0pt"/>
        <w:rPr>
          <w:b w:val="0"/>
          <w:color w:val="000000"/>
          <w:sz w:val="24"/>
        </w:rPr>
      </w:pPr>
      <w:r>
        <w:rPr>
          <w:b w:val="0"/>
          <w:color w:val="000000"/>
          <w:sz w:val="24"/>
        </w:rPr>
        <w:br w:type="page"/>
      </w:r>
      <w:bookmarkStart w:id="455" w:name="_Toc256001216"/>
      <w:r>
        <w:rPr>
          <w:b w:val="0"/>
          <w:color w:val="000000"/>
          <w:sz w:val="24"/>
        </w:rPr>
        <w:lastRenderedPageBreak/>
        <w:t>2.1.1.1. Specifični cilj: ESO4.4. Spodbujanje prilagajanja delavcev, podjetij in podjetnikov na spremembe, aktivnega in zdravega staranja ter zdravega in dobro prilagojenega delovnega okolja, ki obravnava tveganja za zdravje (ESS+)</w:t>
      </w:r>
      <w:bookmarkEnd w:id="455"/>
    </w:p>
    <w:p w14:paraId="2785F40D" w14:textId="77777777" w:rsidR="00A77B3E" w:rsidRDefault="00A77B3E">
      <w:pPr>
        <w:spacing w:before="5pt"/>
        <w:rPr>
          <w:color w:val="000000"/>
          <w:sz w:val="0"/>
        </w:rPr>
      </w:pPr>
    </w:p>
    <w:p w14:paraId="58F0531D" w14:textId="77777777" w:rsidR="00A77B3E" w:rsidRDefault="00B16CCF">
      <w:pPr>
        <w:pStyle w:val="Naslov4"/>
        <w:spacing w:before="5pt" w:after="0pt"/>
        <w:rPr>
          <w:b w:val="0"/>
          <w:color w:val="000000"/>
          <w:sz w:val="24"/>
        </w:rPr>
      </w:pPr>
      <w:bookmarkStart w:id="456" w:name="_Toc256001217"/>
      <w:r>
        <w:rPr>
          <w:b w:val="0"/>
          <w:color w:val="000000"/>
          <w:sz w:val="24"/>
        </w:rPr>
        <w:t>2.1.1.1.1. Ukrepi skladov</w:t>
      </w:r>
      <w:bookmarkEnd w:id="456"/>
    </w:p>
    <w:p w14:paraId="16B168D0" w14:textId="77777777" w:rsidR="00A77B3E" w:rsidRDefault="00A77B3E">
      <w:pPr>
        <w:spacing w:before="5pt"/>
        <w:rPr>
          <w:color w:val="000000"/>
          <w:sz w:val="0"/>
        </w:rPr>
      </w:pPr>
    </w:p>
    <w:p w14:paraId="2F0EAEE8" w14:textId="77777777" w:rsidR="00A77B3E" w:rsidRDefault="00B16CCF">
      <w:pPr>
        <w:spacing w:before="5pt"/>
        <w:rPr>
          <w:color w:val="000000"/>
          <w:sz w:val="0"/>
        </w:rPr>
      </w:pPr>
      <w:r>
        <w:rPr>
          <w:color w:val="000000"/>
        </w:rPr>
        <w:t>Sklic: člen 22(3)(d)(i), (iii), (iv), (v), (vi) in (vii) uredbe o skupnih določbah</w:t>
      </w:r>
    </w:p>
    <w:p w14:paraId="6158CEB9" w14:textId="77777777" w:rsidR="00A77B3E" w:rsidRDefault="00B16CCF">
      <w:pPr>
        <w:pStyle w:val="Naslov5"/>
        <w:spacing w:before="5pt" w:after="0pt"/>
        <w:rPr>
          <w:b w:val="0"/>
          <w:i w:val="0"/>
          <w:color w:val="000000"/>
          <w:sz w:val="24"/>
        </w:rPr>
      </w:pPr>
      <w:bookmarkStart w:id="457" w:name="_Toc256001218"/>
      <w:r>
        <w:rPr>
          <w:b w:val="0"/>
          <w:i w:val="0"/>
          <w:color w:val="000000"/>
          <w:sz w:val="24"/>
        </w:rPr>
        <w:t>Povezane vrste ukrepov – člen 22(3)(d)(i) uredbe o skupnih določbah in člen 6 uredbe o ESS+:</w:t>
      </w:r>
      <w:bookmarkEnd w:id="457"/>
    </w:p>
    <w:p w14:paraId="26FF843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64F54540"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813416" w14:textId="77777777" w:rsidR="00A77B3E" w:rsidRDefault="00A77B3E">
            <w:pPr>
              <w:spacing w:before="5pt"/>
              <w:rPr>
                <w:color w:val="000000"/>
                <w:sz w:val="0"/>
              </w:rPr>
            </w:pPr>
          </w:p>
          <w:p w14:paraId="7EB8099A" w14:textId="77777777" w:rsidR="00A77B3E" w:rsidRDefault="00B16CCF">
            <w:pPr>
              <w:spacing w:before="5pt"/>
              <w:rPr>
                <w:color w:val="000000"/>
              </w:rPr>
            </w:pPr>
            <w:r>
              <w:rPr>
                <w:color w:val="000000"/>
              </w:rPr>
              <w:t>Družbene in demografske spremembe ter nizka stopnja delovne aktivnosti v starosti 55-64 let narekujejo celoviti pristop k prilagajanju delovnih mest, zlasti za starejše zaposlene, s ciljem kakovostnega, varnega in zdravega, delovnega okolja v podjetjih in javnem sektorju ter spodbujanje sodelovanja delavcev pri upravljanju. Ključno za doseganje teh ciljev je sodelovanje socialnih partnerjev in drugih institucij, ki delujejo na področju trga dela, ter zagovorništvo delavskih pravic. K podaljševanju obdobja delovne aktivnosti, predvsem pri starejših, bodo prispevali ukrepi za dvig kakovosti delovnega okolja in pogojev za delo ter spodbujanje VŽU, zlasti prožnih možnosti za izpopolnjevanje in prekvalifikacijo za vse, ob upoštevanju podjetniških in digitalnih veščin, boljše predvidevanje sprememb in zahtev po novih veščinah na podlagi potreb trga dela, olajševanje kariernih prehodov in spodbujanje poklicne mobilnosti ter medgeneracijskega sodelovanja, s poudarkom na prenosu znanja in usposobljenosti med generacijami. Vsebine izobraževanj oz. usposabljanj bodo prilagojene potrebam različnih sektorjev in panog, prav tako bodo vključene vsebine nadgradenj splošnih kompetenc, ki bodo omogočale razvoj znanj in spretnosti zaposlenih v različnih panogah, ter se navezovale na spodbujanje sodelovanja delavcev pri upravljanju.</w:t>
            </w:r>
          </w:p>
          <w:p w14:paraId="75556270" w14:textId="77777777" w:rsidR="00A77B3E" w:rsidRDefault="00A77B3E">
            <w:pPr>
              <w:spacing w:before="5pt"/>
              <w:rPr>
                <w:color w:val="000000"/>
              </w:rPr>
            </w:pPr>
          </w:p>
          <w:p w14:paraId="67AE4883" w14:textId="77777777" w:rsidR="00A77B3E" w:rsidRDefault="00B16CCF">
            <w:pPr>
              <w:spacing w:before="5pt"/>
              <w:rPr>
                <w:color w:val="000000"/>
              </w:rPr>
            </w:pPr>
            <w:r>
              <w:rPr>
                <w:color w:val="000000"/>
              </w:rPr>
              <w:t>V okviru specifičnega cilja ESO4.4 bodo podprti ukrepi, ki bodo osredotočeni na naslednja področja:</w:t>
            </w:r>
          </w:p>
          <w:p w14:paraId="2420C41A" w14:textId="77777777" w:rsidR="00A77B3E" w:rsidRDefault="00B16CCF">
            <w:pPr>
              <w:spacing w:before="5pt"/>
              <w:rPr>
                <w:color w:val="000000"/>
              </w:rPr>
            </w:pPr>
            <w:r>
              <w:rPr>
                <w:color w:val="000000"/>
              </w:rPr>
              <w:t>•</w:t>
            </w:r>
            <w:r>
              <w:rPr>
                <w:i/>
                <w:iCs/>
                <w:color w:val="000000"/>
              </w:rPr>
              <w:t>dvig kakovosti delovnega okolja in pogojev za delo tudi s ciljem podaljševanja obdobja delovne aktivnosti, predvsem starejših, vključno z javnim sektorjem</w:t>
            </w:r>
            <w:r>
              <w:rPr>
                <w:color w:val="000000"/>
              </w:rPr>
              <w:t>. Ukrepi tega področja bodo osredotočeni na:</w:t>
            </w:r>
          </w:p>
          <w:p w14:paraId="180FCC40" w14:textId="77777777" w:rsidR="00A77B3E" w:rsidRDefault="00B16CCF">
            <w:pPr>
              <w:spacing w:before="5pt"/>
              <w:rPr>
                <w:color w:val="000000"/>
              </w:rPr>
            </w:pPr>
            <w:r>
              <w:rPr>
                <w:color w:val="000000"/>
              </w:rPr>
              <w:t>o zagotavljanje dostojnega dela z namenom kakovostnega delovnega okolja, preprečevanja konfliktov, zagovorništva in spodbujanja stabilnejših oblik zaposlitev oz. opravljanja dela, z namenom zmanjševanja prekarizacije: s kampanjami, informiranjem, svetovanjem in usposabljanjem deležnikov na trgu dela se bo naslavljalo osveščanje o obstoječih pravnih podlagah, na katerih temelji opravljanje dela, ter spodbujanje sodelovanja delavcev pri upravljanju. Vzpostavljen bo prostor za sodelovanje socialnih partnerjev ter zagotavljanje vsebinske podpore pri izvajanju njihovih aktivnosti (smiselno povezovanje z delovanjem Ekonomsko socialnega sveta). Predvidena je torej tudi neposredna krepitev kompetenc in kapacitet socialnih partnerjev na področju kolektivnega dogovarjanja ter za njihovo učinkovito sodelovanje pri oblikovanju javnih politik, pomembnih za trg dela oziroma identifikaciji ter naslavljanju aktualnih in prihodnjih izzivov na področju trga dela. Hkrati je namen izboljšati kompetence socialnih partnerjev pri krepitvi pravne države in pravne stroke, kot je mirno reševanje sporov ter njihovo usposobljenost za vodenje učinkovitega socialnega dialoga na vseh ravneh;</w:t>
            </w:r>
          </w:p>
          <w:p w14:paraId="311B6C92" w14:textId="77777777" w:rsidR="00A77B3E" w:rsidRDefault="00B16CCF">
            <w:pPr>
              <w:spacing w:before="5pt"/>
              <w:rPr>
                <w:color w:val="000000"/>
              </w:rPr>
            </w:pPr>
            <w:r>
              <w:rPr>
                <w:color w:val="000000"/>
              </w:rPr>
              <w:t>o celosten pristop k varnosti in zdravju pri delu za krepitev kulture varnosti in zdravja pri delu delodajalcev, delavcev in drugih, za prilagajanje delovnih mest in procesov predvsem starejšim ter delavcem s statusom invalida. Načrtujejo se ukrepi za varna in zdrava delovna mesta, saj je eden izmed ključnih izzivov na tem področju odločnejše ukrepanje na področju varnosti in zdravja pri delu v smeri zmanjševanja psihosocialnih tveganj in drugih obolenj zaradi visoke intenzivnosti dela, tudi ob upoštevanju spremenjenih razmer (npr. pravica do digitalnega odklopa).</w:t>
            </w:r>
          </w:p>
          <w:p w14:paraId="0420F529" w14:textId="77777777" w:rsidR="00A77B3E" w:rsidRDefault="00B16CCF">
            <w:pPr>
              <w:spacing w:before="5pt"/>
              <w:rPr>
                <w:color w:val="000000"/>
              </w:rPr>
            </w:pPr>
            <w:r>
              <w:rPr>
                <w:color w:val="000000"/>
              </w:rPr>
              <w:lastRenderedPageBreak/>
              <w:t>Pri izvajanju ukrepov za zagotavljanje dostojnega dela in varnosti in zdravja pri delu, je predvideno sodelovanje socialnih partnerjev, kjer bodo sodelovali kot partnerji in v določnih delih tudi kot izvajalci ukrepov. Socialni partnerji bi imeli v okviru projekta tudi možnost izobraževanj in izmenjave dobrih praks na področju varnega in zdravega dela, tudi z namenom krepitve njihovih kompetenc na omenjenem področju ter njihove vloge pri obveščanju, usposabljanju in ozaveščanju zaposlenih o različnih vidikih varnosti in zdravja pri delu.</w:t>
            </w:r>
          </w:p>
          <w:p w14:paraId="7F69CA62" w14:textId="77777777" w:rsidR="00A77B3E" w:rsidRDefault="00B16CCF">
            <w:pPr>
              <w:spacing w:before="5pt"/>
              <w:rPr>
                <w:color w:val="000000"/>
              </w:rPr>
            </w:pPr>
            <w:r>
              <w:rPr>
                <w:color w:val="000000"/>
              </w:rPr>
              <w:t>o Celovito storitev svetovanja in podpore pred in po upokojitvi s poudarkom na podaljševanju delovne aktivnosti in ponovni aktivaciji starejših (zagotavljanje celostnih informacij, izobraževanje in nadgradnja že obstoječih kanalov komuniciranja (ZPIZ) ter prilagoditev internih procesov).</w:t>
            </w:r>
          </w:p>
          <w:p w14:paraId="1885FD0D" w14:textId="77777777" w:rsidR="00A77B3E" w:rsidRDefault="00B16CCF">
            <w:pPr>
              <w:spacing w:before="5pt"/>
              <w:rPr>
                <w:color w:val="000000"/>
              </w:rPr>
            </w:pPr>
            <w:r>
              <w:rPr>
                <w:color w:val="000000"/>
              </w:rPr>
              <w:t>o Izboljšanje pogojev za delo in podaljšanje delovne aktivnosti zaposlenih v zaporskem sistemu: da bodo zaposleni, ki se dnevno pri svojem delu srečujejo z nepredvidljivimi, stresnimi situacijami, zmožni pri svojem delu ohranjati integriteto in spoštovati človekove pravice ter hkrati skrbeti za reintegracijo, varnost in zdravje zaprtih oseb, je treba vzpostaviti (razviti) in implementirati kompetenčni model za vse zaposlene v zaporskem sistemu, ki bo zagotavljal specifična specialna znanja, spretnosti in motivacijo za delov v zahtevnih razmerah. Navedeno se bo zagotavljalo z izvajanjem ustreznih izobraževanj oziroma usposabljanj za to ciljno skupino;</w:t>
            </w:r>
          </w:p>
          <w:p w14:paraId="6749A17B" w14:textId="77777777" w:rsidR="00A77B3E" w:rsidRDefault="00A77B3E">
            <w:pPr>
              <w:spacing w:before="5pt"/>
              <w:rPr>
                <w:color w:val="000000"/>
              </w:rPr>
            </w:pPr>
          </w:p>
          <w:p w14:paraId="0EC4C9A6" w14:textId="77777777" w:rsidR="00A77B3E" w:rsidRDefault="00B16CCF">
            <w:pPr>
              <w:spacing w:before="5pt"/>
              <w:rPr>
                <w:color w:val="000000"/>
              </w:rPr>
            </w:pPr>
            <w:r>
              <w:rPr>
                <w:color w:val="000000"/>
              </w:rPr>
              <w:t>•</w:t>
            </w:r>
            <w:r>
              <w:rPr>
                <w:i/>
                <w:iCs/>
                <w:color w:val="000000"/>
              </w:rPr>
              <w:t xml:space="preserve">spodbujanje medgeneracijskega sodelovanja s poudarkom na prenosu znanja in usposobljenosti med generacijami: </w:t>
            </w:r>
          </w:p>
          <w:p w14:paraId="2E78903D" w14:textId="77777777" w:rsidR="00A77B3E" w:rsidRDefault="00B16CCF">
            <w:pPr>
              <w:spacing w:before="5pt"/>
              <w:rPr>
                <w:color w:val="000000"/>
              </w:rPr>
            </w:pPr>
            <w:r>
              <w:rPr>
                <w:color w:val="000000"/>
              </w:rPr>
              <w:t xml:space="preserve">o podpora podjetjem za podaljševanje delovne aktivnosti z upravljanjem in prilagajanjem delovnih mest (investicije v bolj varna in zdrava delovna mesta) in procesov starejšim zaposlenim: aktivnosti se bo izvajalo preko spodbujanja podaljševanja delovne aktivnosti starejših zaposlenih s krepitvijo njihovih kompetenc, odpravo stereotipov o starejših zaposlenih ter opolnomočenja delodajalcev za upravljanje s starajočo delovno silo (nadaljevanje programa Celovita podpora podjetjem za aktivno staranje delovne sile – ASI), krepitvijo kompetenc delavcev za medgeneracijski prenos znanj ter vključevanja mladih v strokovno delo. </w:t>
            </w:r>
          </w:p>
          <w:p w14:paraId="62425112" w14:textId="77777777" w:rsidR="00A77B3E" w:rsidRDefault="00B16CCF">
            <w:pPr>
              <w:spacing w:before="5pt"/>
              <w:rPr>
                <w:color w:val="000000"/>
              </w:rPr>
            </w:pPr>
            <w:r>
              <w:rPr>
                <w:color w:val="000000"/>
              </w:rPr>
              <w:t>Ukrepi bodo ciljno usmerjeni na zvišanje stopnje delovne aktivnosti predvsem starejših med 55-64 let, še posebej nižje izobraženih. Večji doprinos k zvišanju stopnje pa ne sme biti vodilo in s tem favoriziranje posamezne ciljne skupine zaposlenih, ampak mora biti vodilo predvsem načelo vključujočega trga dela za vse, kar je za okrevanje po epidemiji covid-19 še kako pomembno.</w:t>
            </w:r>
          </w:p>
          <w:p w14:paraId="252D025F" w14:textId="77777777" w:rsidR="00A77B3E" w:rsidRDefault="00B16CCF">
            <w:pPr>
              <w:spacing w:before="5pt"/>
              <w:rPr>
                <w:color w:val="000000"/>
              </w:rPr>
            </w:pPr>
            <w:r>
              <w:rPr>
                <w:color w:val="000000"/>
              </w:rPr>
              <w:t xml:space="preserve">o uvajanje novih pristopov pri ravnanju z ljudmi pri delu in razvoj specifičnih aktivnosti, povezanih s spreminjajočimi se demografskimi trendi in posledično s staranjem zaposlenih v državni upravi (preoblikovanje funkcije ravnanja z zaposlenimi v državni upravi, katere elementi smiselno vključujejo ravnanje z medgeneracijskimi razmerji (spreminjanje organizacijske kulture, motivacije, fleksibilnosti, mobilnosti ter raznolikosti znotraj državne uprave, ki bo naklonjena starejšim zaposlenim); odpravo stereotipov o starejših zaposlenih (pogled na starejše zaposlene kot na dragoceno delovno silo, ki ima koristna in pomembna znanja), medgeneracijski prenos znanj in drugih, kompetenc za učinkovitejše vključevanje mladih v strokovno delo; opolnomočenje organov državne uprave za ravnanje s starajočo se delovno silo (krepitve kompetenc/usposabljanje vodilnih in odgovornih za razvoj kadrov za upravljanje z generacijsko raznoliko delovno silo); analiza in uravnoteženje starostnega profila zaposlenih (priprava modela za privabljanje mladih v državni upravi). </w:t>
            </w:r>
          </w:p>
          <w:p w14:paraId="4AC0C064" w14:textId="77777777" w:rsidR="00A77B3E" w:rsidRDefault="00B16CCF">
            <w:pPr>
              <w:spacing w:before="5pt"/>
              <w:rPr>
                <w:color w:val="000000"/>
              </w:rPr>
            </w:pPr>
            <w:r>
              <w:rPr>
                <w:color w:val="000000"/>
              </w:rPr>
              <w:t>• spodbujanje udeležbe zaposlenih v lastništvu podjetja:</w:t>
            </w:r>
          </w:p>
          <w:p w14:paraId="5FA199E9" w14:textId="77777777" w:rsidR="00A77B3E" w:rsidRDefault="00B16CCF">
            <w:pPr>
              <w:spacing w:before="5pt"/>
              <w:rPr>
                <w:color w:val="000000"/>
              </w:rPr>
            </w:pPr>
            <w:r>
              <w:rPr>
                <w:color w:val="000000"/>
              </w:rPr>
              <w:t xml:space="preserve">obravnavanje nasledstvene krize v slovenskih podjetjih, ki bi lahko imela pomembne gospodarske in socialne posledice. Analize kažejo, da se bo skoraj 40 % lastnikov podjetij upokojilo v naslednjem desetletju, le četrtina ima načrt nasledstva, kar pomeni veliko tveganje zaprtja podjetij in izgube delovnih mest. Te razmere ogrožajo približno 25 % delovnih mest v zasebnem sektorju v Sloveniji, ki vpliva na več kot 170.000 delavcev. S spodbujanjem udeležbe </w:t>
            </w:r>
            <w:r>
              <w:rPr>
                <w:color w:val="000000"/>
              </w:rPr>
              <w:lastRenderedPageBreak/>
              <w:t>zaposlenih v lastništvu podjetja lahko Slovenija zagotovi neprekinjeno poslovanje in ohrani delovna mesta. Ta pristop tudi ohranja lokalna podjetja, spodbuja bolj vključujoče in odporno gospodarstvo ter s tem podpira širše cilje socialne in ekonomske kohezije v EU.</w:t>
            </w:r>
          </w:p>
          <w:p w14:paraId="559A7AD3" w14:textId="77777777" w:rsidR="00A77B3E" w:rsidRDefault="00B16CCF">
            <w:pPr>
              <w:spacing w:before="5pt"/>
              <w:rPr>
                <w:color w:val="000000"/>
              </w:rPr>
            </w:pPr>
            <w:r>
              <w:rPr>
                <w:color w:val="000000"/>
              </w:rPr>
              <w:t>Gre za ukrepe, ki po svoji naravi nimajo predvidljivega negativnega vpliva na okoljske cilje, ki bi bil povezan z neposrednimi in primarnimi posrednimi učinki ukrepa v življenjskem ciklu oz. je ta vpliv nepomemben, zato so skladni z načelom DNSH.</w:t>
            </w:r>
          </w:p>
          <w:p w14:paraId="2266E22C" w14:textId="77777777" w:rsidR="00A77B3E" w:rsidRDefault="00A77B3E">
            <w:pPr>
              <w:spacing w:before="5pt"/>
              <w:rPr>
                <w:color w:val="000000"/>
                <w:sz w:val="6"/>
              </w:rPr>
            </w:pPr>
          </w:p>
          <w:p w14:paraId="5FFF6C94" w14:textId="77777777" w:rsidR="00A77B3E" w:rsidRDefault="00A77B3E">
            <w:pPr>
              <w:spacing w:before="5pt"/>
              <w:rPr>
                <w:color w:val="000000"/>
                <w:sz w:val="6"/>
              </w:rPr>
            </w:pPr>
          </w:p>
        </w:tc>
      </w:tr>
    </w:tbl>
    <w:p w14:paraId="306EA023" w14:textId="77777777" w:rsidR="00A77B3E" w:rsidRDefault="00A77B3E">
      <w:pPr>
        <w:spacing w:before="5pt"/>
        <w:rPr>
          <w:color w:val="000000"/>
        </w:rPr>
      </w:pPr>
    </w:p>
    <w:p w14:paraId="1F022A2C" w14:textId="77777777" w:rsidR="00A77B3E" w:rsidRDefault="00B16CCF">
      <w:pPr>
        <w:pStyle w:val="Naslov5"/>
        <w:spacing w:before="5pt" w:after="0pt"/>
        <w:rPr>
          <w:b w:val="0"/>
          <w:i w:val="0"/>
          <w:color w:val="000000"/>
          <w:sz w:val="24"/>
        </w:rPr>
      </w:pPr>
      <w:bookmarkStart w:id="458" w:name="_Toc256001219"/>
      <w:r>
        <w:rPr>
          <w:b w:val="0"/>
          <w:i w:val="0"/>
          <w:color w:val="000000"/>
          <w:sz w:val="24"/>
        </w:rPr>
        <w:t>Glavne ciljne skupine – člen 22(3)(d)(iii) uredbe o skupnih določbah:</w:t>
      </w:r>
      <w:bookmarkEnd w:id="458"/>
    </w:p>
    <w:p w14:paraId="31188A1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67261CBF"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765F5D" w14:textId="77777777" w:rsidR="00A77B3E" w:rsidRDefault="00A77B3E">
            <w:pPr>
              <w:spacing w:before="5pt"/>
              <w:rPr>
                <w:color w:val="000000"/>
                <w:sz w:val="0"/>
              </w:rPr>
            </w:pPr>
          </w:p>
          <w:p w14:paraId="79351F70" w14:textId="77777777" w:rsidR="00A77B3E" w:rsidRDefault="00B16CCF">
            <w:pPr>
              <w:spacing w:before="5pt"/>
              <w:rPr>
                <w:color w:val="000000"/>
              </w:rPr>
            </w:pPr>
            <w:r>
              <w:rPr>
                <w:color w:val="000000"/>
              </w:rPr>
              <w:t>Ciljne skupine: institucije na trgu dela, javni in zasebni sektor, socialni parterji, NVO, delodajalci (javni in zasebni sektor), zaposleni (predvsem starejši od 50 let in nižje izobraženi), javne institucije, ki so vključene v pripravo in izvajanje politik na področju aktivnega staranja, zaposleni v zaporskem sistemu in drugi, ki lahko s svojim delovanjem prispevajo k doseganju ciljev tega specifičnega cilja.</w:t>
            </w:r>
          </w:p>
          <w:p w14:paraId="060415C9" w14:textId="77777777" w:rsidR="00A77B3E" w:rsidRDefault="00A77B3E">
            <w:pPr>
              <w:spacing w:before="5pt"/>
              <w:rPr>
                <w:color w:val="000000"/>
              </w:rPr>
            </w:pPr>
          </w:p>
          <w:p w14:paraId="65C46A80" w14:textId="77777777" w:rsidR="00A77B3E" w:rsidRDefault="00B16CCF">
            <w:pPr>
              <w:spacing w:before="5pt"/>
              <w:rPr>
                <w:color w:val="000000"/>
              </w:rPr>
            </w:pPr>
            <w:r>
              <w:rPr>
                <w:color w:val="000000"/>
              </w:rPr>
              <w:t>Upravičenci: fundacije, socialni partnerji, NVO, ZPIZ, JŠRIPS, Inšpektorat RS za delo, URSIKS, Zavod Republike Slovenije za zaposlovanje (ZRSZ), Nacionalni inštitut za javno zdravje in Univerzitetni klinični center, Klinični inštitut za medicino dela, prometa in športa, zadruge, občine, zaposleni, ministrstvi, pristojni za javno upravo ter delo in drugi, ki lahko prispevajo k doseganju ciljev tega specifičnega cilja.</w:t>
            </w:r>
          </w:p>
          <w:p w14:paraId="3B36B054" w14:textId="77777777" w:rsidR="00A77B3E" w:rsidRDefault="00A77B3E">
            <w:pPr>
              <w:spacing w:before="5pt"/>
              <w:rPr>
                <w:color w:val="000000"/>
                <w:sz w:val="6"/>
              </w:rPr>
            </w:pPr>
          </w:p>
          <w:p w14:paraId="3C175BB6" w14:textId="77777777" w:rsidR="00A77B3E" w:rsidRDefault="00A77B3E">
            <w:pPr>
              <w:spacing w:before="5pt"/>
              <w:rPr>
                <w:color w:val="000000"/>
                <w:sz w:val="6"/>
              </w:rPr>
            </w:pPr>
          </w:p>
        </w:tc>
      </w:tr>
    </w:tbl>
    <w:p w14:paraId="3C29BE1A" w14:textId="77777777" w:rsidR="00A77B3E" w:rsidRDefault="00A77B3E">
      <w:pPr>
        <w:spacing w:before="5pt"/>
        <w:rPr>
          <w:color w:val="000000"/>
        </w:rPr>
      </w:pPr>
    </w:p>
    <w:p w14:paraId="286EC8CF" w14:textId="77777777" w:rsidR="00A77B3E" w:rsidRDefault="00B16CCF">
      <w:pPr>
        <w:pStyle w:val="Naslov5"/>
        <w:spacing w:before="5pt" w:after="0pt"/>
        <w:rPr>
          <w:b w:val="0"/>
          <w:i w:val="0"/>
          <w:color w:val="000000"/>
          <w:sz w:val="24"/>
        </w:rPr>
      </w:pPr>
      <w:bookmarkStart w:id="459" w:name="_Toc256001220"/>
      <w:r>
        <w:rPr>
          <w:b w:val="0"/>
          <w:i w:val="0"/>
          <w:color w:val="000000"/>
          <w:sz w:val="24"/>
        </w:rPr>
        <w:t>Ukrepi za zaščito enakosti, vključenosti in nediskriminacije – člen 22(3)(d)(iv) uredbe o skupnih določbah in člen 6 uredbe o ESS+</w:t>
      </w:r>
      <w:bookmarkEnd w:id="459"/>
    </w:p>
    <w:p w14:paraId="3D1A6D1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38999FD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D8C90D" w14:textId="77777777" w:rsidR="00A77B3E" w:rsidRDefault="00A77B3E">
            <w:pPr>
              <w:spacing w:before="5pt"/>
              <w:rPr>
                <w:color w:val="000000"/>
                <w:sz w:val="0"/>
              </w:rPr>
            </w:pPr>
          </w:p>
          <w:p w14:paraId="4CA5D78E" w14:textId="77777777" w:rsidR="00A77B3E" w:rsidRDefault="00B16CCF">
            <w:pPr>
              <w:spacing w:before="5pt"/>
              <w:rPr>
                <w:color w:val="000000"/>
              </w:rPr>
            </w:pPr>
            <w:r>
              <w:rPr>
                <w:color w:val="000000"/>
              </w:rPr>
              <w:t xml:space="preserve">Spoštovanje načel enakosti, vključenosti in nediskriminacije bo zagotovljeno pri izvajanju vseh aktivnosti na vseh ravneh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Načelo se bo upoštevalo tudi v okviru sistema upravljanja in nadzora. </w:t>
            </w:r>
          </w:p>
          <w:p w14:paraId="114B48A4" w14:textId="77777777" w:rsidR="00A77B3E" w:rsidRDefault="00A77B3E">
            <w:pPr>
              <w:spacing w:before="5pt"/>
              <w:rPr>
                <w:color w:val="000000"/>
              </w:rPr>
            </w:pPr>
          </w:p>
          <w:p w14:paraId="102E7E31" w14:textId="77777777" w:rsidR="00A77B3E" w:rsidRDefault="00B16CCF">
            <w:pPr>
              <w:spacing w:before="5pt"/>
              <w:rPr>
                <w:color w:val="000000"/>
              </w:rPr>
            </w:pPr>
            <w:r>
              <w:rPr>
                <w:color w:val="000000"/>
              </w:rPr>
              <w:t xml:space="preserve">Ukrepi za spodbujanje prilagajanja delavcev, podjetij in podjetnikov na spremembe, aktivno in zdravo staranje ter delovno okolje, ki obravnava tveganja za zdravje, so skladni z načeli Evropskega stebra socialnih pravic, in sicer načelom 5. Varna in prilagodljiva zaposlitev, načelom 8. Socialni dialog in udeležba delavcev ter načelom 10. Zdravo, varno in primerno delovno okolje ter varstvo podatkov. S posameznimi projekti se bo spodbujalo zaposlovanje za nedoločen čas, uporabo instituta mirnega reševanja sporov med delavcem in delodajalcem in izvajalo informiranje, osveščanje ter neposredno podporo </w:t>
            </w:r>
            <w:r>
              <w:rPr>
                <w:color w:val="000000"/>
              </w:rPr>
              <w:lastRenderedPageBreak/>
              <w:t>ključnim deležnikom na trgu dela. V aktivnostih ukrepov bo upoštevano načelo enakosti spolov ter enakih možnosti pri obravnavanju in vključevanju delavcev ne glede na spol, raso ali narodnost, vero ali prepričanje, invalidnost, starost ali spolno usmerjenost. Vsi delavci morajo imeti zagotovljeno varno in zdravo ter prilagodljivo delovno okolje ter pravico do poštenega in enakega obravnavanja, pri čemer je potrebno posebno pozornost namenjati specifičnim potrebam glede na spol.</w:t>
            </w:r>
          </w:p>
          <w:p w14:paraId="62ABE3A2" w14:textId="77777777" w:rsidR="00A77B3E" w:rsidRDefault="00A77B3E">
            <w:pPr>
              <w:spacing w:before="5pt"/>
              <w:rPr>
                <w:color w:val="000000"/>
                <w:sz w:val="6"/>
              </w:rPr>
            </w:pPr>
          </w:p>
          <w:p w14:paraId="7748A2C7" w14:textId="77777777" w:rsidR="00A77B3E" w:rsidRDefault="00A77B3E">
            <w:pPr>
              <w:spacing w:before="5pt"/>
              <w:rPr>
                <w:color w:val="000000"/>
                <w:sz w:val="6"/>
              </w:rPr>
            </w:pPr>
          </w:p>
        </w:tc>
      </w:tr>
    </w:tbl>
    <w:p w14:paraId="78958BD0" w14:textId="77777777" w:rsidR="00A77B3E" w:rsidRDefault="00A77B3E">
      <w:pPr>
        <w:spacing w:before="5pt"/>
        <w:rPr>
          <w:color w:val="000000"/>
        </w:rPr>
      </w:pPr>
    </w:p>
    <w:p w14:paraId="1C2197CF" w14:textId="77777777" w:rsidR="00A77B3E" w:rsidRDefault="00B16CCF">
      <w:pPr>
        <w:pStyle w:val="Naslov5"/>
        <w:spacing w:before="5pt" w:after="0pt"/>
        <w:rPr>
          <w:b w:val="0"/>
          <w:i w:val="0"/>
          <w:color w:val="000000"/>
          <w:sz w:val="24"/>
        </w:rPr>
      </w:pPr>
      <w:bookmarkStart w:id="460" w:name="_Toc256001221"/>
      <w:r>
        <w:rPr>
          <w:b w:val="0"/>
          <w:i w:val="0"/>
          <w:color w:val="000000"/>
          <w:sz w:val="24"/>
        </w:rPr>
        <w:t>Navedba specifičnih ciljnih ozemelj, vključno z načrtovano uporabo teritorialnih orodij – člen 22(3)(d)(v) uredbe o skupnih določbah</w:t>
      </w:r>
      <w:bookmarkEnd w:id="460"/>
    </w:p>
    <w:p w14:paraId="4FC9B3B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1AFA9420"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016E2C" w14:textId="77777777" w:rsidR="00A77B3E" w:rsidRDefault="00A77B3E">
            <w:pPr>
              <w:spacing w:before="5pt"/>
              <w:rPr>
                <w:color w:val="000000"/>
                <w:sz w:val="0"/>
              </w:rPr>
            </w:pPr>
          </w:p>
          <w:p w14:paraId="39EC41E9" w14:textId="77777777" w:rsidR="00A77B3E" w:rsidRDefault="00B16CCF">
            <w:pPr>
              <w:spacing w:before="5pt"/>
              <w:rPr>
                <w:color w:val="000000"/>
              </w:rPr>
            </w:pPr>
            <w:r>
              <w:rPr>
                <w:color w:val="000000"/>
              </w:rPr>
              <w:t>V okviru navedenega specifičnega cilja ni predvidena uporaba teritorialnih orodij.</w:t>
            </w:r>
          </w:p>
          <w:p w14:paraId="37A95CC4" w14:textId="77777777" w:rsidR="00A77B3E" w:rsidRDefault="00A77B3E">
            <w:pPr>
              <w:spacing w:before="5pt"/>
              <w:rPr>
                <w:color w:val="000000"/>
                <w:sz w:val="6"/>
              </w:rPr>
            </w:pPr>
          </w:p>
          <w:p w14:paraId="77588BDD" w14:textId="77777777" w:rsidR="00A77B3E" w:rsidRDefault="00A77B3E">
            <w:pPr>
              <w:spacing w:before="5pt"/>
              <w:rPr>
                <w:color w:val="000000"/>
                <w:sz w:val="6"/>
              </w:rPr>
            </w:pPr>
          </w:p>
        </w:tc>
      </w:tr>
    </w:tbl>
    <w:p w14:paraId="1A114666" w14:textId="77777777" w:rsidR="00A77B3E" w:rsidRDefault="00A77B3E">
      <w:pPr>
        <w:spacing w:before="5pt"/>
        <w:rPr>
          <w:color w:val="000000"/>
        </w:rPr>
      </w:pPr>
    </w:p>
    <w:p w14:paraId="23C6886E" w14:textId="77777777" w:rsidR="00A77B3E" w:rsidRDefault="00B16CCF">
      <w:pPr>
        <w:pStyle w:val="Naslov5"/>
        <w:spacing w:before="5pt" w:after="0pt"/>
        <w:rPr>
          <w:b w:val="0"/>
          <w:i w:val="0"/>
          <w:color w:val="000000"/>
          <w:sz w:val="24"/>
        </w:rPr>
      </w:pPr>
      <w:bookmarkStart w:id="461" w:name="_Toc256001222"/>
      <w:r>
        <w:rPr>
          <w:b w:val="0"/>
          <w:i w:val="0"/>
          <w:color w:val="000000"/>
          <w:sz w:val="24"/>
        </w:rPr>
        <w:t>Medregionalni, čezmejni in transnacionalni ukrepi – člen 22(3)(d)(vi) uredbe o skupnih določbah</w:t>
      </w:r>
      <w:bookmarkEnd w:id="461"/>
    </w:p>
    <w:p w14:paraId="126CA17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5D07D70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7BA407" w14:textId="77777777" w:rsidR="00A77B3E" w:rsidRDefault="00A77B3E">
            <w:pPr>
              <w:spacing w:before="5pt"/>
              <w:rPr>
                <w:color w:val="000000"/>
                <w:sz w:val="0"/>
              </w:rPr>
            </w:pPr>
          </w:p>
          <w:p w14:paraId="5E509129" w14:textId="77777777" w:rsidR="00A77B3E" w:rsidRDefault="00B16CCF">
            <w:pPr>
              <w:spacing w:before="5pt"/>
              <w:rPr>
                <w:color w:val="000000"/>
              </w:rPr>
            </w:pPr>
            <w:r>
              <w:rPr>
                <w:color w:val="000000"/>
              </w:rPr>
              <w:t>V okviru navedenega specifičnega cilja medregionalni, čezmejni in transnacionalni ukrepi niso predvideni, saj gre za ukrepe, ki so namenjeni zaposlenim ter zagotavljanju varnega in zdravega delovnega okolja v Sloveniji.</w:t>
            </w:r>
          </w:p>
          <w:p w14:paraId="53DDAC08" w14:textId="77777777" w:rsidR="00A77B3E" w:rsidRDefault="00A77B3E">
            <w:pPr>
              <w:spacing w:before="5pt"/>
              <w:rPr>
                <w:color w:val="000000"/>
                <w:sz w:val="6"/>
              </w:rPr>
            </w:pPr>
          </w:p>
          <w:p w14:paraId="7A1D9C73" w14:textId="77777777" w:rsidR="00A77B3E" w:rsidRDefault="00A77B3E">
            <w:pPr>
              <w:spacing w:before="5pt"/>
              <w:rPr>
                <w:color w:val="000000"/>
                <w:sz w:val="6"/>
              </w:rPr>
            </w:pPr>
          </w:p>
        </w:tc>
      </w:tr>
    </w:tbl>
    <w:p w14:paraId="10D1B729" w14:textId="77777777" w:rsidR="00A77B3E" w:rsidRDefault="00A77B3E">
      <w:pPr>
        <w:spacing w:before="5pt"/>
        <w:rPr>
          <w:color w:val="000000"/>
        </w:rPr>
      </w:pPr>
    </w:p>
    <w:p w14:paraId="586C6487" w14:textId="77777777" w:rsidR="00A77B3E" w:rsidRDefault="00B16CCF">
      <w:pPr>
        <w:pStyle w:val="Naslov5"/>
        <w:spacing w:before="5pt" w:after="0pt"/>
        <w:rPr>
          <w:b w:val="0"/>
          <w:i w:val="0"/>
          <w:color w:val="000000"/>
          <w:sz w:val="24"/>
        </w:rPr>
      </w:pPr>
      <w:bookmarkStart w:id="462" w:name="_Toc256001223"/>
      <w:r>
        <w:rPr>
          <w:b w:val="0"/>
          <w:i w:val="0"/>
          <w:color w:val="000000"/>
          <w:sz w:val="24"/>
        </w:rPr>
        <w:t>Načrtovana uporaba finančnih instrumentov – člen 22(3)(d)(vii) uredbe o skupnih določbah</w:t>
      </w:r>
      <w:bookmarkEnd w:id="462"/>
    </w:p>
    <w:p w14:paraId="5159779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4BDC9DD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4CDE6C" w14:textId="77777777" w:rsidR="00A77B3E" w:rsidRDefault="00A77B3E">
            <w:pPr>
              <w:spacing w:before="5pt"/>
              <w:rPr>
                <w:color w:val="000000"/>
                <w:sz w:val="0"/>
              </w:rPr>
            </w:pPr>
          </w:p>
          <w:p w14:paraId="4FFDD2E3" w14:textId="77777777" w:rsidR="00A77B3E" w:rsidRDefault="00B16CCF">
            <w:pPr>
              <w:spacing w:before="5pt"/>
              <w:rPr>
                <w:color w:val="000000"/>
              </w:rPr>
            </w:pPr>
            <w:r>
              <w:rPr>
                <w:color w:val="000000"/>
              </w:rPr>
              <w:t>V okviru ukrepov je večinoma predvidena uporaba nepovratnih virov, saj gre za predlagane ukrepe, katerih izvajalci so javne institucije ali nevladne oz. neprofitne organizacije, ki nimajo tržnih dejavnosti in ne ustvarjajo prihodkov oziroma prihrankov, zaradi česar uporaba finančnih instrumentov ni mogoča in so edina ustrezna oblika financiranja nepovratna sredstva.</w:t>
            </w:r>
          </w:p>
          <w:p w14:paraId="57903FD5" w14:textId="77777777" w:rsidR="00A77B3E" w:rsidRDefault="00B16CCF">
            <w:pPr>
              <w:spacing w:before="5pt"/>
              <w:rPr>
                <w:color w:val="000000"/>
              </w:rPr>
            </w:pPr>
            <w:r>
              <w:rPr>
                <w:color w:val="000000"/>
              </w:rPr>
              <w:t>Ne glede na navedeno, pa je bila v skladu z analizami[1] ugotovljena visoka vrzel za ciljno skupino zaposlenih, ki bi sodelovali v lastništvu podjetij. Načrtuje se uporaba finančnih instrumentov v obliki garancij in dolžniškega financiranja. V Programu je podan indikativen obseg sredstev*, namenjenih za FI, natančneje pa bodo določena po opravljeni dodatni analizi trga, ki bo dopolnila Predhodno oceno potreb trga in vrzeli financiranja na trgu za izvajanje finančnih instrumentov v programskem obdobju 2021-2027.</w:t>
            </w:r>
          </w:p>
          <w:p w14:paraId="53EDA166" w14:textId="77777777" w:rsidR="00A77B3E" w:rsidRDefault="00A77B3E">
            <w:pPr>
              <w:spacing w:before="5pt"/>
              <w:rPr>
                <w:color w:val="000000"/>
              </w:rPr>
            </w:pPr>
          </w:p>
          <w:p w14:paraId="5E55A9C8" w14:textId="77777777" w:rsidR="00A77B3E" w:rsidRDefault="00B16CCF">
            <w:pPr>
              <w:spacing w:before="5pt"/>
              <w:rPr>
                <w:color w:val="000000"/>
              </w:rPr>
            </w:pPr>
            <w:r>
              <w:rPr>
                <w:color w:val="000000"/>
              </w:rPr>
              <w:t>[1] Raziskovalni projekt CRP ALSPDOL (https://www.fdv.uni-lj.si/raziskovanje/institut-za-druzbene-vede/raziskovalni-projekti/P7666).</w:t>
            </w:r>
          </w:p>
          <w:p w14:paraId="175F54CC" w14:textId="77777777" w:rsidR="00A77B3E" w:rsidRDefault="00A77B3E">
            <w:pPr>
              <w:spacing w:before="5pt"/>
              <w:rPr>
                <w:color w:val="000000"/>
                <w:sz w:val="6"/>
              </w:rPr>
            </w:pPr>
          </w:p>
          <w:p w14:paraId="3F44C23E" w14:textId="77777777" w:rsidR="00A77B3E" w:rsidRDefault="00A77B3E">
            <w:pPr>
              <w:spacing w:before="5pt"/>
              <w:rPr>
                <w:color w:val="000000"/>
                <w:sz w:val="6"/>
              </w:rPr>
            </w:pPr>
          </w:p>
        </w:tc>
      </w:tr>
    </w:tbl>
    <w:p w14:paraId="69A0085C" w14:textId="77777777" w:rsidR="00A77B3E" w:rsidRDefault="00A77B3E">
      <w:pPr>
        <w:spacing w:before="5pt"/>
        <w:rPr>
          <w:color w:val="000000"/>
        </w:rPr>
      </w:pPr>
    </w:p>
    <w:p w14:paraId="3B6DA7A9" w14:textId="77777777" w:rsidR="00A77B3E" w:rsidRDefault="00B16CCF">
      <w:pPr>
        <w:pStyle w:val="Naslov4"/>
        <w:spacing w:before="5pt" w:after="0pt"/>
        <w:rPr>
          <w:b w:val="0"/>
          <w:color w:val="000000"/>
          <w:sz w:val="24"/>
        </w:rPr>
      </w:pPr>
      <w:bookmarkStart w:id="463" w:name="_Toc256001224"/>
      <w:r>
        <w:rPr>
          <w:b w:val="0"/>
          <w:color w:val="000000"/>
          <w:sz w:val="24"/>
        </w:rPr>
        <w:lastRenderedPageBreak/>
        <w:t>2.1.1.1.2. Kazalniki</w:t>
      </w:r>
      <w:bookmarkEnd w:id="463"/>
    </w:p>
    <w:p w14:paraId="78C5C9FE" w14:textId="77777777" w:rsidR="00A77B3E" w:rsidRDefault="00A77B3E">
      <w:pPr>
        <w:spacing w:before="5pt"/>
        <w:rPr>
          <w:color w:val="000000"/>
          <w:sz w:val="0"/>
        </w:rPr>
      </w:pPr>
    </w:p>
    <w:p w14:paraId="56E3200A" w14:textId="77777777" w:rsidR="00A77B3E" w:rsidRDefault="00B16CCF">
      <w:pPr>
        <w:spacing w:before="5pt"/>
        <w:rPr>
          <w:color w:val="000000"/>
          <w:sz w:val="0"/>
        </w:rPr>
      </w:pPr>
      <w:r>
        <w:rPr>
          <w:color w:val="000000"/>
        </w:rPr>
        <w:t>Sklic: člen 22(3)(d)(ii) uredbe o skupnih določbah in člen 8 uredbe o ESRR in Kohezijskem skladu</w:t>
      </w:r>
    </w:p>
    <w:p w14:paraId="625108C1" w14:textId="77777777" w:rsidR="00A77B3E" w:rsidRDefault="00B16CCF">
      <w:pPr>
        <w:pStyle w:val="Naslov5"/>
        <w:spacing w:before="5pt" w:after="0pt"/>
        <w:rPr>
          <w:b w:val="0"/>
          <w:i w:val="0"/>
          <w:color w:val="000000"/>
          <w:sz w:val="24"/>
        </w:rPr>
      </w:pPr>
      <w:bookmarkStart w:id="464" w:name="_Toc256001225"/>
      <w:r>
        <w:rPr>
          <w:b w:val="0"/>
          <w:i w:val="0"/>
          <w:color w:val="000000"/>
          <w:sz w:val="24"/>
        </w:rPr>
        <w:t>Tabela 2: Kazalniki učinka</w:t>
      </w:r>
      <w:bookmarkEnd w:id="464"/>
    </w:p>
    <w:p w14:paraId="59C9CE3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787"/>
        <w:gridCol w:w="1648"/>
        <w:gridCol w:w="1023"/>
        <w:gridCol w:w="1708"/>
        <w:gridCol w:w="1982"/>
        <w:gridCol w:w="2671"/>
        <w:gridCol w:w="1274"/>
        <w:gridCol w:w="1451"/>
        <w:gridCol w:w="1628"/>
      </w:tblGrid>
      <w:tr w:rsidR="00823317" w14:paraId="4FE1D9B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FA2393"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338C53"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9B48C3"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431703"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D6B472"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D53189"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4DA307B"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82C51D" w14:textId="77777777" w:rsidR="00A77B3E" w:rsidRDefault="00B16CCF">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D0A8A0" w14:textId="77777777" w:rsidR="00A77B3E" w:rsidRDefault="00B16CCF">
            <w:pPr>
              <w:spacing w:before="5pt"/>
              <w:jc w:val="center"/>
              <w:rPr>
                <w:color w:val="000000"/>
                <w:sz w:val="20"/>
              </w:rPr>
            </w:pPr>
            <w:r>
              <w:rPr>
                <w:color w:val="000000"/>
                <w:sz w:val="20"/>
              </w:rPr>
              <w:t>Cilj (2029)</w:t>
            </w:r>
          </w:p>
        </w:tc>
      </w:tr>
      <w:tr w:rsidR="00823317" w14:paraId="1B01DA2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6A2849"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983416" w14:textId="77777777" w:rsidR="00A77B3E" w:rsidRDefault="00B16CCF">
            <w:pPr>
              <w:spacing w:before="5pt"/>
              <w:rPr>
                <w:color w:val="000000"/>
                <w:sz w:val="20"/>
              </w:rPr>
            </w:pPr>
            <w:r>
              <w:rPr>
                <w:color w:val="000000"/>
                <w:sz w:val="20"/>
              </w:rPr>
              <w:t>ESO4.4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131957"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C00749"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E4257A" w14:textId="77777777" w:rsidR="00A77B3E" w:rsidRDefault="00B16CCF">
            <w:pPr>
              <w:spacing w:before="5pt"/>
              <w:rPr>
                <w:color w:val="000000"/>
                <w:sz w:val="20"/>
              </w:rPr>
            </w:pPr>
            <w:r>
              <w:rPr>
                <w:color w:val="000000"/>
                <w:sz w:val="20"/>
              </w:rPr>
              <w:t>EECO05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7EAEBC" w14:textId="77777777" w:rsidR="00A77B3E" w:rsidRDefault="00B16CCF">
            <w:pPr>
              <w:spacing w:before="5pt"/>
              <w:rPr>
                <w:color w:val="000000"/>
                <w:sz w:val="20"/>
              </w:rPr>
            </w:pPr>
            <w:r>
              <w:rPr>
                <w:color w:val="000000"/>
                <w:sz w:val="20"/>
              </w:rPr>
              <w:t>Zaposleni, vključno s samozaposlenimi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022E0C" w14:textId="77777777" w:rsidR="00A77B3E" w:rsidRDefault="00B16CCF">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AD74B3" w14:textId="77777777" w:rsidR="00A77B3E" w:rsidRDefault="00B16CCF">
            <w:pPr>
              <w:spacing w:before="5pt"/>
              <w:jc w:val="end"/>
              <w:rPr>
                <w:color w:val="000000"/>
                <w:sz w:val="20"/>
              </w:rPr>
            </w:pPr>
            <w:r>
              <w:rPr>
                <w:color w:val="000000"/>
                <w:sz w:val="20"/>
              </w:rPr>
              <w:t>1.136,00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62D7E8" w14:textId="77777777" w:rsidR="00A77B3E" w:rsidRDefault="00B16CCF">
            <w:pPr>
              <w:spacing w:before="5pt"/>
              <w:jc w:val="end"/>
              <w:rPr>
                <w:color w:val="000000"/>
                <w:sz w:val="20"/>
              </w:rPr>
            </w:pPr>
            <w:r>
              <w:rPr>
                <w:color w:val="000000"/>
                <w:sz w:val="20"/>
              </w:rPr>
              <w:t>5.705,00</w:t>
            </w:r>
          </w:p>
        </w:tc>
      </w:tr>
      <w:tr w:rsidR="00823317" w14:paraId="7A9F275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1B52E7"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483300" w14:textId="77777777" w:rsidR="00A77B3E" w:rsidRDefault="00B16CCF">
            <w:pPr>
              <w:spacing w:before="5pt"/>
              <w:rPr>
                <w:color w:val="000000"/>
                <w:sz w:val="20"/>
              </w:rPr>
            </w:pPr>
            <w:r>
              <w:rPr>
                <w:color w:val="000000"/>
                <w:sz w:val="20"/>
              </w:rPr>
              <w:t>ESO4.4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D93AA0"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AAEBBC"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226AD5"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69378F" w14:textId="77777777" w:rsidR="00A77B3E" w:rsidRDefault="00B16CCF">
            <w:pPr>
              <w:spacing w:before="5pt"/>
              <w:rPr>
                <w:color w:val="000000"/>
                <w:sz w:val="20"/>
              </w:rPr>
            </w:pPr>
            <w:r>
              <w:rPr>
                <w:color w:val="000000"/>
                <w:sz w:val="20"/>
              </w:rPr>
              <w:t>Število projektov na področju varnosti in zdravja pri delu (v sodelovanju s socialnimi partnerji)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853C0C" w14:textId="77777777" w:rsidR="00A77B3E" w:rsidRDefault="00B16CCF">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5D5CB1" w14:textId="77777777" w:rsidR="00A77B3E" w:rsidRDefault="00B16CCF">
            <w:pPr>
              <w:spacing w:before="5pt"/>
              <w:jc w:val="end"/>
              <w:rPr>
                <w:color w:val="000000"/>
                <w:sz w:val="20"/>
              </w:rPr>
            </w:pPr>
            <w:r>
              <w:rPr>
                <w:color w:val="000000"/>
                <w:sz w:val="20"/>
              </w:rPr>
              <w:t>1,00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B9E551" w14:textId="77777777" w:rsidR="00A77B3E" w:rsidRDefault="00B16CCF">
            <w:pPr>
              <w:spacing w:before="5pt"/>
              <w:jc w:val="end"/>
              <w:rPr>
                <w:color w:val="000000"/>
                <w:sz w:val="20"/>
              </w:rPr>
            </w:pPr>
            <w:r>
              <w:rPr>
                <w:color w:val="000000"/>
                <w:sz w:val="20"/>
              </w:rPr>
              <w:t>1,00</w:t>
            </w:r>
          </w:p>
        </w:tc>
      </w:tr>
      <w:tr w:rsidR="00823317" w14:paraId="07D12D5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B64446"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660679" w14:textId="77777777" w:rsidR="00A77B3E" w:rsidRDefault="00B16CCF">
            <w:pPr>
              <w:spacing w:before="5pt"/>
              <w:rPr>
                <w:color w:val="000000"/>
                <w:sz w:val="20"/>
              </w:rPr>
            </w:pPr>
            <w:r>
              <w:rPr>
                <w:color w:val="000000"/>
                <w:sz w:val="20"/>
              </w:rPr>
              <w:t>ESO4.4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133004"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25DE0D"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C44EFA" w14:textId="77777777" w:rsidR="00A77B3E" w:rsidRDefault="00B16CCF">
            <w:pPr>
              <w:spacing w:before="5pt"/>
              <w:rPr>
                <w:color w:val="000000"/>
                <w:sz w:val="20"/>
              </w:rPr>
            </w:pPr>
            <w:r>
              <w:rPr>
                <w:color w:val="000000"/>
                <w:sz w:val="20"/>
              </w:rPr>
              <w:t>EECO05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166D6B" w14:textId="77777777" w:rsidR="00A77B3E" w:rsidRDefault="00B16CCF">
            <w:pPr>
              <w:spacing w:before="5pt"/>
              <w:rPr>
                <w:color w:val="000000"/>
                <w:sz w:val="20"/>
              </w:rPr>
            </w:pPr>
            <w:r>
              <w:rPr>
                <w:color w:val="000000"/>
                <w:sz w:val="20"/>
              </w:rPr>
              <w:t>Zaposleni, vključno s samozaposlenimi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7055E0" w14:textId="77777777" w:rsidR="00A77B3E" w:rsidRDefault="00B16CCF">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9B3398" w14:textId="77777777" w:rsidR="00A77B3E" w:rsidRDefault="00B16CCF">
            <w:pPr>
              <w:spacing w:before="5pt"/>
              <w:jc w:val="end"/>
              <w:rPr>
                <w:color w:val="000000"/>
                <w:sz w:val="20"/>
              </w:rPr>
            </w:pPr>
            <w:r>
              <w:rPr>
                <w:color w:val="000000"/>
                <w:sz w:val="20"/>
              </w:rPr>
              <w:t>2.173,00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173822" w14:textId="77777777" w:rsidR="00A77B3E" w:rsidRDefault="00B16CCF">
            <w:pPr>
              <w:spacing w:before="5pt"/>
              <w:jc w:val="end"/>
              <w:rPr>
                <w:color w:val="000000"/>
                <w:sz w:val="20"/>
              </w:rPr>
            </w:pPr>
            <w:r>
              <w:rPr>
                <w:color w:val="000000"/>
                <w:sz w:val="20"/>
              </w:rPr>
              <w:t>10.895,00</w:t>
            </w:r>
          </w:p>
        </w:tc>
      </w:tr>
      <w:tr w:rsidR="00823317" w14:paraId="1E4163A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C55D42"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97BA70" w14:textId="77777777" w:rsidR="00A77B3E" w:rsidRDefault="00B16CCF">
            <w:pPr>
              <w:spacing w:before="5pt"/>
              <w:rPr>
                <w:color w:val="000000"/>
                <w:sz w:val="20"/>
              </w:rPr>
            </w:pPr>
            <w:r>
              <w:rPr>
                <w:color w:val="000000"/>
                <w:sz w:val="20"/>
              </w:rPr>
              <w:t>ESO4.4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D8587D"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C7B2B7"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1FE155"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146553" w14:textId="77777777" w:rsidR="00A77B3E" w:rsidRDefault="00B16CCF">
            <w:pPr>
              <w:spacing w:before="5pt"/>
              <w:rPr>
                <w:color w:val="000000"/>
                <w:sz w:val="20"/>
              </w:rPr>
            </w:pPr>
            <w:r>
              <w:rPr>
                <w:color w:val="000000"/>
                <w:sz w:val="20"/>
              </w:rPr>
              <w:t>Število projektov na področju varnosti in zdravja pri delu (v sodelovanju s socialnimi partnerji)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800D21" w14:textId="77777777" w:rsidR="00A77B3E" w:rsidRDefault="00B16CCF">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8454A7" w14:textId="77777777" w:rsidR="00A77B3E" w:rsidRDefault="00B16CCF">
            <w:pPr>
              <w:spacing w:before="5pt"/>
              <w:jc w:val="end"/>
              <w:rPr>
                <w:color w:val="000000"/>
                <w:sz w:val="20"/>
              </w:rPr>
            </w:pPr>
            <w:r>
              <w:rPr>
                <w:color w:val="000000"/>
                <w:sz w:val="20"/>
              </w:rPr>
              <w:t>1,00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B03DD8" w14:textId="77777777" w:rsidR="00A77B3E" w:rsidRDefault="00B16CCF">
            <w:pPr>
              <w:spacing w:before="5pt"/>
              <w:jc w:val="end"/>
              <w:rPr>
                <w:color w:val="000000"/>
                <w:sz w:val="20"/>
              </w:rPr>
            </w:pPr>
            <w:r>
              <w:rPr>
                <w:color w:val="000000"/>
                <w:sz w:val="20"/>
              </w:rPr>
              <w:t>2,00</w:t>
            </w:r>
          </w:p>
        </w:tc>
      </w:tr>
    </w:tbl>
    <w:p w14:paraId="4D98015D" w14:textId="77777777" w:rsidR="00A77B3E" w:rsidRDefault="00A77B3E">
      <w:pPr>
        <w:spacing w:before="5pt"/>
        <w:rPr>
          <w:color w:val="000000"/>
          <w:sz w:val="20"/>
        </w:rPr>
      </w:pPr>
    </w:p>
    <w:p w14:paraId="5B791983" w14:textId="77777777" w:rsidR="00A77B3E" w:rsidRDefault="00B16CCF">
      <w:pPr>
        <w:spacing w:before="5pt"/>
        <w:rPr>
          <w:color w:val="000000"/>
          <w:sz w:val="0"/>
        </w:rPr>
      </w:pPr>
      <w:r>
        <w:rPr>
          <w:color w:val="000000"/>
        </w:rPr>
        <w:t>Sklic: člen 22(3)(d)(ii) uredbe o skupnih določbah</w:t>
      </w:r>
    </w:p>
    <w:p w14:paraId="4FD4906E" w14:textId="77777777" w:rsidR="00A77B3E" w:rsidRDefault="00B16CCF">
      <w:pPr>
        <w:pStyle w:val="Naslov5"/>
        <w:spacing w:before="5pt" w:after="0pt"/>
        <w:rPr>
          <w:b w:val="0"/>
          <w:i w:val="0"/>
          <w:color w:val="000000"/>
          <w:sz w:val="24"/>
        </w:rPr>
      </w:pPr>
      <w:bookmarkStart w:id="465" w:name="_Toc256001226"/>
      <w:r>
        <w:rPr>
          <w:b w:val="0"/>
          <w:i w:val="0"/>
          <w:color w:val="000000"/>
          <w:sz w:val="24"/>
        </w:rPr>
        <w:t>Tabela 3: Kazalniki rezultatov</w:t>
      </w:r>
      <w:bookmarkEnd w:id="465"/>
    </w:p>
    <w:p w14:paraId="28B59DA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45"/>
        <w:gridCol w:w="1240"/>
        <w:gridCol w:w="770"/>
        <w:gridCol w:w="1286"/>
        <w:gridCol w:w="1492"/>
        <w:gridCol w:w="1625"/>
        <w:gridCol w:w="959"/>
        <w:gridCol w:w="1315"/>
        <w:gridCol w:w="1388"/>
        <w:gridCol w:w="1226"/>
        <w:gridCol w:w="1448"/>
        <w:gridCol w:w="1078"/>
      </w:tblGrid>
      <w:tr w:rsidR="00823317" w14:paraId="03CEF58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6D293D"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D3FDC0"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BA7A80"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FA72D6"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1482FC"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F1F881"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D7497B"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2A9447" w14:textId="77777777" w:rsidR="00A77B3E" w:rsidRDefault="00B16CCF">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874228" w14:textId="77777777" w:rsidR="00A77B3E" w:rsidRDefault="00B16CCF">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01D49E" w14:textId="77777777" w:rsidR="00A77B3E" w:rsidRDefault="00B16CCF">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46944E" w14:textId="77777777" w:rsidR="00A77B3E" w:rsidRDefault="00B16CCF">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9B4452F" w14:textId="77777777" w:rsidR="00A77B3E" w:rsidRDefault="00B16CCF">
            <w:pPr>
              <w:spacing w:before="5pt"/>
              <w:jc w:val="center"/>
              <w:rPr>
                <w:color w:val="000000"/>
                <w:sz w:val="20"/>
              </w:rPr>
            </w:pPr>
            <w:r>
              <w:rPr>
                <w:color w:val="000000"/>
                <w:sz w:val="20"/>
              </w:rPr>
              <w:t>Opombe</w:t>
            </w:r>
          </w:p>
        </w:tc>
      </w:tr>
      <w:tr w:rsidR="00823317" w14:paraId="6C00658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AE8454"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175227" w14:textId="77777777" w:rsidR="00A77B3E" w:rsidRDefault="00B16CCF">
            <w:pPr>
              <w:spacing w:before="5pt"/>
              <w:rPr>
                <w:color w:val="000000"/>
                <w:sz w:val="20"/>
              </w:rPr>
            </w:pPr>
            <w:r>
              <w:rPr>
                <w:color w:val="000000"/>
                <w:sz w:val="20"/>
              </w:rPr>
              <w:t>ESO4.4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B74828"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5803E6"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9A3F1D"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73E3A1" w14:textId="77777777" w:rsidR="00A77B3E" w:rsidRDefault="00B16CCF">
            <w:pPr>
              <w:spacing w:before="5pt"/>
              <w:rPr>
                <w:color w:val="000000"/>
                <w:sz w:val="20"/>
              </w:rPr>
            </w:pPr>
            <w:r>
              <w:rPr>
                <w:color w:val="000000"/>
                <w:sz w:val="20"/>
              </w:rPr>
              <w:t>Udeleženci, ki po zaključku pridobijo potrdilo o zaključenem usposabljanju</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F0426A" w14:textId="77777777" w:rsidR="00A77B3E" w:rsidRDefault="00B16CCF">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30AA29" w14:textId="77777777" w:rsidR="00A77B3E" w:rsidRDefault="00B16CCF">
            <w:pPr>
              <w:spacing w:before="5pt"/>
              <w:jc w:val="end"/>
              <w:rPr>
                <w:color w:val="000000"/>
                <w:sz w:val="20"/>
              </w:rPr>
            </w:pPr>
            <w:r>
              <w:rPr>
                <w:color w:val="000000"/>
                <w:sz w:val="20"/>
              </w:rPr>
              <w:t>6.937,00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FCCF0B" w14:textId="77777777" w:rsidR="00A77B3E" w:rsidRDefault="00B16CCF">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9FC544" w14:textId="77777777" w:rsidR="00A77B3E" w:rsidRDefault="00B16CCF">
            <w:pPr>
              <w:spacing w:before="5pt"/>
              <w:jc w:val="end"/>
              <w:rPr>
                <w:color w:val="000000"/>
                <w:sz w:val="20"/>
              </w:rPr>
            </w:pPr>
            <w:r>
              <w:rPr>
                <w:color w:val="000000"/>
                <w:sz w:val="20"/>
              </w:rPr>
              <w:t>8.058,00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5FADAD" w14:textId="77777777" w:rsidR="00A77B3E" w:rsidRDefault="00B16CCF">
            <w:pPr>
              <w:spacing w:before="5pt"/>
              <w:rPr>
                <w:color w:val="000000"/>
                <w:sz w:val="20"/>
              </w:rPr>
            </w:pPr>
            <w:r>
              <w:rPr>
                <w:color w:val="000000"/>
                <w:sz w:val="20"/>
              </w:rPr>
              <w:t>upravičenec in eMA2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9695DF" w14:textId="77777777" w:rsidR="00A77B3E" w:rsidRDefault="00A77B3E">
            <w:pPr>
              <w:spacing w:before="5pt"/>
              <w:rPr>
                <w:color w:val="000000"/>
                <w:sz w:val="20"/>
              </w:rPr>
            </w:pPr>
          </w:p>
        </w:tc>
      </w:tr>
      <w:tr w:rsidR="00823317" w14:paraId="2CBB072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44AE62"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E2CF9F" w14:textId="77777777" w:rsidR="00A77B3E" w:rsidRDefault="00B16CCF">
            <w:pPr>
              <w:spacing w:before="5pt"/>
              <w:rPr>
                <w:color w:val="000000"/>
                <w:sz w:val="20"/>
              </w:rPr>
            </w:pPr>
            <w:r>
              <w:rPr>
                <w:color w:val="000000"/>
                <w:sz w:val="20"/>
              </w:rPr>
              <w:t>ESO4.4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4407C9"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EBA221"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B7AC59"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5B9C70" w14:textId="77777777" w:rsidR="00A77B3E" w:rsidRDefault="00B16CCF">
            <w:pPr>
              <w:spacing w:before="5pt"/>
              <w:rPr>
                <w:color w:val="000000"/>
                <w:sz w:val="20"/>
              </w:rPr>
            </w:pPr>
            <w:r>
              <w:rPr>
                <w:color w:val="000000"/>
                <w:sz w:val="20"/>
              </w:rPr>
              <w:t>Udeleženci, ki po zaključku pridobijo potrdilo o zaključenem usposabljanju</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8D40D1" w14:textId="77777777" w:rsidR="00A77B3E" w:rsidRDefault="00B16CCF">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FC5A62" w14:textId="77777777" w:rsidR="00A77B3E" w:rsidRDefault="00B16CCF">
            <w:pPr>
              <w:spacing w:before="5pt"/>
              <w:jc w:val="end"/>
              <w:rPr>
                <w:color w:val="000000"/>
                <w:sz w:val="20"/>
              </w:rPr>
            </w:pPr>
            <w:r>
              <w:rPr>
                <w:color w:val="000000"/>
                <w:sz w:val="20"/>
              </w:rPr>
              <w:t>10.011,00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242DE2" w14:textId="77777777" w:rsidR="00A77B3E" w:rsidRDefault="00B16CCF">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00E721" w14:textId="77777777" w:rsidR="00A77B3E" w:rsidRDefault="00B16CCF">
            <w:pPr>
              <w:spacing w:before="5pt"/>
              <w:jc w:val="end"/>
              <w:rPr>
                <w:color w:val="000000"/>
                <w:sz w:val="20"/>
              </w:rPr>
            </w:pPr>
            <w:r>
              <w:rPr>
                <w:color w:val="000000"/>
                <w:sz w:val="20"/>
              </w:rPr>
              <w:t>15.642,00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AFC763" w14:textId="77777777" w:rsidR="00A77B3E" w:rsidRDefault="00B16CCF">
            <w:pPr>
              <w:spacing w:before="5pt"/>
              <w:rPr>
                <w:color w:val="000000"/>
                <w:sz w:val="20"/>
              </w:rPr>
            </w:pPr>
            <w:r>
              <w:rPr>
                <w:color w:val="000000"/>
                <w:sz w:val="20"/>
              </w:rPr>
              <w:t>upravičenec in eMA2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80F81B" w14:textId="77777777" w:rsidR="00A77B3E" w:rsidRDefault="00A77B3E">
            <w:pPr>
              <w:spacing w:before="5pt"/>
              <w:rPr>
                <w:color w:val="000000"/>
                <w:sz w:val="20"/>
              </w:rPr>
            </w:pPr>
          </w:p>
        </w:tc>
      </w:tr>
      <w:tr w:rsidR="00823317" w14:paraId="17B6AFB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0EAA8E" w14:textId="77777777" w:rsidR="00A77B3E" w:rsidRDefault="00B16CCF">
            <w:pPr>
              <w:spacing w:before="5pt"/>
              <w:rPr>
                <w:color w:val="000000"/>
                <w:sz w:val="20"/>
              </w:rPr>
            </w:pPr>
            <w:r>
              <w:rPr>
                <w:color w:val="000000"/>
                <w:sz w:val="20"/>
              </w:rPr>
              <w:lastRenderedPageBreak/>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B1CA53" w14:textId="77777777" w:rsidR="00A77B3E" w:rsidRDefault="00B16CCF">
            <w:pPr>
              <w:spacing w:before="5pt"/>
              <w:rPr>
                <w:color w:val="000000"/>
                <w:sz w:val="20"/>
              </w:rPr>
            </w:pPr>
            <w:r>
              <w:rPr>
                <w:color w:val="000000"/>
                <w:sz w:val="20"/>
              </w:rPr>
              <w:t>ESO4.4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ABA998"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960515"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4DE0CE" w14:textId="77777777" w:rsidR="00A77B3E" w:rsidRDefault="00B16CCF">
            <w:pPr>
              <w:spacing w:before="5pt"/>
              <w:rPr>
                <w:color w:val="000000"/>
                <w:sz w:val="20"/>
              </w:rPr>
            </w:pPr>
            <w:r>
              <w:rPr>
                <w:color w:val="000000"/>
                <w:sz w:val="20"/>
              </w:rPr>
              <w:t>028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B60113" w14:textId="77777777" w:rsidR="00A77B3E" w:rsidRDefault="00B16CCF">
            <w:pPr>
              <w:spacing w:before="5pt"/>
              <w:rPr>
                <w:color w:val="000000"/>
                <w:sz w:val="20"/>
              </w:rPr>
            </w:pPr>
            <w:r>
              <w:rPr>
                <w:color w:val="000000"/>
                <w:sz w:val="20"/>
              </w:rPr>
              <w:t>Število podjetij, vključenih v izvedbo ukrepov za dvig kulture varnosti in zdravja pri delu</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53FF41" w14:textId="77777777" w:rsidR="00A77B3E" w:rsidRDefault="00B16CCF">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745A26"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B32F1B" w14:textId="77777777" w:rsidR="00A77B3E" w:rsidRDefault="00B16CCF">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230DB3" w14:textId="77777777" w:rsidR="00A77B3E" w:rsidRDefault="00B16CCF">
            <w:pPr>
              <w:spacing w:before="5pt"/>
              <w:jc w:val="end"/>
              <w:rPr>
                <w:color w:val="000000"/>
                <w:sz w:val="20"/>
              </w:rPr>
            </w:pPr>
            <w:r>
              <w:rPr>
                <w:color w:val="000000"/>
                <w:sz w:val="20"/>
              </w:rPr>
              <w:t>300,00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D185A3" w14:textId="77777777" w:rsidR="00A77B3E" w:rsidRDefault="00B16CCF">
            <w:pPr>
              <w:spacing w:before="5pt"/>
              <w:rPr>
                <w:color w:val="000000"/>
                <w:sz w:val="20"/>
              </w:rPr>
            </w:pPr>
            <w:r>
              <w:rPr>
                <w:color w:val="000000"/>
                <w:sz w:val="20"/>
              </w:rPr>
              <w:t>eMA2 in upravičenec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009090" w14:textId="77777777" w:rsidR="00A77B3E" w:rsidRDefault="00A77B3E">
            <w:pPr>
              <w:spacing w:before="5pt"/>
              <w:rPr>
                <w:color w:val="000000"/>
                <w:sz w:val="20"/>
              </w:rPr>
            </w:pPr>
          </w:p>
        </w:tc>
      </w:tr>
    </w:tbl>
    <w:p w14:paraId="567EE8CC" w14:textId="77777777" w:rsidR="00A77B3E" w:rsidRDefault="00A77B3E">
      <w:pPr>
        <w:spacing w:before="5pt"/>
        <w:rPr>
          <w:color w:val="000000"/>
          <w:sz w:val="20"/>
        </w:rPr>
      </w:pPr>
    </w:p>
    <w:p w14:paraId="5DB5CF98" w14:textId="77777777" w:rsidR="00A77B3E" w:rsidRDefault="00B16CCF">
      <w:pPr>
        <w:pStyle w:val="Naslov4"/>
        <w:spacing w:before="5pt" w:after="0pt"/>
        <w:rPr>
          <w:b w:val="0"/>
          <w:color w:val="000000"/>
          <w:sz w:val="24"/>
        </w:rPr>
      </w:pPr>
      <w:bookmarkStart w:id="466" w:name="_Toc256001227"/>
      <w:r>
        <w:rPr>
          <w:b w:val="0"/>
          <w:color w:val="000000"/>
          <w:sz w:val="24"/>
        </w:rPr>
        <w:t>2.1.1.1.3. Okvirna razčlenitev načrtovanih sredstev (EU) glede na vrsto ukrepa</w:t>
      </w:r>
      <w:bookmarkEnd w:id="466"/>
    </w:p>
    <w:p w14:paraId="22E9F33B" w14:textId="77777777" w:rsidR="00A77B3E" w:rsidRDefault="00A77B3E">
      <w:pPr>
        <w:spacing w:before="5pt"/>
        <w:rPr>
          <w:color w:val="000000"/>
          <w:sz w:val="0"/>
        </w:rPr>
      </w:pPr>
    </w:p>
    <w:p w14:paraId="0424DF53" w14:textId="77777777" w:rsidR="00A77B3E" w:rsidRDefault="00B16CCF">
      <w:pPr>
        <w:spacing w:before="5pt"/>
        <w:rPr>
          <w:color w:val="000000"/>
          <w:sz w:val="0"/>
        </w:rPr>
      </w:pPr>
      <w:r>
        <w:rPr>
          <w:color w:val="000000"/>
        </w:rPr>
        <w:t>Sklic: člen 22(3)(d)(viii) uredbe o skupnih določbah</w:t>
      </w:r>
    </w:p>
    <w:p w14:paraId="1598322C" w14:textId="77777777" w:rsidR="00A77B3E" w:rsidRDefault="00B16CCF">
      <w:pPr>
        <w:pStyle w:val="Naslov5"/>
        <w:spacing w:before="5pt" w:after="0pt"/>
        <w:rPr>
          <w:b w:val="0"/>
          <w:i w:val="0"/>
          <w:color w:val="000000"/>
          <w:sz w:val="24"/>
        </w:rPr>
      </w:pPr>
      <w:bookmarkStart w:id="467" w:name="_Toc256001228"/>
      <w:r>
        <w:rPr>
          <w:b w:val="0"/>
          <w:i w:val="0"/>
          <w:color w:val="000000"/>
          <w:sz w:val="24"/>
        </w:rPr>
        <w:t>Tabela 4: Razsežnost 1 – področje ukrepanja</w:t>
      </w:r>
      <w:bookmarkEnd w:id="467"/>
    </w:p>
    <w:p w14:paraId="0AC96C3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11"/>
        <w:gridCol w:w="2318"/>
        <w:gridCol w:w="1683"/>
        <w:gridCol w:w="2403"/>
        <w:gridCol w:w="3095"/>
        <w:gridCol w:w="3162"/>
      </w:tblGrid>
      <w:tr w:rsidR="00823317" w14:paraId="08BC237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4A7172"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EEF03F8"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2782E1E"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8DF377"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C1E968"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241811" w14:textId="77777777" w:rsidR="00A77B3E" w:rsidRDefault="00B16CCF">
            <w:pPr>
              <w:spacing w:before="5pt"/>
              <w:jc w:val="center"/>
              <w:rPr>
                <w:color w:val="000000"/>
                <w:sz w:val="20"/>
              </w:rPr>
            </w:pPr>
            <w:r>
              <w:rPr>
                <w:color w:val="000000"/>
                <w:sz w:val="20"/>
              </w:rPr>
              <w:t>Znesek (v EUR)</w:t>
            </w:r>
          </w:p>
        </w:tc>
      </w:tr>
      <w:tr w:rsidR="00823317" w14:paraId="2F667F5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AA27AF"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C14408" w14:textId="77777777" w:rsidR="00A77B3E" w:rsidRDefault="00B16CCF">
            <w:pPr>
              <w:spacing w:before="5pt"/>
              <w:rPr>
                <w:color w:val="000000"/>
                <w:sz w:val="20"/>
              </w:rPr>
            </w:pPr>
            <w:r>
              <w:rPr>
                <w:color w:val="000000"/>
                <w:sz w:val="20"/>
              </w:rPr>
              <w:t>ESO4.4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5BD07B"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59D5F9"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72A2C0" w14:textId="77777777" w:rsidR="00A77B3E" w:rsidRDefault="00B16CCF">
            <w:pPr>
              <w:spacing w:before="5pt"/>
              <w:rPr>
                <w:color w:val="000000"/>
                <w:sz w:val="20"/>
              </w:rPr>
            </w:pPr>
            <w:r>
              <w:rPr>
                <w:color w:val="000000"/>
                <w:sz w:val="20"/>
              </w:rPr>
              <w:t>144. Ukrepi za zdravo in dobro prilagojeno delovno okolje za obravnavanje zdravstvenih tveganj, vključno s spodbujanjem telesne dejavnosti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DA6BCE" w14:textId="77777777" w:rsidR="00A77B3E" w:rsidRDefault="00B16CCF">
            <w:pPr>
              <w:spacing w:before="5pt"/>
              <w:jc w:val="end"/>
              <w:rPr>
                <w:color w:val="000000"/>
                <w:sz w:val="20"/>
              </w:rPr>
            </w:pPr>
            <w:r>
              <w:rPr>
                <w:color w:val="000000"/>
                <w:sz w:val="20"/>
              </w:rPr>
              <w:t>250.000,00</w:t>
            </w:r>
          </w:p>
        </w:tc>
      </w:tr>
      <w:tr w:rsidR="00823317" w14:paraId="26C2799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2F638E"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0AEE3D" w14:textId="77777777" w:rsidR="00A77B3E" w:rsidRDefault="00B16CCF">
            <w:pPr>
              <w:spacing w:before="5pt"/>
              <w:rPr>
                <w:color w:val="000000"/>
                <w:sz w:val="20"/>
              </w:rPr>
            </w:pPr>
            <w:r>
              <w:rPr>
                <w:color w:val="000000"/>
                <w:sz w:val="20"/>
              </w:rPr>
              <w:t>ESO4.4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628814"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0B5303"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7C7B93" w14:textId="77777777" w:rsidR="00A77B3E" w:rsidRDefault="00B16CCF">
            <w:pPr>
              <w:spacing w:before="5pt"/>
              <w:rPr>
                <w:color w:val="000000"/>
                <w:sz w:val="20"/>
              </w:rPr>
            </w:pPr>
            <w:r>
              <w:rPr>
                <w:color w:val="000000"/>
                <w:sz w:val="20"/>
              </w:rPr>
              <w:t>146. Podpora za prilagajanje delavcev, podjetij in podjetnikov na spremembe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9D75F2" w14:textId="77777777" w:rsidR="00A77B3E" w:rsidRDefault="00B16CCF">
            <w:pPr>
              <w:spacing w:before="5pt"/>
              <w:jc w:val="end"/>
              <w:rPr>
                <w:color w:val="000000"/>
                <w:sz w:val="20"/>
              </w:rPr>
            </w:pPr>
            <w:r>
              <w:rPr>
                <w:color w:val="000000"/>
                <w:sz w:val="20"/>
              </w:rPr>
              <w:t>2.000.000,00</w:t>
            </w:r>
          </w:p>
        </w:tc>
      </w:tr>
      <w:tr w:rsidR="00823317" w14:paraId="3076B4D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BF63EF"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6985A5" w14:textId="77777777" w:rsidR="00A77B3E" w:rsidRDefault="00B16CCF">
            <w:pPr>
              <w:spacing w:before="5pt"/>
              <w:rPr>
                <w:color w:val="000000"/>
                <w:sz w:val="20"/>
              </w:rPr>
            </w:pPr>
            <w:r>
              <w:rPr>
                <w:color w:val="000000"/>
                <w:sz w:val="20"/>
              </w:rPr>
              <w:t>ESO4.4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38B8CD"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164A40"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2B1F17" w14:textId="77777777" w:rsidR="00A77B3E" w:rsidRDefault="00B16CCF">
            <w:pPr>
              <w:spacing w:before="5pt"/>
              <w:rPr>
                <w:color w:val="000000"/>
                <w:sz w:val="20"/>
              </w:rPr>
            </w:pPr>
            <w:r>
              <w:rPr>
                <w:color w:val="000000"/>
                <w:sz w:val="20"/>
              </w:rPr>
              <w:t>147. Ukrepi za spodbujanje aktivnega in zdravega staranja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5484C7" w14:textId="77777777" w:rsidR="00A77B3E" w:rsidRDefault="00B16CCF">
            <w:pPr>
              <w:spacing w:before="5pt"/>
              <w:jc w:val="end"/>
              <w:rPr>
                <w:color w:val="000000"/>
                <w:sz w:val="20"/>
              </w:rPr>
            </w:pPr>
            <w:r>
              <w:rPr>
                <w:color w:val="000000"/>
                <w:sz w:val="20"/>
              </w:rPr>
              <w:t>3.300.000,00</w:t>
            </w:r>
          </w:p>
        </w:tc>
      </w:tr>
      <w:tr w:rsidR="00823317" w14:paraId="5EFC3CF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036654"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798B64" w14:textId="77777777" w:rsidR="00A77B3E" w:rsidRDefault="00B16CCF">
            <w:pPr>
              <w:spacing w:before="5pt"/>
              <w:rPr>
                <w:color w:val="000000"/>
                <w:sz w:val="20"/>
              </w:rPr>
            </w:pPr>
            <w:r>
              <w:rPr>
                <w:color w:val="000000"/>
                <w:sz w:val="20"/>
              </w:rPr>
              <w:t>ESO4.4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E5643B"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42EA4C"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234EA8" w14:textId="77777777" w:rsidR="00A77B3E" w:rsidRDefault="00B16CCF">
            <w:pPr>
              <w:spacing w:before="5pt"/>
              <w:rPr>
                <w:color w:val="000000"/>
                <w:sz w:val="20"/>
              </w:rPr>
            </w:pPr>
            <w:r>
              <w:rPr>
                <w:color w:val="000000"/>
                <w:sz w:val="20"/>
              </w:rPr>
              <w:t>144. Ukrepi za zdravo in dobro prilagojeno delovno okolje za obravnavanje zdravstvenih tveganj, vključno s spodbujanjem telesne dejavnosti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8D7632" w14:textId="77777777" w:rsidR="00A77B3E" w:rsidRDefault="00B16CCF">
            <w:pPr>
              <w:spacing w:before="5pt"/>
              <w:jc w:val="end"/>
              <w:rPr>
                <w:color w:val="000000"/>
                <w:sz w:val="20"/>
              </w:rPr>
            </w:pPr>
            <w:r>
              <w:rPr>
                <w:color w:val="000000"/>
                <w:sz w:val="20"/>
              </w:rPr>
              <w:t>1.950.000,00</w:t>
            </w:r>
          </w:p>
        </w:tc>
      </w:tr>
      <w:tr w:rsidR="00823317" w14:paraId="590F766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BBEA03"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0D287D" w14:textId="77777777" w:rsidR="00A77B3E" w:rsidRDefault="00B16CCF">
            <w:pPr>
              <w:spacing w:before="5pt"/>
              <w:rPr>
                <w:color w:val="000000"/>
                <w:sz w:val="20"/>
              </w:rPr>
            </w:pPr>
            <w:r>
              <w:rPr>
                <w:color w:val="000000"/>
                <w:sz w:val="20"/>
              </w:rPr>
              <w:t>ESO4.4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D73479"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0509E7"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59DE2D" w14:textId="77777777" w:rsidR="00A77B3E" w:rsidRDefault="00B16CCF">
            <w:pPr>
              <w:spacing w:before="5pt"/>
              <w:rPr>
                <w:color w:val="000000"/>
                <w:sz w:val="20"/>
              </w:rPr>
            </w:pPr>
            <w:r>
              <w:rPr>
                <w:color w:val="000000"/>
                <w:sz w:val="20"/>
              </w:rPr>
              <w:t>146. Podpora za prilagajanje delavcev, podjetij in podjetnikov na spremembe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AD3678" w14:textId="77777777" w:rsidR="00A77B3E" w:rsidRDefault="00B16CCF">
            <w:pPr>
              <w:spacing w:before="5pt"/>
              <w:jc w:val="end"/>
              <w:rPr>
                <w:color w:val="000000"/>
                <w:sz w:val="20"/>
              </w:rPr>
            </w:pPr>
            <w:r>
              <w:rPr>
                <w:color w:val="000000"/>
                <w:sz w:val="20"/>
              </w:rPr>
              <w:t>12.750.000,00</w:t>
            </w:r>
          </w:p>
        </w:tc>
      </w:tr>
      <w:tr w:rsidR="00823317" w14:paraId="293963B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3F35D3"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00ADA7" w14:textId="77777777" w:rsidR="00A77B3E" w:rsidRDefault="00B16CCF">
            <w:pPr>
              <w:spacing w:before="5pt"/>
              <w:rPr>
                <w:color w:val="000000"/>
                <w:sz w:val="20"/>
              </w:rPr>
            </w:pPr>
            <w:r>
              <w:rPr>
                <w:color w:val="000000"/>
                <w:sz w:val="20"/>
              </w:rPr>
              <w:t>ESO4.4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12BCE2"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E4DC15"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DBCB07" w14:textId="77777777" w:rsidR="00A77B3E" w:rsidRDefault="00B16CCF">
            <w:pPr>
              <w:spacing w:before="5pt"/>
              <w:rPr>
                <w:color w:val="000000"/>
                <w:sz w:val="20"/>
              </w:rPr>
            </w:pPr>
            <w:r>
              <w:rPr>
                <w:color w:val="000000"/>
                <w:sz w:val="20"/>
              </w:rPr>
              <w:t>147. Ukrepi za spodbujanje aktivnega in zdravega staranja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089B45" w14:textId="77777777" w:rsidR="00A77B3E" w:rsidRDefault="00B16CCF">
            <w:pPr>
              <w:spacing w:before="5pt"/>
              <w:jc w:val="end"/>
              <w:rPr>
                <w:color w:val="000000"/>
                <w:sz w:val="20"/>
              </w:rPr>
            </w:pPr>
            <w:r>
              <w:rPr>
                <w:color w:val="000000"/>
                <w:sz w:val="20"/>
              </w:rPr>
              <w:t>30.252.850,00</w:t>
            </w:r>
          </w:p>
        </w:tc>
      </w:tr>
      <w:tr w:rsidR="00823317" w14:paraId="571A485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B3E995"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14BB25" w14:textId="77777777" w:rsidR="00A77B3E" w:rsidRDefault="00B16CCF">
            <w:pPr>
              <w:spacing w:before="5pt"/>
              <w:rPr>
                <w:color w:val="000000"/>
                <w:sz w:val="20"/>
              </w:rPr>
            </w:pPr>
            <w:r>
              <w:rPr>
                <w:color w:val="000000"/>
                <w:sz w:val="20"/>
              </w:rPr>
              <w:t>ESO4.4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5C2EE5"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7FC05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0379F7"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6ACBD3" w14:textId="77777777" w:rsidR="00A77B3E" w:rsidRDefault="00B16CCF">
            <w:pPr>
              <w:spacing w:before="5pt"/>
              <w:jc w:val="end"/>
              <w:rPr>
                <w:color w:val="000000"/>
                <w:sz w:val="20"/>
              </w:rPr>
            </w:pPr>
            <w:r>
              <w:rPr>
                <w:color w:val="000000"/>
                <w:sz w:val="20"/>
              </w:rPr>
              <w:t>50.502.850,00</w:t>
            </w:r>
          </w:p>
        </w:tc>
      </w:tr>
    </w:tbl>
    <w:p w14:paraId="26567159" w14:textId="77777777" w:rsidR="00A77B3E" w:rsidRDefault="00A77B3E">
      <w:pPr>
        <w:spacing w:before="5pt"/>
        <w:rPr>
          <w:color w:val="000000"/>
          <w:sz w:val="20"/>
        </w:rPr>
      </w:pPr>
    </w:p>
    <w:p w14:paraId="5D473634" w14:textId="77777777" w:rsidR="00A77B3E" w:rsidRDefault="00B16CCF">
      <w:pPr>
        <w:pStyle w:val="Naslov5"/>
        <w:spacing w:before="5pt" w:after="0pt"/>
        <w:rPr>
          <w:b w:val="0"/>
          <w:i w:val="0"/>
          <w:color w:val="000000"/>
          <w:sz w:val="24"/>
        </w:rPr>
      </w:pPr>
      <w:bookmarkStart w:id="468" w:name="_Toc256001229"/>
      <w:r>
        <w:rPr>
          <w:b w:val="0"/>
          <w:i w:val="0"/>
          <w:color w:val="000000"/>
          <w:sz w:val="24"/>
        </w:rPr>
        <w:lastRenderedPageBreak/>
        <w:t>Tabela 5: Razsežnost 2 – oblika financiranja</w:t>
      </w:r>
      <w:bookmarkEnd w:id="468"/>
    </w:p>
    <w:p w14:paraId="0FF73EB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16"/>
        <w:gridCol w:w="2322"/>
        <w:gridCol w:w="1686"/>
        <w:gridCol w:w="2407"/>
        <w:gridCol w:w="3073"/>
        <w:gridCol w:w="3168"/>
      </w:tblGrid>
      <w:tr w:rsidR="00823317" w14:paraId="7201E1E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2C9897"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E6AA9B"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42BB64D"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FD9870"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ACDF32D"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F6F42A" w14:textId="77777777" w:rsidR="00A77B3E" w:rsidRDefault="00B16CCF">
            <w:pPr>
              <w:spacing w:before="5pt"/>
              <w:jc w:val="center"/>
              <w:rPr>
                <w:color w:val="000000"/>
                <w:sz w:val="20"/>
              </w:rPr>
            </w:pPr>
            <w:r>
              <w:rPr>
                <w:color w:val="000000"/>
                <w:sz w:val="20"/>
              </w:rPr>
              <w:t>Znesek (v EUR)</w:t>
            </w:r>
          </w:p>
        </w:tc>
      </w:tr>
      <w:tr w:rsidR="00823317" w14:paraId="2454FBA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440AF2"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64D063" w14:textId="77777777" w:rsidR="00A77B3E" w:rsidRDefault="00B16CCF">
            <w:pPr>
              <w:spacing w:before="5pt"/>
              <w:rPr>
                <w:color w:val="000000"/>
                <w:sz w:val="20"/>
              </w:rPr>
            </w:pPr>
            <w:r>
              <w:rPr>
                <w:color w:val="000000"/>
                <w:sz w:val="20"/>
              </w:rPr>
              <w:t>ESO4.4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9B4414"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8F6C22"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344F62" w14:textId="77777777" w:rsidR="00A77B3E" w:rsidRDefault="00B16CCF">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D64655" w14:textId="77777777" w:rsidR="00A77B3E" w:rsidRDefault="00B16CCF">
            <w:pPr>
              <w:spacing w:before="5pt"/>
              <w:jc w:val="end"/>
              <w:rPr>
                <w:color w:val="000000"/>
                <w:sz w:val="20"/>
              </w:rPr>
            </w:pPr>
            <w:r>
              <w:rPr>
                <w:color w:val="000000"/>
                <w:sz w:val="20"/>
              </w:rPr>
              <w:t>5.550.000,00</w:t>
            </w:r>
          </w:p>
        </w:tc>
      </w:tr>
      <w:tr w:rsidR="00823317" w14:paraId="4782709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470829"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110C93" w14:textId="77777777" w:rsidR="00A77B3E" w:rsidRDefault="00B16CCF">
            <w:pPr>
              <w:spacing w:before="5pt"/>
              <w:rPr>
                <w:color w:val="000000"/>
                <w:sz w:val="20"/>
              </w:rPr>
            </w:pPr>
            <w:r>
              <w:rPr>
                <w:color w:val="000000"/>
                <w:sz w:val="20"/>
              </w:rPr>
              <w:t>ESO4.4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1C2AA8"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9D6545"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42D3D2" w14:textId="77777777" w:rsidR="00A77B3E" w:rsidRDefault="00B16CCF">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C4EB44" w14:textId="77777777" w:rsidR="00A77B3E" w:rsidRDefault="00B16CCF">
            <w:pPr>
              <w:spacing w:before="5pt"/>
              <w:jc w:val="end"/>
              <w:rPr>
                <w:color w:val="000000"/>
                <w:sz w:val="20"/>
              </w:rPr>
            </w:pPr>
            <w:r>
              <w:rPr>
                <w:color w:val="000000"/>
                <w:sz w:val="20"/>
              </w:rPr>
              <w:t>36.452.850,00</w:t>
            </w:r>
          </w:p>
        </w:tc>
      </w:tr>
      <w:tr w:rsidR="00823317" w14:paraId="151710F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25FF02"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B4EBBC" w14:textId="77777777" w:rsidR="00A77B3E" w:rsidRDefault="00B16CCF">
            <w:pPr>
              <w:spacing w:before="5pt"/>
              <w:rPr>
                <w:color w:val="000000"/>
                <w:sz w:val="20"/>
              </w:rPr>
            </w:pPr>
            <w:r>
              <w:rPr>
                <w:color w:val="000000"/>
                <w:sz w:val="20"/>
              </w:rPr>
              <w:t>ESO4.4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C45673"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355ABC"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E6B9C8" w14:textId="77777777" w:rsidR="00A77B3E" w:rsidRDefault="00B16CCF">
            <w:pPr>
              <w:spacing w:before="5pt"/>
              <w:rPr>
                <w:color w:val="000000"/>
                <w:sz w:val="20"/>
              </w:rPr>
            </w:pPr>
            <w:r>
              <w:rPr>
                <w:color w:val="000000"/>
                <w:sz w:val="20"/>
              </w:rPr>
              <w:t xml:space="preserve">03. Podpora prek finančnih instrumentov: posojila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72258A" w14:textId="77777777" w:rsidR="00A77B3E" w:rsidRDefault="00B16CCF">
            <w:pPr>
              <w:spacing w:before="5pt"/>
              <w:jc w:val="end"/>
              <w:rPr>
                <w:color w:val="000000"/>
                <w:sz w:val="20"/>
              </w:rPr>
            </w:pPr>
            <w:r>
              <w:rPr>
                <w:color w:val="000000"/>
                <w:sz w:val="20"/>
              </w:rPr>
              <w:t>5.312.500,00</w:t>
            </w:r>
          </w:p>
        </w:tc>
      </w:tr>
      <w:tr w:rsidR="00823317" w14:paraId="57D4586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F210D2"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7C1A43" w14:textId="77777777" w:rsidR="00A77B3E" w:rsidRDefault="00B16CCF">
            <w:pPr>
              <w:spacing w:before="5pt"/>
              <w:rPr>
                <w:color w:val="000000"/>
                <w:sz w:val="20"/>
              </w:rPr>
            </w:pPr>
            <w:r>
              <w:rPr>
                <w:color w:val="000000"/>
                <w:sz w:val="20"/>
              </w:rPr>
              <w:t>ESO4.4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084B3E"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3B4743"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29C8F4" w14:textId="77777777" w:rsidR="00A77B3E" w:rsidRDefault="00B16CCF">
            <w:pPr>
              <w:spacing w:before="5pt"/>
              <w:rPr>
                <w:color w:val="000000"/>
                <w:sz w:val="20"/>
              </w:rPr>
            </w:pPr>
            <w:r>
              <w:rPr>
                <w:color w:val="000000"/>
                <w:sz w:val="20"/>
              </w:rPr>
              <w:t xml:space="preserve">04. Podpora prek finančnih instrumentov: jamstva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0F1CE5" w14:textId="77777777" w:rsidR="00A77B3E" w:rsidRDefault="00B16CCF">
            <w:pPr>
              <w:spacing w:before="5pt"/>
              <w:jc w:val="end"/>
              <w:rPr>
                <w:color w:val="000000"/>
                <w:sz w:val="20"/>
              </w:rPr>
            </w:pPr>
            <w:r>
              <w:rPr>
                <w:color w:val="000000"/>
                <w:sz w:val="20"/>
              </w:rPr>
              <w:t>3.187.500,00</w:t>
            </w:r>
          </w:p>
        </w:tc>
      </w:tr>
      <w:tr w:rsidR="00823317" w14:paraId="2850F1A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4F5D41"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B93C2F" w14:textId="77777777" w:rsidR="00A77B3E" w:rsidRDefault="00B16CCF">
            <w:pPr>
              <w:spacing w:before="5pt"/>
              <w:rPr>
                <w:color w:val="000000"/>
                <w:sz w:val="20"/>
              </w:rPr>
            </w:pPr>
            <w:r>
              <w:rPr>
                <w:color w:val="000000"/>
                <w:sz w:val="20"/>
              </w:rPr>
              <w:t>ESO4.4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46D268"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02B8DF"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7B1BBA"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E38AD0" w14:textId="77777777" w:rsidR="00A77B3E" w:rsidRDefault="00B16CCF">
            <w:pPr>
              <w:spacing w:before="5pt"/>
              <w:jc w:val="end"/>
              <w:rPr>
                <w:color w:val="000000"/>
                <w:sz w:val="20"/>
              </w:rPr>
            </w:pPr>
            <w:r>
              <w:rPr>
                <w:color w:val="000000"/>
                <w:sz w:val="20"/>
              </w:rPr>
              <w:t>50.502.850,00</w:t>
            </w:r>
          </w:p>
        </w:tc>
      </w:tr>
    </w:tbl>
    <w:p w14:paraId="445468D1" w14:textId="77777777" w:rsidR="00A77B3E" w:rsidRDefault="00A77B3E">
      <w:pPr>
        <w:spacing w:before="5pt"/>
        <w:rPr>
          <w:color w:val="000000"/>
          <w:sz w:val="20"/>
        </w:rPr>
      </w:pPr>
    </w:p>
    <w:p w14:paraId="7545F423" w14:textId="77777777" w:rsidR="00A77B3E" w:rsidRDefault="00B16CCF">
      <w:pPr>
        <w:pStyle w:val="Naslov5"/>
        <w:spacing w:before="5pt" w:after="0pt"/>
        <w:rPr>
          <w:b w:val="0"/>
          <w:i w:val="0"/>
          <w:color w:val="000000"/>
          <w:sz w:val="24"/>
        </w:rPr>
      </w:pPr>
      <w:bookmarkStart w:id="469" w:name="_Toc256001230"/>
      <w:r>
        <w:rPr>
          <w:b w:val="0"/>
          <w:i w:val="0"/>
          <w:color w:val="000000"/>
          <w:sz w:val="24"/>
        </w:rPr>
        <w:t>Tabela 6: Razsežnost 3 – mehanizem za ozemeljsko izvrševanje in ozemeljski pristop</w:t>
      </w:r>
      <w:bookmarkEnd w:id="469"/>
    </w:p>
    <w:p w14:paraId="17B3D73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26"/>
        <w:gridCol w:w="2331"/>
        <w:gridCol w:w="1692"/>
        <w:gridCol w:w="2416"/>
        <w:gridCol w:w="3027"/>
        <w:gridCol w:w="3180"/>
      </w:tblGrid>
      <w:tr w:rsidR="00823317" w14:paraId="280C000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54B74A"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088F4F"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6ECC73"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A63045"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968E66"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E1B5E7" w14:textId="77777777" w:rsidR="00A77B3E" w:rsidRDefault="00B16CCF">
            <w:pPr>
              <w:spacing w:before="5pt"/>
              <w:jc w:val="center"/>
              <w:rPr>
                <w:color w:val="000000"/>
                <w:sz w:val="20"/>
              </w:rPr>
            </w:pPr>
            <w:r>
              <w:rPr>
                <w:color w:val="000000"/>
                <w:sz w:val="20"/>
              </w:rPr>
              <w:t>Znesek (v EUR)</w:t>
            </w:r>
          </w:p>
        </w:tc>
      </w:tr>
      <w:tr w:rsidR="00823317" w14:paraId="3F5D702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6A3E0C"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DB4EF7" w14:textId="77777777" w:rsidR="00A77B3E" w:rsidRDefault="00B16CCF">
            <w:pPr>
              <w:spacing w:before="5pt"/>
              <w:rPr>
                <w:color w:val="000000"/>
                <w:sz w:val="20"/>
              </w:rPr>
            </w:pPr>
            <w:r>
              <w:rPr>
                <w:color w:val="000000"/>
                <w:sz w:val="20"/>
              </w:rPr>
              <w:t>ESO4.4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713644"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3BB50F"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9DB893" w14:textId="77777777" w:rsidR="00A77B3E" w:rsidRDefault="00B16CCF">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BE94C1" w14:textId="77777777" w:rsidR="00A77B3E" w:rsidRDefault="00B16CCF">
            <w:pPr>
              <w:spacing w:before="5pt"/>
              <w:jc w:val="end"/>
              <w:rPr>
                <w:color w:val="000000"/>
                <w:sz w:val="20"/>
              </w:rPr>
            </w:pPr>
            <w:r>
              <w:rPr>
                <w:color w:val="000000"/>
                <w:sz w:val="20"/>
              </w:rPr>
              <w:t>5.550.000,00</w:t>
            </w:r>
          </w:p>
        </w:tc>
      </w:tr>
      <w:tr w:rsidR="00823317" w14:paraId="21BF443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A553CC"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8CB711" w14:textId="77777777" w:rsidR="00A77B3E" w:rsidRDefault="00B16CCF">
            <w:pPr>
              <w:spacing w:before="5pt"/>
              <w:rPr>
                <w:color w:val="000000"/>
                <w:sz w:val="20"/>
              </w:rPr>
            </w:pPr>
            <w:r>
              <w:rPr>
                <w:color w:val="000000"/>
                <w:sz w:val="20"/>
              </w:rPr>
              <w:t>ESO4.4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57C7B0"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9493D7"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F85DF9" w14:textId="77777777" w:rsidR="00A77B3E" w:rsidRDefault="00B16CCF">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39DC25" w14:textId="77777777" w:rsidR="00A77B3E" w:rsidRDefault="00B16CCF">
            <w:pPr>
              <w:spacing w:before="5pt"/>
              <w:jc w:val="end"/>
              <w:rPr>
                <w:color w:val="000000"/>
                <w:sz w:val="20"/>
              </w:rPr>
            </w:pPr>
            <w:r>
              <w:rPr>
                <w:color w:val="000000"/>
                <w:sz w:val="20"/>
              </w:rPr>
              <w:t>44.952.850,00</w:t>
            </w:r>
          </w:p>
        </w:tc>
      </w:tr>
      <w:tr w:rsidR="00823317" w14:paraId="500F87C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A9DF55"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E98D6E" w14:textId="77777777" w:rsidR="00A77B3E" w:rsidRDefault="00B16CCF">
            <w:pPr>
              <w:spacing w:before="5pt"/>
              <w:rPr>
                <w:color w:val="000000"/>
                <w:sz w:val="20"/>
              </w:rPr>
            </w:pPr>
            <w:r>
              <w:rPr>
                <w:color w:val="000000"/>
                <w:sz w:val="20"/>
              </w:rPr>
              <w:t>ESO4.4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E38EBA"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E74046"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999AF0"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D9DD66" w14:textId="77777777" w:rsidR="00A77B3E" w:rsidRDefault="00B16CCF">
            <w:pPr>
              <w:spacing w:before="5pt"/>
              <w:jc w:val="end"/>
              <w:rPr>
                <w:color w:val="000000"/>
                <w:sz w:val="20"/>
              </w:rPr>
            </w:pPr>
            <w:r>
              <w:rPr>
                <w:color w:val="000000"/>
                <w:sz w:val="20"/>
              </w:rPr>
              <w:t>50.502.850,00</w:t>
            </w:r>
          </w:p>
        </w:tc>
      </w:tr>
    </w:tbl>
    <w:p w14:paraId="7ED851C0" w14:textId="77777777" w:rsidR="00A77B3E" w:rsidRDefault="00A77B3E">
      <w:pPr>
        <w:spacing w:before="5pt"/>
        <w:rPr>
          <w:color w:val="000000"/>
          <w:sz w:val="20"/>
        </w:rPr>
      </w:pPr>
    </w:p>
    <w:p w14:paraId="4BC53400" w14:textId="77777777" w:rsidR="00A77B3E" w:rsidRDefault="00B16CCF">
      <w:pPr>
        <w:pStyle w:val="Naslov5"/>
        <w:spacing w:before="5pt" w:after="0pt"/>
        <w:rPr>
          <w:b w:val="0"/>
          <w:i w:val="0"/>
          <w:color w:val="000000"/>
          <w:sz w:val="24"/>
        </w:rPr>
      </w:pPr>
      <w:bookmarkStart w:id="470" w:name="_Toc256001231"/>
      <w:r>
        <w:rPr>
          <w:b w:val="0"/>
          <w:i w:val="0"/>
          <w:color w:val="000000"/>
          <w:sz w:val="24"/>
        </w:rPr>
        <w:t>Tabela 7: Razsežnost 6 – sekundarna področja ESS+</w:t>
      </w:r>
      <w:bookmarkEnd w:id="470"/>
    </w:p>
    <w:p w14:paraId="6768CA9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63"/>
        <w:gridCol w:w="2366"/>
        <w:gridCol w:w="1718"/>
        <w:gridCol w:w="2452"/>
        <w:gridCol w:w="2846"/>
        <w:gridCol w:w="3227"/>
      </w:tblGrid>
      <w:tr w:rsidR="00823317" w14:paraId="4FE4F84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305CCB"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64A718"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6B2B44"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67D11A"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CDC6F6"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569026" w14:textId="77777777" w:rsidR="00A77B3E" w:rsidRDefault="00B16CCF">
            <w:pPr>
              <w:spacing w:before="5pt"/>
              <w:jc w:val="center"/>
              <w:rPr>
                <w:color w:val="000000"/>
                <w:sz w:val="20"/>
              </w:rPr>
            </w:pPr>
            <w:r>
              <w:rPr>
                <w:color w:val="000000"/>
                <w:sz w:val="20"/>
              </w:rPr>
              <w:t>Znesek (v EUR)</w:t>
            </w:r>
          </w:p>
        </w:tc>
      </w:tr>
      <w:tr w:rsidR="00823317" w14:paraId="4376E5B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15294A"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DDB488" w14:textId="77777777" w:rsidR="00A77B3E" w:rsidRDefault="00B16CCF">
            <w:pPr>
              <w:spacing w:before="5pt"/>
              <w:rPr>
                <w:color w:val="000000"/>
                <w:sz w:val="20"/>
              </w:rPr>
            </w:pPr>
            <w:r>
              <w:rPr>
                <w:color w:val="000000"/>
                <w:sz w:val="20"/>
              </w:rPr>
              <w:t>ESO4.4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63852B"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F8B291"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E72664" w14:textId="77777777" w:rsidR="00A77B3E" w:rsidRDefault="00B16CCF">
            <w:pPr>
              <w:spacing w:before="5pt"/>
              <w:rPr>
                <w:color w:val="000000"/>
                <w:sz w:val="20"/>
              </w:rPr>
            </w:pPr>
            <w:r>
              <w:rPr>
                <w:color w:val="000000"/>
                <w:sz w:val="20"/>
              </w:rPr>
              <w:t>07. Krepitev zmogljivosti socialnih partnerjev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B88944" w14:textId="77777777" w:rsidR="00A77B3E" w:rsidRDefault="00B16CCF">
            <w:pPr>
              <w:spacing w:before="5pt"/>
              <w:jc w:val="end"/>
              <w:rPr>
                <w:color w:val="000000"/>
                <w:sz w:val="20"/>
              </w:rPr>
            </w:pPr>
            <w:r>
              <w:rPr>
                <w:color w:val="000000"/>
                <w:sz w:val="20"/>
              </w:rPr>
              <w:t>450.000,00</w:t>
            </w:r>
          </w:p>
        </w:tc>
      </w:tr>
      <w:tr w:rsidR="00823317" w14:paraId="5A72AA1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57B2F6"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796F85" w14:textId="77777777" w:rsidR="00A77B3E" w:rsidRDefault="00B16CCF">
            <w:pPr>
              <w:spacing w:before="5pt"/>
              <w:rPr>
                <w:color w:val="000000"/>
                <w:sz w:val="20"/>
              </w:rPr>
            </w:pPr>
            <w:r>
              <w:rPr>
                <w:color w:val="000000"/>
                <w:sz w:val="20"/>
              </w:rPr>
              <w:t>ESO4.4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B80739"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FA019A"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1C605E" w14:textId="77777777" w:rsidR="00A77B3E" w:rsidRDefault="00B16CCF">
            <w:pPr>
              <w:spacing w:before="5pt"/>
              <w:rPr>
                <w:color w:val="000000"/>
                <w:sz w:val="20"/>
              </w:rPr>
            </w:pPr>
            <w:r>
              <w:rPr>
                <w:color w:val="000000"/>
                <w:sz w:val="20"/>
              </w:rPr>
              <w:t>09. Ni relevantno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A9AD84" w14:textId="77777777" w:rsidR="00A77B3E" w:rsidRDefault="00B16CCF">
            <w:pPr>
              <w:spacing w:before="5pt"/>
              <w:jc w:val="end"/>
              <w:rPr>
                <w:color w:val="000000"/>
                <w:sz w:val="20"/>
              </w:rPr>
            </w:pPr>
            <w:r>
              <w:rPr>
                <w:color w:val="000000"/>
                <w:sz w:val="20"/>
              </w:rPr>
              <w:t>5.100.000,00</w:t>
            </w:r>
          </w:p>
        </w:tc>
      </w:tr>
      <w:tr w:rsidR="00823317" w14:paraId="08C74E9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F35DF6"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689603" w14:textId="77777777" w:rsidR="00A77B3E" w:rsidRDefault="00B16CCF">
            <w:pPr>
              <w:spacing w:before="5pt"/>
              <w:rPr>
                <w:color w:val="000000"/>
                <w:sz w:val="20"/>
              </w:rPr>
            </w:pPr>
            <w:r>
              <w:rPr>
                <w:color w:val="000000"/>
                <w:sz w:val="20"/>
              </w:rPr>
              <w:t>ESO4.4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4FBD71"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23756A"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5C236D" w14:textId="77777777" w:rsidR="00A77B3E" w:rsidRDefault="00B16CCF">
            <w:pPr>
              <w:spacing w:before="5pt"/>
              <w:rPr>
                <w:color w:val="000000"/>
                <w:sz w:val="20"/>
              </w:rPr>
            </w:pPr>
            <w:r>
              <w:rPr>
                <w:color w:val="000000"/>
                <w:sz w:val="20"/>
              </w:rPr>
              <w:t>07. Krepitev zmogljivosti socialnih partnerjev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C7BDC1" w14:textId="77777777" w:rsidR="00A77B3E" w:rsidRDefault="00B16CCF">
            <w:pPr>
              <w:spacing w:before="5pt"/>
              <w:jc w:val="end"/>
              <w:rPr>
                <w:color w:val="000000"/>
                <w:sz w:val="20"/>
              </w:rPr>
            </w:pPr>
            <w:r>
              <w:rPr>
                <w:color w:val="000000"/>
                <w:sz w:val="20"/>
              </w:rPr>
              <w:t>1.168.750,00</w:t>
            </w:r>
          </w:p>
        </w:tc>
      </w:tr>
      <w:tr w:rsidR="00823317" w14:paraId="0115C4A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1E902E"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8E1DAF" w14:textId="77777777" w:rsidR="00A77B3E" w:rsidRDefault="00B16CCF">
            <w:pPr>
              <w:spacing w:before="5pt"/>
              <w:rPr>
                <w:color w:val="000000"/>
                <w:sz w:val="20"/>
              </w:rPr>
            </w:pPr>
            <w:r>
              <w:rPr>
                <w:color w:val="000000"/>
                <w:sz w:val="20"/>
              </w:rPr>
              <w:t>ESO4.4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15AEC6"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DEA07F"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BFF551" w14:textId="77777777" w:rsidR="00A77B3E" w:rsidRDefault="00B16CCF">
            <w:pPr>
              <w:spacing w:before="5pt"/>
              <w:rPr>
                <w:color w:val="000000"/>
                <w:sz w:val="20"/>
              </w:rPr>
            </w:pPr>
            <w:r>
              <w:rPr>
                <w:color w:val="000000"/>
                <w:sz w:val="20"/>
              </w:rPr>
              <w:t>09. Ni relevantno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32DB58" w14:textId="77777777" w:rsidR="00A77B3E" w:rsidRDefault="00B16CCF">
            <w:pPr>
              <w:spacing w:before="5pt"/>
              <w:jc w:val="end"/>
              <w:rPr>
                <w:color w:val="000000"/>
                <w:sz w:val="20"/>
              </w:rPr>
            </w:pPr>
            <w:r>
              <w:rPr>
                <w:color w:val="000000"/>
                <w:sz w:val="20"/>
              </w:rPr>
              <w:t>43.784.100,00</w:t>
            </w:r>
          </w:p>
        </w:tc>
      </w:tr>
      <w:tr w:rsidR="00823317" w14:paraId="1496E0C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25A337"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F35471" w14:textId="77777777" w:rsidR="00A77B3E" w:rsidRDefault="00B16CCF">
            <w:pPr>
              <w:spacing w:before="5pt"/>
              <w:rPr>
                <w:color w:val="000000"/>
                <w:sz w:val="20"/>
              </w:rPr>
            </w:pPr>
            <w:r>
              <w:rPr>
                <w:color w:val="000000"/>
                <w:sz w:val="20"/>
              </w:rPr>
              <w:t>ESO4.4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FB41B9"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154BC5"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089E43"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AC0DB6" w14:textId="77777777" w:rsidR="00A77B3E" w:rsidRDefault="00B16CCF">
            <w:pPr>
              <w:spacing w:before="5pt"/>
              <w:jc w:val="end"/>
              <w:rPr>
                <w:color w:val="000000"/>
                <w:sz w:val="20"/>
              </w:rPr>
            </w:pPr>
            <w:r>
              <w:rPr>
                <w:color w:val="000000"/>
                <w:sz w:val="20"/>
              </w:rPr>
              <w:t>50.502.850,00</w:t>
            </w:r>
          </w:p>
        </w:tc>
      </w:tr>
    </w:tbl>
    <w:p w14:paraId="7B3900DC" w14:textId="77777777" w:rsidR="00A77B3E" w:rsidRDefault="00A77B3E">
      <w:pPr>
        <w:spacing w:before="5pt"/>
        <w:rPr>
          <w:color w:val="000000"/>
          <w:sz w:val="20"/>
        </w:rPr>
      </w:pPr>
    </w:p>
    <w:p w14:paraId="54E2F354" w14:textId="77777777" w:rsidR="00A77B3E" w:rsidRDefault="00B16CCF">
      <w:pPr>
        <w:pStyle w:val="Naslov5"/>
        <w:spacing w:before="5pt" w:after="0pt"/>
        <w:rPr>
          <w:b w:val="0"/>
          <w:i w:val="0"/>
          <w:color w:val="000000"/>
          <w:sz w:val="24"/>
        </w:rPr>
      </w:pPr>
      <w:bookmarkStart w:id="471" w:name="_Toc256001232"/>
      <w:r>
        <w:rPr>
          <w:b w:val="0"/>
          <w:i w:val="0"/>
          <w:color w:val="000000"/>
          <w:sz w:val="24"/>
        </w:rPr>
        <w:t>Tabela 8: Razsežnost 7 – razsežnost enakosti spolov v okviru ESS+*, ESRR, Kohezijskega sklada in SPP</w:t>
      </w:r>
      <w:bookmarkEnd w:id="471"/>
    </w:p>
    <w:p w14:paraId="219DBDA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35"/>
        <w:gridCol w:w="2339"/>
        <w:gridCol w:w="1699"/>
        <w:gridCol w:w="2425"/>
        <w:gridCol w:w="2983"/>
        <w:gridCol w:w="3191"/>
      </w:tblGrid>
      <w:tr w:rsidR="00823317" w14:paraId="291A0A6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8164DE"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077123"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8C3969"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8347FC"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6D7C64"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49ED1B" w14:textId="77777777" w:rsidR="00A77B3E" w:rsidRDefault="00B16CCF">
            <w:pPr>
              <w:spacing w:before="5pt"/>
              <w:jc w:val="center"/>
              <w:rPr>
                <w:color w:val="000000"/>
                <w:sz w:val="20"/>
              </w:rPr>
            </w:pPr>
            <w:r>
              <w:rPr>
                <w:color w:val="000000"/>
                <w:sz w:val="20"/>
              </w:rPr>
              <w:t>Znesek (v EUR)</w:t>
            </w:r>
          </w:p>
        </w:tc>
      </w:tr>
      <w:tr w:rsidR="00823317" w14:paraId="304737D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0E43AC"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46FC0C" w14:textId="77777777" w:rsidR="00A77B3E" w:rsidRDefault="00B16CCF">
            <w:pPr>
              <w:spacing w:before="5pt"/>
              <w:rPr>
                <w:color w:val="000000"/>
                <w:sz w:val="20"/>
              </w:rPr>
            </w:pPr>
            <w:r>
              <w:rPr>
                <w:color w:val="000000"/>
                <w:sz w:val="20"/>
              </w:rPr>
              <w:t>ESO4.4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4014AE"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661327"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F9A4FF" w14:textId="77777777" w:rsidR="00A77B3E" w:rsidRDefault="00B16CCF">
            <w:pPr>
              <w:spacing w:before="5pt"/>
              <w:rPr>
                <w:color w:val="000000"/>
                <w:sz w:val="20"/>
              </w:rPr>
            </w:pPr>
            <w:r>
              <w:rPr>
                <w:color w:val="000000"/>
                <w:sz w:val="20"/>
              </w:rPr>
              <w:t>02. Vključevanje vidika spola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3B9EC8" w14:textId="77777777" w:rsidR="00A77B3E" w:rsidRDefault="00B16CCF">
            <w:pPr>
              <w:spacing w:before="5pt"/>
              <w:jc w:val="end"/>
              <w:rPr>
                <w:color w:val="000000"/>
                <w:sz w:val="20"/>
              </w:rPr>
            </w:pPr>
            <w:r>
              <w:rPr>
                <w:color w:val="000000"/>
                <w:sz w:val="20"/>
              </w:rPr>
              <w:t>5.550.000,00</w:t>
            </w:r>
          </w:p>
        </w:tc>
      </w:tr>
      <w:tr w:rsidR="00823317" w14:paraId="3D29EC8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3552F9"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BCF293" w14:textId="77777777" w:rsidR="00A77B3E" w:rsidRDefault="00B16CCF">
            <w:pPr>
              <w:spacing w:before="5pt"/>
              <w:rPr>
                <w:color w:val="000000"/>
                <w:sz w:val="20"/>
              </w:rPr>
            </w:pPr>
            <w:r>
              <w:rPr>
                <w:color w:val="000000"/>
                <w:sz w:val="20"/>
              </w:rPr>
              <w:t>ESO4.4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B2BC41"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ECF510"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822C6B" w14:textId="77777777" w:rsidR="00A77B3E" w:rsidRDefault="00B16CCF">
            <w:pPr>
              <w:spacing w:before="5pt"/>
              <w:rPr>
                <w:color w:val="000000"/>
                <w:sz w:val="20"/>
              </w:rPr>
            </w:pPr>
            <w:r>
              <w:rPr>
                <w:color w:val="000000"/>
                <w:sz w:val="20"/>
              </w:rPr>
              <w:t>02. Vključevanje vidika spola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EEFB41" w14:textId="77777777" w:rsidR="00A77B3E" w:rsidRDefault="00B16CCF">
            <w:pPr>
              <w:spacing w:before="5pt"/>
              <w:jc w:val="end"/>
              <w:rPr>
                <w:color w:val="000000"/>
                <w:sz w:val="20"/>
              </w:rPr>
            </w:pPr>
            <w:r>
              <w:rPr>
                <w:color w:val="000000"/>
                <w:sz w:val="20"/>
              </w:rPr>
              <w:t>44.952.850,00</w:t>
            </w:r>
          </w:p>
        </w:tc>
      </w:tr>
      <w:tr w:rsidR="00823317" w14:paraId="7ECE05E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636031"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6E0247" w14:textId="77777777" w:rsidR="00A77B3E" w:rsidRDefault="00B16CCF">
            <w:pPr>
              <w:spacing w:before="5pt"/>
              <w:rPr>
                <w:color w:val="000000"/>
                <w:sz w:val="20"/>
              </w:rPr>
            </w:pPr>
            <w:r>
              <w:rPr>
                <w:color w:val="000000"/>
                <w:sz w:val="20"/>
              </w:rPr>
              <w:t>ESO4.4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5A4CC3"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3FAF0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2B7A3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FD3B05" w14:textId="77777777" w:rsidR="00A77B3E" w:rsidRDefault="00B16CCF">
            <w:pPr>
              <w:spacing w:before="5pt"/>
              <w:jc w:val="end"/>
              <w:rPr>
                <w:color w:val="000000"/>
                <w:sz w:val="20"/>
              </w:rPr>
            </w:pPr>
            <w:r>
              <w:rPr>
                <w:color w:val="000000"/>
                <w:sz w:val="20"/>
              </w:rPr>
              <w:t>50.502.850,00</w:t>
            </w:r>
          </w:p>
        </w:tc>
      </w:tr>
    </w:tbl>
    <w:p w14:paraId="40C48B7D" w14:textId="77777777" w:rsidR="00A77B3E" w:rsidRDefault="00B16CCF">
      <w:pPr>
        <w:spacing w:before="5pt"/>
        <w:rPr>
          <w:color w:val="000000"/>
          <w:sz w:val="20"/>
        </w:rPr>
      </w:pPr>
      <w:r>
        <w:rPr>
          <w:color w:val="000000"/>
          <w:sz w:val="20"/>
        </w:rPr>
        <w:t>* Načeloma 40 % za ESS+ prispeva k spremljanju enakosti spolov. 100 % se uporabi, kadar se država članica odloči za uporabo člena 6 uredbe o ESS+.</w:t>
      </w:r>
    </w:p>
    <w:p w14:paraId="4F2812E6" w14:textId="77777777" w:rsidR="00A77B3E" w:rsidRDefault="00B16CCF">
      <w:pPr>
        <w:pStyle w:val="Naslov4"/>
        <w:spacing w:before="5pt" w:after="0pt"/>
        <w:rPr>
          <w:b w:val="0"/>
          <w:color w:val="000000"/>
          <w:sz w:val="24"/>
        </w:rPr>
      </w:pPr>
      <w:r>
        <w:rPr>
          <w:b w:val="0"/>
          <w:color w:val="000000"/>
          <w:sz w:val="24"/>
        </w:rPr>
        <w:br w:type="page"/>
      </w:r>
      <w:bookmarkStart w:id="472" w:name="_Toc256001233"/>
      <w:r>
        <w:rPr>
          <w:b w:val="0"/>
          <w:color w:val="000000"/>
          <w:sz w:val="24"/>
        </w:rPr>
        <w:lastRenderedPageBreak/>
        <w:t>2.1.1.1. Specifični cilj: ESO4.5. Izboljšanje kakovosti, vključenosti, učinkovitosti in ustreznosti sistemov izobraževanja in usposabljanja za potrebe trga dela, vključno z vrednotenjem neformalnega in priložnostnega učenja, da bi podprli pridobivanje ključnih kompetenc, tudi podjetniških in digitalnih veščin, ter s spodbujanjem uvedbe dualnih sistemov usposabljanja in vajeništev (ESS+)</w:t>
      </w:r>
      <w:bookmarkEnd w:id="472"/>
    </w:p>
    <w:p w14:paraId="4F69EF40" w14:textId="77777777" w:rsidR="00A77B3E" w:rsidRDefault="00A77B3E">
      <w:pPr>
        <w:spacing w:before="5pt"/>
        <w:rPr>
          <w:color w:val="000000"/>
          <w:sz w:val="0"/>
        </w:rPr>
      </w:pPr>
    </w:p>
    <w:p w14:paraId="2E0C4118" w14:textId="77777777" w:rsidR="00A77B3E" w:rsidRDefault="00B16CCF">
      <w:pPr>
        <w:pStyle w:val="Naslov4"/>
        <w:spacing w:before="5pt" w:after="0pt"/>
        <w:rPr>
          <w:b w:val="0"/>
          <w:color w:val="000000"/>
          <w:sz w:val="24"/>
        </w:rPr>
      </w:pPr>
      <w:bookmarkStart w:id="473" w:name="_Toc256001234"/>
      <w:r>
        <w:rPr>
          <w:b w:val="0"/>
          <w:color w:val="000000"/>
          <w:sz w:val="24"/>
        </w:rPr>
        <w:t>2.1.1.1.1. Ukrepi skladov</w:t>
      </w:r>
      <w:bookmarkEnd w:id="473"/>
    </w:p>
    <w:p w14:paraId="2729FD34" w14:textId="77777777" w:rsidR="00A77B3E" w:rsidRDefault="00A77B3E">
      <w:pPr>
        <w:spacing w:before="5pt"/>
        <w:rPr>
          <w:color w:val="000000"/>
          <w:sz w:val="0"/>
        </w:rPr>
      </w:pPr>
    </w:p>
    <w:p w14:paraId="10E3724F" w14:textId="77777777" w:rsidR="00A77B3E" w:rsidRDefault="00B16CCF">
      <w:pPr>
        <w:spacing w:before="5pt"/>
        <w:rPr>
          <w:color w:val="000000"/>
          <w:sz w:val="0"/>
        </w:rPr>
      </w:pPr>
      <w:r>
        <w:rPr>
          <w:color w:val="000000"/>
        </w:rPr>
        <w:t>Sklic: člen 22(3)(d)(i), (iii), (iv), (v), (vi) in (vii) uredbe o skupnih določbah</w:t>
      </w:r>
    </w:p>
    <w:p w14:paraId="00A4FFF1" w14:textId="77777777" w:rsidR="00A77B3E" w:rsidRDefault="00B16CCF">
      <w:pPr>
        <w:pStyle w:val="Naslov5"/>
        <w:spacing w:before="5pt" w:after="0pt"/>
        <w:rPr>
          <w:b w:val="0"/>
          <w:i w:val="0"/>
          <w:color w:val="000000"/>
          <w:sz w:val="24"/>
        </w:rPr>
      </w:pPr>
      <w:bookmarkStart w:id="474" w:name="_Toc256001235"/>
      <w:r>
        <w:rPr>
          <w:b w:val="0"/>
          <w:i w:val="0"/>
          <w:color w:val="000000"/>
          <w:sz w:val="24"/>
        </w:rPr>
        <w:t>Povezane vrste ukrepov – člen 22(3)(d)(i) uredbe o skupnih določbah in člen 6 uredbe o ESS+:</w:t>
      </w:r>
      <w:bookmarkEnd w:id="474"/>
    </w:p>
    <w:p w14:paraId="54FB7FB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70BCFFFA"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5F6E0A" w14:textId="77777777" w:rsidR="00A77B3E" w:rsidRDefault="00A77B3E">
            <w:pPr>
              <w:spacing w:before="5pt"/>
              <w:rPr>
                <w:color w:val="000000"/>
                <w:sz w:val="0"/>
              </w:rPr>
            </w:pPr>
          </w:p>
          <w:p w14:paraId="1B0D63C8" w14:textId="77777777" w:rsidR="00A77B3E" w:rsidRDefault="00B16CCF">
            <w:pPr>
              <w:spacing w:before="5pt"/>
              <w:rPr>
                <w:color w:val="000000"/>
              </w:rPr>
            </w:pPr>
            <w:r>
              <w:rPr>
                <w:color w:val="000000"/>
              </w:rPr>
              <w:t>Skladno s Poročilom o državi - Slovenija 2019, Aneksom D, ter SRS 2030 bodo ukrepi namenjeni izboljšanju kakovosti in učinkovitosti izobraževanja in usposabljanja ter njune ustreznosti za trg dela in podpori pridobivanju ključnih kompetenc, tudi preko nadgradnje modela dela z nadarjenimi ter karierne orientacije. Ključna sta krepitev kompetenc strokovnih delavcev na različnih področjih in sodelovanja med šolami, delodajalci in drugimi socialnimi partnerji ter vzpostavitev celovitega podpornega okolja za študente. Smiselna bo tudi navezava na S5.</w:t>
            </w:r>
          </w:p>
          <w:p w14:paraId="6BB9A394" w14:textId="77777777" w:rsidR="00A77B3E" w:rsidRDefault="00A77B3E">
            <w:pPr>
              <w:spacing w:before="5pt"/>
              <w:rPr>
                <w:color w:val="000000"/>
              </w:rPr>
            </w:pPr>
          </w:p>
          <w:p w14:paraId="4BC5603F" w14:textId="77777777" w:rsidR="00A77B3E" w:rsidRDefault="00B16CCF">
            <w:pPr>
              <w:spacing w:before="5pt"/>
              <w:rPr>
                <w:color w:val="000000"/>
              </w:rPr>
            </w:pPr>
            <w:r>
              <w:rPr>
                <w:color w:val="000000"/>
              </w:rPr>
              <w:t>V skladu z navedenim bodo podprta naslednja področja:</w:t>
            </w:r>
          </w:p>
          <w:p w14:paraId="6E0A37E9" w14:textId="77777777" w:rsidR="00A77B3E" w:rsidRDefault="00B16CCF">
            <w:pPr>
              <w:spacing w:before="5pt"/>
              <w:rPr>
                <w:color w:val="000000"/>
              </w:rPr>
            </w:pPr>
            <w:r>
              <w:rPr>
                <w:color w:val="000000"/>
              </w:rPr>
              <w:t>• krepitev ključnih kompetenc: digitalne, jezikovne, podjetnostne, medkulturne, državljanske, matematične in naravoslovne ter osebnostne in družbene kompetence, večjezičnost, bralna in medijska pismenost, kulturna ozaveščenost in izražanje, ustvarjalnost, računalniško mišljenje, kritično razmišljanje, zdrav odnos do samega sebe, preprečevanje nasilja, odvisnosti ter globalnega učenja in vzgoje in izobraževanja za trajnostni razvoj za ohranitev uvrstitve slovenskih učencev v zgornjo četrtino držav v raziskavi PISA. Za sistematično vpeljevanje medpredmetnih in (kros)kurikularnih povezav s poudarkom na aktivni vlogi šolajočih se bo spodbujalo prožne oblike učenja in partnerstva z deležniki iz okolja (tudi na področju kulturno-umetnostne vzgoje). Naslovilo se bo problem neenakosti pri dosežkih dečkov in deklic, izrazita pri bralni pismenosti; krepitev vloge šolske knjižnice, ki zagotavlja podporo vzgojno-izobraževalnemu procesu in vključenim;</w:t>
            </w:r>
          </w:p>
          <w:p w14:paraId="190FDC7C" w14:textId="77777777" w:rsidR="00A77B3E" w:rsidRDefault="00B16CCF">
            <w:pPr>
              <w:spacing w:before="5pt"/>
              <w:rPr>
                <w:color w:val="000000"/>
              </w:rPr>
            </w:pPr>
            <w:r>
              <w:rPr>
                <w:color w:val="000000"/>
              </w:rPr>
              <w:t>• krepitev prečnih kompetenc, ki prispevajo k izboljšanju socialnega in čustvenega vidika celovitega osebnostnega razvoja; izpostavitevvprašanja prostora za zagotavljanje uravnoteženosti posameznikova delovanja in bivanja;</w:t>
            </w:r>
          </w:p>
          <w:p w14:paraId="108A37D3" w14:textId="77777777" w:rsidR="00A77B3E" w:rsidRDefault="00A77B3E">
            <w:pPr>
              <w:spacing w:before="5pt"/>
              <w:rPr>
                <w:color w:val="000000"/>
              </w:rPr>
            </w:pPr>
          </w:p>
          <w:p w14:paraId="218C44AA" w14:textId="77777777" w:rsidR="00A77B3E" w:rsidRDefault="00B16CCF">
            <w:pPr>
              <w:spacing w:before="5pt"/>
              <w:rPr>
                <w:color w:val="000000"/>
              </w:rPr>
            </w:pPr>
            <w:r>
              <w:rPr>
                <w:color w:val="000000"/>
              </w:rPr>
              <w:t>•</w:t>
            </w:r>
            <w:r>
              <w:rPr>
                <w:i/>
                <w:iCs/>
                <w:color w:val="000000"/>
              </w:rPr>
              <w:t>izboljšanje kakovosti in učinkovitosti izobraževanja in usposabljanja</w:t>
            </w:r>
            <w:r>
              <w:rPr>
                <w:color w:val="000000"/>
              </w:rPr>
              <w:t>:</w:t>
            </w:r>
          </w:p>
          <w:p w14:paraId="1D32EB47" w14:textId="77777777" w:rsidR="00A77B3E" w:rsidRDefault="00A77B3E">
            <w:pPr>
              <w:numPr>
                <w:ilvl w:val="0"/>
                <w:numId w:val="30"/>
              </w:numPr>
              <w:spacing w:before="5pt"/>
              <w:rPr>
                <w:color w:val="000000"/>
              </w:rPr>
            </w:pPr>
          </w:p>
          <w:p w14:paraId="4578BB24" w14:textId="77777777" w:rsidR="00A77B3E" w:rsidRDefault="00B16CCF">
            <w:pPr>
              <w:numPr>
                <w:ilvl w:val="1"/>
                <w:numId w:val="30"/>
              </w:numPr>
              <w:spacing w:before="5pt"/>
              <w:rPr>
                <w:color w:val="000000"/>
              </w:rPr>
            </w:pPr>
            <w:r>
              <w:rPr>
                <w:color w:val="000000"/>
              </w:rPr>
              <w:t>digitalna preobrazba izobraževanja, ki vključuje digitalno strategijo šole, krepitev pedagoških digitalnih kompetenc ter širjenje njihovih skupnosti za izmenjavo in vrednotenje dobre prakse, vpeljavo novih predmetov temeljnih vsebin računalništva in informatike, ustvarjalno rabo tehnologij, razvoj in vzpostavitev novih pedagoških modelov z uporabo e-vsebin, krepitev znanj s področja kibernetske varnosti in UI v skladu z Akcijskim načrtom za digitalno izobraževanje EK[1]. Ukrepi bodo komplementarni vsebinam NOO, ki so namenjene sistemskim spremembam razvoja digitalnih kompetenc in temeljnih vsebin računalništva in informatike, s poudarkom pri pouku;</w:t>
            </w:r>
          </w:p>
          <w:p w14:paraId="43B01E55" w14:textId="77777777" w:rsidR="00A77B3E" w:rsidRDefault="00B16CCF">
            <w:pPr>
              <w:numPr>
                <w:ilvl w:val="1"/>
                <w:numId w:val="30"/>
              </w:numPr>
              <w:spacing w:before="5pt"/>
              <w:rPr>
                <w:color w:val="000000"/>
              </w:rPr>
            </w:pPr>
            <w:r>
              <w:rPr>
                <w:color w:val="000000"/>
              </w:rPr>
              <w:lastRenderedPageBreak/>
              <w:t xml:space="preserve">nadgrajen bo sistem profesionalnega in </w:t>
            </w:r>
            <w:r>
              <w:rPr>
                <w:i/>
                <w:iCs/>
                <w:color w:val="000000"/>
              </w:rPr>
              <w:t>kariernega razvoja strokovnih in vodstvenih delavcev v vzgoji in izobraževanju:</w:t>
            </w:r>
            <w:r>
              <w:rPr>
                <w:color w:val="000000"/>
              </w:rPr>
              <w:t xml:space="preserve"> začetno in nadaljnje izobraževanje, mentorstvo, uvajanje v poklic in delo, načrtovanje in vodenje karierne poti, napredovanje ter podpora ravnateljem. Za krepitev ugleda tega poklica ter soustvarjanja učeče se skupnosti bodo izvedene promocijske aktivnosti, vzpostavljena bo podpora za digitalizacijo postopkov, vezanih na karierno pot. Strokovne in vodstvene delavce se bo usposobilo za posredovanje znanja s sodobnimi metodami/pristopi, s poudarkom na izkustvenem učenju in razvoju kompeten pri udeležencih izobraževanja (npr. ustvarjalnost, reševanje problemskih nalog, odgovorno državljanstvo, trajnostni razvoj, sodelovanje) in povezovanju z lokalnim okoljem. Zagotovljena bodo usposabljanja ključnih programskih dokumentov (kurikula za vrtce, učnih načrtov, katalogov znanj) prenovljenih izobraževalnih programov v okviru NOO, ki ne bodo implementirana v NOO, s čimer se bo strokovne in vodstvene delavce v vzgoji in izobraževanju opremilo s kompetencami, pomembnimi za soočanje z aktualnimi in izzivi prihodnosti (tudi digitalnimi kompetencami, kompetencami za trajnostni razvoj, finančno pismenostjo). Opolnomočilo se jih bo za delo z otroki s posebnimi potrebami, z razvojem alternativnih poti in za zagotavljanje varnega in spodbudnega učnega okolja (preprečevanje in soočanje z nasiljem, medkulturno sobivanje, zdrav in ustvarjalen način življenja, preprečevanje odvisnosti ipd.).</w:t>
            </w:r>
          </w:p>
          <w:p w14:paraId="56887CF1" w14:textId="77777777" w:rsidR="00A77B3E" w:rsidRDefault="00A77B3E">
            <w:pPr>
              <w:spacing w:before="5pt"/>
              <w:rPr>
                <w:color w:val="000000"/>
              </w:rPr>
            </w:pPr>
          </w:p>
          <w:p w14:paraId="4D2E1021" w14:textId="77777777" w:rsidR="00A77B3E" w:rsidRDefault="00B16CCF">
            <w:pPr>
              <w:spacing w:before="5pt"/>
              <w:rPr>
                <w:color w:val="000000"/>
              </w:rPr>
            </w:pPr>
            <w:r>
              <w:rPr>
                <w:color w:val="000000"/>
              </w:rPr>
              <w:t>Upoštevani bodo rezultati iz preteklih projektov, npr. razviti koncepti ter izkušnje s področja uvajanja v poklic (Učim se biti učitelj, Prva zaposlitev), kakovosti (standardi kakovosti profesionalnega učenja in delovanja strokovnih delavcev ter vodenja vrtcev in šol) ter podpore ravnateljem (Vodenje in upravljanje inovativnih učnih okolij). Na podlagi izkušenj izvajanja ciljno usmerjenih profesionalnih usposabljanj strokovnih delavcev v vzgoji in izobraževanju za neposredno delo s konkretnim šolajočim s posebnimi potrebami, se bo uporabil koncept tudi na drugih vsebinskih področjih. VIZ želimo podpreti pri odzivanju na njihove aktualne potrebe, vplivati na krepitev učeče se skupnosti, zagotavljanja varnega in spodbudnega učnega okolja za vsakega posameznika ter izboljšanje kakovosti in učinkovitosti sistema vzgoje in izobraževanja;</w:t>
            </w:r>
          </w:p>
          <w:p w14:paraId="7B2D8F03" w14:textId="77777777" w:rsidR="00A77B3E" w:rsidRDefault="00B16CCF">
            <w:pPr>
              <w:spacing w:before="5pt"/>
              <w:rPr>
                <w:color w:val="000000"/>
              </w:rPr>
            </w:pPr>
            <w:r>
              <w:rPr>
                <w:color w:val="000000"/>
              </w:rPr>
              <w:t>• k</w:t>
            </w:r>
            <w:r>
              <w:rPr>
                <w:i/>
                <w:iCs/>
                <w:color w:val="000000"/>
              </w:rPr>
              <w:t xml:space="preserve">repitev ustreznosti izobraževalnega sistema za trg dela </w:t>
            </w:r>
            <w:r>
              <w:rPr>
                <w:color w:val="000000"/>
              </w:rPr>
              <w:t>na dveh ključnih področjih ukrepanja:</w:t>
            </w:r>
            <w:r>
              <w:rPr>
                <w:i/>
                <w:iCs/>
                <w:color w:val="000000"/>
              </w:rPr>
              <w:t xml:space="preserve"> </w:t>
            </w:r>
          </w:p>
          <w:p w14:paraId="1DD45BCE" w14:textId="77777777" w:rsidR="00A77B3E" w:rsidRDefault="00A77B3E">
            <w:pPr>
              <w:numPr>
                <w:ilvl w:val="0"/>
                <w:numId w:val="31"/>
              </w:numPr>
              <w:spacing w:before="5pt"/>
              <w:rPr>
                <w:color w:val="000000"/>
              </w:rPr>
            </w:pPr>
          </w:p>
          <w:p w14:paraId="76D2AF18" w14:textId="77777777" w:rsidR="00A77B3E" w:rsidRDefault="00B16CCF">
            <w:pPr>
              <w:numPr>
                <w:ilvl w:val="1"/>
                <w:numId w:val="31"/>
              </w:numPr>
              <w:spacing w:before="5pt"/>
              <w:rPr>
                <w:color w:val="000000"/>
              </w:rPr>
            </w:pPr>
            <w:r>
              <w:rPr>
                <w:color w:val="000000"/>
              </w:rPr>
              <w:t>Izboljšanje odzivnosti poklicnega in strokovnega izobraževanja na potrebe trga dela, se bo krepilo sodelovanja izobraževalnih ustanov z delodajalci oz. socialnimi partnerji. Razvijali in izvajali se bodo izobraževalni programi poklicnega in strokovnega izobraževanja, krajši programi s področja poklicnega usposabljanja in izpopolnjevanja. Aktivnosti bodo usmerjene v pripravo strokovnih delavcev za kakovostno načrtovanje in izvajanje kurikula. S krepitvijo sodelovanja delodajalcev in socialnih partnerjev v izobraževalnem procesu, bodo mladi vstopali na trg dela bolj praktično usposobljeni. Ustrezno usposobljeni kadri bodo skrbeli za učinkovito izvajanje praktičnega usposabljanja. Spodbujena bo promocija poklicnega in strokovnega izobraževanja.</w:t>
            </w:r>
          </w:p>
          <w:p w14:paraId="0B9433F1" w14:textId="77777777" w:rsidR="00A77B3E" w:rsidRDefault="00B16CCF">
            <w:pPr>
              <w:numPr>
                <w:ilvl w:val="1"/>
                <w:numId w:val="31"/>
              </w:numPr>
              <w:spacing w:before="5pt"/>
              <w:rPr>
                <w:color w:val="000000"/>
              </w:rPr>
            </w:pPr>
            <w:r>
              <w:rPr>
                <w:color w:val="000000"/>
              </w:rPr>
              <w:t xml:space="preserve">Vzpostavitev celovitega podpornega okolja na visokošolskih zavodih, osredotočenega na študenta in v aktivnosti za uspešno in pravočasno zaključevanje študija (spremljanje študenta od vpisa do diplomiranja in njegove zaposlitve, karierno svetovanje, tutorski sistem, pomoč pri mednarodni mobilnosti, podpora za študente s posebnimi potrebami oz.posebnim statusom, organizacija praktičnega usposabljanje študentov, razvijanje kompetenc študentov z obštudijsko dejavnostjo, spremljanje zadovoljstva študentov in diplomantov, idr.). Usposabljanja visokošolskih učiteljev in strokovnih sodelavcev za razvoj inovativnih učnih okolij, temelječih na novih IKT ter uvajanje novih pedagoških praks v poučevanje. Za doseganje horizontalnih veščin in socialnih, emocionalnih, digitalnih in drugih kompetenc, se bodo spodbujale različne oblike praktičnega usposabljanja študentov v realnem delovnem okolju v času študija: problemsko učenje v obliki projektnega dela z </w:t>
            </w:r>
            <w:r>
              <w:rPr>
                <w:color w:val="000000"/>
              </w:rPr>
              <w:lastRenderedPageBreak/>
              <w:t>(ne)gospodarstvom, neprofitnim, nevladnim sektorjem, v okviru pilotnih projektov preverjanje možnosti organizacije dalj časa trajajočega praktičnega izobraževanja itd.);</w:t>
            </w:r>
          </w:p>
          <w:p w14:paraId="4F9960B8" w14:textId="77777777" w:rsidR="00A77B3E" w:rsidRDefault="00A77B3E">
            <w:pPr>
              <w:spacing w:before="5pt"/>
              <w:rPr>
                <w:color w:val="000000"/>
              </w:rPr>
            </w:pPr>
          </w:p>
          <w:p w14:paraId="4A204736" w14:textId="77777777" w:rsidR="00A77B3E" w:rsidRDefault="00B16CCF">
            <w:pPr>
              <w:spacing w:before="5pt"/>
              <w:rPr>
                <w:color w:val="000000"/>
              </w:rPr>
            </w:pPr>
            <w:r>
              <w:rPr>
                <w:color w:val="000000"/>
              </w:rPr>
              <w:t>•</w:t>
            </w:r>
            <w:r>
              <w:rPr>
                <w:i/>
                <w:iCs/>
                <w:color w:val="000000"/>
              </w:rPr>
              <w:t>ukrepi s področja vseživljenjske karierne orientacije (VKO):</w:t>
            </w:r>
          </w:p>
          <w:p w14:paraId="5358D0B0" w14:textId="77777777" w:rsidR="00A77B3E" w:rsidRDefault="00B16CCF">
            <w:pPr>
              <w:spacing w:before="5pt"/>
              <w:rPr>
                <w:color w:val="000000"/>
              </w:rPr>
            </w:pPr>
            <w:r>
              <w:rPr>
                <w:color w:val="000000"/>
              </w:rPr>
              <w:t>okrepitev kariernih centrov za mlade bo omogočilo ustrezno poklicno in karierno svetovanje v času šolanja in po zaključku. Z vidika zagotavljanja kakovostnih poklicnih poti je treba mlade informirati in spodbujati na področjih deficitarnih poklicev, seznanitvijo s poklici prihodnosti in pridobivanjem informacij o možnih kariernih poteh ter krepiti njihove možnosti za vstop na trg dela. V okviru kariernih centrov za mlade bo poudarek na nudenju strokovne pomoči mladim v okviru iskanja in izbiranja poklicnih poti, kot tudi na prepoznavanju potreb in specifik lokalnega okolja in regij, predvsem s povezanostjo lokalnih šol in delodajalcev. Posebna pozornost bo namenjena NEET.</w:t>
            </w:r>
          </w:p>
          <w:p w14:paraId="114AC343" w14:textId="77777777" w:rsidR="00A77B3E" w:rsidRDefault="00A77B3E">
            <w:pPr>
              <w:numPr>
                <w:ilvl w:val="0"/>
                <w:numId w:val="32"/>
              </w:numPr>
              <w:spacing w:before="5pt"/>
              <w:rPr>
                <w:color w:val="000000"/>
              </w:rPr>
            </w:pPr>
          </w:p>
          <w:p w14:paraId="7C319436" w14:textId="77777777" w:rsidR="00A77B3E" w:rsidRDefault="00B16CCF">
            <w:pPr>
              <w:numPr>
                <w:ilvl w:val="1"/>
                <w:numId w:val="32"/>
              </w:numPr>
              <w:spacing w:before="5pt"/>
              <w:rPr>
                <w:color w:val="000000"/>
              </w:rPr>
            </w:pPr>
            <w:r>
              <w:rPr>
                <w:color w:val="000000"/>
              </w:rPr>
              <w:t>Spodbujanje razvoja novih vsebin na področju izobraževanja nadarjenih dijakov ter izboljševanje obstoječih pristopov za prožnejše oblike učenja: z izboljšanjem oz. razširitvijo mreže institucij, ki ponujajo aktivnosti za nadarjene, bomo omogočili bolj kakovostno delo z nadarjenimi.</w:t>
            </w:r>
          </w:p>
          <w:p w14:paraId="150FE8A3" w14:textId="77777777" w:rsidR="00A77B3E" w:rsidRDefault="00B16CCF">
            <w:pPr>
              <w:numPr>
                <w:ilvl w:val="1"/>
                <w:numId w:val="32"/>
              </w:numPr>
              <w:spacing w:before="5pt"/>
              <w:rPr>
                <w:color w:val="000000"/>
              </w:rPr>
            </w:pPr>
            <w:r>
              <w:rPr>
                <w:color w:val="000000"/>
              </w:rPr>
              <w:t>Ukrepi na področju štipendij za specializirane poklice v kulturi: nadgrajujejo politiko rednega štipendiranja in so namenjeni (ne)formalnemu izobraževanju v tujini. Podpirajo mednarodno mobilnost, navezovanje stikov in pripomorejo k učinkovitejšemu vstopanju na trg dela. Upravičenci so študentje, ki so v večini primerov brezposelni oz. njihovi dohodki ne zadoščajo za pokrivanje stroškov študija v tujini (tudi socialno ogroženi,). Izobraževalne institucije s področja kulture ne izvajajo/razpisujejo študijskih programov na vseh področjih kulturnih umetnosti. Štipendiranje bo omogočilo ustrezno izobrazbo, pridobitev kompetenčnega znanja, razvoj talentov in zapolnilo vrzeli z znanji. S tem bi preprečili izključenost talentiranih umetnikov iz socialno ogroženega okolja in prispevali k mednarodni prepoznavnosti kulture.</w:t>
            </w:r>
          </w:p>
          <w:p w14:paraId="1E5C6300" w14:textId="77777777" w:rsidR="00A77B3E" w:rsidRDefault="00A77B3E">
            <w:pPr>
              <w:spacing w:before="5pt"/>
              <w:rPr>
                <w:color w:val="000000"/>
              </w:rPr>
            </w:pPr>
          </w:p>
          <w:p w14:paraId="594EA9CD" w14:textId="77777777" w:rsidR="00A77B3E" w:rsidRDefault="00B16CCF">
            <w:pPr>
              <w:spacing w:before="5pt"/>
              <w:rPr>
                <w:color w:val="000000"/>
              </w:rPr>
            </w:pPr>
            <w:r>
              <w:rPr>
                <w:color w:val="000000"/>
              </w:rPr>
              <w:t>Gre za ukrepe, ki po svoji naravi nimajo predvidljivega negativnega vpliva na okoljske cilje, zato so skladni z načelom DNSH.</w:t>
            </w:r>
          </w:p>
          <w:p w14:paraId="39D4FD28" w14:textId="77777777" w:rsidR="00A77B3E" w:rsidRDefault="00B16CCF">
            <w:pPr>
              <w:spacing w:before="5pt"/>
              <w:rPr>
                <w:color w:val="000000"/>
              </w:rPr>
            </w:pPr>
            <w:r>
              <w:rPr>
                <w:color w:val="000000"/>
              </w:rPr>
              <w:t>[1] Dostopno na: https://ec.europa.eu/education/education-in-the-eu/digital-education-action-plan_sl.</w:t>
            </w:r>
          </w:p>
          <w:p w14:paraId="3B00BFA6" w14:textId="77777777" w:rsidR="00A77B3E" w:rsidRDefault="00A77B3E">
            <w:pPr>
              <w:spacing w:before="5pt"/>
              <w:rPr>
                <w:color w:val="000000"/>
                <w:sz w:val="6"/>
              </w:rPr>
            </w:pPr>
          </w:p>
          <w:p w14:paraId="26C50E29" w14:textId="77777777" w:rsidR="00A77B3E" w:rsidRDefault="00A77B3E">
            <w:pPr>
              <w:spacing w:before="5pt"/>
              <w:rPr>
                <w:color w:val="000000"/>
                <w:sz w:val="6"/>
              </w:rPr>
            </w:pPr>
          </w:p>
        </w:tc>
      </w:tr>
    </w:tbl>
    <w:p w14:paraId="1DB505CB" w14:textId="77777777" w:rsidR="00A77B3E" w:rsidRDefault="00A77B3E">
      <w:pPr>
        <w:spacing w:before="5pt"/>
        <w:rPr>
          <w:color w:val="000000"/>
        </w:rPr>
      </w:pPr>
    </w:p>
    <w:p w14:paraId="44AC0CD8" w14:textId="77777777" w:rsidR="00A77B3E" w:rsidRDefault="00B16CCF">
      <w:pPr>
        <w:pStyle w:val="Naslov5"/>
        <w:spacing w:before="5pt" w:after="0pt"/>
        <w:rPr>
          <w:b w:val="0"/>
          <w:i w:val="0"/>
          <w:color w:val="000000"/>
          <w:sz w:val="24"/>
        </w:rPr>
      </w:pPr>
      <w:bookmarkStart w:id="475" w:name="_Toc256001236"/>
      <w:r>
        <w:rPr>
          <w:b w:val="0"/>
          <w:i w:val="0"/>
          <w:color w:val="000000"/>
          <w:sz w:val="24"/>
        </w:rPr>
        <w:t>Glavne ciljne skupine – člen 22(3)(d)(iii) uredbe o skupnih določbah:</w:t>
      </w:r>
      <w:bookmarkEnd w:id="475"/>
    </w:p>
    <w:p w14:paraId="17759AF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4A1081C8"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C740DD" w14:textId="77777777" w:rsidR="00A77B3E" w:rsidRDefault="00A77B3E">
            <w:pPr>
              <w:spacing w:before="5pt"/>
              <w:rPr>
                <w:color w:val="000000"/>
                <w:sz w:val="0"/>
              </w:rPr>
            </w:pPr>
          </w:p>
          <w:p w14:paraId="1810222C" w14:textId="77777777" w:rsidR="00A77B3E" w:rsidRDefault="00B16CCF">
            <w:pPr>
              <w:spacing w:before="5pt"/>
              <w:rPr>
                <w:color w:val="000000"/>
              </w:rPr>
            </w:pPr>
            <w:r>
              <w:rPr>
                <w:color w:val="000000"/>
              </w:rPr>
              <w:t>Ciljne skupine: starši učečih se, strokovna, splošna javnost, otroci, učenci, dijaki, študenti, diplomanti, VIZ, srednje šole, organizacije, ki izvajajo višje strokovno izobraževanje, visokošolski zavodi, javne organizacije za izobraževanje odraslih, zasebne organizacije, ki izvajajo programe s področja vzgoje in izobraževanja, strokovni in vodstveni delavci v VIZ, mentorji praktičnega usposabljanja z delom, združenja in skupnosti, delodajalci, delodajalska združenja, zbornice, strokovni delavci v kulturnih ustanovah, umetniki.</w:t>
            </w:r>
          </w:p>
          <w:p w14:paraId="3DFBBB31" w14:textId="77777777" w:rsidR="00A77B3E" w:rsidRDefault="00B16CCF">
            <w:pPr>
              <w:spacing w:before="5pt"/>
              <w:rPr>
                <w:color w:val="000000"/>
              </w:rPr>
            </w:pPr>
            <w:r>
              <w:rPr>
                <w:color w:val="000000"/>
              </w:rPr>
              <w:lastRenderedPageBreak/>
              <w:t>Upravičenci: ministrstvo, VIZ, organizacije, ki izvajajo višje strokovno izobraževanje, visokošolski zavodi, javne organizacije za izobraževanje odraslih, zasebne organizacije, ki izvajajo programe s področja vzgoje in izobraževanja, javni zavodi, javne agencije, javni skladi, javni raziskovalni zavodi, delodajalci, delodajalska združenja, zbornice, izvajalci in mentorji praktičnega usposabljanja v podjetjih, združenja in skupnosti s področja izobraževanja, nevladne organizacije in druge institucije, ki so v skladu z zakonodajo oziroma izbirnimi postopki prepoznani kot upravičenci.</w:t>
            </w:r>
          </w:p>
          <w:p w14:paraId="7D490C08" w14:textId="77777777" w:rsidR="00A77B3E" w:rsidRDefault="00A77B3E">
            <w:pPr>
              <w:spacing w:before="5pt"/>
              <w:rPr>
                <w:color w:val="000000"/>
                <w:sz w:val="6"/>
              </w:rPr>
            </w:pPr>
          </w:p>
          <w:p w14:paraId="765F88D0" w14:textId="77777777" w:rsidR="00A77B3E" w:rsidRDefault="00A77B3E">
            <w:pPr>
              <w:spacing w:before="5pt"/>
              <w:rPr>
                <w:color w:val="000000"/>
                <w:sz w:val="6"/>
              </w:rPr>
            </w:pPr>
          </w:p>
        </w:tc>
      </w:tr>
    </w:tbl>
    <w:p w14:paraId="764FB6FC" w14:textId="77777777" w:rsidR="00A77B3E" w:rsidRDefault="00A77B3E">
      <w:pPr>
        <w:spacing w:before="5pt"/>
        <w:rPr>
          <w:color w:val="000000"/>
        </w:rPr>
      </w:pPr>
    </w:p>
    <w:p w14:paraId="6B2BDFE0" w14:textId="77777777" w:rsidR="00A77B3E" w:rsidRDefault="00B16CCF">
      <w:pPr>
        <w:pStyle w:val="Naslov5"/>
        <w:spacing w:before="5pt" w:after="0pt"/>
        <w:rPr>
          <w:b w:val="0"/>
          <w:i w:val="0"/>
          <w:color w:val="000000"/>
          <w:sz w:val="24"/>
        </w:rPr>
      </w:pPr>
      <w:bookmarkStart w:id="476" w:name="_Toc256001237"/>
      <w:r>
        <w:rPr>
          <w:b w:val="0"/>
          <w:i w:val="0"/>
          <w:color w:val="000000"/>
          <w:sz w:val="24"/>
        </w:rPr>
        <w:t>Ukrepi za zaščito enakosti, vključenosti in nediskriminacije – člen 22(3)(d)(iv) uredbe o skupnih določbah in člen 6 uredbe o ESS+</w:t>
      </w:r>
      <w:bookmarkEnd w:id="476"/>
    </w:p>
    <w:p w14:paraId="0D3877C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7C8DAAD2"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58F52C" w14:textId="77777777" w:rsidR="00A77B3E" w:rsidRDefault="00A77B3E">
            <w:pPr>
              <w:spacing w:before="5pt"/>
              <w:rPr>
                <w:color w:val="000000"/>
                <w:sz w:val="0"/>
              </w:rPr>
            </w:pPr>
          </w:p>
          <w:p w14:paraId="51C282EF" w14:textId="77777777" w:rsidR="00A77B3E" w:rsidRDefault="00B16CCF">
            <w:pPr>
              <w:spacing w:before="5pt"/>
              <w:rPr>
                <w:color w:val="000000"/>
              </w:rPr>
            </w:pPr>
            <w:r>
              <w:rPr>
                <w:color w:val="000000"/>
              </w:rPr>
              <w:t xml:space="preserve">V skladu z 2. členom Zakona o organizaciji in financiranju vzgoje in izobraževanja[1] se bo pri izvajanju ukrepov na področju izobraževalnega sistema upoštevalo temeljne cilje sistema vzgoje in izobraževanja v Sloveniji, predvsem zagotavljanje optimalnega razvoja posameznika ne glede na osebne okoliščine (spol, socialno in kulturno poreklo, veroizpoved, rasno, etnično in narodno pripadnost ter telesno in duševno konstitucijo oziroma invalidnost). Pri načrtovanju, izvedbi in spremljanju ukrepov bo zagotovljeno transparentno in nediskriminatorno vključevanje oziroma enaka možnost sodelovanja ali dostopa. Z ukrepi se bo tako prispevalo k ciljem Evropskega stebra socialnih pravic. Zagotavljalo se bo enake možnosti za vse deležnike v izobraževanju (učeči se, izobraževalci, raziskovalci pri ukrepih zmanjševanja digitalnega prepada, itd.) ter se bo aktivno upoštevalo druge (didaktične) vidike enakosti in enakih možnosti (različne motivacije deležnikov, učinkovite oblike pozitivne diskriminacije predvsem na področju bralne pismenosti za zmanjševanje vrzeli med spoloma, zagotavljanje varnega in spodbudnega učnega okolja). </w:t>
            </w:r>
          </w:p>
          <w:p w14:paraId="2E25DE85" w14:textId="77777777" w:rsidR="00A77B3E" w:rsidRDefault="00A77B3E">
            <w:pPr>
              <w:spacing w:before="5pt"/>
              <w:rPr>
                <w:color w:val="000000"/>
              </w:rPr>
            </w:pPr>
          </w:p>
          <w:p w14:paraId="7DD66A08" w14:textId="77777777" w:rsidR="00A77B3E" w:rsidRDefault="00B16CCF">
            <w:pPr>
              <w:spacing w:before="5pt"/>
              <w:rPr>
                <w:color w:val="000000"/>
              </w:rPr>
            </w:pPr>
            <w:r>
              <w:rPr>
                <w:color w:val="000000"/>
              </w:rPr>
              <w:t>V ukrepe se lahko vključujejo vsi mladi – spodbujalo se bo vključevanje žensk v poklice, ki v družbi še danes veljajo za bolj »moške« poklice, posebna pozornost bo namenjena tudi šolajoči mladini s posebnimi potrebami. Posebej se bomo osredotočili tudi na mlade osipnike (NEET). Ukrepi bodo dolgoročno gledano prispevali h kompetencam za prihodnost, nižji stopnji brezposelnosti in posledično tudi k manjšemu številu oseb, ki bi jim grozila revščina in socialna izključenost, kot tudi k spodbujanju enakosti z zmanjševanjem vrzeli v znanju med spoloma.</w:t>
            </w:r>
          </w:p>
          <w:p w14:paraId="25AEAD51" w14:textId="77777777" w:rsidR="00A77B3E" w:rsidRDefault="00A77B3E">
            <w:pPr>
              <w:spacing w:before="5pt"/>
              <w:rPr>
                <w:color w:val="000000"/>
              </w:rPr>
            </w:pPr>
          </w:p>
          <w:p w14:paraId="393BD25F" w14:textId="77777777" w:rsidR="00A77B3E" w:rsidRDefault="00B16CCF">
            <w:pPr>
              <w:spacing w:before="5pt"/>
              <w:rPr>
                <w:color w:val="000000"/>
              </w:rPr>
            </w:pPr>
            <w:r>
              <w:rPr>
                <w:color w:val="000000"/>
              </w:rPr>
              <w:t>Ukrepi karierne orientacije, vključno s krepitvijo kariernih centrov za mlade, so skladni s ciljem Strategije za trajnostni razvoj, saj spodbujajo razvoj demokratične, socialno vključujoče, kohezivne in pravične družbe, ki spoštuje temeljne pravice in kulturno raznolikost, ustvarja enake možnosti ter se bori proti vsem oblikam diskriminacije.</w:t>
            </w:r>
          </w:p>
          <w:p w14:paraId="4702471A" w14:textId="77777777" w:rsidR="00A77B3E" w:rsidRDefault="00A77B3E">
            <w:pPr>
              <w:spacing w:before="5pt"/>
              <w:rPr>
                <w:color w:val="000000"/>
              </w:rPr>
            </w:pPr>
          </w:p>
          <w:p w14:paraId="3D6E79F3" w14:textId="77777777" w:rsidR="00A77B3E" w:rsidRDefault="00B16CCF">
            <w:pPr>
              <w:spacing w:before="5pt"/>
              <w:rPr>
                <w:color w:val="000000"/>
              </w:rPr>
            </w:pPr>
            <w:r>
              <w:rPr>
                <w:color w:val="000000"/>
              </w:rPr>
              <w:t xml:space="preserve">[1] Uradni list RS, št. 16/07 – uradno prečiščeno besedilo, 36/08, 58/09, 64/09 – popr., 65/09 – popr., 20/11, 40/12 – ZUJF, 57/12 – ZPCP-2D, 47/15, 46/16, 49/16 – popr., 25/17 – ZVaj, 123/21, 172/21 in 207/21. Dostopno na: http://pisrs.si/Pis.web/pregledPredpisa?id=ZAKO445. </w:t>
            </w:r>
          </w:p>
          <w:p w14:paraId="52494062" w14:textId="77777777" w:rsidR="00A77B3E" w:rsidRDefault="00A77B3E">
            <w:pPr>
              <w:spacing w:before="5pt"/>
              <w:rPr>
                <w:color w:val="000000"/>
                <w:sz w:val="6"/>
              </w:rPr>
            </w:pPr>
          </w:p>
          <w:p w14:paraId="5F37D906" w14:textId="77777777" w:rsidR="00A77B3E" w:rsidRDefault="00A77B3E">
            <w:pPr>
              <w:spacing w:before="5pt"/>
              <w:rPr>
                <w:color w:val="000000"/>
                <w:sz w:val="6"/>
              </w:rPr>
            </w:pPr>
          </w:p>
        </w:tc>
      </w:tr>
    </w:tbl>
    <w:p w14:paraId="61DF2CDA" w14:textId="77777777" w:rsidR="00A77B3E" w:rsidRDefault="00A77B3E">
      <w:pPr>
        <w:spacing w:before="5pt"/>
        <w:rPr>
          <w:color w:val="000000"/>
        </w:rPr>
      </w:pPr>
    </w:p>
    <w:p w14:paraId="49C89D0F" w14:textId="77777777" w:rsidR="00A77B3E" w:rsidRDefault="00B16CCF">
      <w:pPr>
        <w:pStyle w:val="Naslov5"/>
        <w:spacing w:before="5pt" w:after="0pt"/>
        <w:rPr>
          <w:b w:val="0"/>
          <w:i w:val="0"/>
          <w:color w:val="000000"/>
          <w:sz w:val="24"/>
        </w:rPr>
      </w:pPr>
      <w:bookmarkStart w:id="477" w:name="_Toc256001238"/>
      <w:r>
        <w:rPr>
          <w:b w:val="0"/>
          <w:i w:val="0"/>
          <w:color w:val="000000"/>
          <w:sz w:val="24"/>
        </w:rPr>
        <w:t>Navedba specifičnih ciljnih ozemelj, vključno z načrtovano uporabo teritorialnih orodij – člen 22(3)(d)(v) uredbe o skupnih določbah</w:t>
      </w:r>
      <w:bookmarkEnd w:id="477"/>
    </w:p>
    <w:p w14:paraId="303E179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4F3CABE4"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1B350C" w14:textId="77777777" w:rsidR="00A77B3E" w:rsidRDefault="00A77B3E">
            <w:pPr>
              <w:spacing w:before="5pt"/>
              <w:rPr>
                <w:color w:val="000000"/>
                <w:sz w:val="0"/>
              </w:rPr>
            </w:pPr>
          </w:p>
          <w:p w14:paraId="03CEF49D" w14:textId="77777777" w:rsidR="00A77B3E" w:rsidRDefault="00B16CCF">
            <w:pPr>
              <w:spacing w:before="5pt"/>
              <w:rPr>
                <w:color w:val="000000"/>
              </w:rPr>
            </w:pPr>
            <w:r>
              <w:rPr>
                <w:color w:val="000000"/>
              </w:rPr>
              <w:t>V okviru predmetnega specifičnega cilja uporaba teritorialnih orodij ni predvidena.</w:t>
            </w:r>
          </w:p>
          <w:p w14:paraId="358AEA0D" w14:textId="77777777" w:rsidR="00A77B3E" w:rsidRDefault="00A77B3E">
            <w:pPr>
              <w:spacing w:before="5pt"/>
              <w:rPr>
                <w:color w:val="000000"/>
                <w:sz w:val="6"/>
              </w:rPr>
            </w:pPr>
          </w:p>
          <w:p w14:paraId="2D41C559" w14:textId="77777777" w:rsidR="00A77B3E" w:rsidRDefault="00A77B3E">
            <w:pPr>
              <w:spacing w:before="5pt"/>
              <w:rPr>
                <w:color w:val="000000"/>
                <w:sz w:val="6"/>
              </w:rPr>
            </w:pPr>
          </w:p>
        </w:tc>
      </w:tr>
    </w:tbl>
    <w:p w14:paraId="659B2B62" w14:textId="77777777" w:rsidR="00A77B3E" w:rsidRDefault="00A77B3E">
      <w:pPr>
        <w:spacing w:before="5pt"/>
        <w:rPr>
          <w:color w:val="000000"/>
        </w:rPr>
      </w:pPr>
    </w:p>
    <w:p w14:paraId="0CDC3B7A" w14:textId="77777777" w:rsidR="00A77B3E" w:rsidRDefault="00B16CCF">
      <w:pPr>
        <w:pStyle w:val="Naslov5"/>
        <w:spacing w:before="5pt" w:after="0pt"/>
        <w:rPr>
          <w:b w:val="0"/>
          <w:i w:val="0"/>
          <w:color w:val="000000"/>
          <w:sz w:val="24"/>
        </w:rPr>
      </w:pPr>
      <w:bookmarkStart w:id="478" w:name="_Toc256001239"/>
      <w:r>
        <w:rPr>
          <w:b w:val="0"/>
          <w:i w:val="0"/>
          <w:color w:val="000000"/>
          <w:sz w:val="24"/>
        </w:rPr>
        <w:t>Medregionalni, čezmejni in transnacionalni ukrepi – člen 22(3)(d)(vi) uredbe o skupnih določbah</w:t>
      </w:r>
      <w:bookmarkEnd w:id="478"/>
    </w:p>
    <w:p w14:paraId="77E267D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00136F88"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B7CAD3" w14:textId="77777777" w:rsidR="00A77B3E" w:rsidRDefault="00A77B3E">
            <w:pPr>
              <w:spacing w:before="5pt"/>
              <w:rPr>
                <w:color w:val="000000"/>
                <w:sz w:val="0"/>
              </w:rPr>
            </w:pPr>
          </w:p>
          <w:p w14:paraId="7CECE162" w14:textId="77777777" w:rsidR="00A77B3E" w:rsidRDefault="00B16CCF">
            <w:pPr>
              <w:spacing w:before="5pt"/>
              <w:rPr>
                <w:color w:val="000000"/>
              </w:rPr>
            </w:pPr>
            <w:r>
              <w:rPr>
                <w:color w:val="000000"/>
              </w:rPr>
              <w:t>VVlaganja v ukrepe na področju izobraževalnega sistema bodo prispevala tudi k ukrepom v sklopu makroregij. Prav tako bodo aktivnosti smiselno kombinirane z aktivnostmi v različnih čezmejnih programih (predvsem na ISO Krepitev medsebojnega zaupanja, zlasti s spodbujanjem ukrepov v zvezi s projekti povezovanja med ljudmi (people-to-people)). Izvajalo se bo ukrepe na področju kakovosti narodnostnega šolstva tako italijanske in madžarske narodne skupnosti v Sloveniji kot tudi slovenske narodne skupnosti v Italiji in na Madžarskem, ki bodo namenjeni povezovanju narodnih skupnosti na obeh straneh meja in s čimer bomo krepili povezovanje ter prenos znanj in dobrih praks. Aktivnosti so komplementarne s predvidenimi programi Interreg Italija – Slovenija in Slovenija – Madžarska.</w:t>
            </w:r>
          </w:p>
          <w:p w14:paraId="268F598D" w14:textId="77777777" w:rsidR="00A77B3E" w:rsidRDefault="00A77B3E">
            <w:pPr>
              <w:spacing w:before="5pt"/>
              <w:rPr>
                <w:color w:val="000000"/>
              </w:rPr>
            </w:pPr>
          </w:p>
          <w:p w14:paraId="646B2DE4" w14:textId="77777777" w:rsidR="00A77B3E" w:rsidRDefault="00B16CCF">
            <w:pPr>
              <w:spacing w:before="5pt"/>
              <w:rPr>
                <w:color w:val="000000"/>
              </w:rPr>
            </w:pPr>
            <w:r>
              <w:rPr>
                <w:color w:val="000000"/>
              </w:rPr>
              <w:t xml:space="preserve">Ukrepi bodo prispevali tudi k vodilnemu projektu Strategije EU za Podonavje (EUSDR) »Evropsko zagotavljanje kakovosti v poklicnem izobraževanju in usposabljanju Nacionalne referenčne točke«, katerega cilji so prispevanje k izboljšanim izobraževalnim rezultatom in kompetencam, krepitev vključevanja dijakov poklicnega izobraževanja in usposabljanja pri pregledu in izboljšanju programov poklicnega izobraževanja in usposabljanja, izboljšanje zmogljivosti šol za poklicno izobraževanje in usposabljanje za uporabo mehanizma za zagotavljanje kakovosti in njegovih instrumentov, s poudarkom na dodatnih elementih novega EQAVET ter razviti mednarodno sodelovanje pri zagotavljanju kakovosti v poklicnem izobraževanju in usposabljanju z zagotavljanjem podpore za sodelovanje vrstnikov iz EU. </w:t>
            </w:r>
          </w:p>
          <w:p w14:paraId="7ECC8274" w14:textId="77777777" w:rsidR="00A77B3E" w:rsidRDefault="00A77B3E">
            <w:pPr>
              <w:spacing w:before="5pt"/>
              <w:rPr>
                <w:color w:val="000000"/>
                <w:sz w:val="6"/>
              </w:rPr>
            </w:pPr>
          </w:p>
          <w:p w14:paraId="06B59B4C" w14:textId="77777777" w:rsidR="00A77B3E" w:rsidRDefault="00A77B3E">
            <w:pPr>
              <w:spacing w:before="5pt"/>
              <w:rPr>
                <w:color w:val="000000"/>
                <w:sz w:val="6"/>
              </w:rPr>
            </w:pPr>
          </w:p>
        </w:tc>
      </w:tr>
    </w:tbl>
    <w:p w14:paraId="04AA5B5F" w14:textId="77777777" w:rsidR="00A77B3E" w:rsidRDefault="00A77B3E">
      <w:pPr>
        <w:spacing w:before="5pt"/>
        <w:rPr>
          <w:color w:val="000000"/>
        </w:rPr>
      </w:pPr>
    </w:p>
    <w:p w14:paraId="16801060" w14:textId="77777777" w:rsidR="00A77B3E" w:rsidRDefault="00B16CCF">
      <w:pPr>
        <w:pStyle w:val="Naslov5"/>
        <w:spacing w:before="5pt" w:after="0pt"/>
        <w:rPr>
          <w:b w:val="0"/>
          <w:i w:val="0"/>
          <w:color w:val="000000"/>
          <w:sz w:val="24"/>
        </w:rPr>
      </w:pPr>
      <w:bookmarkStart w:id="479" w:name="_Toc256001240"/>
      <w:r>
        <w:rPr>
          <w:b w:val="0"/>
          <w:i w:val="0"/>
          <w:color w:val="000000"/>
          <w:sz w:val="24"/>
        </w:rPr>
        <w:t>Načrtovana uporaba finančnih instrumentov – člen 22(3)(d)(vii) uredbe o skupnih določbah</w:t>
      </w:r>
      <w:bookmarkEnd w:id="479"/>
    </w:p>
    <w:p w14:paraId="4A00F13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27B9B070"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336196" w14:textId="77777777" w:rsidR="00A77B3E" w:rsidRDefault="00A77B3E">
            <w:pPr>
              <w:spacing w:before="5pt"/>
              <w:rPr>
                <w:color w:val="000000"/>
                <w:sz w:val="0"/>
              </w:rPr>
            </w:pPr>
          </w:p>
          <w:p w14:paraId="4B337023" w14:textId="77777777" w:rsidR="00A77B3E" w:rsidRDefault="00B16CCF">
            <w:pPr>
              <w:spacing w:before="5pt"/>
              <w:rPr>
                <w:color w:val="000000"/>
              </w:rPr>
            </w:pPr>
            <w:r>
              <w:rPr>
                <w:color w:val="000000"/>
              </w:rPr>
              <w:t>Predvidena je uporaba nepovratnih virov. V okviru predmetnega specifičnega cilja uporaba finančnih instrumentov v skladu z izsledki analize Predhodnih ocen potreb trga in vrzeli financiranja na trgu za izvajanje finančnih instrumentov v programskem obdobju 2021-2027 (julij 2022) ni predvidena. Predlagani ukrepi ne ustvarjajo prihodkov oziroma prihrankov, zaradi česar uporaba finančnih instrumentov ni smiselna oziroma ustrezna. Gre namreč za ukrepe, ki se nanašajo na javni izobraževalni sistem, za katerega delovanje se sredstva sicer zagotavljajo iz državnega proračuna. VIZ praviloma nimajo tržne dejavnosti oziroma je ta v zelo omejenem obsegu in namenska, zato se ne morejo zadolževati na trgu.</w:t>
            </w:r>
          </w:p>
          <w:p w14:paraId="0F61D4D8" w14:textId="77777777" w:rsidR="00A77B3E" w:rsidRDefault="00A77B3E">
            <w:pPr>
              <w:spacing w:before="5pt"/>
              <w:rPr>
                <w:color w:val="000000"/>
                <w:sz w:val="6"/>
              </w:rPr>
            </w:pPr>
          </w:p>
          <w:p w14:paraId="372F2C0D" w14:textId="77777777" w:rsidR="00A77B3E" w:rsidRDefault="00A77B3E">
            <w:pPr>
              <w:spacing w:before="5pt"/>
              <w:rPr>
                <w:color w:val="000000"/>
                <w:sz w:val="6"/>
              </w:rPr>
            </w:pPr>
          </w:p>
        </w:tc>
      </w:tr>
    </w:tbl>
    <w:p w14:paraId="19B277A1" w14:textId="77777777" w:rsidR="00A77B3E" w:rsidRDefault="00A77B3E">
      <w:pPr>
        <w:spacing w:before="5pt"/>
        <w:rPr>
          <w:color w:val="000000"/>
        </w:rPr>
      </w:pPr>
    </w:p>
    <w:p w14:paraId="6EA42524" w14:textId="77777777" w:rsidR="00A77B3E" w:rsidRDefault="00B16CCF">
      <w:pPr>
        <w:pStyle w:val="Naslov4"/>
        <w:spacing w:before="5pt" w:after="0pt"/>
        <w:rPr>
          <w:b w:val="0"/>
          <w:color w:val="000000"/>
          <w:sz w:val="24"/>
        </w:rPr>
      </w:pPr>
      <w:bookmarkStart w:id="480" w:name="_Toc256001241"/>
      <w:r>
        <w:rPr>
          <w:b w:val="0"/>
          <w:color w:val="000000"/>
          <w:sz w:val="24"/>
        </w:rPr>
        <w:t>2.1.1.1.2. Kazalniki</w:t>
      </w:r>
      <w:bookmarkEnd w:id="480"/>
    </w:p>
    <w:p w14:paraId="2A31C520" w14:textId="77777777" w:rsidR="00A77B3E" w:rsidRDefault="00A77B3E">
      <w:pPr>
        <w:spacing w:before="5pt"/>
        <w:rPr>
          <w:color w:val="000000"/>
          <w:sz w:val="0"/>
        </w:rPr>
      </w:pPr>
    </w:p>
    <w:p w14:paraId="52641798" w14:textId="77777777" w:rsidR="00A77B3E" w:rsidRDefault="00B16CCF">
      <w:pPr>
        <w:spacing w:before="5pt"/>
        <w:rPr>
          <w:color w:val="000000"/>
          <w:sz w:val="0"/>
        </w:rPr>
      </w:pPr>
      <w:r>
        <w:rPr>
          <w:color w:val="000000"/>
        </w:rPr>
        <w:lastRenderedPageBreak/>
        <w:t>Sklic: člen 22(3)(d)(ii) uredbe o skupnih določbah in člen 8 uredbe o ESRR in Kohezijskem skladu</w:t>
      </w:r>
    </w:p>
    <w:p w14:paraId="64E9FA2F" w14:textId="77777777" w:rsidR="00A77B3E" w:rsidRDefault="00B16CCF">
      <w:pPr>
        <w:pStyle w:val="Naslov5"/>
        <w:spacing w:before="5pt" w:after="0pt"/>
        <w:rPr>
          <w:b w:val="0"/>
          <w:i w:val="0"/>
          <w:color w:val="000000"/>
          <w:sz w:val="24"/>
        </w:rPr>
      </w:pPr>
      <w:bookmarkStart w:id="481" w:name="_Toc256001242"/>
      <w:r>
        <w:rPr>
          <w:b w:val="0"/>
          <w:i w:val="0"/>
          <w:color w:val="000000"/>
          <w:sz w:val="24"/>
        </w:rPr>
        <w:t>Tabela 2: Kazalniki učinka</w:t>
      </w:r>
      <w:bookmarkEnd w:id="481"/>
    </w:p>
    <w:p w14:paraId="7F2FC05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779"/>
        <w:gridCol w:w="1641"/>
        <w:gridCol w:w="1019"/>
        <w:gridCol w:w="1701"/>
        <w:gridCol w:w="1975"/>
        <w:gridCol w:w="2660"/>
        <w:gridCol w:w="1329"/>
        <w:gridCol w:w="1446"/>
        <w:gridCol w:w="1622"/>
      </w:tblGrid>
      <w:tr w:rsidR="00823317" w14:paraId="34B7EA6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F33062"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D940AD3"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7017B7"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4ACA3B"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63D11EE"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E5786D"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49EACD"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C1A865" w14:textId="77777777" w:rsidR="00A77B3E" w:rsidRDefault="00B16CCF">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65F013" w14:textId="77777777" w:rsidR="00A77B3E" w:rsidRDefault="00B16CCF">
            <w:pPr>
              <w:spacing w:before="5pt"/>
              <w:jc w:val="center"/>
              <w:rPr>
                <w:color w:val="000000"/>
                <w:sz w:val="20"/>
              </w:rPr>
            </w:pPr>
            <w:r>
              <w:rPr>
                <w:color w:val="000000"/>
                <w:sz w:val="20"/>
              </w:rPr>
              <w:t>Cilj (2029)</w:t>
            </w:r>
          </w:p>
        </w:tc>
      </w:tr>
      <w:tr w:rsidR="00823317" w14:paraId="3D6AE7D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A79795"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6EEAC5" w14:textId="77777777" w:rsidR="00A77B3E" w:rsidRDefault="00B16CCF">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3177E3"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D0FDA8"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9FE6BA" w14:textId="77777777" w:rsidR="00A77B3E" w:rsidRDefault="00B16CCF">
            <w:pPr>
              <w:spacing w:before="5pt"/>
              <w:rPr>
                <w:color w:val="000000"/>
                <w:sz w:val="20"/>
              </w:rPr>
            </w:pPr>
            <w:r>
              <w:rPr>
                <w:color w:val="000000"/>
                <w:sz w:val="20"/>
              </w:rPr>
              <w:t>EECO05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635F76" w14:textId="77777777" w:rsidR="00A77B3E" w:rsidRDefault="00B16CCF">
            <w:pPr>
              <w:spacing w:before="5pt"/>
              <w:rPr>
                <w:color w:val="000000"/>
                <w:sz w:val="20"/>
              </w:rPr>
            </w:pPr>
            <w:r>
              <w:rPr>
                <w:color w:val="000000"/>
                <w:sz w:val="20"/>
              </w:rPr>
              <w:t>Zaposleni, vključno s samozaposlenimi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520F4E" w14:textId="77777777" w:rsidR="00A77B3E" w:rsidRDefault="00B16CCF">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21EA39" w14:textId="77777777" w:rsidR="00A77B3E" w:rsidRDefault="00B16CCF">
            <w:pPr>
              <w:spacing w:before="5pt"/>
              <w:jc w:val="end"/>
              <w:rPr>
                <w:color w:val="000000"/>
                <w:sz w:val="20"/>
              </w:rPr>
            </w:pPr>
            <w:r>
              <w:rPr>
                <w:color w:val="000000"/>
                <w:sz w:val="20"/>
              </w:rPr>
              <w:t>1.222,00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2339BE" w14:textId="77777777" w:rsidR="00A77B3E" w:rsidRDefault="00B16CCF">
            <w:pPr>
              <w:spacing w:before="5pt"/>
              <w:jc w:val="end"/>
              <w:rPr>
                <w:color w:val="000000"/>
                <w:sz w:val="20"/>
              </w:rPr>
            </w:pPr>
            <w:r>
              <w:rPr>
                <w:color w:val="000000"/>
                <w:sz w:val="20"/>
              </w:rPr>
              <w:t>11.983,00</w:t>
            </w:r>
          </w:p>
        </w:tc>
      </w:tr>
      <w:tr w:rsidR="00823317" w14:paraId="6992D5D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4E122E"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1C4314" w14:textId="77777777" w:rsidR="00A77B3E" w:rsidRDefault="00B16CCF">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464455"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B86A8F"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DCEF8E" w14:textId="77777777" w:rsidR="00A77B3E" w:rsidRDefault="00B16CCF">
            <w:pPr>
              <w:spacing w:before="5pt"/>
              <w:rPr>
                <w:color w:val="000000"/>
                <w:sz w:val="20"/>
              </w:rPr>
            </w:pPr>
            <w:r>
              <w:rPr>
                <w:color w:val="000000"/>
                <w:sz w:val="20"/>
              </w:rPr>
              <w:t>EECO07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DEDAE1" w14:textId="77777777" w:rsidR="00A77B3E" w:rsidRDefault="00B16CCF">
            <w:pPr>
              <w:spacing w:before="5pt"/>
              <w:rPr>
                <w:color w:val="000000"/>
                <w:sz w:val="20"/>
              </w:rPr>
            </w:pPr>
            <w:r>
              <w:rPr>
                <w:color w:val="000000"/>
                <w:sz w:val="20"/>
              </w:rPr>
              <w:t>Mladi, stari med 18 in 29 let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7F9760" w14:textId="77777777" w:rsidR="00A77B3E" w:rsidRDefault="00B16CCF">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DEE2BE" w14:textId="77777777" w:rsidR="00A77B3E" w:rsidRDefault="00B16CCF">
            <w:pPr>
              <w:spacing w:before="5pt"/>
              <w:jc w:val="end"/>
              <w:rPr>
                <w:color w:val="000000"/>
                <w:sz w:val="20"/>
              </w:rPr>
            </w:pPr>
            <w:r>
              <w:rPr>
                <w:color w:val="000000"/>
                <w:sz w:val="20"/>
              </w:rPr>
              <w:t>12,00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AD5496" w14:textId="77777777" w:rsidR="00A77B3E" w:rsidRDefault="00B16CCF">
            <w:pPr>
              <w:spacing w:before="5pt"/>
              <w:jc w:val="end"/>
              <w:rPr>
                <w:color w:val="000000"/>
                <w:sz w:val="20"/>
              </w:rPr>
            </w:pPr>
            <w:r>
              <w:rPr>
                <w:color w:val="000000"/>
                <w:sz w:val="20"/>
              </w:rPr>
              <w:t>41.681,00</w:t>
            </w:r>
          </w:p>
        </w:tc>
      </w:tr>
      <w:tr w:rsidR="00823317" w14:paraId="66D1A87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232AD2"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2E8238" w14:textId="77777777" w:rsidR="00A77B3E" w:rsidRDefault="00B16CCF">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468691"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A55BFE"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C6E7BB" w14:textId="77777777" w:rsidR="00A77B3E" w:rsidRDefault="00B16CCF">
            <w:pPr>
              <w:spacing w:before="5pt"/>
              <w:rPr>
                <w:color w:val="000000"/>
                <w:sz w:val="20"/>
              </w:rPr>
            </w:pPr>
            <w:r>
              <w:rPr>
                <w:color w:val="000000"/>
                <w:sz w:val="20"/>
              </w:rPr>
              <w:t>EECO18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B4BD35" w14:textId="77777777" w:rsidR="00A77B3E" w:rsidRDefault="00B16CCF">
            <w:pPr>
              <w:spacing w:before="5pt"/>
              <w:rPr>
                <w:color w:val="000000"/>
                <w:sz w:val="20"/>
              </w:rPr>
            </w:pPr>
            <w:r>
              <w:rPr>
                <w:color w:val="000000"/>
                <w:sz w:val="20"/>
              </w:rPr>
              <w:t>Število javnih uprav ali javnih služb, ki so prejele podporo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CB9702" w14:textId="77777777" w:rsidR="00A77B3E" w:rsidRDefault="00B16CCF">
            <w:pPr>
              <w:spacing w:before="5pt"/>
              <w:rPr>
                <w:color w:val="000000"/>
                <w:sz w:val="20"/>
              </w:rPr>
            </w:pPr>
            <w:r>
              <w:rPr>
                <w:color w:val="000000"/>
                <w:sz w:val="20"/>
              </w:rPr>
              <w:t>subjekti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6D1234" w14:textId="77777777" w:rsidR="00A77B3E" w:rsidRDefault="00B16CCF">
            <w:pPr>
              <w:spacing w:before="5pt"/>
              <w:jc w:val="end"/>
              <w:rPr>
                <w:color w:val="000000"/>
                <w:sz w:val="20"/>
              </w:rPr>
            </w:pPr>
            <w:r>
              <w:rPr>
                <w:color w:val="000000"/>
                <w:sz w:val="20"/>
              </w:rPr>
              <w:t>216,00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600CA4" w14:textId="77777777" w:rsidR="00A77B3E" w:rsidRDefault="00B16CCF">
            <w:pPr>
              <w:spacing w:before="5pt"/>
              <w:jc w:val="end"/>
              <w:rPr>
                <w:color w:val="000000"/>
                <w:sz w:val="20"/>
              </w:rPr>
            </w:pPr>
            <w:r>
              <w:rPr>
                <w:color w:val="000000"/>
                <w:sz w:val="20"/>
              </w:rPr>
              <w:t>301,00</w:t>
            </w:r>
          </w:p>
        </w:tc>
      </w:tr>
      <w:tr w:rsidR="00823317" w14:paraId="376782E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381873"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0EB0FE" w14:textId="77777777" w:rsidR="00A77B3E" w:rsidRDefault="00B16CCF">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A8E97A"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11A1B3"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75023B" w14:textId="77777777" w:rsidR="00A77B3E" w:rsidRDefault="00B16CCF">
            <w:pPr>
              <w:spacing w:before="5pt"/>
              <w:rPr>
                <w:color w:val="000000"/>
                <w:sz w:val="20"/>
              </w:rPr>
            </w:pPr>
            <w:r>
              <w:rPr>
                <w:color w:val="000000"/>
                <w:sz w:val="20"/>
              </w:rPr>
              <w:t>EECO05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E35FBD" w14:textId="77777777" w:rsidR="00A77B3E" w:rsidRDefault="00B16CCF">
            <w:pPr>
              <w:spacing w:before="5pt"/>
              <w:rPr>
                <w:color w:val="000000"/>
                <w:sz w:val="20"/>
              </w:rPr>
            </w:pPr>
            <w:r>
              <w:rPr>
                <w:color w:val="000000"/>
                <w:sz w:val="20"/>
              </w:rPr>
              <w:t>Zaposleni, vključno s samozaposlenimi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DC8FA7" w14:textId="77777777" w:rsidR="00A77B3E" w:rsidRDefault="00B16CCF">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7FEA23" w14:textId="77777777" w:rsidR="00A77B3E" w:rsidRDefault="00B16CCF">
            <w:pPr>
              <w:spacing w:before="5pt"/>
              <w:jc w:val="end"/>
              <w:rPr>
                <w:color w:val="000000"/>
                <w:sz w:val="20"/>
              </w:rPr>
            </w:pPr>
            <w:r>
              <w:rPr>
                <w:color w:val="000000"/>
                <w:sz w:val="20"/>
              </w:rPr>
              <w:t>1.378,00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460CD8" w14:textId="77777777" w:rsidR="00A77B3E" w:rsidRDefault="00B16CCF">
            <w:pPr>
              <w:spacing w:before="5pt"/>
              <w:jc w:val="end"/>
              <w:rPr>
                <w:color w:val="000000"/>
                <w:sz w:val="20"/>
              </w:rPr>
            </w:pPr>
            <w:r>
              <w:rPr>
                <w:color w:val="000000"/>
                <w:sz w:val="20"/>
              </w:rPr>
              <w:t>12.768,00</w:t>
            </w:r>
          </w:p>
        </w:tc>
      </w:tr>
      <w:tr w:rsidR="00823317" w14:paraId="6C91C30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168A61"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C75B45" w14:textId="77777777" w:rsidR="00A77B3E" w:rsidRDefault="00B16CCF">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052A1A"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2CFE97"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2FA3D8" w14:textId="77777777" w:rsidR="00A77B3E" w:rsidRDefault="00B16CCF">
            <w:pPr>
              <w:spacing w:before="5pt"/>
              <w:rPr>
                <w:color w:val="000000"/>
                <w:sz w:val="20"/>
              </w:rPr>
            </w:pPr>
            <w:r>
              <w:rPr>
                <w:color w:val="000000"/>
                <w:sz w:val="20"/>
              </w:rPr>
              <w:t>EECO07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AD9021" w14:textId="77777777" w:rsidR="00A77B3E" w:rsidRDefault="00B16CCF">
            <w:pPr>
              <w:spacing w:before="5pt"/>
              <w:rPr>
                <w:color w:val="000000"/>
                <w:sz w:val="20"/>
              </w:rPr>
            </w:pPr>
            <w:r>
              <w:rPr>
                <w:color w:val="000000"/>
                <w:sz w:val="20"/>
              </w:rPr>
              <w:t>Mladi, stari med 18 in 29 let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7F02CE" w14:textId="77777777" w:rsidR="00A77B3E" w:rsidRDefault="00B16CCF">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9B50E2" w14:textId="77777777" w:rsidR="00A77B3E" w:rsidRDefault="00B16CCF">
            <w:pPr>
              <w:spacing w:before="5pt"/>
              <w:jc w:val="end"/>
              <w:rPr>
                <w:color w:val="000000"/>
                <w:sz w:val="20"/>
              </w:rPr>
            </w:pPr>
            <w:r>
              <w:rPr>
                <w:color w:val="000000"/>
                <w:sz w:val="20"/>
              </w:rPr>
              <w:t>28,00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7AC2D8" w14:textId="77777777" w:rsidR="00A77B3E" w:rsidRDefault="00B16CCF">
            <w:pPr>
              <w:spacing w:before="5pt"/>
              <w:jc w:val="end"/>
              <w:rPr>
                <w:color w:val="000000"/>
                <w:sz w:val="20"/>
              </w:rPr>
            </w:pPr>
            <w:r>
              <w:rPr>
                <w:color w:val="000000"/>
                <w:sz w:val="20"/>
              </w:rPr>
              <w:t>20.679,00</w:t>
            </w:r>
          </w:p>
        </w:tc>
      </w:tr>
      <w:tr w:rsidR="00823317" w14:paraId="30745AE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F35588"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251D98" w14:textId="77777777" w:rsidR="00A77B3E" w:rsidRDefault="00B16CCF">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ED2C3B"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C6AF5E"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42A47B" w14:textId="77777777" w:rsidR="00A77B3E" w:rsidRDefault="00B16CCF">
            <w:pPr>
              <w:spacing w:before="5pt"/>
              <w:rPr>
                <w:color w:val="000000"/>
                <w:sz w:val="20"/>
              </w:rPr>
            </w:pPr>
            <w:r>
              <w:rPr>
                <w:color w:val="000000"/>
                <w:sz w:val="20"/>
              </w:rPr>
              <w:t>EECO18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ACDBEB" w14:textId="77777777" w:rsidR="00A77B3E" w:rsidRDefault="00B16CCF">
            <w:pPr>
              <w:spacing w:before="5pt"/>
              <w:rPr>
                <w:color w:val="000000"/>
                <w:sz w:val="20"/>
              </w:rPr>
            </w:pPr>
            <w:r>
              <w:rPr>
                <w:color w:val="000000"/>
                <w:sz w:val="20"/>
              </w:rPr>
              <w:t>Število javnih uprav ali javnih služb, ki so prejele podporo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7DD363" w14:textId="77777777" w:rsidR="00A77B3E" w:rsidRDefault="00B16CCF">
            <w:pPr>
              <w:spacing w:before="5pt"/>
              <w:rPr>
                <w:color w:val="000000"/>
                <w:sz w:val="20"/>
              </w:rPr>
            </w:pPr>
            <w:r>
              <w:rPr>
                <w:color w:val="000000"/>
                <w:sz w:val="20"/>
              </w:rPr>
              <w:t>subjekti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23511C" w14:textId="77777777" w:rsidR="00A77B3E" w:rsidRDefault="00B16CCF">
            <w:pPr>
              <w:spacing w:before="5pt"/>
              <w:jc w:val="end"/>
              <w:rPr>
                <w:color w:val="000000"/>
                <w:sz w:val="20"/>
              </w:rPr>
            </w:pPr>
            <w:r>
              <w:rPr>
                <w:color w:val="000000"/>
                <w:sz w:val="20"/>
              </w:rPr>
              <w:t>247,00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EB7856" w14:textId="77777777" w:rsidR="00A77B3E" w:rsidRDefault="00B16CCF">
            <w:pPr>
              <w:spacing w:before="5pt"/>
              <w:jc w:val="end"/>
              <w:rPr>
                <w:color w:val="000000"/>
                <w:sz w:val="20"/>
              </w:rPr>
            </w:pPr>
            <w:r>
              <w:rPr>
                <w:color w:val="000000"/>
                <w:sz w:val="20"/>
              </w:rPr>
              <w:t>352,00</w:t>
            </w:r>
          </w:p>
        </w:tc>
      </w:tr>
    </w:tbl>
    <w:p w14:paraId="7AD10E36" w14:textId="77777777" w:rsidR="00A77B3E" w:rsidRDefault="00A77B3E">
      <w:pPr>
        <w:spacing w:before="5pt"/>
        <w:rPr>
          <w:color w:val="000000"/>
          <w:sz w:val="20"/>
        </w:rPr>
      </w:pPr>
    </w:p>
    <w:p w14:paraId="411B1ED6" w14:textId="77777777" w:rsidR="00A77B3E" w:rsidRDefault="00B16CCF">
      <w:pPr>
        <w:spacing w:before="5pt"/>
        <w:rPr>
          <w:color w:val="000000"/>
          <w:sz w:val="0"/>
        </w:rPr>
      </w:pPr>
      <w:r>
        <w:rPr>
          <w:color w:val="000000"/>
        </w:rPr>
        <w:t>Sklic: člen 22(3)(d)(ii) uredbe o skupnih določbah</w:t>
      </w:r>
    </w:p>
    <w:p w14:paraId="487ABCE7" w14:textId="77777777" w:rsidR="00A77B3E" w:rsidRDefault="00B16CCF">
      <w:pPr>
        <w:pStyle w:val="Naslov5"/>
        <w:spacing w:before="5pt" w:after="0pt"/>
        <w:rPr>
          <w:b w:val="0"/>
          <w:i w:val="0"/>
          <w:color w:val="000000"/>
          <w:sz w:val="24"/>
        </w:rPr>
      </w:pPr>
      <w:bookmarkStart w:id="482" w:name="_Toc256001243"/>
      <w:r>
        <w:rPr>
          <w:b w:val="0"/>
          <w:i w:val="0"/>
          <w:color w:val="000000"/>
          <w:sz w:val="24"/>
        </w:rPr>
        <w:t>Tabela 3: Kazalniki rezultatov</w:t>
      </w:r>
      <w:bookmarkEnd w:id="482"/>
    </w:p>
    <w:p w14:paraId="27ADB67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54"/>
        <w:gridCol w:w="1249"/>
        <w:gridCol w:w="776"/>
        <w:gridCol w:w="1295"/>
        <w:gridCol w:w="1503"/>
        <w:gridCol w:w="1652"/>
        <w:gridCol w:w="1071"/>
        <w:gridCol w:w="1325"/>
        <w:gridCol w:w="1398"/>
        <w:gridCol w:w="878"/>
        <w:gridCol w:w="1585"/>
        <w:gridCol w:w="1086"/>
      </w:tblGrid>
      <w:tr w:rsidR="00823317" w14:paraId="27ECD32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3EF20A"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D8438C"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6A42A81"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FF45C4"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24652A"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49EAD9"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C38AEE"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B5AF4B" w14:textId="77777777" w:rsidR="00A77B3E" w:rsidRDefault="00B16CCF">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129A20" w14:textId="77777777" w:rsidR="00A77B3E" w:rsidRDefault="00B16CCF">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AF9B36" w14:textId="77777777" w:rsidR="00A77B3E" w:rsidRDefault="00B16CCF">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E23B6F" w14:textId="77777777" w:rsidR="00A77B3E" w:rsidRDefault="00B16CCF">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10F02D8" w14:textId="77777777" w:rsidR="00A77B3E" w:rsidRDefault="00B16CCF">
            <w:pPr>
              <w:spacing w:before="5pt"/>
              <w:jc w:val="center"/>
              <w:rPr>
                <w:color w:val="000000"/>
                <w:sz w:val="20"/>
              </w:rPr>
            </w:pPr>
            <w:r>
              <w:rPr>
                <w:color w:val="000000"/>
                <w:sz w:val="20"/>
              </w:rPr>
              <w:t>Opombe</w:t>
            </w:r>
          </w:p>
        </w:tc>
      </w:tr>
      <w:tr w:rsidR="00823317" w14:paraId="0FB8D03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6CC82C"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480D63" w14:textId="77777777" w:rsidR="00A77B3E" w:rsidRDefault="00B16CCF">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365ACB"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45F0B2"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2F930F" w14:textId="77777777" w:rsidR="00A77B3E" w:rsidRDefault="00B16CCF">
            <w:pPr>
              <w:spacing w:before="5pt"/>
              <w:rPr>
                <w:color w:val="000000"/>
                <w:sz w:val="20"/>
              </w:rPr>
            </w:pPr>
            <w:r>
              <w:rPr>
                <w:color w:val="000000"/>
                <w:sz w:val="20"/>
              </w:rPr>
              <w:t>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29A1B4" w14:textId="77777777" w:rsidR="00A77B3E" w:rsidRDefault="00B16CCF">
            <w:pPr>
              <w:spacing w:before="5pt"/>
              <w:rPr>
                <w:color w:val="000000"/>
                <w:sz w:val="20"/>
              </w:rPr>
            </w:pPr>
            <w:r>
              <w:rPr>
                <w:color w:val="000000"/>
                <w:sz w:val="20"/>
              </w:rPr>
              <w:t>Delež podprtih organizacij, ki so uspešno vključile rezultate projektov za izboljšanje znanj, spretnosti in kompetenc v svoje razvojne načrte v 4 tednih po zaključku operacije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2D6EF4" w14:textId="77777777" w:rsidR="00A77B3E" w:rsidRDefault="00B16CCF">
            <w:pPr>
              <w:spacing w:before="5pt"/>
              <w:rPr>
                <w:color w:val="000000"/>
                <w:sz w:val="20"/>
              </w:rPr>
            </w:pPr>
            <w:r>
              <w:rPr>
                <w:color w:val="000000"/>
                <w:sz w:val="20"/>
              </w:rPr>
              <w:t>odstotek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064428" w14:textId="77777777" w:rsidR="00A77B3E" w:rsidRDefault="00B16CCF">
            <w:pPr>
              <w:spacing w:before="5pt"/>
              <w:jc w:val="end"/>
              <w:rPr>
                <w:color w:val="000000"/>
                <w:sz w:val="20"/>
              </w:rPr>
            </w:pPr>
            <w:r>
              <w:rPr>
                <w:color w:val="000000"/>
                <w:sz w:val="20"/>
              </w:rPr>
              <w:t>85,00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71913E" w14:textId="77777777" w:rsidR="00A77B3E" w:rsidRDefault="00B16CCF">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DDC1C7" w14:textId="77777777" w:rsidR="00A77B3E" w:rsidRDefault="00B16CCF">
            <w:pPr>
              <w:spacing w:before="5pt"/>
              <w:jc w:val="end"/>
              <w:rPr>
                <w:color w:val="000000"/>
                <w:sz w:val="20"/>
              </w:rPr>
            </w:pPr>
            <w:r>
              <w:rPr>
                <w:color w:val="000000"/>
                <w:sz w:val="20"/>
              </w:rPr>
              <w:t>80,00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5FC95C" w14:textId="77777777" w:rsidR="00A77B3E" w:rsidRDefault="00B16CCF">
            <w:pPr>
              <w:spacing w:before="5pt"/>
              <w:rPr>
                <w:color w:val="000000"/>
                <w:sz w:val="20"/>
              </w:rPr>
            </w:pPr>
            <w:r>
              <w:rPr>
                <w:color w:val="000000"/>
                <w:sz w:val="20"/>
              </w:rPr>
              <w:t>Upravičenec, MVI, MK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BC8EA3" w14:textId="77777777" w:rsidR="00A77B3E" w:rsidRDefault="00A77B3E">
            <w:pPr>
              <w:spacing w:before="5pt"/>
              <w:rPr>
                <w:color w:val="000000"/>
                <w:sz w:val="20"/>
              </w:rPr>
            </w:pPr>
          </w:p>
        </w:tc>
      </w:tr>
      <w:tr w:rsidR="00823317" w14:paraId="1035CEE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19A9DF"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96B790" w14:textId="77777777" w:rsidR="00A77B3E" w:rsidRDefault="00B16CCF">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0CEA34"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818D07"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0C31F7" w14:textId="77777777" w:rsidR="00A77B3E" w:rsidRDefault="00B16CCF">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E5A434" w14:textId="77777777" w:rsidR="00A77B3E" w:rsidRDefault="00B16CCF">
            <w:pPr>
              <w:spacing w:before="5pt"/>
              <w:rPr>
                <w:color w:val="000000"/>
                <w:sz w:val="20"/>
              </w:rPr>
            </w:pPr>
            <w:r>
              <w:rPr>
                <w:color w:val="000000"/>
                <w:sz w:val="20"/>
              </w:rPr>
              <w:t xml:space="preserve">Delež vključenih mladih med 18 in 29, ki so po </w:t>
            </w:r>
            <w:r>
              <w:rPr>
                <w:color w:val="000000"/>
                <w:sz w:val="20"/>
              </w:rPr>
              <w:lastRenderedPageBreak/>
              <w:t>zaključku sodelovanja pridobili potrdilo o uspešno izvedenih aktivnostih</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D91FB4" w14:textId="77777777" w:rsidR="00A77B3E" w:rsidRDefault="00B16CCF">
            <w:pPr>
              <w:spacing w:before="5pt"/>
              <w:rPr>
                <w:color w:val="000000"/>
                <w:sz w:val="20"/>
              </w:rPr>
            </w:pPr>
            <w:r>
              <w:rPr>
                <w:color w:val="000000"/>
                <w:sz w:val="20"/>
              </w:rPr>
              <w:lastRenderedPageBreak/>
              <w:t>odstotek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A21ACE" w14:textId="77777777" w:rsidR="00A77B3E" w:rsidRDefault="00B16CCF">
            <w:pPr>
              <w:spacing w:before="5pt"/>
              <w:jc w:val="end"/>
              <w:rPr>
                <w:color w:val="000000"/>
                <w:sz w:val="20"/>
              </w:rPr>
            </w:pPr>
            <w:r>
              <w:rPr>
                <w:color w:val="000000"/>
                <w:sz w:val="20"/>
              </w:rPr>
              <w:t>95,00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EAFF38" w14:textId="77777777" w:rsidR="00A77B3E" w:rsidRDefault="00B16CCF">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4DCB87" w14:textId="77777777" w:rsidR="00A77B3E" w:rsidRDefault="00B16CCF">
            <w:pPr>
              <w:spacing w:before="5pt"/>
              <w:jc w:val="end"/>
              <w:rPr>
                <w:color w:val="000000"/>
                <w:sz w:val="20"/>
              </w:rPr>
            </w:pPr>
            <w:r>
              <w:rPr>
                <w:color w:val="000000"/>
                <w:sz w:val="20"/>
              </w:rPr>
              <w:t>57,00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85DF1F" w14:textId="77777777" w:rsidR="00A77B3E" w:rsidRDefault="00B16CCF">
            <w:pPr>
              <w:spacing w:before="5pt"/>
              <w:rPr>
                <w:color w:val="000000"/>
                <w:sz w:val="20"/>
              </w:rPr>
            </w:pPr>
            <w:r>
              <w:rPr>
                <w:color w:val="000000"/>
                <w:sz w:val="20"/>
              </w:rPr>
              <w:t>Upravičenec, MVZI, MK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CD8360" w14:textId="77777777" w:rsidR="00A77B3E" w:rsidRDefault="00A77B3E">
            <w:pPr>
              <w:spacing w:before="5pt"/>
              <w:rPr>
                <w:color w:val="000000"/>
                <w:sz w:val="20"/>
              </w:rPr>
            </w:pPr>
          </w:p>
        </w:tc>
      </w:tr>
      <w:tr w:rsidR="00823317" w14:paraId="5B6F2B0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4FED6D"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54698E" w14:textId="77777777" w:rsidR="00A77B3E" w:rsidRDefault="00B16CCF">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624945"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A1D05B"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C3094E" w14:textId="77777777" w:rsidR="00A77B3E" w:rsidRDefault="00B16CCF">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48AB70" w14:textId="77777777" w:rsidR="00A77B3E" w:rsidRDefault="00B16CCF">
            <w:pPr>
              <w:spacing w:before="5pt"/>
              <w:rPr>
                <w:color w:val="000000"/>
                <w:sz w:val="20"/>
              </w:rPr>
            </w:pPr>
            <w:r>
              <w:rPr>
                <w:color w:val="000000"/>
                <w:sz w:val="20"/>
              </w:rPr>
              <w:t>Delež udeležencev, ki so po zaključku sodelovanja pridobili potrdilo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E5A0B5" w14:textId="77777777" w:rsidR="00A77B3E" w:rsidRDefault="00B16CCF">
            <w:pPr>
              <w:spacing w:before="5pt"/>
              <w:rPr>
                <w:color w:val="000000"/>
                <w:sz w:val="20"/>
              </w:rPr>
            </w:pPr>
            <w:r>
              <w:rPr>
                <w:color w:val="000000"/>
                <w:sz w:val="20"/>
              </w:rPr>
              <w:t>odstotek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53225B" w14:textId="77777777" w:rsidR="00A77B3E" w:rsidRDefault="00B16CCF">
            <w:pPr>
              <w:spacing w:before="5pt"/>
              <w:jc w:val="end"/>
              <w:rPr>
                <w:color w:val="000000"/>
                <w:sz w:val="20"/>
              </w:rPr>
            </w:pPr>
            <w:r>
              <w:rPr>
                <w:color w:val="000000"/>
                <w:sz w:val="20"/>
              </w:rPr>
              <w:t>95,00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59FEC3" w14:textId="77777777" w:rsidR="00A77B3E" w:rsidRDefault="00B16CCF">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8F4281" w14:textId="77777777" w:rsidR="00A77B3E" w:rsidRDefault="00B16CCF">
            <w:pPr>
              <w:spacing w:before="5pt"/>
              <w:jc w:val="end"/>
              <w:rPr>
                <w:color w:val="000000"/>
                <w:sz w:val="20"/>
              </w:rPr>
            </w:pPr>
            <w:r>
              <w:rPr>
                <w:color w:val="000000"/>
                <w:sz w:val="20"/>
              </w:rPr>
              <w:t>95,00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F70329" w14:textId="77777777" w:rsidR="00A77B3E" w:rsidRDefault="00B16CCF">
            <w:pPr>
              <w:spacing w:before="5pt"/>
              <w:rPr>
                <w:color w:val="000000"/>
                <w:sz w:val="20"/>
              </w:rPr>
            </w:pPr>
            <w:r>
              <w:rPr>
                <w:color w:val="000000"/>
                <w:sz w:val="20"/>
              </w:rPr>
              <w:t>Upravičenec, MVZI, MK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4133DB" w14:textId="77777777" w:rsidR="00A77B3E" w:rsidRDefault="00A77B3E">
            <w:pPr>
              <w:spacing w:before="5pt"/>
              <w:rPr>
                <w:color w:val="000000"/>
                <w:sz w:val="20"/>
              </w:rPr>
            </w:pPr>
          </w:p>
        </w:tc>
      </w:tr>
      <w:tr w:rsidR="00823317" w14:paraId="3E72419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D39166"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7DE3AD" w14:textId="77777777" w:rsidR="00A77B3E" w:rsidRDefault="00B16CCF">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9433BA"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910BD0"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7EE89B" w14:textId="77777777" w:rsidR="00A77B3E" w:rsidRDefault="00B16CCF">
            <w:pPr>
              <w:spacing w:before="5pt"/>
              <w:rPr>
                <w:color w:val="000000"/>
                <w:sz w:val="20"/>
              </w:rPr>
            </w:pPr>
            <w:r>
              <w:rPr>
                <w:color w:val="000000"/>
                <w:sz w:val="20"/>
              </w:rPr>
              <w:t>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AE4512" w14:textId="77777777" w:rsidR="00A77B3E" w:rsidRDefault="00B16CCF">
            <w:pPr>
              <w:spacing w:before="5pt"/>
              <w:rPr>
                <w:color w:val="000000"/>
                <w:sz w:val="20"/>
              </w:rPr>
            </w:pPr>
            <w:r>
              <w:rPr>
                <w:color w:val="000000"/>
                <w:sz w:val="20"/>
              </w:rPr>
              <w:t>Delež vključenih dijakov in študentov v poklicno in strokovno izobraževanje 4 tedne po zaključku operacije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9C974E" w14:textId="77777777" w:rsidR="00A77B3E" w:rsidRDefault="00B16CCF">
            <w:pPr>
              <w:spacing w:before="5pt"/>
              <w:rPr>
                <w:color w:val="000000"/>
                <w:sz w:val="20"/>
              </w:rPr>
            </w:pPr>
            <w:r>
              <w:rPr>
                <w:color w:val="000000"/>
                <w:sz w:val="20"/>
              </w:rPr>
              <w:t>odstotek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658E63" w14:textId="77777777" w:rsidR="00A77B3E" w:rsidRDefault="00B16CCF">
            <w:pPr>
              <w:spacing w:before="5pt"/>
              <w:jc w:val="end"/>
              <w:rPr>
                <w:color w:val="000000"/>
                <w:sz w:val="20"/>
              </w:rPr>
            </w:pPr>
            <w:r>
              <w:rPr>
                <w:color w:val="000000"/>
                <w:sz w:val="20"/>
              </w:rPr>
              <w:t>67,00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1439F7" w14:textId="77777777" w:rsidR="00A77B3E" w:rsidRDefault="00B16CCF">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0095F1" w14:textId="77777777" w:rsidR="00A77B3E" w:rsidRDefault="00B16CCF">
            <w:pPr>
              <w:spacing w:before="5pt"/>
              <w:jc w:val="end"/>
              <w:rPr>
                <w:color w:val="000000"/>
                <w:sz w:val="20"/>
              </w:rPr>
            </w:pPr>
            <w:r>
              <w:rPr>
                <w:color w:val="000000"/>
                <w:sz w:val="20"/>
              </w:rPr>
              <w:t>69,00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8516E5" w14:textId="77777777" w:rsidR="00A77B3E" w:rsidRDefault="00B16CCF">
            <w:pPr>
              <w:spacing w:before="5pt"/>
              <w:rPr>
                <w:color w:val="000000"/>
                <w:sz w:val="20"/>
              </w:rPr>
            </w:pPr>
            <w:r>
              <w:rPr>
                <w:color w:val="000000"/>
                <w:sz w:val="20"/>
              </w:rPr>
              <w:t>Upravičenci, MVI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CC0896" w14:textId="77777777" w:rsidR="00A77B3E" w:rsidRDefault="00A77B3E">
            <w:pPr>
              <w:spacing w:before="5pt"/>
              <w:rPr>
                <w:color w:val="000000"/>
                <w:sz w:val="20"/>
              </w:rPr>
            </w:pPr>
          </w:p>
        </w:tc>
      </w:tr>
      <w:tr w:rsidR="00823317" w14:paraId="65C133F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4A9180"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BCA0F6" w14:textId="77777777" w:rsidR="00A77B3E" w:rsidRDefault="00B16CCF">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77BF74"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F8A6ED"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288725" w14:textId="77777777" w:rsidR="00A77B3E" w:rsidRDefault="00B16CCF">
            <w:pPr>
              <w:spacing w:before="5pt"/>
              <w:rPr>
                <w:color w:val="000000"/>
                <w:sz w:val="20"/>
              </w:rPr>
            </w:pPr>
            <w:r>
              <w:rPr>
                <w:color w:val="000000"/>
                <w:sz w:val="20"/>
              </w:rPr>
              <w:t>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D5875C" w14:textId="77777777" w:rsidR="00A77B3E" w:rsidRDefault="00B16CCF">
            <w:pPr>
              <w:spacing w:before="5pt"/>
              <w:rPr>
                <w:color w:val="000000"/>
                <w:sz w:val="20"/>
              </w:rPr>
            </w:pPr>
            <w:r>
              <w:rPr>
                <w:color w:val="000000"/>
                <w:sz w:val="20"/>
              </w:rPr>
              <w:t>Delež podprtih organizacij, ki so uspešno vključile rezultate projektov za izboljšanje znanj, spretnosti in kompetenc v svoje razvojne načrte v 4 tednih po zaključku operacije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B6A413" w14:textId="77777777" w:rsidR="00A77B3E" w:rsidRDefault="00B16CCF">
            <w:pPr>
              <w:spacing w:before="5pt"/>
              <w:rPr>
                <w:color w:val="000000"/>
                <w:sz w:val="20"/>
              </w:rPr>
            </w:pPr>
            <w:r>
              <w:rPr>
                <w:color w:val="000000"/>
                <w:sz w:val="20"/>
              </w:rPr>
              <w:t>odstotek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C1239B" w14:textId="77777777" w:rsidR="00A77B3E" w:rsidRDefault="00B16CCF">
            <w:pPr>
              <w:spacing w:before="5pt"/>
              <w:jc w:val="end"/>
              <w:rPr>
                <w:color w:val="000000"/>
                <w:sz w:val="20"/>
              </w:rPr>
            </w:pPr>
            <w:r>
              <w:rPr>
                <w:color w:val="000000"/>
                <w:sz w:val="20"/>
              </w:rPr>
              <w:t>85,00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7F955A" w14:textId="77777777" w:rsidR="00A77B3E" w:rsidRDefault="00B16CCF">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915F55" w14:textId="77777777" w:rsidR="00A77B3E" w:rsidRDefault="00B16CCF">
            <w:pPr>
              <w:spacing w:before="5pt"/>
              <w:jc w:val="end"/>
              <w:rPr>
                <w:color w:val="000000"/>
                <w:sz w:val="20"/>
              </w:rPr>
            </w:pPr>
            <w:r>
              <w:rPr>
                <w:color w:val="000000"/>
                <w:sz w:val="20"/>
              </w:rPr>
              <w:t>80,00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031E38" w14:textId="77777777" w:rsidR="00A77B3E" w:rsidRDefault="00B16CCF">
            <w:pPr>
              <w:spacing w:before="5pt"/>
              <w:rPr>
                <w:color w:val="000000"/>
                <w:sz w:val="20"/>
              </w:rPr>
            </w:pPr>
            <w:r>
              <w:rPr>
                <w:color w:val="000000"/>
                <w:sz w:val="20"/>
              </w:rPr>
              <w:t>Upravičenec, MVI, MK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AAFD39" w14:textId="77777777" w:rsidR="00A77B3E" w:rsidRDefault="00A77B3E">
            <w:pPr>
              <w:spacing w:before="5pt"/>
              <w:rPr>
                <w:color w:val="000000"/>
                <w:sz w:val="20"/>
              </w:rPr>
            </w:pPr>
          </w:p>
        </w:tc>
      </w:tr>
      <w:tr w:rsidR="00823317" w14:paraId="0F67B82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F491A2"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83BF15" w14:textId="77777777" w:rsidR="00A77B3E" w:rsidRDefault="00B16CCF">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464A30"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99112B"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3470AB" w14:textId="77777777" w:rsidR="00A77B3E" w:rsidRDefault="00B16CCF">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D325FE" w14:textId="77777777" w:rsidR="00A77B3E" w:rsidRDefault="00B16CCF">
            <w:pPr>
              <w:spacing w:before="5pt"/>
              <w:rPr>
                <w:color w:val="000000"/>
                <w:sz w:val="20"/>
              </w:rPr>
            </w:pPr>
            <w:r>
              <w:rPr>
                <w:color w:val="000000"/>
                <w:sz w:val="20"/>
              </w:rPr>
              <w:t>Delež vključenih mladih med 18 in 29, ki so po zaključku sodelovanja pridobili potrdilo o uspešno izvedenih aktivnostih</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653AE4" w14:textId="77777777" w:rsidR="00A77B3E" w:rsidRDefault="00B16CCF">
            <w:pPr>
              <w:spacing w:before="5pt"/>
              <w:rPr>
                <w:color w:val="000000"/>
                <w:sz w:val="20"/>
              </w:rPr>
            </w:pPr>
            <w:r>
              <w:rPr>
                <w:color w:val="000000"/>
                <w:sz w:val="20"/>
              </w:rPr>
              <w:t>odstotek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9130D2" w14:textId="77777777" w:rsidR="00A77B3E" w:rsidRDefault="00B16CCF">
            <w:pPr>
              <w:spacing w:before="5pt"/>
              <w:jc w:val="end"/>
              <w:rPr>
                <w:color w:val="000000"/>
                <w:sz w:val="20"/>
              </w:rPr>
            </w:pPr>
            <w:r>
              <w:rPr>
                <w:color w:val="000000"/>
                <w:sz w:val="20"/>
              </w:rPr>
              <w:t>95,00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0AA2A9" w14:textId="77777777" w:rsidR="00A77B3E" w:rsidRDefault="00B16CCF">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0EF3FC" w14:textId="77777777" w:rsidR="00A77B3E" w:rsidRDefault="00B16CCF">
            <w:pPr>
              <w:spacing w:before="5pt"/>
              <w:jc w:val="end"/>
              <w:rPr>
                <w:color w:val="000000"/>
                <w:sz w:val="20"/>
              </w:rPr>
            </w:pPr>
            <w:r>
              <w:rPr>
                <w:color w:val="000000"/>
                <w:sz w:val="20"/>
              </w:rPr>
              <w:t>57,00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B2B2B5" w14:textId="77777777" w:rsidR="00A77B3E" w:rsidRDefault="00B16CCF">
            <w:pPr>
              <w:spacing w:before="5pt"/>
              <w:rPr>
                <w:color w:val="000000"/>
                <w:sz w:val="20"/>
              </w:rPr>
            </w:pPr>
            <w:r>
              <w:rPr>
                <w:color w:val="000000"/>
                <w:sz w:val="20"/>
              </w:rPr>
              <w:t>Upravičenec, MVZI, MK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7EB161" w14:textId="77777777" w:rsidR="00A77B3E" w:rsidRDefault="00A77B3E">
            <w:pPr>
              <w:spacing w:before="5pt"/>
              <w:rPr>
                <w:color w:val="000000"/>
                <w:sz w:val="20"/>
              </w:rPr>
            </w:pPr>
          </w:p>
        </w:tc>
      </w:tr>
      <w:tr w:rsidR="00823317" w14:paraId="51D1F27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1132F9"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DD3CC5" w14:textId="77777777" w:rsidR="00A77B3E" w:rsidRDefault="00B16CCF">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7121E4"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2DF6E1"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64E16B" w14:textId="77777777" w:rsidR="00A77B3E" w:rsidRDefault="00B16CCF">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288AE1" w14:textId="77777777" w:rsidR="00A77B3E" w:rsidRDefault="00B16CCF">
            <w:pPr>
              <w:spacing w:before="5pt"/>
              <w:rPr>
                <w:color w:val="000000"/>
                <w:sz w:val="20"/>
              </w:rPr>
            </w:pPr>
            <w:r>
              <w:rPr>
                <w:color w:val="000000"/>
                <w:sz w:val="20"/>
              </w:rPr>
              <w:t xml:space="preserve">Delež udeležencev, ki so po zaključku </w:t>
            </w:r>
            <w:r>
              <w:rPr>
                <w:color w:val="000000"/>
                <w:sz w:val="20"/>
              </w:rPr>
              <w:lastRenderedPageBreak/>
              <w:t>sodelovanja pridobili potrdilo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64BEBF" w14:textId="77777777" w:rsidR="00A77B3E" w:rsidRDefault="00B16CCF">
            <w:pPr>
              <w:spacing w:before="5pt"/>
              <w:rPr>
                <w:color w:val="000000"/>
                <w:sz w:val="20"/>
              </w:rPr>
            </w:pPr>
            <w:r>
              <w:rPr>
                <w:color w:val="000000"/>
                <w:sz w:val="20"/>
              </w:rPr>
              <w:lastRenderedPageBreak/>
              <w:t>odstotek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F6532C" w14:textId="77777777" w:rsidR="00A77B3E" w:rsidRDefault="00B16CCF">
            <w:pPr>
              <w:spacing w:before="5pt"/>
              <w:jc w:val="end"/>
              <w:rPr>
                <w:color w:val="000000"/>
                <w:sz w:val="20"/>
              </w:rPr>
            </w:pPr>
            <w:r>
              <w:rPr>
                <w:color w:val="000000"/>
                <w:sz w:val="20"/>
              </w:rPr>
              <w:t>95,00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E171C8" w14:textId="77777777" w:rsidR="00A77B3E" w:rsidRDefault="00B16CCF">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D70BB3" w14:textId="77777777" w:rsidR="00A77B3E" w:rsidRDefault="00B16CCF">
            <w:pPr>
              <w:spacing w:before="5pt"/>
              <w:jc w:val="end"/>
              <w:rPr>
                <w:color w:val="000000"/>
                <w:sz w:val="20"/>
              </w:rPr>
            </w:pPr>
            <w:r>
              <w:rPr>
                <w:color w:val="000000"/>
                <w:sz w:val="20"/>
              </w:rPr>
              <w:t>95,00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E8D096" w14:textId="77777777" w:rsidR="00A77B3E" w:rsidRDefault="00B16CCF">
            <w:pPr>
              <w:spacing w:before="5pt"/>
              <w:rPr>
                <w:color w:val="000000"/>
                <w:sz w:val="20"/>
              </w:rPr>
            </w:pPr>
            <w:r>
              <w:rPr>
                <w:color w:val="000000"/>
                <w:sz w:val="20"/>
              </w:rPr>
              <w:t>Upravičenec, MVZI, MK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96B607" w14:textId="77777777" w:rsidR="00A77B3E" w:rsidRDefault="00A77B3E">
            <w:pPr>
              <w:spacing w:before="5pt"/>
              <w:rPr>
                <w:color w:val="000000"/>
                <w:sz w:val="20"/>
              </w:rPr>
            </w:pPr>
          </w:p>
        </w:tc>
      </w:tr>
      <w:tr w:rsidR="00823317" w14:paraId="5A1EB92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4FF42E"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577BF3" w14:textId="77777777" w:rsidR="00A77B3E" w:rsidRDefault="00B16CCF">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3B0134"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A9FF42"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B258DF" w14:textId="77777777" w:rsidR="00A77B3E" w:rsidRDefault="00B16CCF">
            <w:pPr>
              <w:spacing w:before="5pt"/>
              <w:rPr>
                <w:color w:val="000000"/>
                <w:sz w:val="20"/>
              </w:rPr>
            </w:pPr>
            <w:r>
              <w:rPr>
                <w:color w:val="000000"/>
                <w:sz w:val="20"/>
              </w:rPr>
              <w:t>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08514E" w14:textId="77777777" w:rsidR="00A77B3E" w:rsidRDefault="00B16CCF">
            <w:pPr>
              <w:spacing w:before="5pt"/>
              <w:rPr>
                <w:color w:val="000000"/>
                <w:sz w:val="20"/>
              </w:rPr>
            </w:pPr>
            <w:r>
              <w:rPr>
                <w:color w:val="000000"/>
                <w:sz w:val="20"/>
              </w:rPr>
              <w:t>Delež vključenih dijakov in študentov v poklicno in strokovno izobraževanje 4 tedne po zaključku operacije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240590" w14:textId="77777777" w:rsidR="00A77B3E" w:rsidRDefault="00B16CCF">
            <w:pPr>
              <w:spacing w:before="5pt"/>
              <w:rPr>
                <w:color w:val="000000"/>
                <w:sz w:val="20"/>
              </w:rPr>
            </w:pPr>
            <w:r>
              <w:rPr>
                <w:color w:val="000000"/>
                <w:sz w:val="20"/>
              </w:rPr>
              <w:t>odstotek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F63230" w14:textId="77777777" w:rsidR="00A77B3E" w:rsidRDefault="00B16CCF">
            <w:pPr>
              <w:spacing w:before="5pt"/>
              <w:jc w:val="end"/>
              <w:rPr>
                <w:color w:val="000000"/>
                <w:sz w:val="20"/>
              </w:rPr>
            </w:pPr>
            <w:r>
              <w:rPr>
                <w:color w:val="000000"/>
                <w:sz w:val="20"/>
              </w:rPr>
              <w:t>67,00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F04337" w14:textId="77777777" w:rsidR="00A77B3E" w:rsidRDefault="00B16CCF">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4F5E68" w14:textId="77777777" w:rsidR="00A77B3E" w:rsidRDefault="00B16CCF">
            <w:pPr>
              <w:spacing w:before="5pt"/>
              <w:jc w:val="end"/>
              <w:rPr>
                <w:color w:val="000000"/>
                <w:sz w:val="20"/>
              </w:rPr>
            </w:pPr>
            <w:r>
              <w:rPr>
                <w:color w:val="000000"/>
                <w:sz w:val="20"/>
              </w:rPr>
              <w:t>69,00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E5BC48" w14:textId="77777777" w:rsidR="00A77B3E" w:rsidRDefault="00B16CCF">
            <w:pPr>
              <w:spacing w:before="5pt"/>
              <w:rPr>
                <w:color w:val="000000"/>
                <w:sz w:val="20"/>
              </w:rPr>
            </w:pPr>
            <w:r>
              <w:rPr>
                <w:color w:val="000000"/>
                <w:sz w:val="20"/>
              </w:rPr>
              <w:t>Upravičenec, MVI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7503C7" w14:textId="77777777" w:rsidR="00A77B3E" w:rsidRDefault="00A77B3E">
            <w:pPr>
              <w:spacing w:before="5pt"/>
              <w:rPr>
                <w:color w:val="000000"/>
                <w:sz w:val="20"/>
              </w:rPr>
            </w:pPr>
          </w:p>
        </w:tc>
      </w:tr>
    </w:tbl>
    <w:p w14:paraId="67B27239" w14:textId="77777777" w:rsidR="00A77B3E" w:rsidRDefault="00A77B3E">
      <w:pPr>
        <w:spacing w:before="5pt"/>
        <w:rPr>
          <w:color w:val="000000"/>
          <w:sz w:val="20"/>
        </w:rPr>
      </w:pPr>
    </w:p>
    <w:p w14:paraId="43D4D91C" w14:textId="77777777" w:rsidR="00A77B3E" w:rsidRDefault="00B16CCF">
      <w:pPr>
        <w:pStyle w:val="Naslov4"/>
        <w:spacing w:before="5pt" w:after="0pt"/>
        <w:rPr>
          <w:b w:val="0"/>
          <w:color w:val="000000"/>
          <w:sz w:val="24"/>
        </w:rPr>
      </w:pPr>
      <w:bookmarkStart w:id="483" w:name="_Toc256001244"/>
      <w:r>
        <w:rPr>
          <w:b w:val="0"/>
          <w:color w:val="000000"/>
          <w:sz w:val="24"/>
        </w:rPr>
        <w:t>2.1.1.1.3. Okvirna razčlenitev načrtovanih sredstev (EU) glede na vrsto ukrepa</w:t>
      </w:r>
      <w:bookmarkEnd w:id="483"/>
    </w:p>
    <w:p w14:paraId="5799F04C" w14:textId="77777777" w:rsidR="00A77B3E" w:rsidRDefault="00A77B3E">
      <w:pPr>
        <w:spacing w:before="5pt"/>
        <w:rPr>
          <w:color w:val="000000"/>
          <w:sz w:val="0"/>
        </w:rPr>
      </w:pPr>
    </w:p>
    <w:p w14:paraId="47A46761" w14:textId="77777777" w:rsidR="00A77B3E" w:rsidRDefault="00B16CCF">
      <w:pPr>
        <w:spacing w:before="5pt"/>
        <w:rPr>
          <w:color w:val="000000"/>
          <w:sz w:val="0"/>
        </w:rPr>
      </w:pPr>
      <w:r>
        <w:rPr>
          <w:color w:val="000000"/>
        </w:rPr>
        <w:t>Sklic: člen 22(3)(d)(viii) uredbe o skupnih določbah</w:t>
      </w:r>
    </w:p>
    <w:p w14:paraId="091ED0EE" w14:textId="77777777" w:rsidR="00A77B3E" w:rsidRDefault="00B16CCF">
      <w:pPr>
        <w:pStyle w:val="Naslov5"/>
        <w:spacing w:before="5pt" w:after="0pt"/>
        <w:rPr>
          <w:b w:val="0"/>
          <w:i w:val="0"/>
          <w:color w:val="000000"/>
          <w:sz w:val="24"/>
        </w:rPr>
      </w:pPr>
      <w:bookmarkStart w:id="484" w:name="_Toc256001245"/>
      <w:r>
        <w:rPr>
          <w:b w:val="0"/>
          <w:i w:val="0"/>
          <w:color w:val="000000"/>
          <w:sz w:val="24"/>
        </w:rPr>
        <w:t>Tabela 4: Razsežnost 1 – področje ukrepanja</w:t>
      </w:r>
      <w:bookmarkEnd w:id="484"/>
    </w:p>
    <w:p w14:paraId="7E41E20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46"/>
        <w:gridCol w:w="2256"/>
        <w:gridCol w:w="1638"/>
        <w:gridCol w:w="2338"/>
        <w:gridCol w:w="3174"/>
        <w:gridCol w:w="3320"/>
      </w:tblGrid>
      <w:tr w:rsidR="00823317" w14:paraId="1F6F9E3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88D66C"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96C9C5"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C770EC"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43C5DB"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0A3E45"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03C37F" w14:textId="77777777" w:rsidR="00A77B3E" w:rsidRDefault="00B16CCF">
            <w:pPr>
              <w:spacing w:before="5pt"/>
              <w:jc w:val="center"/>
              <w:rPr>
                <w:color w:val="000000"/>
                <w:sz w:val="20"/>
              </w:rPr>
            </w:pPr>
            <w:r>
              <w:rPr>
                <w:color w:val="000000"/>
                <w:sz w:val="20"/>
              </w:rPr>
              <w:t>Znesek (v EUR)</w:t>
            </w:r>
          </w:p>
        </w:tc>
      </w:tr>
      <w:tr w:rsidR="00823317" w14:paraId="42535A5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15EEAA"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71B033" w14:textId="77777777" w:rsidR="00A77B3E" w:rsidRDefault="00B16CCF">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815018"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EA9212"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F27EDA" w14:textId="77777777" w:rsidR="00A77B3E" w:rsidRDefault="00B16CCF">
            <w:pPr>
              <w:spacing w:before="5pt"/>
              <w:rPr>
                <w:color w:val="000000"/>
                <w:sz w:val="20"/>
              </w:rPr>
            </w:pPr>
            <w:r>
              <w:rPr>
                <w:color w:val="000000"/>
                <w:sz w:val="20"/>
              </w:rPr>
              <w:t>145. Podpora za razvoj digitalnih znanj in spretnosti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F94185" w14:textId="77777777" w:rsidR="00A77B3E" w:rsidRDefault="00B16CCF">
            <w:pPr>
              <w:spacing w:before="5pt"/>
              <w:jc w:val="end"/>
              <w:rPr>
                <w:color w:val="000000"/>
                <w:sz w:val="20"/>
              </w:rPr>
            </w:pPr>
            <w:r>
              <w:rPr>
                <w:color w:val="000000"/>
                <w:sz w:val="20"/>
              </w:rPr>
              <w:t>2.848.200,00</w:t>
            </w:r>
          </w:p>
        </w:tc>
      </w:tr>
      <w:tr w:rsidR="00823317" w14:paraId="4A2D8CC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BE93D4"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39F107" w14:textId="77777777" w:rsidR="00A77B3E" w:rsidRDefault="00B16CCF">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E0582F"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A3D739"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845882" w14:textId="77777777" w:rsidR="00A77B3E" w:rsidRDefault="00B16CCF">
            <w:pPr>
              <w:spacing w:before="5pt"/>
              <w:rPr>
                <w:color w:val="000000"/>
                <w:sz w:val="20"/>
              </w:rPr>
            </w:pPr>
            <w:r>
              <w:rPr>
                <w:color w:val="000000"/>
                <w:sz w:val="20"/>
              </w:rPr>
              <w:t>148. Podpora za predšolsko vzgojo in izobraževanje (razen infrastrukture)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4452EA" w14:textId="77777777" w:rsidR="00A77B3E" w:rsidRDefault="00B16CCF">
            <w:pPr>
              <w:spacing w:before="5pt"/>
              <w:jc w:val="end"/>
              <w:rPr>
                <w:color w:val="000000"/>
                <w:sz w:val="20"/>
              </w:rPr>
            </w:pPr>
            <w:r>
              <w:rPr>
                <w:color w:val="000000"/>
                <w:sz w:val="20"/>
              </w:rPr>
              <w:t>2.425.700,00</w:t>
            </w:r>
          </w:p>
        </w:tc>
      </w:tr>
      <w:tr w:rsidR="00823317" w14:paraId="5A3C985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7DDFB1"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FB74C0" w14:textId="77777777" w:rsidR="00A77B3E" w:rsidRDefault="00B16CCF">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BAAF5C"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E62C73"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43EAF4" w14:textId="77777777" w:rsidR="00A77B3E" w:rsidRDefault="00B16CCF">
            <w:pPr>
              <w:spacing w:before="5pt"/>
              <w:rPr>
                <w:color w:val="000000"/>
                <w:sz w:val="20"/>
              </w:rPr>
            </w:pPr>
            <w:r>
              <w:rPr>
                <w:color w:val="000000"/>
                <w:sz w:val="20"/>
              </w:rPr>
              <w:t>149. Podpora za osnovnošolsko in srednješolsko izobraževanje (razen infrastrukture)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996ECE" w14:textId="77777777" w:rsidR="00A77B3E" w:rsidRDefault="00B16CCF">
            <w:pPr>
              <w:spacing w:before="5pt"/>
              <w:jc w:val="end"/>
              <w:rPr>
                <w:color w:val="000000"/>
                <w:sz w:val="20"/>
              </w:rPr>
            </w:pPr>
            <w:r>
              <w:rPr>
                <w:color w:val="000000"/>
                <w:sz w:val="20"/>
              </w:rPr>
              <w:t>16.284.500,00</w:t>
            </w:r>
          </w:p>
        </w:tc>
      </w:tr>
      <w:tr w:rsidR="00823317" w14:paraId="2612998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AD5B0F"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8B284A" w14:textId="77777777" w:rsidR="00A77B3E" w:rsidRDefault="00B16CCF">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95708E"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0BD0F9"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5CD50B" w14:textId="77777777" w:rsidR="00A77B3E" w:rsidRDefault="00B16CCF">
            <w:pPr>
              <w:spacing w:before="5pt"/>
              <w:rPr>
                <w:color w:val="000000"/>
                <w:sz w:val="20"/>
              </w:rPr>
            </w:pPr>
            <w:r>
              <w:rPr>
                <w:color w:val="000000"/>
                <w:sz w:val="20"/>
              </w:rPr>
              <w:t>150. Podpora za terciarno izobraževanje (razen infrastrukture)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65F91D" w14:textId="77777777" w:rsidR="00A77B3E" w:rsidRDefault="00B16CCF">
            <w:pPr>
              <w:spacing w:before="5pt"/>
              <w:jc w:val="end"/>
              <w:rPr>
                <w:color w:val="000000"/>
                <w:sz w:val="20"/>
              </w:rPr>
            </w:pPr>
            <w:r>
              <w:rPr>
                <w:color w:val="000000"/>
                <w:sz w:val="20"/>
              </w:rPr>
              <w:t>12.532.000,00</w:t>
            </w:r>
          </w:p>
        </w:tc>
      </w:tr>
      <w:tr w:rsidR="00823317" w14:paraId="0CCA918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981779"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C9517B" w14:textId="77777777" w:rsidR="00A77B3E" w:rsidRDefault="00B16CCF">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478AF7"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AAF0D0"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E50F31" w14:textId="77777777" w:rsidR="00A77B3E" w:rsidRDefault="00B16CCF">
            <w:pPr>
              <w:spacing w:before="5pt"/>
              <w:rPr>
                <w:color w:val="000000"/>
                <w:sz w:val="20"/>
              </w:rPr>
            </w:pPr>
            <w:r>
              <w:rPr>
                <w:color w:val="000000"/>
                <w:sz w:val="20"/>
              </w:rPr>
              <w:t>151. Podpora za izobraževanje odraslih (razen infrastrukture)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84840D" w14:textId="77777777" w:rsidR="00A77B3E" w:rsidRDefault="00B16CCF">
            <w:pPr>
              <w:spacing w:before="5pt"/>
              <w:jc w:val="end"/>
              <w:rPr>
                <w:color w:val="000000"/>
                <w:sz w:val="20"/>
              </w:rPr>
            </w:pPr>
            <w:r>
              <w:rPr>
                <w:color w:val="000000"/>
                <w:sz w:val="20"/>
              </w:rPr>
              <w:t>1.736.600,00</w:t>
            </w:r>
          </w:p>
        </w:tc>
      </w:tr>
      <w:tr w:rsidR="00823317" w14:paraId="2D8A359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3CF733"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E44A9B" w14:textId="77777777" w:rsidR="00A77B3E" w:rsidRDefault="00B16CCF">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0EBF13"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C52088"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7DD912" w14:textId="77777777" w:rsidR="00A77B3E" w:rsidRDefault="00B16CCF">
            <w:pPr>
              <w:spacing w:before="5pt"/>
              <w:rPr>
                <w:color w:val="000000"/>
                <w:sz w:val="20"/>
              </w:rPr>
            </w:pPr>
            <w:r>
              <w:rPr>
                <w:color w:val="000000"/>
                <w:sz w:val="20"/>
              </w:rPr>
              <w:t>145. Podpora za razvoj digitalnih znanj in spretnosti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FD7550" w14:textId="77777777" w:rsidR="00A77B3E" w:rsidRDefault="00B16CCF">
            <w:pPr>
              <w:spacing w:before="5pt"/>
              <w:jc w:val="end"/>
              <w:rPr>
                <w:color w:val="000000"/>
                <w:sz w:val="20"/>
              </w:rPr>
            </w:pPr>
            <w:r>
              <w:rPr>
                <w:color w:val="000000"/>
                <w:sz w:val="20"/>
              </w:rPr>
              <w:t>7.450.100,00</w:t>
            </w:r>
          </w:p>
        </w:tc>
      </w:tr>
      <w:tr w:rsidR="00823317" w14:paraId="6FDE4DA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3685D3"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B8AA53" w14:textId="77777777" w:rsidR="00A77B3E" w:rsidRDefault="00B16CCF">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6AEE3F"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42B44A"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0B46B5" w14:textId="77777777" w:rsidR="00A77B3E" w:rsidRDefault="00B16CCF">
            <w:pPr>
              <w:spacing w:before="5pt"/>
              <w:rPr>
                <w:color w:val="000000"/>
                <w:sz w:val="20"/>
              </w:rPr>
            </w:pPr>
            <w:r>
              <w:rPr>
                <w:color w:val="000000"/>
                <w:sz w:val="20"/>
              </w:rPr>
              <w:t>148. Podpora za predšolsko vzgojo in izobraževanje (razen infrastrukture)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A48711" w14:textId="77777777" w:rsidR="00A77B3E" w:rsidRDefault="00B16CCF">
            <w:pPr>
              <w:spacing w:before="5pt"/>
              <w:jc w:val="end"/>
              <w:rPr>
                <w:color w:val="000000"/>
                <w:sz w:val="20"/>
              </w:rPr>
            </w:pPr>
            <w:r>
              <w:rPr>
                <w:color w:val="000000"/>
                <w:sz w:val="20"/>
              </w:rPr>
              <w:t>6.244.300,00</w:t>
            </w:r>
          </w:p>
        </w:tc>
      </w:tr>
      <w:tr w:rsidR="00823317" w14:paraId="048E014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55B52B" w14:textId="77777777" w:rsidR="00A77B3E" w:rsidRDefault="00B16CCF">
            <w:pPr>
              <w:spacing w:before="5pt"/>
              <w:rPr>
                <w:color w:val="000000"/>
                <w:sz w:val="20"/>
              </w:rPr>
            </w:pPr>
            <w:r>
              <w:rPr>
                <w:color w:val="000000"/>
                <w:sz w:val="20"/>
              </w:rPr>
              <w:lastRenderedPageBreak/>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1400C5" w14:textId="77777777" w:rsidR="00A77B3E" w:rsidRDefault="00B16CCF">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6E70B8"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E6ECBB"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148A04" w14:textId="77777777" w:rsidR="00A77B3E" w:rsidRDefault="00B16CCF">
            <w:pPr>
              <w:spacing w:before="5pt"/>
              <w:rPr>
                <w:color w:val="000000"/>
                <w:sz w:val="20"/>
              </w:rPr>
            </w:pPr>
            <w:r>
              <w:rPr>
                <w:color w:val="000000"/>
                <w:sz w:val="20"/>
              </w:rPr>
              <w:t>149. Podpora za osnovnošolsko in srednješolsko izobraževanje (razen infrastrukture)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FF8B41" w14:textId="77777777" w:rsidR="00A77B3E" w:rsidRDefault="00B16CCF">
            <w:pPr>
              <w:spacing w:before="5pt"/>
              <w:jc w:val="end"/>
              <w:rPr>
                <w:color w:val="000000"/>
                <w:sz w:val="20"/>
              </w:rPr>
            </w:pPr>
            <w:r>
              <w:rPr>
                <w:color w:val="000000"/>
                <w:sz w:val="20"/>
              </w:rPr>
              <w:t>48.354.500,00</w:t>
            </w:r>
          </w:p>
        </w:tc>
      </w:tr>
      <w:tr w:rsidR="00823317" w14:paraId="697DF7E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D2B669"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ACC2E4" w14:textId="77777777" w:rsidR="00A77B3E" w:rsidRDefault="00B16CCF">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BDA27C"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0F3A0E"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32D7BF" w14:textId="77777777" w:rsidR="00A77B3E" w:rsidRDefault="00B16CCF">
            <w:pPr>
              <w:spacing w:before="5pt"/>
              <w:rPr>
                <w:color w:val="000000"/>
                <w:sz w:val="20"/>
              </w:rPr>
            </w:pPr>
            <w:r>
              <w:rPr>
                <w:color w:val="000000"/>
                <w:sz w:val="20"/>
              </w:rPr>
              <w:t>150. Podpora za terciarno izobraževanje (razen infrastrukture)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8B77C2" w14:textId="77777777" w:rsidR="00A77B3E" w:rsidRDefault="00B16CCF">
            <w:pPr>
              <w:spacing w:before="5pt"/>
              <w:jc w:val="end"/>
              <w:rPr>
                <w:color w:val="000000"/>
                <w:sz w:val="20"/>
              </w:rPr>
            </w:pPr>
            <w:r>
              <w:rPr>
                <w:color w:val="000000"/>
                <w:sz w:val="20"/>
              </w:rPr>
              <w:t>14.152.000,00</w:t>
            </w:r>
          </w:p>
        </w:tc>
      </w:tr>
      <w:tr w:rsidR="00823317" w14:paraId="78E09E0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9B91F7"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3B63AF" w14:textId="77777777" w:rsidR="00A77B3E" w:rsidRDefault="00B16CCF">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6BF7D6"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0F7641"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386737" w14:textId="77777777" w:rsidR="00A77B3E" w:rsidRDefault="00B16CCF">
            <w:pPr>
              <w:spacing w:before="5pt"/>
              <w:rPr>
                <w:color w:val="000000"/>
                <w:sz w:val="20"/>
              </w:rPr>
            </w:pPr>
            <w:r>
              <w:rPr>
                <w:color w:val="000000"/>
                <w:sz w:val="20"/>
              </w:rPr>
              <w:t>151. Podpora za izobraževanje odraslih (razen infrastrukture)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DC98DA" w14:textId="77777777" w:rsidR="00A77B3E" w:rsidRDefault="00B16CCF">
            <w:pPr>
              <w:spacing w:before="5pt"/>
              <w:jc w:val="end"/>
              <w:rPr>
                <w:color w:val="000000"/>
                <w:sz w:val="20"/>
              </w:rPr>
            </w:pPr>
            <w:r>
              <w:rPr>
                <w:color w:val="000000"/>
                <w:sz w:val="20"/>
              </w:rPr>
              <w:t>4.161.400,00</w:t>
            </w:r>
          </w:p>
        </w:tc>
      </w:tr>
      <w:tr w:rsidR="00823317" w14:paraId="30DBDB9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1AC97B"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B05F36" w14:textId="77777777" w:rsidR="00A77B3E" w:rsidRDefault="00B16CCF">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4140D5"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60F749"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FB5F1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7B0E2E" w14:textId="77777777" w:rsidR="00A77B3E" w:rsidRDefault="00B16CCF">
            <w:pPr>
              <w:spacing w:before="5pt"/>
              <w:jc w:val="end"/>
              <w:rPr>
                <w:color w:val="000000"/>
                <w:sz w:val="20"/>
              </w:rPr>
            </w:pPr>
            <w:r>
              <w:rPr>
                <w:color w:val="000000"/>
                <w:sz w:val="20"/>
              </w:rPr>
              <w:t>116.189.300,00</w:t>
            </w:r>
          </w:p>
        </w:tc>
      </w:tr>
    </w:tbl>
    <w:p w14:paraId="7D842ABC" w14:textId="77777777" w:rsidR="00A77B3E" w:rsidRDefault="00A77B3E">
      <w:pPr>
        <w:spacing w:before="5pt"/>
        <w:rPr>
          <w:color w:val="000000"/>
          <w:sz w:val="20"/>
        </w:rPr>
      </w:pPr>
    </w:p>
    <w:p w14:paraId="52686A4D" w14:textId="77777777" w:rsidR="00A77B3E" w:rsidRDefault="00B16CCF">
      <w:pPr>
        <w:pStyle w:val="Naslov5"/>
        <w:spacing w:before="5pt" w:after="0pt"/>
        <w:rPr>
          <w:b w:val="0"/>
          <w:i w:val="0"/>
          <w:color w:val="000000"/>
          <w:sz w:val="24"/>
        </w:rPr>
      </w:pPr>
      <w:bookmarkStart w:id="485" w:name="_Toc256001246"/>
      <w:r>
        <w:rPr>
          <w:b w:val="0"/>
          <w:i w:val="0"/>
          <w:color w:val="000000"/>
          <w:sz w:val="24"/>
        </w:rPr>
        <w:t>Tabela 5: Razsežnost 2 – oblika financiranja</w:t>
      </w:r>
      <w:bookmarkEnd w:id="485"/>
    </w:p>
    <w:p w14:paraId="0AC2FD7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49"/>
        <w:gridCol w:w="2353"/>
        <w:gridCol w:w="1708"/>
        <w:gridCol w:w="2439"/>
        <w:gridCol w:w="2661"/>
        <w:gridCol w:w="3462"/>
      </w:tblGrid>
      <w:tr w:rsidR="00823317" w14:paraId="46D2828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83855D"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A042A3"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2938D1"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7555FC"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7076E5"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98DFA92" w14:textId="77777777" w:rsidR="00A77B3E" w:rsidRDefault="00B16CCF">
            <w:pPr>
              <w:spacing w:before="5pt"/>
              <w:jc w:val="center"/>
              <w:rPr>
                <w:color w:val="000000"/>
                <w:sz w:val="20"/>
              </w:rPr>
            </w:pPr>
            <w:r>
              <w:rPr>
                <w:color w:val="000000"/>
                <w:sz w:val="20"/>
              </w:rPr>
              <w:t>Znesek (v EUR)</w:t>
            </w:r>
          </w:p>
        </w:tc>
      </w:tr>
      <w:tr w:rsidR="00823317" w14:paraId="2C5493E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E6B743"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11319F" w14:textId="77777777" w:rsidR="00A77B3E" w:rsidRDefault="00B16CCF">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A98804"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D3C09E"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914BF5" w14:textId="77777777" w:rsidR="00A77B3E" w:rsidRDefault="00B16CCF">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1BD8B0" w14:textId="77777777" w:rsidR="00A77B3E" w:rsidRDefault="00B16CCF">
            <w:pPr>
              <w:spacing w:before="5pt"/>
              <w:jc w:val="end"/>
              <w:rPr>
                <w:color w:val="000000"/>
                <w:sz w:val="20"/>
              </w:rPr>
            </w:pPr>
            <w:r>
              <w:rPr>
                <w:color w:val="000000"/>
                <w:sz w:val="20"/>
              </w:rPr>
              <w:t>35.827.000,00</w:t>
            </w:r>
          </w:p>
        </w:tc>
      </w:tr>
      <w:tr w:rsidR="00823317" w14:paraId="64D0A76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BA0491"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4E02BF" w14:textId="77777777" w:rsidR="00A77B3E" w:rsidRDefault="00B16CCF">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CC2B96"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B0D6EF"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326691" w14:textId="77777777" w:rsidR="00A77B3E" w:rsidRDefault="00B16CCF">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95970C" w14:textId="77777777" w:rsidR="00A77B3E" w:rsidRDefault="00B16CCF">
            <w:pPr>
              <w:spacing w:before="5pt"/>
              <w:jc w:val="end"/>
              <w:rPr>
                <w:color w:val="000000"/>
                <w:sz w:val="20"/>
              </w:rPr>
            </w:pPr>
            <w:r>
              <w:rPr>
                <w:color w:val="000000"/>
                <w:sz w:val="20"/>
              </w:rPr>
              <w:t>80.362.300,00</w:t>
            </w:r>
          </w:p>
        </w:tc>
      </w:tr>
      <w:tr w:rsidR="00823317" w14:paraId="5EF140B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B35152"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437908" w14:textId="77777777" w:rsidR="00A77B3E" w:rsidRDefault="00B16CCF">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86CAE7"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22ACBB"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493260"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1E640E" w14:textId="77777777" w:rsidR="00A77B3E" w:rsidRDefault="00B16CCF">
            <w:pPr>
              <w:spacing w:before="5pt"/>
              <w:jc w:val="end"/>
              <w:rPr>
                <w:color w:val="000000"/>
                <w:sz w:val="20"/>
              </w:rPr>
            </w:pPr>
            <w:r>
              <w:rPr>
                <w:color w:val="000000"/>
                <w:sz w:val="20"/>
              </w:rPr>
              <w:t>116.189.300,00</w:t>
            </w:r>
          </w:p>
        </w:tc>
      </w:tr>
    </w:tbl>
    <w:p w14:paraId="684C2E80" w14:textId="77777777" w:rsidR="00A77B3E" w:rsidRDefault="00A77B3E">
      <w:pPr>
        <w:spacing w:before="5pt"/>
        <w:rPr>
          <w:color w:val="000000"/>
          <w:sz w:val="20"/>
        </w:rPr>
      </w:pPr>
    </w:p>
    <w:p w14:paraId="4DA0E108" w14:textId="77777777" w:rsidR="00A77B3E" w:rsidRDefault="00B16CCF">
      <w:pPr>
        <w:pStyle w:val="Naslov5"/>
        <w:spacing w:before="5pt" w:after="0pt"/>
        <w:rPr>
          <w:b w:val="0"/>
          <w:i w:val="0"/>
          <w:color w:val="000000"/>
          <w:sz w:val="24"/>
        </w:rPr>
      </w:pPr>
      <w:bookmarkStart w:id="486" w:name="_Toc256001247"/>
      <w:r>
        <w:rPr>
          <w:b w:val="0"/>
          <w:i w:val="0"/>
          <w:color w:val="000000"/>
          <w:sz w:val="24"/>
        </w:rPr>
        <w:t>Tabela 6: Razsežnost 3 – mehanizem za ozemeljsko izvrševanje in ozemeljski pristop</w:t>
      </w:r>
      <w:bookmarkEnd w:id="486"/>
    </w:p>
    <w:p w14:paraId="2FE5C56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85"/>
        <w:gridCol w:w="2293"/>
        <w:gridCol w:w="1665"/>
        <w:gridCol w:w="2377"/>
        <w:gridCol w:w="2978"/>
        <w:gridCol w:w="3374"/>
      </w:tblGrid>
      <w:tr w:rsidR="00823317" w14:paraId="25FE7D8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D2BD90"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BEF92E"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6A3892"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09113B"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E6D642"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B662F1" w14:textId="77777777" w:rsidR="00A77B3E" w:rsidRDefault="00B16CCF">
            <w:pPr>
              <w:spacing w:before="5pt"/>
              <w:jc w:val="center"/>
              <w:rPr>
                <w:color w:val="000000"/>
                <w:sz w:val="20"/>
              </w:rPr>
            </w:pPr>
            <w:r>
              <w:rPr>
                <w:color w:val="000000"/>
                <w:sz w:val="20"/>
              </w:rPr>
              <w:t>Znesek (v EUR)</w:t>
            </w:r>
          </w:p>
        </w:tc>
      </w:tr>
      <w:tr w:rsidR="00823317" w14:paraId="0978D5D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22BD46"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C3EB5D" w14:textId="77777777" w:rsidR="00A77B3E" w:rsidRDefault="00B16CCF">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292CD3"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A94C8D"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EABC60" w14:textId="77777777" w:rsidR="00A77B3E" w:rsidRDefault="00B16CCF">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499229" w14:textId="77777777" w:rsidR="00A77B3E" w:rsidRDefault="00B16CCF">
            <w:pPr>
              <w:spacing w:before="5pt"/>
              <w:jc w:val="end"/>
              <w:rPr>
                <w:color w:val="000000"/>
                <w:sz w:val="20"/>
              </w:rPr>
            </w:pPr>
            <w:r>
              <w:rPr>
                <w:color w:val="000000"/>
                <w:sz w:val="20"/>
              </w:rPr>
              <w:t>35.827.000,00</w:t>
            </w:r>
          </w:p>
        </w:tc>
      </w:tr>
      <w:tr w:rsidR="00823317" w14:paraId="6B3DF0C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B11DC7"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D058B9" w14:textId="77777777" w:rsidR="00A77B3E" w:rsidRDefault="00B16CCF">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E88DBE"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929861"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EC795D" w14:textId="77777777" w:rsidR="00A77B3E" w:rsidRDefault="00B16CCF">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F89A22" w14:textId="77777777" w:rsidR="00A77B3E" w:rsidRDefault="00B16CCF">
            <w:pPr>
              <w:spacing w:before="5pt"/>
              <w:jc w:val="end"/>
              <w:rPr>
                <w:color w:val="000000"/>
                <w:sz w:val="20"/>
              </w:rPr>
            </w:pPr>
            <w:r>
              <w:rPr>
                <w:color w:val="000000"/>
                <w:sz w:val="20"/>
              </w:rPr>
              <w:t>80.362.300,00</w:t>
            </w:r>
          </w:p>
        </w:tc>
      </w:tr>
      <w:tr w:rsidR="00823317" w14:paraId="040510D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4AE7BF"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A96221" w14:textId="77777777" w:rsidR="00A77B3E" w:rsidRDefault="00B16CCF">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265A5D"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657B7A"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3EBB0F"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9AE9B8" w14:textId="77777777" w:rsidR="00A77B3E" w:rsidRDefault="00B16CCF">
            <w:pPr>
              <w:spacing w:before="5pt"/>
              <w:jc w:val="end"/>
              <w:rPr>
                <w:color w:val="000000"/>
                <w:sz w:val="20"/>
              </w:rPr>
            </w:pPr>
            <w:r>
              <w:rPr>
                <w:color w:val="000000"/>
                <w:sz w:val="20"/>
              </w:rPr>
              <w:t>116.189.300,00</w:t>
            </w:r>
          </w:p>
        </w:tc>
      </w:tr>
    </w:tbl>
    <w:p w14:paraId="516329B2" w14:textId="77777777" w:rsidR="00A77B3E" w:rsidRDefault="00A77B3E">
      <w:pPr>
        <w:spacing w:before="5pt"/>
        <w:rPr>
          <w:color w:val="000000"/>
          <w:sz w:val="20"/>
        </w:rPr>
      </w:pPr>
    </w:p>
    <w:p w14:paraId="64437099" w14:textId="77777777" w:rsidR="00A77B3E" w:rsidRDefault="00B16CCF">
      <w:pPr>
        <w:pStyle w:val="Naslov5"/>
        <w:spacing w:before="5pt" w:after="0pt"/>
        <w:rPr>
          <w:b w:val="0"/>
          <w:i w:val="0"/>
          <w:color w:val="000000"/>
          <w:sz w:val="24"/>
        </w:rPr>
      </w:pPr>
      <w:bookmarkStart w:id="487" w:name="_Toc256001248"/>
      <w:r>
        <w:rPr>
          <w:b w:val="0"/>
          <w:i w:val="0"/>
          <w:color w:val="000000"/>
          <w:sz w:val="24"/>
        </w:rPr>
        <w:t>Tabela 7: Razsežnost 6 – sekundarna področja ESS+</w:t>
      </w:r>
      <w:bookmarkEnd w:id="487"/>
    </w:p>
    <w:p w14:paraId="0A437CB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95"/>
        <w:gridCol w:w="2301"/>
        <w:gridCol w:w="1671"/>
        <w:gridCol w:w="2385"/>
        <w:gridCol w:w="2934"/>
        <w:gridCol w:w="3386"/>
      </w:tblGrid>
      <w:tr w:rsidR="00823317" w14:paraId="59F8930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1552B9"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136AE7"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F92F1C"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90FD25"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4C4238"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99526A7" w14:textId="77777777" w:rsidR="00A77B3E" w:rsidRDefault="00B16CCF">
            <w:pPr>
              <w:spacing w:before="5pt"/>
              <w:jc w:val="center"/>
              <w:rPr>
                <w:color w:val="000000"/>
                <w:sz w:val="20"/>
              </w:rPr>
            </w:pPr>
            <w:r>
              <w:rPr>
                <w:color w:val="000000"/>
                <w:sz w:val="20"/>
              </w:rPr>
              <w:t>Znesek (v EUR)</w:t>
            </w:r>
          </w:p>
        </w:tc>
      </w:tr>
      <w:tr w:rsidR="00823317" w14:paraId="70B7B54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2C925D"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F7BD12" w14:textId="77777777" w:rsidR="00A77B3E" w:rsidRDefault="00B16CCF">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1D39BA"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3C5468"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7F10B2" w14:textId="77777777" w:rsidR="00A77B3E" w:rsidRDefault="00B16CCF">
            <w:pPr>
              <w:spacing w:before="5pt"/>
              <w:rPr>
                <w:color w:val="000000"/>
                <w:sz w:val="20"/>
              </w:rPr>
            </w:pPr>
            <w:r>
              <w:rPr>
                <w:color w:val="000000"/>
                <w:sz w:val="20"/>
              </w:rPr>
              <w:t>01. Prispevanje k zelenim znanjem in spretnostim ter delovnim mestom in zelenemu gospodarstvu</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B03A41" w14:textId="77777777" w:rsidR="00A77B3E" w:rsidRDefault="00B16CCF">
            <w:pPr>
              <w:spacing w:before="5pt"/>
              <w:jc w:val="end"/>
              <w:rPr>
                <w:color w:val="000000"/>
                <w:sz w:val="20"/>
              </w:rPr>
            </w:pPr>
            <w:r>
              <w:rPr>
                <w:color w:val="000000"/>
                <w:sz w:val="20"/>
              </w:rPr>
              <w:t>1.680.000,00</w:t>
            </w:r>
          </w:p>
        </w:tc>
      </w:tr>
      <w:tr w:rsidR="00823317" w14:paraId="67F899C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B2C461" w14:textId="77777777" w:rsidR="00A77B3E" w:rsidRDefault="00B16CCF">
            <w:pPr>
              <w:spacing w:before="5pt"/>
              <w:rPr>
                <w:color w:val="000000"/>
                <w:sz w:val="20"/>
              </w:rPr>
            </w:pPr>
            <w:r>
              <w:rPr>
                <w:color w:val="000000"/>
                <w:sz w:val="20"/>
              </w:rPr>
              <w:lastRenderedPageBreak/>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2497AE" w14:textId="77777777" w:rsidR="00A77B3E" w:rsidRDefault="00B16CCF">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DBAAE8"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383EB3"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CA509C" w14:textId="77777777" w:rsidR="00A77B3E" w:rsidRDefault="00B16CCF">
            <w:pPr>
              <w:spacing w:before="5pt"/>
              <w:rPr>
                <w:color w:val="000000"/>
                <w:sz w:val="20"/>
              </w:rPr>
            </w:pPr>
            <w:r>
              <w:rPr>
                <w:color w:val="000000"/>
                <w:sz w:val="20"/>
              </w:rPr>
              <w:t>02. Razvoj digitalnih znanj in spretnosti ter delovnih mest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836CFA" w14:textId="77777777" w:rsidR="00A77B3E" w:rsidRDefault="00B16CCF">
            <w:pPr>
              <w:spacing w:before="5pt"/>
              <w:jc w:val="end"/>
              <w:rPr>
                <w:color w:val="000000"/>
                <w:sz w:val="20"/>
              </w:rPr>
            </w:pPr>
            <w:r>
              <w:rPr>
                <w:color w:val="000000"/>
                <w:sz w:val="20"/>
              </w:rPr>
              <w:t>5.204.100,00</w:t>
            </w:r>
          </w:p>
        </w:tc>
      </w:tr>
      <w:tr w:rsidR="00823317" w14:paraId="49F313D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300A6F"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0D256F" w14:textId="77777777" w:rsidR="00A77B3E" w:rsidRDefault="00B16CCF">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61D663"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6A5D3F"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880617" w14:textId="77777777" w:rsidR="00A77B3E" w:rsidRDefault="00B16CCF">
            <w:pPr>
              <w:spacing w:before="5pt"/>
              <w:rPr>
                <w:color w:val="000000"/>
                <w:sz w:val="20"/>
              </w:rPr>
            </w:pPr>
            <w:r>
              <w:rPr>
                <w:color w:val="000000"/>
                <w:sz w:val="20"/>
              </w:rPr>
              <w:t>09. Ni relevantno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5E6FC8" w14:textId="77777777" w:rsidR="00A77B3E" w:rsidRDefault="00B16CCF">
            <w:pPr>
              <w:spacing w:before="5pt"/>
              <w:jc w:val="end"/>
              <w:rPr>
                <w:color w:val="000000"/>
                <w:sz w:val="20"/>
              </w:rPr>
            </w:pPr>
            <w:r>
              <w:rPr>
                <w:color w:val="000000"/>
                <w:sz w:val="20"/>
              </w:rPr>
              <w:t>28.942.900,00</w:t>
            </w:r>
          </w:p>
        </w:tc>
      </w:tr>
      <w:tr w:rsidR="00823317" w14:paraId="578107F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4BE955"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432265" w14:textId="77777777" w:rsidR="00A77B3E" w:rsidRDefault="00B16CCF">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8B3F3B"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05794D"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0B41A8" w14:textId="77777777" w:rsidR="00A77B3E" w:rsidRDefault="00B16CCF">
            <w:pPr>
              <w:spacing w:before="5pt"/>
              <w:rPr>
                <w:color w:val="000000"/>
                <w:sz w:val="20"/>
              </w:rPr>
            </w:pPr>
            <w:r>
              <w:rPr>
                <w:color w:val="000000"/>
                <w:sz w:val="20"/>
              </w:rPr>
              <w:t>01. Prispevanje k zelenim znanjem in spretnostim ter delovnim mestom in zelenemu gospodarstvu</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E2BD33" w14:textId="77777777" w:rsidR="00A77B3E" w:rsidRDefault="00B16CCF">
            <w:pPr>
              <w:spacing w:before="5pt"/>
              <w:jc w:val="end"/>
              <w:rPr>
                <w:color w:val="000000"/>
                <w:sz w:val="20"/>
              </w:rPr>
            </w:pPr>
            <w:r>
              <w:rPr>
                <w:color w:val="000000"/>
                <w:sz w:val="20"/>
              </w:rPr>
              <w:t>5.355.000,00</w:t>
            </w:r>
          </w:p>
        </w:tc>
      </w:tr>
      <w:tr w:rsidR="00823317" w14:paraId="4506635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1BA903"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2F8B7E" w14:textId="77777777" w:rsidR="00A77B3E" w:rsidRDefault="00B16CCF">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072B7A"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1BC4D5"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5AED3A" w14:textId="77777777" w:rsidR="00A77B3E" w:rsidRDefault="00B16CCF">
            <w:pPr>
              <w:spacing w:before="5pt"/>
              <w:rPr>
                <w:color w:val="000000"/>
                <w:sz w:val="20"/>
              </w:rPr>
            </w:pPr>
            <w:r>
              <w:rPr>
                <w:color w:val="000000"/>
                <w:sz w:val="20"/>
              </w:rPr>
              <w:t>02. Razvoj digitalnih znanj in spretnosti ter delovnih mest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4BBFB6" w14:textId="77777777" w:rsidR="00A77B3E" w:rsidRDefault="00B16CCF">
            <w:pPr>
              <w:spacing w:before="5pt"/>
              <w:jc w:val="end"/>
              <w:rPr>
                <w:color w:val="000000"/>
                <w:sz w:val="20"/>
              </w:rPr>
            </w:pPr>
            <w:r>
              <w:rPr>
                <w:color w:val="000000"/>
                <w:sz w:val="20"/>
              </w:rPr>
              <w:t>13.799.700,00</w:t>
            </w:r>
          </w:p>
        </w:tc>
      </w:tr>
      <w:tr w:rsidR="00823317" w14:paraId="018B790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1DB941"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58B261" w14:textId="77777777" w:rsidR="00A77B3E" w:rsidRDefault="00B16CCF">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BFFCD1"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52C5FF"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82D34D" w14:textId="77777777" w:rsidR="00A77B3E" w:rsidRDefault="00B16CCF">
            <w:pPr>
              <w:spacing w:before="5pt"/>
              <w:rPr>
                <w:color w:val="000000"/>
                <w:sz w:val="20"/>
              </w:rPr>
            </w:pPr>
            <w:r>
              <w:rPr>
                <w:color w:val="000000"/>
                <w:sz w:val="20"/>
              </w:rPr>
              <w:t>09. Ni relevantno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F120FE" w14:textId="77777777" w:rsidR="00A77B3E" w:rsidRDefault="00B16CCF">
            <w:pPr>
              <w:spacing w:before="5pt"/>
              <w:jc w:val="end"/>
              <w:rPr>
                <w:color w:val="000000"/>
                <w:sz w:val="20"/>
              </w:rPr>
            </w:pPr>
            <w:r>
              <w:rPr>
                <w:color w:val="000000"/>
                <w:sz w:val="20"/>
              </w:rPr>
              <w:t>61.207.600,00</w:t>
            </w:r>
          </w:p>
        </w:tc>
      </w:tr>
      <w:tr w:rsidR="00823317" w14:paraId="5CF87A0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AEE9B1"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481792" w14:textId="77777777" w:rsidR="00A77B3E" w:rsidRDefault="00B16CCF">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BD3367"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69B78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B2B053"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234AC6" w14:textId="77777777" w:rsidR="00A77B3E" w:rsidRDefault="00B16CCF">
            <w:pPr>
              <w:spacing w:before="5pt"/>
              <w:jc w:val="end"/>
              <w:rPr>
                <w:color w:val="000000"/>
                <w:sz w:val="20"/>
              </w:rPr>
            </w:pPr>
            <w:r>
              <w:rPr>
                <w:color w:val="000000"/>
                <w:sz w:val="20"/>
              </w:rPr>
              <w:t>116.189.300,00</w:t>
            </w:r>
          </w:p>
        </w:tc>
      </w:tr>
    </w:tbl>
    <w:p w14:paraId="436F22AF" w14:textId="77777777" w:rsidR="00A77B3E" w:rsidRDefault="00A77B3E">
      <w:pPr>
        <w:spacing w:before="5pt"/>
        <w:rPr>
          <w:color w:val="000000"/>
          <w:sz w:val="20"/>
        </w:rPr>
      </w:pPr>
    </w:p>
    <w:p w14:paraId="199264E0" w14:textId="77777777" w:rsidR="00A77B3E" w:rsidRDefault="00B16CCF">
      <w:pPr>
        <w:pStyle w:val="Naslov5"/>
        <w:spacing w:before="5pt" w:after="0pt"/>
        <w:rPr>
          <w:b w:val="0"/>
          <w:i w:val="0"/>
          <w:color w:val="000000"/>
          <w:sz w:val="24"/>
        </w:rPr>
      </w:pPr>
      <w:bookmarkStart w:id="488" w:name="_Toc256001249"/>
      <w:r>
        <w:rPr>
          <w:b w:val="0"/>
          <w:i w:val="0"/>
          <w:color w:val="000000"/>
          <w:sz w:val="24"/>
        </w:rPr>
        <w:t>Tabela 8: Razsežnost 7 – razsežnost enakosti spolov v okviru ESS+*, ESRR, Kohezijskega sklada in SPP</w:t>
      </w:r>
      <w:bookmarkEnd w:id="488"/>
    </w:p>
    <w:p w14:paraId="20349BE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59"/>
        <w:gridCol w:w="2268"/>
        <w:gridCol w:w="1647"/>
        <w:gridCol w:w="2351"/>
        <w:gridCol w:w="3109"/>
        <w:gridCol w:w="3338"/>
      </w:tblGrid>
      <w:tr w:rsidR="00823317" w14:paraId="15EEAF2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4E8F91"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E6778E"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85602C"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C74CCE"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DA45FE"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4BBDBDE" w14:textId="77777777" w:rsidR="00A77B3E" w:rsidRDefault="00B16CCF">
            <w:pPr>
              <w:spacing w:before="5pt"/>
              <w:jc w:val="center"/>
              <w:rPr>
                <w:color w:val="000000"/>
                <w:sz w:val="20"/>
              </w:rPr>
            </w:pPr>
            <w:r>
              <w:rPr>
                <w:color w:val="000000"/>
                <w:sz w:val="20"/>
              </w:rPr>
              <w:t>Znesek (v EUR)</w:t>
            </w:r>
          </w:p>
        </w:tc>
      </w:tr>
      <w:tr w:rsidR="00823317" w14:paraId="764C240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C1A33E"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A0269E" w14:textId="77777777" w:rsidR="00A77B3E" w:rsidRDefault="00B16CCF">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F62B81"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EFCA5E"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3359DB" w14:textId="77777777" w:rsidR="00A77B3E" w:rsidRDefault="00B16CCF">
            <w:pPr>
              <w:spacing w:before="5pt"/>
              <w:rPr>
                <w:color w:val="000000"/>
                <w:sz w:val="20"/>
              </w:rPr>
            </w:pPr>
            <w:r>
              <w:rPr>
                <w:color w:val="000000"/>
                <w:sz w:val="20"/>
              </w:rPr>
              <w:t>01. Osredotočanje na enakost spolov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0AFB01" w14:textId="77777777" w:rsidR="00A77B3E" w:rsidRDefault="00B16CCF">
            <w:pPr>
              <w:spacing w:before="5pt"/>
              <w:jc w:val="end"/>
              <w:rPr>
                <w:color w:val="000000"/>
                <w:sz w:val="20"/>
              </w:rPr>
            </w:pPr>
            <w:r>
              <w:rPr>
                <w:color w:val="000000"/>
                <w:sz w:val="20"/>
              </w:rPr>
              <w:t>11.522.000,00</w:t>
            </w:r>
          </w:p>
        </w:tc>
      </w:tr>
      <w:tr w:rsidR="00823317" w14:paraId="5578B27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0F62D5"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4F5F12" w14:textId="77777777" w:rsidR="00A77B3E" w:rsidRDefault="00B16CCF">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FEF947"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ADD410"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AD4E4A" w14:textId="77777777" w:rsidR="00A77B3E" w:rsidRDefault="00B16CCF">
            <w:pPr>
              <w:spacing w:before="5pt"/>
              <w:rPr>
                <w:color w:val="000000"/>
                <w:sz w:val="20"/>
              </w:rPr>
            </w:pPr>
            <w:r>
              <w:rPr>
                <w:color w:val="000000"/>
                <w:sz w:val="20"/>
              </w:rPr>
              <w:t>02. Vključevanje vidika spola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A15CF9" w14:textId="77777777" w:rsidR="00A77B3E" w:rsidRDefault="00B16CCF">
            <w:pPr>
              <w:spacing w:before="5pt"/>
              <w:jc w:val="end"/>
              <w:rPr>
                <w:color w:val="000000"/>
                <w:sz w:val="20"/>
              </w:rPr>
            </w:pPr>
            <w:r>
              <w:rPr>
                <w:color w:val="000000"/>
                <w:sz w:val="20"/>
              </w:rPr>
              <w:t>24.305.000,00</w:t>
            </w:r>
          </w:p>
        </w:tc>
      </w:tr>
      <w:tr w:rsidR="00823317" w14:paraId="1F50B0E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6382BC"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9B114F" w14:textId="77777777" w:rsidR="00A77B3E" w:rsidRDefault="00B16CCF">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F3C136"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4839B1"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DA058E" w14:textId="77777777" w:rsidR="00A77B3E" w:rsidRDefault="00B16CCF">
            <w:pPr>
              <w:spacing w:before="5pt"/>
              <w:rPr>
                <w:color w:val="000000"/>
                <w:sz w:val="20"/>
              </w:rPr>
            </w:pPr>
            <w:r>
              <w:rPr>
                <w:color w:val="000000"/>
                <w:sz w:val="20"/>
              </w:rPr>
              <w:t>01. Osredotočanje na enakost spolov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13F2A7" w14:textId="77777777" w:rsidR="00A77B3E" w:rsidRDefault="00B16CCF">
            <w:pPr>
              <w:spacing w:before="5pt"/>
              <w:jc w:val="end"/>
              <w:rPr>
                <w:color w:val="000000"/>
                <w:sz w:val="20"/>
              </w:rPr>
            </w:pPr>
            <w:r>
              <w:rPr>
                <w:color w:val="000000"/>
                <w:sz w:val="20"/>
              </w:rPr>
              <w:t>12.062.065,00</w:t>
            </w:r>
          </w:p>
        </w:tc>
      </w:tr>
      <w:tr w:rsidR="00823317" w14:paraId="2CBEBBB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9E9B20"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B21056" w14:textId="77777777" w:rsidR="00A77B3E" w:rsidRDefault="00B16CCF">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299ADF"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271882"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E3EF3F" w14:textId="77777777" w:rsidR="00A77B3E" w:rsidRDefault="00B16CCF">
            <w:pPr>
              <w:spacing w:before="5pt"/>
              <w:rPr>
                <w:color w:val="000000"/>
                <w:sz w:val="20"/>
              </w:rPr>
            </w:pPr>
            <w:r>
              <w:rPr>
                <w:color w:val="000000"/>
                <w:sz w:val="20"/>
              </w:rPr>
              <w:t>02. Vključevanje vidika spola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5E0A52" w14:textId="77777777" w:rsidR="00A77B3E" w:rsidRDefault="00B16CCF">
            <w:pPr>
              <w:spacing w:before="5pt"/>
              <w:jc w:val="end"/>
              <w:rPr>
                <w:color w:val="000000"/>
                <w:sz w:val="20"/>
              </w:rPr>
            </w:pPr>
            <w:r>
              <w:rPr>
                <w:color w:val="000000"/>
                <w:sz w:val="20"/>
              </w:rPr>
              <w:t>68.300.235,00</w:t>
            </w:r>
          </w:p>
        </w:tc>
      </w:tr>
      <w:tr w:rsidR="00823317" w14:paraId="384452A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35143C"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55FBB8" w14:textId="77777777" w:rsidR="00A77B3E" w:rsidRDefault="00B16CCF">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A684FA"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48616F"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CEA77B"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FBF074" w14:textId="77777777" w:rsidR="00A77B3E" w:rsidRDefault="00B16CCF">
            <w:pPr>
              <w:spacing w:before="5pt"/>
              <w:jc w:val="end"/>
              <w:rPr>
                <w:color w:val="000000"/>
                <w:sz w:val="20"/>
              </w:rPr>
            </w:pPr>
            <w:r>
              <w:rPr>
                <w:color w:val="000000"/>
                <w:sz w:val="20"/>
              </w:rPr>
              <w:t>116.189.300,00</w:t>
            </w:r>
          </w:p>
        </w:tc>
      </w:tr>
    </w:tbl>
    <w:p w14:paraId="3023B992" w14:textId="77777777" w:rsidR="00A77B3E" w:rsidRDefault="00B16CCF">
      <w:pPr>
        <w:spacing w:before="5pt"/>
        <w:rPr>
          <w:color w:val="000000"/>
          <w:sz w:val="20"/>
        </w:rPr>
      </w:pPr>
      <w:r>
        <w:rPr>
          <w:color w:val="000000"/>
          <w:sz w:val="20"/>
        </w:rPr>
        <w:t>* Načeloma 40 % za ESS+ prispeva k spremljanju enakosti spolov. 100 % se uporabi, kadar se država članica odloči za uporabo člena 6 uredbe o ESS+.</w:t>
      </w:r>
    </w:p>
    <w:p w14:paraId="6592D4E7" w14:textId="77777777" w:rsidR="00A77B3E" w:rsidRDefault="00B16CCF">
      <w:pPr>
        <w:pStyle w:val="Naslov4"/>
        <w:spacing w:before="5pt" w:after="0pt"/>
        <w:rPr>
          <w:b w:val="0"/>
          <w:color w:val="000000"/>
          <w:sz w:val="24"/>
        </w:rPr>
      </w:pPr>
      <w:r>
        <w:rPr>
          <w:b w:val="0"/>
          <w:color w:val="000000"/>
          <w:sz w:val="24"/>
        </w:rPr>
        <w:br w:type="page"/>
      </w:r>
      <w:bookmarkStart w:id="489" w:name="_Toc256001250"/>
      <w:r>
        <w:rPr>
          <w:b w:val="0"/>
          <w:color w:val="000000"/>
          <w:sz w:val="24"/>
        </w:rPr>
        <w:lastRenderedPageBreak/>
        <w:t>2.1.1.1. Specifični cilj: ESO4.7. Spodbujanje vseživljenjskega učenja, zlasti prožnih možnosti za izpopolnjevanje in prekvalifikacijo za vse, ob upoštevanju podjetniških in digitalnih veščin, boljše predvidevanje sprememb in zahtev po novih veščinah na podlagi potreb trga dela, olajševanje prehodov med delovnimi mesti in spodbujanje poklicne mobilnosti (ESS+)</w:t>
      </w:r>
      <w:bookmarkEnd w:id="489"/>
    </w:p>
    <w:p w14:paraId="4CFE8AF8" w14:textId="77777777" w:rsidR="00A77B3E" w:rsidRDefault="00A77B3E">
      <w:pPr>
        <w:spacing w:before="5pt"/>
        <w:rPr>
          <w:color w:val="000000"/>
          <w:sz w:val="0"/>
        </w:rPr>
      </w:pPr>
    </w:p>
    <w:p w14:paraId="5C2618E5" w14:textId="77777777" w:rsidR="00A77B3E" w:rsidRDefault="00B16CCF">
      <w:pPr>
        <w:pStyle w:val="Naslov4"/>
        <w:spacing w:before="5pt" w:after="0pt"/>
        <w:rPr>
          <w:b w:val="0"/>
          <w:color w:val="000000"/>
          <w:sz w:val="24"/>
        </w:rPr>
      </w:pPr>
      <w:bookmarkStart w:id="490" w:name="_Toc256001251"/>
      <w:r>
        <w:rPr>
          <w:b w:val="0"/>
          <w:color w:val="000000"/>
          <w:sz w:val="24"/>
        </w:rPr>
        <w:t>2.1.1.1.1. Ukrepi skladov</w:t>
      </w:r>
      <w:bookmarkEnd w:id="490"/>
    </w:p>
    <w:p w14:paraId="3C95EA00" w14:textId="77777777" w:rsidR="00A77B3E" w:rsidRDefault="00A77B3E">
      <w:pPr>
        <w:spacing w:before="5pt"/>
        <w:rPr>
          <w:color w:val="000000"/>
          <w:sz w:val="0"/>
        </w:rPr>
      </w:pPr>
    </w:p>
    <w:p w14:paraId="5E3ECF8D" w14:textId="77777777" w:rsidR="00A77B3E" w:rsidRDefault="00B16CCF">
      <w:pPr>
        <w:spacing w:before="5pt"/>
        <w:rPr>
          <w:color w:val="000000"/>
          <w:sz w:val="0"/>
        </w:rPr>
      </w:pPr>
      <w:r>
        <w:rPr>
          <w:color w:val="000000"/>
        </w:rPr>
        <w:t>Sklic: člen 22(3)(d)(i), (iii), (iv), (v), (vi) in (vii) uredbe o skupnih določbah</w:t>
      </w:r>
    </w:p>
    <w:p w14:paraId="2AAD2DFD" w14:textId="77777777" w:rsidR="00A77B3E" w:rsidRDefault="00B16CCF">
      <w:pPr>
        <w:pStyle w:val="Naslov5"/>
        <w:spacing w:before="5pt" w:after="0pt"/>
        <w:rPr>
          <w:b w:val="0"/>
          <w:i w:val="0"/>
          <w:color w:val="000000"/>
          <w:sz w:val="24"/>
        </w:rPr>
      </w:pPr>
      <w:bookmarkStart w:id="491" w:name="_Toc256001252"/>
      <w:r>
        <w:rPr>
          <w:b w:val="0"/>
          <w:i w:val="0"/>
          <w:color w:val="000000"/>
          <w:sz w:val="24"/>
        </w:rPr>
        <w:t>Povezane vrste ukrepov – člen 22(3)(d)(i) uredbe o skupnih določbah in člen 6 uredbe o ESS+:</w:t>
      </w:r>
      <w:bookmarkEnd w:id="491"/>
    </w:p>
    <w:p w14:paraId="50CA0D9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1EEF2EC2"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791D8B" w14:textId="77777777" w:rsidR="00A77B3E" w:rsidRDefault="00A77B3E">
            <w:pPr>
              <w:spacing w:before="5pt"/>
              <w:rPr>
                <w:color w:val="000000"/>
                <w:sz w:val="0"/>
              </w:rPr>
            </w:pPr>
          </w:p>
          <w:p w14:paraId="2B6F51B6" w14:textId="77777777" w:rsidR="00A77B3E" w:rsidRDefault="00B16CCF">
            <w:pPr>
              <w:spacing w:before="5pt"/>
              <w:rPr>
                <w:color w:val="000000"/>
              </w:rPr>
            </w:pPr>
            <w:r>
              <w:rPr>
                <w:color w:val="000000"/>
              </w:rPr>
              <w:t>Z namenom doseganja večje vključenosti posameznikov v vseživljenjsko izobraževanje in učenje (v nadaljevanju: VŽU), predvsem deleža nižje izobraženih, manj usposobljenih in starejših, izboljšanih poklicnih kompetenc zaposlenih in učinkovit sistem karierne orientacije, vzpostavitve digitalnih izobraževalnih virov ter visokokakovostne didaktične programske opreme in zmanjšanja digitalne vrzeli, bodo ukrepi za doseganje ciljev tega specifičnega cilja usmerjeni v:</w:t>
            </w:r>
          </w:p>
          <w:p w14:paraId="689E8277" w14:textId="77777777" w:rsidR="00A77B3E" w:rsidRDefault="00B16CCF">
            <w:pPr>
              <w:spacing w:before="5pt"/>
              <w:rPr>
                <w:color w:val="000000"/>
              </w:rPr>
            </w:pPr>
            <w:r>
              <w:rPr>
                <w:color w:val="000000"/>
              </w:rPr>
              <w:t>•izvajanje</w:t>
            </w:r>
            <w:r>
              <w:rPr>
                <w:i/>
                <w:iCs/>
                <w:color w:val="000000"/>
              </w:rPr>
              <w:t xml:space="preserve"> podpornih aktivnosti za izvajanje VŽU</w:t>
            </w:r>
            <w:r>
              <w:rPr>
                <w:color w:val="000000"/>
              </w:rPr>
              <w:t>: izvedena bo vseslovenska kampanja za odrasle iz različnih ranljivih skupin (starejši, migranti, zaporniki, manj izobraženi oziroma s pomanjkanjem kompetenc, brezposelni in podobno). Posameznike bomo ozaveščali o pomenu udeležbe v VŽU za vstop oz. konkurenčnost na trgu dela, osebni razvoj in sodelovanje v skupnosti. Namen ukrepov je: okrepiti pozitiven odnos do VŽU, ki prinaša napredek na osebnem, družbenem in delovnem področju; povečati vključenost v različne oblike VŽU za pridobitev višje ali nove izobrazbe ter temeljnih in poklicnih kompetenc, izboljšanje splošne razgledanosti, povezovanje in vzpostavljanje učeče se skupnosti. Razvijali bomo sodobne pristope in orodja za kakovostno in učinkovito izvajanje promocijskih, animacijskih in informativnih aktivnosti ter učne pomoči. Krepili bomo medresorsko povezovanje in vključevali različne deležnike na trgu dela, socialne partnerje in nevladne organizacije na državni in lokalni ravni. Z namenom doseganja večje sinergije pri izvajanju aktivnosti je predvideno sodelovanje različnih ministrstev, ki aktivno delujejo na področju izobraževanja odraslih (MVI, MGTŠ, MDP in MDDSZ). Z različnimi orodji (kot npr. individualni učni računi) bo omogočeno vsem odraslim, da razvijejo svoje spretnosti skozi celotno dobo zaposlitve;</w:t>
            </w:r>
          </w:p>
          <w:p w14:paraId="23FFF6C9" w14:textId="77777777" w:rsidR="00A77B3E" w:rsidRDefault="00B16CCF">
            <w:pPr>
              <w:spacing w:before="5pt"/>
              <w:rPr>
                <w:color w:val="000000"/>
              </w:rPr>
            </w:pPr>
            <w:r>
              <w:rPr>
                <w:color w:val="000000"/>
              </w:rPr>
              <w:t xml:space="preserve">• v zagotavljanje </w:t>
            </w:r>
            <w:r>
              <w:rPr>
                <w:i/>
                <w:iCs/>
                <w:color w:val="000000"/>
              </w:rPr>
              <w:t>podpornega okolja, sistema mentorstev ter neposredne podpore za razvoj storitev in izvedbo pilotnih projektov nevladnih organizacij na področju digitalne preobrazbe</w:t>
            </w:r>
            <w:r>
              <w:rPr>
                <w:color w:val="000000"/>
              </w:rPr>
              <w:t>. V okviru podpornega okolja se bo informiralo, splošno in strokovno javnost o izzivih digitalne preobrazbe, svetovalo, izobraževalo ter raziskovalo in spodbujalo čezsektorska partnerstva. Z zagotavljanjem podpornega okolja in pilotnih projektov, s katerimi se bodo spodbujale nove rešitve, bodo opolnomočene nevladne organizacije s področja digitalne preobrazbe kar bo prispevalo k vseživljenjskemu učenju in hitrejšemu ter učinkovitemu prilagajanju na spremembe;</w:t>
            </w:r>
          </w:p>
          <w:p w14:paraId="2DAB318C" w14:textId="77777777" w:rsidR="00A77B3E" w:rsidRDefault="00B16CCF">
            <w:pPr>
              <w:spacing w:before="5pt"/>
              <w:rPr>
                <w:color w:val="000000"/>
              </w:rPr>
            </w:pPr>
            <w:r>
              <w:rPr>
                <w:color w:val="000000"/>
              </w:rPr>
              <w:t xml:space="preserve">• izvedene bodo </w:t>
            </w:r>
            <w:r>
              <w:rPr>
                <w:i/>
                <w:iCs/>
                <w:color w:val="000000"/>
              </w:rPr>
              <w:t>strokovne in razvojne naloge na področju</w:t>
            </w:r>
            <w:r>
              <w:rPr>
                <w:color w:val="000000"/>
              </w:rPr>
              <w:t>: informativne in svetovalne dejavnosti za odrasle v srednješolskem izobraževanju, ki se je v okviru mednarodnega projekta izkazalo za podhranjeno); validacije; presojanje in razvijanje kakovosti v izobraževanju odraslih, strokovne in razvojne naloge na področju vseživljenjske karierne orientacije v višjem strokovnem izobraževanju z namenom večje zaposljivosti diplomantov, krepitve pomena vseživljenjskega izobraževanja, sodelovanja med višjimi strokovnimi šolami in delodajalci, ureditve evidenc ipd. Gre za izvajanje usposabljanj, namenjenih opolnomočenju zaposlenih v MSP, ki imajo malo sredstev za usposabljanja za spopadanje s hitrimi spremembami na trgu. Namen teh usposabljanj bo razvoj in krepitev kompetenc, potrebnih za uspešen nastop na trgu dela</w:t>
            </w:r>
          </w:p>
          <w:p w14:paraId="1B988800" w14:textId="77777777" w:rsidR="00A77B3E" w:rsidRDefault="00A77B3E">
            <w:pPr>
              <w:spacing w:before="5pt"/>
              <w:rPr>
                <w:color w:val="000000"/>
              </w:rPr>
            </w:pPr>
          </w:p>
          <w:p w14:paraId="45A62E0F" w14:textId="77777777" w:rsidR="00A77B3E" w:rsidRDefault="00B16CCF">
            <w:pPr>
              <w:spacing w:before="5pt"/>
              <w:rPr>
                <w:color w:val="000000"/>
              </w:rPr>
            </w:pPr>
            <w:r>
              <w:rPr>
                <w:color w:val="000000"/>
              </w:rPr>
              <w:lastRenderedPageBreak/>
              <w:t>•</w:t>
            </w:r>
            <w:r>
              <w:rPr>
                <w:i/>
                <w:iCs/>
                <w:color w:val="000000"/>
              </w:rPr>
              <w:t xml:space="preserve">ukrepe za pridobitev srednješolske izobrazbe in novega poklica </w:t>
            </w:r>
            <w:r>
              <w:rPr>
                <w:color w:val="000000"/>
              </w:rPr>
              <w:t>za različne ravni</w:t>
            </w:r>
            <w:r>
              <w:rPr>
                <w:i/>
                <w:iCs/>
                <w:color w:val="000000"/>
              </w:rPr>
              <w:t>, kvalifikacije in prekvalifikacije, poklicno izpopolnjevanje in usposabljanje, pridobivanje in zviševanje ravni pismenosti in temeljnih zmožnosti ter izboljšanje splošne izobraženosti vključno z digitalnimi in drugimi ključnimi kompetencami za VŽU</w:t>
            </w:r>
            <w:r>
              <w:rPr>
                <w:color w:val="000000"/>
              </w:rPr>
              <w:t>:</w:t>
            </w:r>
          </w:p>
          <w:p w14:paraId="1341C8EC" w14:textId="77777777" w:rsidR="00A77B3E" w:rsidRDefault="00B16CCF">
            <w:pPr>
              <w:spacing w:before="5pt"/>
              <w:rPr>
                <w:color w:val="000000"/>
              </w:rPr>
            </w:pPr>
            <w:r>
              <w:rPr>
                <w:color w:val="000000"/>
              </w:rPr>
              <w:t>o razvijanje in izvajanje programov za različne ciljne skupine odraslih, ki zagotavljajo pridobivanje in zviševanje ravni pismenosti in temeljnih zmožnosti ter izboljšanje splošne izobraženosti (vključno z digitalnimi kompetencami) za zaposlitev ali učinkovitejše opravljanje dela, osebni razvoj, aktivno državljanstvo, zeleni prehod in socialno vključenost, s poudarkom na manj izobraženih, odraslih s pomanjkanjem spretnosti in starejših. To bo prispevalo k večji vključenosti odraslih v VŽU in izboljšanju kompetenc (tudi digitalne), ki jih posamezniki potrebujejo na trgu dela.Omogočena bo fleksibilnost programov glede na presežno ponudbo dela (komplementarnost z NOO: zviševanje ravni pismenosti in temeljnih zmožnosti z izvajanjem usposabljanj po novih javnoveljavnih programih s področja finančne pismenosti).</w:t>
            </w:r>
          </w:p>
          <w:p w14:paraId="5DC5C68C" w14:textId="77777777" w:rsidR="00A77B3E" w:rsidRDefault="00B16CCF">
            <w:pPr>
              <w:spacing w:before="5pt"/>
              <w:rPr>
                <w:color w:val="000000"/>
              </w:rPr>
            </w:pPr>
            <w:r>
              <w:rPr>
                <w:color w:val="000000"/>
              </w:rPr>
              <w:t>o Razvijanje in izvajanje programov nadaljnjega poklicnega izobraževanja in usposabljanja ter izpopolnjevanja, ob upoštevanju trendov zaposlovanja oziroma potreb trga dela, tehnološkega razvoja, zelenega prehoda, družbenih sprememb ipd. To so programi usposabljanja in izpopolnjevanja ter študijski programi za izpopolnjevanje, skladno z Izhodišči za pripravo izobraževalnih programov nižjega in srednjega poklicnega izobraževanja ter programov srednjega strokovnega izobraževanja in Izhodišči za pripravo višješolskih študijskih programov; programi nadaljnjega poklicnega izpolnjevanja za nadgradnjo kompetenc zaposlenih s specifičnimi znanji in potrebami dela. Ukrep bo vključeval programe usposabljanja in izpopolnjevanja za zaposlene v javnem sektorju, s poudarkom na usposabljanju vodilnih in ostalih javnih uslužbencev za zmanjševanje vrzeli na področju temeljnih in strokovnih kompetenc za reševanje izzivov prihodnosti. Vključeval bo programe, ki jih pripravi šola skupaj s podjetji. Udeležencem bodo z vključevanjem omogočene številne možnosti za izboljšanje temeljnih in poklicnih kompetenc, večjo zaposljivost in mobilnost med področjih dela, osebni razvoj in delovanje v sodobni družbi.</w:t>
            </w:r>
          </w:p>
          <w:p w14:paraId="075EC746" w14:textId="77777777" w:rsidR="00A77B3E" w:rsidRDefault="00B16CCF">
            <w:pPr>
              <w:spacing w:before="5pt"/>
              <w:rPr>
                <w:color w:val="000000"/>
              </w:rPr>
            </w:pPr>
            <w:r>
              <w:rPr>
                <w:color w:val="000000"/>
              </w:rPr>
              <w:t>oSpodbujanje dviga izobrazbene ravni odraslih na srednješolski in višješolski ravni, ki omogoča pridobitev poklicne, strokovne in višješolske izobrazbe, vključno s pridobitvijo novega naziva poklicne in strokovne izobrazbe (prekvalifikacije) na različnih ravneh s poudarkom na deficitarnih poklicih. Z ukrepom bomo dvignili izobrazbeno raven prebivalstva (komplementarnost s sistemsko ureditvijo: osnovnošolsko raven zagotavljamo v okviru javne službe na področju izobraževanja odraslih). S tem bomo prispevali k ciljem Akcijskega načrta za evropski steber socialnih pravic ter omogočili fleksibilnejšo zapolnitev presežnih delovnih mest, ki bodo na voljo.</w:t>
            </w:r>
          </w:p>
          <w:p w14:paraId="5A0F76CF" w14:textId="77777777" w:rsidR="00A77B3E" w:rsidRDefault="00B16CCF">
            <w:pPr>
              <w:spacing w:before="5pt"/>
              <w:rPr>
                <w:color w:val="000000"/>
              </w:rPr>
            </w:pPr>
            <w:r>
              <w:rPr>
                <w:color w:val="000000"/>
              </w:rPr>
              <w:t xml:space="preserve">o Krepitev kompetenc mladih za večjo zaposljivost in aktivno državljanstvo z mladinskim delom: izvajanje usposabljanj za krepitev kompetenc mladih, starih od 15 do 29 let, , ki jih bodo izvajale organizacije v mladinskem sektorju. Spodbujale se bodo inovativne oblike mladinskega dela, ki bodo imele širše učinke na področje kakovostnega mladinskega dela in mladinske politike, k aktivnostim se bo spodbujalo mlade, ki niso udeleženi v izobraževanju ali usposabljanju oziroma niso zaposleni (NEET). Rezultati iz obdobja 2014-2020 kažejo, da so mladi s pridobljenimi kompetencami, izboljšali svojo zaposljivost in aktivno državljanstvo. </w:t>
            </w:r>
          </w:p>
          <w:p w14:paraId="1E4DCDC0" w14:textId="77777777" w:rsidR="00A77B3E" w:rsidRDefault="00B16CCF">
            <w:pPr>
              <w:spacing w:before="5pt"/>
              <w:rPr>
                <w:color w:val="000000"/>
              </w:rPr>
            </w:pPr>
            <w:r>
              <w:rPr>
                <w:color w:val="000000"/>
              </w:rPr>
              <w:t>Delodajalci in udeleženci v obdobju 2014-2020 so prepoznali pozitivne učinke ukrepov. Izvedena vmesna evalvacija je pokazala, da imajo zaposleni potrebo po specifičnih znanjih, kot so digitalizacija, umetna inteligenca, pametna proizvodnja, zelena delovna mesta, itd. Nadaljevali bomo z ukrepi ter s tem prispevali k večji vključenosti odraslih v VŽU in izboljšanju kompetenc, zaradi potreb na trgu dela, za svoj osebni razvoj, aktivno državljanstvo, zeleni prehod in socialno vključenost;</w:t>
            </w:r>
          </w:p>
          <w:p w14:paraId="29DAFD77" w14:textId="77777777" w:rsidR="00A77B3E" w:rsidRDefault="00A77B3E">
            <w:pPr>
              <w:spacing w:before="5pt"/>
              <w:rPr>
                <w:color w:val="000000"/>
              </w:rPr>
            </w:pPr>
          </w:p>
          <w:p w14:paraId="513A9958" w14:textId="77777777" w:rsidR="00A77B3E" w:rsidRDefault="00B16CCF">
            <w:pPr>
              <w:spacing w:before="5pt"/>
              <w:rPr>
                <w:color w:val="000000"/>
              </w:rPr>
            </w:pPr>
            <w:r>
              <w:rPr>
                <w:color w:val="000000"/>
              </w:rPr>
              <w:t>•</w:t>
            </w:r>
            <w:r>
              <w:rPr>
                <w:i/>
                <w:iCs/>
                <w:color w:val="000000"/>
              </w:rPr>
              <w:t>krepitev kakovosti sistema izobraževanja odraslih, predvsem na dveh področji ukrepanja:</w:t>
            </w:r>
          </w:p>
          <w:p w14:paraId="50199A03" w14:textId="77777777" w:rsidR="00A77B3E" w:rsidRDefault="00B16CCF">
            <w:pPr>
              <w:spacing w:before="5pt"/>
              <w:rPr>
                <w:color w:val="000000"/>
              </w:rPr>
            </w:pPr>
            <w:r>
              <w:rPr>
                <w:color w:val="000000"/>
              </w:rPr>
              <w:lastRenderedPageBreak/>
              <w:t>o razvoj e-gradiv in aplikacij za programe na področju poklicnega in strokovnega izobraževanja ter izobraževanja odraslih vključno s programi za zaposlene v javnem sektorju: za potrebe osvajanja temeljnih, poklicnih in ključnih zmožnosti bomo spodbujali razvoj e-vsebin z različnimi oblikami in možnostmi dostopnosti na internetu (preko portalov, e-učilnic, platform, aplikacij, ipd.). Pomanjkanje ustreznih e-gradiv in e-vsebin se je v času epidemije covid-19 izkazalo kot ena izmed ključnih pomanjkljivosti na področju izobraževanja odraslih.</w:t>
            </w:r>
          </w:p>
          <w:p w14:paraId="01364527" w14:textId="77777777" w:rsidR="00A77B3E" w:rsidRDefault="00B16CCF">
            <w:pPr>
              <w:spacing w:before="5pt"/>
              <w:rPr>
                <w:color w:val="000000"/>
              </w:rPr>
            </w:pPr>
            <w:r>
              <w:rPr>
                <w:color w:val="000000"/>
              </w:rPr>
              <w:t>O Krepitev usposobljenosti izobraževalcev odraslih: ugotavljalo se bo potrebe izobraževalcev odraslih po novih kompetencah, vzpostavilo se bo nacionalne točke za potrebe izpopolnjevanja izobraževalcev odraslih, nadgrajevalo kompetence s posebnim poudarkom na: digitalizaciji učenja in izobraževanja, trajnostnem razvoju, novih pristopih za izobraževanje na daljavo, IKT orodjih idr. Komplementarno prejšnji alineji se bodo pripravljali programi e-izpopolnjevanja, razvijala učna gradiva in učni viri v podporo e-izpopolnjevanju izobraževalcev odraslih. Izvajalo se bo izpopolnjevanje izobraževalcev odraslih preko prakse na različnih področjih ciljnih skupin in s podporo IKT, spodbujali njihov karierni razvoj in poklicno mobilnost. Pri izvajanju ukrepa bomo krepili sodelovanje s socialnimi partnerji, drugimi ministrstvi in nevladnimi organizacijami na državni in lokalni ravni.</w:t>
            </w:r>
          </w:p>
          <w:p w14:paraId="1A079767" w14:textId="77777777" w:rsidR="00A77B3E" w:rsidRDefault="00A77B3E">
            <w:pPr>
              <w:spacing w:before="5pt"/>
              <w:rPr>
                <w:color w:val="000000"/>
              </w:rPr>
            </w:pPr>
          </w:p>
          <w:p w14:paraId="304800AB" w14:textId="77777777" w:rsidR="00A77B3E" w:rsidRDefault="00B16CCF">
            <w:pPr>
              <w:spacing w:before="5pt"/>
              <w:rPr>
                <w:color w:val="000000"/>
              </w:rPr>
            </w:pPr>
            <w:r>
              <w:rPr>
                <w:color w:val="000000"/>
              </w:rPr>
              <w:t>Gre za ukrepe, ki po svoji naravi nimajo predvidljivega negativnega vpliva na okoljske cilje, ki bi bil povezan z neposrednimi in primarnimi posrednimi učinki ukrepa v življenjskem ciklu oz. je ta vpliv nepomemben, zato so skladni z načelom DNSH.</w:t>
            </w:r>
          </w:p>
          <w:p w14:paraId="554E7294" w14:textId="77777777" w:rsidR="00A77B3E" w:rsidRDefault="00A77B3E">
            <w:pPr>
              <w:spacing w:before="5pt"/>
              <w:rPr>
                <w:color w:val="000000"/>
                <w:sz w:val="6"/>
              </w:rPr>
            </w:pPr>
          </w:p>
          <w:p w14:paraId="3D8E80C7" w14:textId="77777777" w:rsidR="00A77B3E" w:rsidRDefault="00A77B3E">
            <w:pPr>
              <w:spacing w:before="5pt"/>
              <w:rPr>
                <w:color w:val="000000"/>
                <w:sz w:val="6"/>
              </w:rPr>
            </w:pPr>
          </w:p>
        </w:tc>
      </w:tr>
    </w:tbl>
    <w:p w14:paraId="58E1817F" w14:textId="77777777" w:rsidR="00A77B3E" w:rsidRDefault="00A77B3E">
      <w:pPr>
        <w:spacing w:before="5pt"/>
        <w:rPr>
          <w:color w:val="000000"/>
        </w:rPr>
      </w:pPr>
    </w:p>
    <w:p w14:paraId="5E31C7BE" w14:textId="77777777" w:rsidR="00A77B3E" w:rsidRDefault="00B16CCF">
      <w:pPr>
        <w:pStyle w:val="Naslov5"/>
        <w:spacing w:before="5pt" w:after="0pt"/>
        <w:rPr>
          <w:b w:val="0"/>
          <w:i w:val="0"/>
          <w:color w:val="000000"/>
          <w:sz w:val="24"/>
        </w:rPr>
      </w:pPr>
      <w:bookmarkStart w:id="492" w:name="_Toc256001253"/>
      <w:r>
        <w:rPr>
          <w:b w:val="0"/>
          <w:i w:val="0"/>
          <w:color w:val="000000"/>
          <w:sz w:val="24"/>
        </w:rPr>
        <w:t>Glavne ciljne skupine – člen 22(3)(d)(iii) uredbe o skupnih določbah:</w:t>
      </w:r>
      <w:bookmarkEnd w:id="492"/>
    </w:p>
    <w:p w14:paraId="36C89F5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1993844A"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96765F" w14:textId="77777777" w:rsidR="00A77B3E" w:rsidRDefault="00A77B3E">
            <w:pPr>
              <w:spacing w:before="5pt"/>
              <w:rPr>
                <w:color w:val="000000"/>
                <w:sz w:val="0"/>
              </w:rPr>
            </w:pPr>
          </w:p>
          <w:p w14:paraId="2C47EE35" w14:textId="77777777" w:rsidR="00A77B3E" w:rsidRDefault="00B16CCF">
            <w:pPr>
              <w:spacing w:before="5pt"/>
              <w:rPr>
                <w:color w:val="000000"/>
              </w:rPr>
            </w:pPr>
            <w:r>
              <w:rPr>
                <w:color w:val="000000"/>
              </w:rPr>
              <w:t>Ciljne skupine so:</w:t>
            </w:r>
          </w:p>
          <w:p w14:paraId="5E8A3CF8" w14:textId="77777777" w:rsidR="00A77B3E" w:rsidRDefault="00B16CCF">
            <w:pPr>
              <w:spacing w:before="5pt"/>
              <w:rPr>
                <w:color w:val="000000"/>
              </w:rPr>
            </w:pPr>
            <w:r>
              <w:rPr>
                <w:color w:val="000000"/>
              </w:rPr>
              <w:t>•vsi odrasli, pri čemer bodo narejeni poudarki za ranljive ciljne skupine (starejši od 45 let, nižje izobraženi, manj usposobljeni, migranti, zaporniki in podobno);</w:t>
            </w:r>
          </w:p>
          <w:p w14:paraId="7851EE80" w14:textId="77777777" w:rsidR="00A77B3E" w:rsidRDefault="00B16CCF">
            <w:pPr>
              <w:spacing w:before="5pt"/>
              <w:rPr>
                <w:color w:val="000000"/>
              </w:rPr>
            </w:pPr>
            <w:r>
              <w:rPr>
                <w:color w:val="000000"/>
              </w:rPr>
              <w:t>•odrasli, ki potrebujejo izpopolnjevanje ali usposabljanje, kvalifikacije ali prekvalifikacije zaradi potreb na trgu dela oziroma delovnem mestu;</w:t>
            </w:r>
          </w:p>
          <w:p w14:paraId="7A37A0BA" w14:textId="77777777" w:rsidR="00A77B3E" w:rsidRDefault="00B16CCF">
            <w:pPr>
              <w:spacing w:before="5pt"/>
              <w:rPr>
                <w:color w:val="000000"/>
              </w:rPr>
            </w:pPr>
            <w:r>
              <w:rPr>
                <w:color w:val="000000"/>
              </w:rPr>
              <w:t xml:space="preserve">•posamezniki, stari od 15 in do vključno 29 let z namenom razvijanja kompetenc, ki jih potrebujejo za večjo zaposljivost (tudi na področju kulture in umetnosti) in aktivno državljanstvo. </w:t>
            </w:r>
          </w:p>
          <w:p w14:paraId="431E0611" w14:textId="77777777" w:rsidR="00A77B3E" w:rsidRDefault="00A77B3E">
            <w:pPr>
              <w:spacing w:before="5pt"/>
              <w:rPr>
                <w:color w:val="000000"/>
              </w:rPr>
            </w:pPr>
          </w:p>
          <w:p w14:paraId="71DB95CF" w14:textId="77777777" w:rsidR="00A77B3E" w:rsidRDefault="00B16CCF">
            <w:pPr>
              <w:spacing w:before="5pt"/>
              <w:rPr>
                <w:color w:val="000000"/>
              </w:rPr>
            </w:pPr>
            <w:r>
              <w:rPr>
                <w:color w:val="000000"/>
              </w:rPr>
              <w:t>Upravičenci: vzgojno izobraževalne organizacije (javne organizacije za izobraževanje odraslih, srednje šole, višje strokovne šole, medpodjetniški izobraževalni centri, zasebne organizacije), skupnosti in združenja na področju vzgoje in izobraževanja, NVO in njihova združenja, organizacije v mladinskem sektorju, Andragoški center Slovenije, Center za poklicno izobraževanje, JŠRIPS, Center za izobraževanje v pravosodju, Ustavno sodišče Republike Slovenije, Upravna akademija, socialni partnerji in druge institucije, ki bodo v skladu z zakonodajo ali ustreznimi izbirnimi postopki prepoznani kot upravičenci.</w:t>
            </w:r>
          </w:p>
          <w:p w14:paraId="100F2C06" w14:textId="77777777" w:rsidR="00A77B3E" w:rsidRDefault="00A77B3E">
            <w:pPr>
              <w:spacing w:before="5pt"/>
              <w:rPr>
                <w:color w:val="000000"/>
                <w:sz w:val="6"/>
              </w:rPr>
            </w:pPr>
          </w:p>
          <w:p w14:paraId="3118A58B" w14:textId="77777777" w:rsidR="00A77B3E" w:rsidRDefault="00A77B3E">
            <w:pPr>
              <w:spacing w:before="5pt"/>
              <w:rPr>
                <w:color w:val="000000"/>
                <w:sz w:val="6"/>
              </w:rPr>
            </w:pPr>
          </w:p>
        </w:tc>
      </w:tr>
    </w:tbl>
    <w:p w14:paraId="4B46C69A" w14:textId="77777777" w:rsidR="00A77B3E" w:rsidRDefault="00A77B3E">
      <w:pPr>
        <w:spacing w:before="5pt"/>
        <w:rPr>
          <w:color w:val="000000"/>
        </w:rPr>
      </w:pPr>
    </w:p>
    <w:p w14:paraId="753DD2DD" w14:textId="77777777" w:rsidR="00A77B3E" w:rsidRDefault="00B16CCF">
      <w:pPr>
        <w:pStyle w:val="Naslov5"/>
        <w:spacing w:before="5pt" w:after="0pt"/>
        <w:rPr>
          <w:b w:val="0"/>
          <w:i w:val="0"/>
          <w:color w:val="000000"/>
          <w:sz w:val="24"/>
        </w:rPr>
      </w:pPr>
      <w:bookmarkStart w:id="493" w:name="_Toc256001254"/>
      <w:r>
        <w:rPr>
          <w:b w:val="0"/>
          <w:i w:val="0"/>
          <w:color w:val="000000"/>
          <w:sz w:val="24"/>
        </w:rPr>
        <w:lastRenderedPageBreak/>
        <w:t>Ukrepi za zaščito enakosti, vključenosti in nediskriminacije – člen 22(3)(d)(iv) uredbe o skupnih določbah in člen 6 uredbe o ESS+</w:t>
      </w:r>
      <w:bookmarkEnd w:id="493"/>
    </w:p>
    <w:p w14:paraId="5FCF6F1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4676D440"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E549C7" w14:textId="77777777" w:rsidR="00A77B3E" w:rsidRDefault="00A77B3E">
            <w:pPr>
              <w:spacing w:before="5pt"/>
              <w:rPr>
                <w:color w:val="000000"/>
                <w:sz w:val="0"/>
              </w:rPr>
            </w:pPr>
          </w:p>
          <w:p w14:paraId="7E4C2644" w14:textId="77777777" w:rsidR="00A77B3E" w:rsidRDefault="00B16CCF">
            <w:pPr>
              <w:spacing w:before="5pt"/>
              <w:rPr>
                <w:color w:val="000000"/>
              </w:rPr>
            </w:pPr>
            <w:r>
              <w:rPr>
                <w:color w:val="000000"/>
              </w:rPr>
              <w:t>Spoštovanje načel enakosti, vključenosti in nediskriminacije bo zagotovljeno pri izvajanju vseh aktivnosti na vseh ravneh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Načelo se bo upoštevalo tudi v okviru sistema upravljanja in nadzora. Z morebitnimi ugotovljenimi neskladji bo predvidoma vsaj enkrat letno seznanjen Odbor za spremljanje.</w:t>
            </w:r>
          </w:p>
          <w:p w14:paraId="4A64E9C6" w14:textId="77777777" w:rsidR="00A77B3E" w:rsidRDefault="00A77B3E">
            <w:pPr>
              <w:spacing w:before="5pt"/>
              <w:rPr>
                <w:color w:val="000000"/>
              </w:rPr>
            </w:pPr>
          </w:p>
          <w:p w14:paraId="1C694080" w14:textId="77777777" w:rsidR="00A77B3E" w:rsidRDefault="00B16CCF">
            <w:pPr>
              <w:spacing w:before="5pt"/>
              <w:rPr>
                <w:color w:val="000000"/>
              </w:rPr>
            </w:pPr>
            <w:r>
              <w:rPr>
                <w:color w:val="000000"/>
              </w:rPr>
              <w:t>V skladu z načeli javnega interesa na področju izobraževanja odraslih in z vizijo Resolucije o Nacionalnem programu izobraževanja odraslih v Republiki Sloveniji za obdobje 2022-2030 (Uradni list RS, št. 49/22) bodo imeli vsi odrasli prebivalci Slovenije v vseh življenjskih obdobjih enake možnosti in spodbude za kakovostno učenje in izobraževanje za svoj celostni razvoj in sonaravno bivanje. Izkušnje iz programskega obdobja 2014-2020 kažejo, da so potrebe po izobraževanju in usposabljanju prisotne ne le pri starejših in nižje izobraževanih, temveč tudi pri ostalih ciljnih skupinah, na primer pri višje izobraženih posameznikih, ki pa vseeno imajo manjše sposobnosti na določenih področjih (npr. digitalna pismenost), zato želimo z ukrepi v Programu dati prav vsem odraslim možnost udeležbe v izobraževanju s pozornostjo na vidiku enakosti spolov. S posameznimi ukrepi bomo še posebej poudarili dostop za osebe z manj priložnostmi, vendar bodo ukrepi naravnani na udeležbo vseh odraslih.</w:t>
            </w:r>
          </w:p>
          <w:p w14:paraId="0CDC33BD" w14:textId="77777777" w:rsidR="00A77B3E" w:rsidRDefault="00A77B3E">
            <w:pPr>
              <w:spacing w:before="5pt"/>
              <w:rPr>
                <w:color w:val="000000"/>
                <w:sz w:val="6"/>
              </w:rPr>
            </w:pPr>
          </w:p>
          <w:p w14:paraId="76B986D7" w14:textId="77777777" w:rsidR="00A77B3E" w:rsidRDefault="00A77B3E">
            <w:pPr>
              <w:spacing w:before="5pt"/>
              <w:rPr>
                <w:color w:val="000000"/>
                <w:sz w:val="6"/>
              </w:rPr>
            </w:pPr>
          </w:p>
        </w:tc>
      </w:tr>
    </w:tbl>
    <w:p w14:paraId="57B975B0" w14:textId="77777777" w:rsidR="00A77B3E" w:rsidRDefault="00A77B3E">
      <w:pPr>
        <w:spacing w:before="5pt"/>
        <w:rPr>
          <w:color w:val="000000"/>
        </w:rPr>
      </w:pPr>
    </w:p>
    <w:p w14:paraId="00E4C3FF" w14:textId="77777777" w:rsidR="00A77B3E" w:rsidRDefault="00B16CCF">
      <w:pPr>
        <w:pStyle w:val="Naslov5"/>
        <w:spacing w:before="5pt" w:after="0pt"/>
        <w:rPr>
          <w:b w:val="0"/>
          <w:i w:val="0"/>
          <w:color w:val="000000"/>
          <w:sz w:val="24"/>
        </w:rPr>
      </w:pPr>
      <w:bookmarkStart w:id="494" w:name="_Toc256001255"/>
      <w:r>
        <w:rPr>
          <w:b w:val="0"/>
          <w:i w:val="0"/>
          <w:color w:val="000000"/>
          <w:sz w:val="24"/>
        </w:rPr>
        <w:t>Navedba specifičnih ciljnih ozemelj, vključno z načrtovano uporabo teritorialnih orodij – člen 22(3)(d)(v) uredbe o skupnih določbah</w:t>
      </w:r>
      <w:bookmarkEnd w:id="494"/>
    </w:p>
    <w:p w14:paraId="633FC60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52E237DA"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9DFEAD" w14:textId="77777777" w:rsidR="00A77B3E" w:rsidRDefault="00A77B3E">
            <w:pPr>
              <w:spacing w:before="5pt"/>
              <w:rPr>
                <w:color w:val="000000"/>
                <w:sz w:val="0"/>
              </w:rPr>
            </w:pPr>
          </w:p>
          <w:p w14:paraId="683FEDE4" w14:textId="77777777" w:rsidR="00A77B3E" w:rsidRDefault="00B16CCF">
            <w:pPr>
              <w:spacing w:before="5pt"/>
              <w:rPr>
                <w:color w:val="000000"/>
              </w:rPr>
            </w:pPr>
            <w:r>
              <w:rPr>
                <w:color w:val="000000"/>
              </w:rPr>
              <w:t>V okviru navedenega specifičnega cilja ni predvidena uporaba teritorialnih orodij.</w:t>
            </w:r>
          </w:p>
          <w:p w14:paraId="779622C2" w14:textId="77777777" w:rsidR="00A77B3E" w:rsidRDefault="00A77B3E">
            <w:pPr>
              <w:spacing w:before="5pt"/>
              <w:rPr>
                <w:color w:val="000000"/>
                <w:sz w:val="6"/>
              </w:rPr>
            </w:pPr>
          </w:p>
          <w:p w14:paraId="55C071FF" w14:textId="77777777" w:rsidR="00A77B3E" w:rsidRDefault="00A77B3E">
            <w:pPr>
              <w:spacing w:before="5pt"/>
              <w:rPr>
                <w:color w:val="000000"/>
                <w:sz w:val="6"/>
              </w:rPr>
            </w:pPr>
          </w:p>
        </w:tc>
      </w:tr>
    </w:tbl>
    <w:p w14:paraId="4B857578" w14:textId="77777777" w:rsidR="00A77B3E" w:rsidRDefault="00A77B3E">
      <w:pPr>
        <w:spacing w:before="5pt"/>
        <w:rPr>
          <w:color w:val="000000"/>
        </w:rPr>
      </w:pPr>
    </w:p>
    <w:p w14:paraId="59F85D2D" w14:textId="77777777" w:rsidR="00A77B3E" w:rsidRDefault="00B16CCF">
      <w:pPr>
        <w:pStyle w:val="Naslov5"/>
        <w:spacing w:before="5pt" w:after="0pt"/>
        <w:rPr>
          <w:b w:val="0"/>
          <w:i w:val="0"/>
          <w:color w:val="000000"/>
          <w:sz w:val="24"/>
        </w:rPr>
      </w:pPr>
      <w:bookmarkStart w:id="495" w:name="_Toc256001256"/>
      <w:r>
        <w:rPr>
          <w:b w:val="0"/>
          <w:i w:val="0"/>
          <w:color w:val="000000"/>
          <w:sz w:val="24"/>
        </w:rPr>
        <w:t>Medregionalni, čezmejni in transnacionalni ukrepi – člen 22(3)(d)(vi) uredbe o skupnih določbah</w:t>
      </w:r>
      <w:bookmarkEnd w:id="495"/>
    </w:p>
    <w:p w14:paraId="281B665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707F65EA"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329730" w14:textId="77777777" w:rsidR="00A77B3E" w:rsidRDefault="00A77B3E">
            <w:pPr>
              <w:spacing w:before="5pt"/>
              <w:rPr>
                <w:color w:val="000000"/>
                <w:sz w:val="0"/>
              </w:rPr>
            </w:pPr>
          </w:p>
          <w:p w14:paraId="35DED605" w14:textId="77777777" w:rsidR="00A77B3E" w:rsidRDefault="00B16CCF">
            <w:pPr>
              <w:spacing w:before="5pt"/>
              <w:rPr>
                <w:color w:val="000000"/>
              </w:rPr>
            </w:pPr>
            <w:r>
              <w:rPr>
                <w:color w:val="000000"/>
              </w:rPr>
              <w:t>Vlaganja v povečevanje vključitve v vseživljenjsko usposabljanje bodo prispevala tudi k ukrepom v sklopu makroregij. Prav tako bodo aktivnosti smiselno kombinirane tudi z aktivnostmi v različnih čezmejnih programih (predvsem na ISO Krepitev medsebojnega zaupanja, zlasti s spodbujanjem ukrepov v zvezi s projekti povezovanja med ljudmi (people-to-people)).</w:t>
            </w:r>
          </w:p>
          <w:p w14:paraId="40C53F87" w14:textId="77777777" w:rsidR="00A77B3E" w:rsidRDefault="00A77B3E">
            <w:pPr>
              <w:spacing w:before="5pt"/>
              <w:rPr>
                <w:color w:val="000000"/>
              </w:rPr>
            </w:pPr>
          </w:p>
          <w:p w14:paraId="6A230358" w14:textId="77777777" w:rsidR="00A77B3E" w:rsidRDefault="00B16CCF">
            <w:pPr>
              <w:spacing w:before="5pt"/>
              <w:rPr>
                <w:color w:val="000000"/>
              </w:rPr>
            </w:pPr>
            <w:r>
              <w:rPr>
                <w:color w:val="000000"/>
              </w:rPr>
              <w:lastRenderedPageBreak/>
              <w:t>Z načrtovanimi ukrepi na področju VŽU bomo senzibilizirali posameznike učeče se za vključevanje v VŽU ter jih tako opolnomočili, da se bodo lahko odločili za udeležbo v programih Erasmus+. S tem bomo pomagali posameznikom zagotoviti različne priložnosti za učenje. Prav tako bodo načrtovani ukrepi imeli tudi vpliv na osebje v izobraževanju odraslih ter izvajalske organizacije, ki bi se ozaveščeni lažje odločili za internacionalizacijo in institucionalni razvoj ponudnikov izobraževanja odraslih in drugih organizacij, aktivnih na področju izobraževanja odraslih, kar omogoča program Erasmus+.</w:t>
            </w:r>
          </w:p>
          <w:p w14:paraId="5C4436FC" w14:textId="77777777" w:rsidR="00A77B3E" w:rsidRDefault="00A77B3E">
            <w:pPr>
              <w:spacing w:before="5pt"/>
              <w:rPr>
                <w:color w:val="000000"/>
              </w:rPr>
            </w:pPr>
          </w:p>
          <w:p w14:paraId="3FFE5097" w14:textId="77777777" w:rsidR="00A77B3E" w:rsidRDefault="00B16CCF">
            <w:pPr>
              <w:spacing w:before="5pt"/>
              <w:rPr>
                <w:color w:val="000000"/>
              </w:rPr>
            </w:pPr>
            <w:r>
              <w:rPr>
                <w:color w:val="000000"/>
              </w:rPr>
              <w:t>Načrtovani ukrepi na specifičnem cilju vsebinsko sovpadajo in podpirajo predvidene vodilne projekte (flagships) Jadransko-jonske regije (EUSAIR). Tako se bo v okviru vodilnih projektov: Promocija, trajnost in konkurenčnost v ribištvo skozi izobraževanje, raziskave in razvoj, ter Podpore, koordinacije za izboljšanje marin in storitev modre rasti, podprlo ukrepe razvijanja veščin in izboljšanje ravni spretnosti in strokovnega znanja za delovno silo v pomorskem sektorju.</w:t>
            </w:r>
          </w:p>
          <w:p w14:paraId="1A66920A" w14:textId="77777777" w:rsidR="00A77B3E" w:rsidRDefault="00A77B3E">
            <w:pPr>
              <w:spacing w:before="5pt"/>
              <w:rPr>
                <w:color w:val="000000"/>
                <w:sz w:val="6"/>
              </w:rPr>
            </w:pPr>
          </w:p>
          <w:p w14:paraId="6BFD53A9" w14:textId="77777777" w:rsidR="00A77B3E" w:rsidRDefault="00A77B3E">
            <w:pPr>
              <w:spacing w:before="5pt"/>
              <w:rPr>
                <w:color w:val="000000"/>
                <w:sz w:val="6"/>
              </w:rPr>
            </w:pPr>
          </w:p>
        </w:tc>
      </w:tr>
    </w:tbl>
    <w:p w14:paraId="6275B505" w14:textId="77777777" w:rsidR="00A77B3E" w:rsidRDefault="00A77B3E">
      <w:pPr>
        <w:spacing w:before="5pt"/>
        <w:rPr>
          <w:color w:val="000000"/>
        </w:rPr>
      </w:pPr>
    </w:p>
    <w:p w14:paraId="58AE7A20" w14:textId="77777777" w:rsidR="00A77B3E" w:rsidRDefault="00B16CCF">
      <w:pPr>
        <w:pStyle w:val="Naslov5"/>
        <w:spacing w:before="5pt" w:after="0pt"/>
        <w:rPr>
          <w:b w:val="0"/>
          <w:i w:val="0"/>
          <w:color w:val="000000"/>
          <w:sz w:val="24"/>
        </w:rPr>
      </w:pPr>
      <w:bookmarkStart w:id="496" w:name="_Toc256001257"/>
      <w:r>
        <w:rPr>
          <w:b w:val="0"/>
          <w:i w:val="0"/>
          <w:color w:val="000000"/>
          <w:sz w:val="24"/>
        </w:rPr>
        <w:t>Načrtovana uporaba finančnih instrumentov – člen 22(3)(d)(vii) uredbe o skupnih določbah</w:t>
      </w:r>
      <w:bookmarkEnd w:id="496"/>
    </w:p>
    <w:p w14:paraId="388FFA6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65D5A3AC"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857CDD" w14:textId="77777777" w:rsidR="00A77B3E" w:rsidRDefault="00A77B3E">
            <w:pPr>
              <w:spacing w:before="5pt"/>
              <w:rPr>
                <w:color w:val="000000"/>
                <w:sz w:val="0"/>
              </w:rPr>
            </w:pPr>
          </w:p>
          <w:p w14:paraId="4A13D60B" w14:textId="77777777" w:rsidR="00A77B3E" w:rsidRDefault="00B16CCF">
            <w:pPr>
              <w:spacing w:before="5pt"/>
              <w:rPr>
                <w:color w:val="000000"/>
              </w:rPr>
            </w:pPr>
            <w:r>
              <w:rPr>
                <w:color w:val="000000"/>
              </w:rPr>
              <w:t>Predvidena je uporaba nepovratnih virov. V okviru predmetnega specifičnega cilja uporaba finančnih instrumentov v skladu z izsledki analize Predhodnih ocen potreb trga in vrzeli financiranja na trgu za izvajanje finančnih instrumentov v programskem obdobju 2021-2027 (julij 2022) ni predvidena. Predlagani ukrepi ne ustvarjajo prihodkov oziroma prihrankov, zaradi česar uporaba finančnih instrumentov ni smiselna oziroma ustrezna. Predvideni upravičenci za izvedbo načrtovanih ukrepov so organizacije s področja vzgoje in izobraževanja (javne organizacije za izobraževanje odraslih, srednje šole, višje strokovne šole, medpodjetniški izobraževalni centri, skupnosti in združenja na področju vzgoje in izobraževanja, nevladne organizacije in njihova združenja, organizacije v mladinskem sektorju, Andragoški center Slovenije, Center za poklicno izobraževanje, Javni štipendijski, razvojni, invalidski in preživninski sklad), ki praviloma nimajo tržne dejavnosti oziroma je le-ta v zelo omejenem obsegu in namenska, zato se ne morejo zadolževati na trgu.</w:t>
            </w:r>
          </w:p>
          <w:p w14:paraId="760740D4" w14:textId="77777777" w:rsidR="00A77B3E" w:rsidRDefault="00A77B3E">
            <w:pPr>
              <w:spacing w:before="5pt"/>
              <w:rPr>
                <w:color w:val="000000"/>
                <w:sz w:val="6"/>
              </w:rPr>
            </w:pPr>
          </w:p>
          <w:p w14:paraId="0F4F073F" w14:textId="77777777" w:rsidR="00A77B3E" w:rsidRDefault="00A77B3E">
            <w:pPr>
              <w:spacing w:before="5pt"/>
              <w:rPr>
                <w:color w:val="000000"/>
                <w:sz w:val="6"/>
              </w:rPr>
            </w:pPr>
          </w:p>
        </w:tc>
      </w:tr>
    </w:tbl>
    <w:p w14:paraId="4FF4E8A2" w14:textId="77777777" w:rsidR="00A77B3E" w:rsidRDefault="00A77B3E">
      <w:pPr>
        <w:spacing w:before="5pt"/>
        <w:rPr>
          <w:color w:val="000000"/>
        </w:rPr>
      </w:pPr>
    </w:p>
    <w:p w14:paraId="018D5EF4" w14:textId="77777777" w:rsidR="00A77B3E" w:rsidRDefault="00B16CCF">
      <w:pPr>
        <w:pStyle w:val="Naslov4"/>
        <w:spacing w:before="5pt" w:after="0pt"/>
        <w:rPr>
          <w:b w:val="0"/>
          <w:color w:val="000000"/>
          <w:sz w:val="24"/>
        </w:rPr>
      </w:pPr>
      <w:bookmarkStart w:id="497" w:name="_Toc256001258"/>
      <w:r>
        <w:rPr>
          <w:b w:val="0"/>
          <w:color w:val="000000"/>
          <w:sz w:val="24"/>
        </w:rPr>
        <w:t>2.1.1.1.2. Kazalniki</w:t>
      </w:r>
      <w:bookmarkEnd w:id="497"/>
    </w:p>
    <w:p w14:paraId="278070C9" w14:textId="77777777" w:rsidR="00A77B3E" w:rsidRDefault="00A77B3E">
      <w:pPr>
        <w:spacing w:before="5pt"/>
        <w:rPr>
          <w:color w:val="000000"/>
          <w:sz w:val="0"/>
        </w:rPr>
      </w:pPr>
    </w:p>
    <w:p w14:paraId="0573A711" w14:textId="77777777" w:rsidR="00A77B3E" w:rsidRDefault="00B16CCF">
      <w:pPr>
        <w:spacing w:before="5pt"/>
        <w:rPr>
          <w:color w:val="000000"/>
          <w:sz w:val="0"/>
        </w:rPr>
      </w:pPr>
      <w:r>
        <w:rPr>
          <w:color w:val="000000"/>
        </w:rPr>
        <w:t>Sklic: člen 22(3)(d)(ii) uredbe o skupnih določbah in člen 8 uredbe o ESRR in Kohezijskem skladu</w:t>
      </w:r>
    </w:p>
    <w:p w14:paraId="40DCE033" w14:textId="77777777" w:rsidR="00A77B3E" w:rsidRDefault="00B16CCF">
      <w:pPr>
        <w:pStyle w:val="Naslov5"/>
        <w:spacing w:before="5pt" w:after="0pt"/>
        <w:rPr>
          <w:b w:val="0"/>
          <w:i w:val="0"/>
          <w:color w:val="000000"/>
          <w:sz w:val="24"/>
        </w:rPr>
      </w:pPr>
      <w:bookmarkStart w:id="498" w:name="_Toc256001259"/>
      <w:r>
        <w:rPr>
          <w:b w:val="0"/>
          <w:i w:val="0"/>
          <w:color w:val="000000"/>
          <w:sz w:val="24"/>
        </w:rPr>
        <w:t>Tabela 2: Kazalniki učinka</w:t>
      </w:r>
      <w:bookmarkEnd w:id="498"/>
    </w:p>
    <w:p w14:paraId="7491DC6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51"/>
        <w:gridCol w:w="1708"/>
        <w:gridCol w:w="1060"/>
        <w:gridCol w:w="1770"/>
        <w:gridCol w:w="2054"/>
        <w:gridCol w:w="2034"/>
        <w:gridCol w:w="1321"/>
        <w:gridCol w:w="1687"/>
        <w:gridCol w:w="1687"/>
      </w:tblGrid>
      <w:tr w:rsidR="00823317" w14:paraId="41C74E8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C0614A"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6104A9"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FCAABF"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2F5C0C"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4EAF918"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630B85"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BDEC9E"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2B5A9D" w14:textId="77777777" w:rsidR="00A77B3E" w:rsidRDefault="00B16CCF">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40248F" w14:textId="77777777" w:rsidR="00A77B3E" w:rsidRDefault="00B16CCF">
            <w:pPr>
              <w:spacing w:before="5pt"/>
              <w:jc w:val="center"/>
              <w:rPr>
                <w:color w:val="000000"/>
                <w:sz w:val="20"/>
              </w:rPr>
            </w:pPr>
            <w:r>
              <w:rPr>
                <w:color w:val="000000"/>
                <w:sz w:val="20"/>
              </w:rPr>
              <w:t>Cilj (2029)</w:t>
            </w:r>
          </w:p>
        </w:tc>
      </w:tr>
      <w:tr w:rsidR="00823317" w14:paraId="5EF8249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1C5CF3"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2689D4" w14:textId="77777777" w:rsidR="00A77B3E" w:rsidRDefault="00B16CCF">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8262A8"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0F9C4D"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EC0492" w14:textId="77777777" w:rsidR="00A77B3E" w:rsidRDefault="00B16CCF">
            <w:pPr>
              <w:spacing w:before="5pt"/>
              <w:rPr>
                <w:color w:val="000000"/>
                <w:sz w:val="20"/>
              </w:rPr>
            </w:pPr>
            <w:r>
              <w:rPr>
                <w:color w:val="000000"/>
                <w:sz w:val="20"/>
              </w:rPr>
              <w:t>EECO01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7843A3" w14:textId="77777777" w:rsidR="00A77B3E" w:rsidRDefault="00B16CCF">
            <w:pPr>
              <w:spacing w:before="5pt"/>
              <w:rPr>
                <w:color w:val="000000"/>
                <w:sz w:val="20"/>
              </w:rPr>
            </w:pPr>
            <w:r>
              <w:rPr>
                <w:color w:val="000000"/>
                <w:sz w:val="20"/>
              </w:rPr>
              <w:t>Skupno število udeležencev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C77B97" w14:textId="77777777" w:rsidR="00A77B3E" w:rsidRDefault="00B16CCF">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DD0C40" w14:textId="77777777" w:rsidR="00A77B3E" w:rsidRDefault="00B16CCF">
            <w:pPr>
              <w:spacing w:before="5pt"/>
              <w:jc w:val="end"/>
              <w:rPr>
                <w:color w:val="000000"/>
                <w:sz w:val="20"/>
              </w:rPr>
            </w:pPr>
            <w:r>
              <w:rPr>
                <w:color w:val="000000"/>
                <w:sz w:val="20"/>
              </w:rPr>
              <w:t>7.532,00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2BB62A" w14:textId="77777777" w:rsidR="00A77B3E" w:rsidRDefault="00B16CCF">
            <w:pPr>
              <w:spacing w:before="5pt"/>
              <w:jc w:val="end"/>
              <w:rPr>
                <w:color w:val="000000"/>
                <w:sz w:val="20"/>
              </w:rPr>
            </w:pPr>
            <w:r>
              <w:rPr>
                <w:color w:val="000000"/>
                <w:sz w:val="20"/>
              </w:rPr>
              <w:t>42.447,00</w:t>
            </w:r>
          </w:p>
        </w:tc>
      </w:tr>
      <w:tr w:rsidR="00823317" w14:paraId="6C91239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A0FC63" w14:textId="77777777" w:rsidR="00A77B3E" w:rsidRDefault="00B16CCF">
            <w:pPr>
              <w:spacing w:before="5pt"/>
              <w:rPr>
                <w:color w:val="000000"/>
                <w:sz w:val="20"/>
              </w:rPr>
            </w:pPr>
            <w:r>
              <w:rPr>
                <w:color w:val="000000"/>
                <w:sz w:val="20"/>
              </w:rPr>
              <w:lastRenderedPageBreak/>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FF5700" w14:textId="77777777" w:rsidR="00A77B3E" w:rsidRDefault="00B16CCF">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B990B6"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F17DBE"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71C3E1" w14:textId="77777777" w:rsidR="00A77B3E" w:rsidRDefault="00B16CCF">
            <w:pPr>
              <w:spacing w:before="5pt"/>
              <w:rPr>
                <w:color w:val="000000"/>
                <w:sz w:val="20"/>
              </w:rPr>
            </w:pPr>
            <w:r>
              <w:rPr>
                <w:color w:val="000000"/>
                <w:sz w:val="20"/>
              </w:rPr>
              <w:t>EECO01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74711F" w14:textId="77777777" w:rsidR="00A77B3E" w:rsidRDefault="00B16CCF">
            <w:pPr>
              <w:spacing w:before="5pt"/>
              <w:rPr>
                <w:color w:val="000000"/>
                <w:sz w:val="20"/>
              </w:rPr>
            </w:pPr>
            <w:r>
              <w:rPr>
                <w:color w:val="000000"/>
                <w:sz w:val="20"/>
              </w:rPr>
              <w:t>Skupno število udeležencev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2478B3" w14:textId="77777777" w:rsidR="00A77B3E" w:rsidRDefault="00B16CCF">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37149D" w14:textId="77777777" w:rsidR="00A77B3E" w:rsidRDefault="00B16CCF">
            <w:pPr>
              <w:spacing w:before="5pt"/>
              <w:jc w:val="end"/>
              <w:rPr>
                <w:color w:val="000000"/>
                <w:sz w:val="20"/>
              </w:rPr>
            </w:pPr>
            <w:r>
              <w:rPr>
                <w:color w:val="000000"/>
                <w:sz w:val="20"/>
              </w:rPr>
              <w:t>10.978,00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1E9D9A" w14:textId="77777777" w:rsidR="00A77B3E" w:rsidRDefault="00B16CCF">
            <w:pPr>
              <w:spacing w:before="5pt"/>
              <w:jc w:val="end"/>
              <w:rPr>
                <w:color w:val="000000"/>
                <w:sz w:val="20"/>
              </w:rPr>
            </w:pPr>
            <w:r>
              <w:rPr>
                <w:color w:val="000000"/>
                <w:sz w:val="20"/>
              </w:rPr>
              <w:t>78.388,00</w:t>
            </w:r>
          </w:p>
        </w:tc>
      </w:tr>
    </w:tbl>
    <w:p w14:paraId="170F416F" w14:textId="77777777" w:rsidR="00A77B3E" w:rsidRDefault="00A77B3E">
      <w:pPr>
        <w:spacing w:before="5pt"/>
        <w:rPr>
          <w:color w:val="000000"/>
          <w:sz w:val="20"/>
        </w:rPr>
      </w:pPr>
    </w:p>
    <w:p w14:paraId="3F4DF041" w14:textId="77777777" w:rsidR="00A77B3E" w:rsidRDefault="00B16CCF">
      <w:pPr>
        <w:spacing w:before="5pt"/>
        <w:rPr>
          <w:color w:val="000000"/>
          <w:sz w:val="0"/>
        </w:rPr>
      </w:pPr>
      <w:r>
        <w:rPr>
          <w:color w:val="000000"/>
        </w:rPr>
        <w:t>Sklic: člen 22(3)(d)(ii) uredbe o skupnih določbah</w:t>
      </w:r>
    </w:p>
    <w:p w14:paraId="2C06B88B" w14:textId="77777777" w:rsidR="00A77B3E" w:rsidRDefault="00B16CCF">
      <w:pPr>
        <w:pStyle w:val="Naslov5"/>
        <w:spacing w:before="5pt" w:after="0pt"/>
        <w:rPr>
          <w:b w:val="0"/>
          <w:i w:val="0"/>
          <w:color w:val="000000"/>
          <w:sz w:val="24"/>
        </w:rPr>
      </w:pPr>
      <w:bookmarkStart w:id="499" w:name="_Toc256001260"/>
      <w:r>
        <w:rPr>
          <w:b w:val="0"/>
          <w:i w:val="0"/>
          <w:color w:val="000000"/>
          <w:sz w:val="24"/>
        </w:rPr>
        <w:t>Tabela 3: Kazalniki rezultatov</w:t>
      </w:r>
      <w:bookmarkEnd w:id="499"/>
    </w:p>
    <w:p w14:paraId="18E2788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55"/>
        <w:gridCol w:w="1251"/>
        <w:gridCol w:w="777"/>
        <w:gridCol w:w="1296"/>
        <w:gridCol w:w="1505"/>
        <w:gridCol w:w="1519"/>
        <w:gridCol w:w="967"/>
        <w:gridCol w:w="1326"/>
        <w:gridCol w:w="1400"/>
        <w:gridCol w:w="1102"/>
        <w:gridCol w:w="1587"/>
        <w:gridCol w:w="1087"/>
      </w:tblGrid>
      <w:tr w:rsidR="00823317" w14:paraId="7386EB3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377AB6"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6B6884"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9565F9"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75C903"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AD63D6"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DBEA3A"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B5729C"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FAA5B6" w14:textId="77777777" w:rsidR="00A77B3E" w:rsidRDefault="00B16CCF">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B41C32" w14:textId="77777777" w:rsidR="00A77B3E" w:rsidRDefault="00B16CCF">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AAA8547" w14:textId="77777777" w:rsidR="00A77B3E" w:rsidRDefault="00B16CCF">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C7C9D6" w14:textId="77777777" w:rsidR="00A77B3E" w:rsidRDefault="00B16CCF">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D96F6CE" w14:textId="77777777" w:rsidR="00A77B3E" w:rsidRDefault="00B16CCF">
            <w:pPr>
              <w:spacing w:before="5pt"/>
              <w:jc w:val="center"/>
              <w:rPr>
                <w:color w:val="000000"/>
                <w:sz w:val="20"/>
              </w:rPr>
            </w:pPr>
            <w:r>
              <w:rPr>
                <w:color w:val="000000"/>
                <w:sz w:val="20"/>
              </w:rPr>
              <w:t>Opombe</w:t>
            </w:r>
          </w:p>
        </w:tc>
      </w:tr>
      <w:tr w:rsidR="00823317" w14:paraId="17D5F1C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FA8788"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2E2B46" w14:textId="77777777" w:rsidR="00A77B3E" w:rsidRDefault="00B16CCF">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3EDF1D"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024EB4"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9209E9" w14:textId="77777777" w:rsidR="00A77B3E" w:rsidRDefault="00B16CCF">
            <w:pPr>
              <w:spacing w:before="5pt"/>
              <w:rPr>
                <w:color w:val="000000"/>
                <w:sz w:val="20"/>
              </w:rPr>
            </w:pPr>
            <w:r>
              <w:rPr>
                <w:color w:val="000000"/>
                <w:sz w:val="20"/>
              </w:rPr>
              <w:t>EECR03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93042B" w14:textId="77777777" w:rsidR="00A77B3E" w:rsidRDefault="00B16CCF">
            <w:pPr>
              <w:spacing w:before="5pt"/>
              <w:rPr>
                <w:color w:val="000000"/>
                <w:sz w:val="20"/>
              </w:rPr>
            </w:pPr>
            <w:r>
              <w:rPr>
                <w:color w:val="000000"/>
                <w:sz w:val="20"/>
              </w:rPr>
              <w:t>Udeleženci, ki so po zaključku sodelovanja pridobili kvalifikacijo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1394E6" w14:textId="77777777" w:rsidR="00A77B3E" w:rsidRDefault="00B16CCF">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442CFF" w14:textId="77777777" w:rsidR="00A77B3E" w:rsidRDefault="00B16CCF">
            <w:pPr>
              <w:spacing w:before="5pt"/>
              <w:jc w:val="end"/>
              <w:rPr>
                <w:color w:val="000000"/>
                <w:sz w:val="20"/>
              </w:rPr>
            </w:pPr>
            <w:r>
              <w:rPr>
                <w:color w:val="000000"/>
                <w:sz w:val="20"/>
              </w:rPr>
              <w:t>29.833,00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7F0CC7" w14:textId="77777777" w:rsidR="00A77B3E" w:rsidRDefault="00B16CCF">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19F57A" w14:textId="77777777" w:rsidR="00A77B3E" w:rsidRDefault="00B16CCF">
            <w:pPr>
              <w:spacing w:before="5pt"/>
              <w:jc w:val="end"/>
              <w:rPr>
                <w:color w:val="000000"/>
                <w:sz w:val="20"/>
              </w:rPr>
            </w:pPr>
            <w:r>
              <w:rPr>
                <w:color w:val="000000"/>
                <w:sz w:val="20"/>
              </w:rPr>
              <w:t>4.320,00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EB123A" w14:textId="77777777" w:rsidR="00A77B3E" w:rsidRDefault="00B16CCF">
            <w:pPr>
              <w:spacing w:before="5pt"/>
              <w:rPr>
                <w:color w:val="000000"/>
                <w:sz w:val="20"/>
              </w:rPr>
            </w:pPr>
            <w:r>
              <w:rPr>
                <w:color w:val="000000"/>
                <w:sz w:val="20"/>
              </w:rPr>
              <w:t>Upravičenec, MVI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270ACA" w14:textId="77777777" w:rsidR="00A77B3E" w:rsidRDefault="00A77B3E">
            <w:pPr>
              <w:spacing w:before="5pt"/>
              <w:rPr>
                <w:color w:val="000000"/>
                <w:sz w:val="20"/>
              </w:rPr>
            </w:pPr>
          </w:p>
        </w:tc>
      </w:tr>
      <w:tr w:rsidR="00823317" w14:paraId="1A506A7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A925A8"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1640A6" w14:textId="77777777" w:rsidR="00A77B3E" w:rsidRDefault="00B16CCF">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BAF700"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A2748B"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5DE584" w14:textId="77777777" w:rsidR="00A77B3E" w:rsidRDefault="00B16CCF">
            <w:pPr>
              <w:spacing w:before="5pt"/>
              <w:rPr>
                <w:color w:val="000000"/>
                <w:sz w:val="20"/>
              </w:rPr>
            </w:pPr>
            <w:r>
              <w:rPr>
                <w:color w:val="000000"/>
                <w:sz w:val="20"/>
              </w:rPr>
              <w:t>EECR03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3AF4CF" w14:textId="77777777" w:rsidR="00A77B3E" w:rsidRDefault="00B16CCF">
            <w:pPr>
              <w:spacing w:before="5pt"/>
              <w:rPr>
                <w:color w:val="000000"/>
                <w:sz w:val="20"/>
              </w:rPr>
            </w:pPr>
            <w:r>
              <w:rPr>
                <w:color w:val="000000"/>
                <w:sz w:val="20"/>
              </w:rPr>
              <w:t>Udeleženci, ki so po zaključku sodelovanja pridobili kvalifikacijo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CE8CC8" w14:textId="77777777" w:rsidR="00A77B3E" w:rsidRDefault="00B16CCF">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FB977F" w14:textId="77777777" w:rsidR="00A77B3E" w:rsidRDefault="00B16CCF">
            <w:pPr>
              <w:spacing w:before="5pt"/>
              <w:jc w:val="end"/>
              <w:rPr>
                <w:color w:val="000000"/>
                <w:sz w:val="20"/>
              </w:rPr>
            </w:pPr>
            <w:r>
              <w:rPr>
                <w:color w:val="000000"/>
                <w:sz w:val="20"/>
              </w:rPr>
              <w:t>44.825,00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EF9783" w14:textId="77777777" w:rsidR="00A77B3E" w:rsidRDefault="00B16CCF">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9460A8" w14:textId="77777777" w:rsidR="00A77B3E" w:rsidRDefault="00B16CCF">
            <w:pPr>
              <w:spacing w:before="5pt"/>
              <w:jc w:val="end"/>
              <w:rPr>
                <w:color w:val="000000"/>
                <w:sz w:val="20"/>
              </w:rPr>
            </w:pPr>
            <w:r>
              <w:rPr>
                <w:color w:val="000000"/>
                <w:sz w:val="20"/>
              </w:rPr>
              <w:t>6.480,00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4CE9F2" w14:textId="77777777" w:rsidR="00A77B3E" w:rsidRDefault="00B16CCF">
            <w:pPr>
              <w:spacing w:before="5pt"/>
              <w:rPr>
                <w:color w:val="000000"/>
                <w:sz w:val="20"/>
              </w:rPr>
            </w:pPr>
            <w:r>
              <w:rPr>
                <w:color w:val="000000"/>
                <w:sz w:val="20"/>
              </w:rPr>
              <w:t>Upravičenec, MVI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B7A562" w14:textId="77777777" w:rsidR="00A77B3E" w:rsidRDefault="00A77B3E">
            <w:pPr>
              <w:spacing w:before="5pt"/>
              <w:rPr>
                <w:color w:val="000000"/>
                <w:sz w:val="20"/>
              </w:rPr>
            </w:pPr>
          </w:p>
        </w:tc>
      </w:tr>
    </w:tbl>
    <w:p w14:paraId="1A11CE46" w14:textId="77777777" w:rsidR="00A77B3E" w:rsidRDefault="00A77B3E">
      <w:pPr>
        <w:spacing w:before="5pt"/>
        <w:rPr>
          <w:color w:val="000000"/>
          <w:sz w:val="20"/>
        </w:rPr>
      </w:pPr>
    </w:p>
    <w:p w14:paraId="382301E3" w14:textId="77777777" w:rsidR="00A77B3E" w:rsidRDefault="00B16CCF">
      <w:pPr>
        <w:pStyle w:val="Naslov4"/>
        <w:spacing w:before="5pt" w:after="0pt"/>
        <w:rPr>
          <w:b w:val="0"/>
          <w:color w:val="000000"/>
          <w:sz w:val="24"/>
        </w:rPr>
      </w:pPr>
      <w:bookmarkStart w:id="500" w:name="_Toc256001261"/>
      <w:r>
        <w:rPr>
          <w:b w:val="0"/>
          <w:color w:val="000000"/>
          <w:sz w:val="24"/>
        </w:rPr>
        <w:t>2.1.1.1.3. Okvirna razčlenitev načrtovanih sredstev (EU) glede na vrsto ukrepa</w:t>
      </w:r>
      <w:bookmarkEnd w:id="500"/>
    </w:p>
    <w:p w14:paraId="320C2C9E" w14:textId="77777777" w:rsidR="00A77B3E" w:rsidRDefault="00A77B3E">
      <w:pPr>
        <w:spacing w:before="5pt"/>
        <w:rPr>
          <w:color w:val="000000"/>
          <w:sz w:val="0"/>
        </w:rPr>
      </w:pPr>
    </w:p>
    <w:p w14:paraId="18188A5C" w14:textId="77777777" w:rsidR="00A77B3E" w:rsidRDefault="00B16CCF">
      <w:pPr>
        <w:spacing w:before="5pt"/>
        <w:rPr>
          <w:color w:val="000000"/>
          <w:sz w:val="0"/>
        </w:rPr>
      </w:pPr>
      <w:r>
        <w:rPr>
          <w:color w:val="000000"/>
        </w:rPr>
        <w:t>Sklic: člen 22(3)(d)(viii) uredbe o skupnih določbah</w:t>
      </w:r>
    </w:p>
    <w:p w14:paraId="0080A08D" w14:textId="77777777" w:rsidR="00A77B3E" w:rsidRDefault="00B16CCF">
      <w:pPr>
        <w:pStyle w:val="Naslov5"/>
        <w:spacing w:before="5pt" w:after="0pt"/>
        <w:rPr>
          <w:b w:val="0"/>
          <w:i w:val="0"/>
          <w:color w:val="000000"/>
          <w:sz w:val="24"/>
        </w:rPr>
      </w:pPr>
      <w:bookmarkStart w:id="501" w:name="_Toc256001262"/>
      <w:r>
        <w:rPr>
          <w:b w:val="0"/>
          <w:i w:val="0"/>
          <w:color w:val="000000"/>
          <w:sz w:val="24"/>
        </w:rPr>
        <w:t>Tabela 4: Razsežnost 1 – področje ukrepanja</w:t>
      </w:r>
      <w:bookmarkEnd w:id="501"/>
    </w:p>
    <w:p w14:paraId="619BEC6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98"/>
        <w:gridCol w:w="2305"/>
        <w:gridCol w:w="1674"/>
        <w:gridCol w:w="2390"/>
        <w:gridCol w:w="3160"/>
        <w:gridCol w:w="3145"/>
      </w:tblGrid>
      <w:tr w:rsidR="00823317" w14:paraId="3A107F5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C8370E"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F4F604"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8EE0CE"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530126"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5FDF21"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FFC40A" w14:textId="77777777" w:rsidR="00A77B3E" w:rsidRDefault="00B16CCF">
            <w:pPr>
              <w:spacing w:before="5pt"/>
              <w:jc w:val="center"/>
              <w:rPr>
                <w:color w:val="000000"/>
                <w:sz w:val="20"/>
              </w:rPr>
            </w:pPr>
            <w:r>
              <w:rPr>
                <w:color w:val="000000"/>
                <w:sz w:val="20"/>
              </w:rPr>
              <w:t>Znesek (v EUR)</w:t>
            </w:r>
          </w:p>
        </w:tc>
      </w:tr>
      <w:tr w:rsidR="00823317" w14:paraId="6BE174D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F0E513"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90C88B" w14:textId="77777777" w:rsidR="00A77B3E" w:rsidRDefault="00B16CCF">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6A50A4"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A47CBF"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5264B5" w14:textId="77777777" w:rsidR="00A77B3E" w:rsidRDefault="00B16CCF">
            <w:pPr>
              <w:spacing w:before="5pt"/>
              <w:rPr>
                <w:color w:val="000000"/>
                <w:sz w:val="20"/>
              </w:rPr>
            </w:pPr>
            <w:r>
              <w:rPr>
                <w:color w:val="000000"/>
                <w:sz w:val="20"/>
              </w:rPr>
              <w:t>151. Podpora za izobraževanje odraslih (razen infrastrukture)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EE4BDE" w14:textId="77777777" w:rsidR="00A77B3E" w:rsidRDefault="00B16CCF">
            <w:pPr>
              <w:spacing w:before="5pt"/>
              <w:jc w:val="end"/>
              <w:rPr>
                <w:color w:val="000000"/>
                <w:sz w:val="20"/>
              </w:rPr>
            </w:pPr>
            <w:r>
              <w:rPr>
                <w:color w:val="000000"/>
                <w:sz w:val="20"/>
              </w:rPr>
              <w:t>15.240.500,00</w:t>
            </w:r>
          </w:p>
        </w:tc>
      </w:tr>
      <w:tr w:rsidR="00823317" w14:paraId="4D218DC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4D2DBC"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E04B0F" w14:textId="77777777" w:rsidR="00A77B3E" w:rsidRDefault="00B16CCF">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AC360B"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A23BA8"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D78FF2" w14:textId="77777777" w:rsidR="00A77B3E" w:rsidRDefault="00B16CCF">
            <w:pPr>
              <w:spacing w:before="5pt"/>
              <w:rPr>
                <w:color w:val="000000"/>
                <w:sz w:val="20"/>
              </w:rPr>
            </w:pPr>
            <w:r>
              <w:rPr>
                <w:color w:val="000000"/>
                <w:sz w:val="20"/>
              </w:rPr>
              <w:t>145. Podpora za razvoj digitalnih znanj in spretnosti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BA10C2" w14:textId="77777777" w:rsidR="00A77B3E" w:rsidRDefault="00B16CCF">
            <w:pPr>
              <w:spacing w:before="5pt"/>
              <w:jc w:val="end"/>
              <w:rPr>
                <w:color w:val="000000"/>
                <w:sz w:val="20"/>
              </w:rPr>
            </w:pPr>
            <w:r>
              <w:rPr>
                <w:color w:val="000000"/>
                <w:sz w:val="20"/>
              </w:rPr>
              <w:t>10.087.235,00</w:t>
            </w:r>
          </w:p>
        </w:tc>
      </w:tr>
      <w:tr w:rsidR="00823317" w14:paraId="234B25C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493169"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F9575E" w14:textId="77777777" w:rsidR="00A77B3E" w:rsidRDefault="00B16CCF">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99A344"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1933AE"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E07B17" w14:textId="77777777" w:rsidR="00A77B3E" w:rsidRDefault="00B16CCF">
            <w:pPr>
              <w:spacing w:before="5pt"/>
              <w:rPr>
                <w:color w:val="000000"/>
                <w:sz w:val="20"/>
              </w:rPr>
            </w:pPr>
            <w:r>
              <w:rPr>
                <w:color w:val="000000"/>
                <w:sz w:val="20"/>
              </w:rPr>
              <w:t>151. Podpora za izobraževanje odraslih (razen infrastrukture)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DF1C3C" w14:textId="77777777" w:rsidR="00A77B3E" w:rsidRDefault="00B16CCF">
            <w:pPr>
              <w:spacing w:before="5pt"/>
              <w:jc w:val="end"/>
              <w:rPr>
                <w:color w:val="000000"/>
                <w:sz w:val="20"/>
              </w:rPr>
            </w:pPr>
            <w:r>
              <w:rPr>
                <w:color w:val="000000"/>
                <w:sz w:val="20"/>
              </w:rPr>
              <w:t>52.059.000,00</w:t>
            </w:r>
          </w:p>
        </w:tc>
      </w:tr>
      <w:tr w:rsidR="00823317" w14:paraId="00BA6BD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F61AFE"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763CDE" w14:textId="77777777" w:rsidR="00A77B3E" w:rsidRDefault="00B16CCF">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09EC24"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B4CC3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0C0B9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265C93" w14:textId="77777777" w:rsidR="00A77B3E" w:rsidRDefault="00B16CCF">
            <w:pPr>
              <w:spacing w:before="5pt"/>
              <w:jc w:val="end"/>
              <w:rPr>
                <w:color w:val="000000"/>
                <w:sz w:val="20"/>
              </w:rPr>
            </w:pPr>
            <w:r>
              <w:rPr>
                <w:color w:val="000000"/>
                <w:sz w:val="20"/>
              </w:rPr>
              <w:t>77.386.735,00</w:t>
            </w:r>
          </w:p>
        </w:tc>
      </w:tr>
    </w:tbl>
    <w:p w14:paraId="0AC6E06F" w14:textId="77777777" w:rsidR="00A77B3E" w:rsidRDefault="00A77B3E">
      <w:pPr>
        <w:spacing w:before="5pt"/>
        <w:rPr>
          <w:color w:val="000000"/>
          <w:sz w:val="20"/>
        </w:rPr>
      </w:pPr>
    </w:p>
    <w:p w14:paraId="0A9CBBF3" w14:textId="77777777" w:rsidR="00A77B3E" w:rsidRDefault="00B16CCF">
      <w:pPr>
        <w:pStyle w:val="Naslov5"/>
        <w:spacing w:before="5pt" w:after="0pt"/>
        <w:rPr>
          <w:b w:val="0"/>
          <w:i w:val="0"/>
          <w:color w:val="000000"/>
          <w:sz w:val="24"/>
        </w:rPr>
      </w:pPr>
      <w:bookmarkStart w:id="502" w:name="_Toc256001263"/>
      <w:r>
        <w:rPr>
          <w:b w:val="0"/>
          <w:i w:val="0"/>
          <w:color w:val="000000"/>
          <w:sz w:val="24"/>
        </w:rPr>
        <w:lastRenderedPageBreak/>
        <w:t>Tabela 5: Razsežnost 2 – oblika financiranja</w:t>
      </w:r>
      <w:bookmarkEnd w:id="502"/>
    </w:p>
    <w:p w14:paraId="39E30C0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93"/>
        <w:gridCol w:w="2392"/>
        <w:gridCol w:w="1737"/>
        <w:gridCol w:w="2480"/>
        <w:gridCol w:w="2706"/>
        <w:gridCol w:w="3264"/>
      </w:tblGrid>
      <w:tr w:rsidR="00823317" w14:paraId="0F1DFEE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51CB03"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E61F7D"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52B962"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9E9634"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F52C2B"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AC6150" w14:textId="77777777" w:rsidR="00A77B3E" w:rsidRDefault="00B16CCF">
            <w:pPr>
              <w:spacing w:before="5pt"/>
              <w:jc w:val="center"/>
              <w:rPr>
                <w:color w:val="000000"/>
                <w:sz w:val="20"/>
              </w:rPr>
            </w:pPr>
            <w:r>
              <w:rPr>
                <w:color w:val="000000"/>
                <w:sz w:val="20"/>
              </w:rPr>
              <w:t>Znesek (v EUR)</w:t>
            </w:r>
          </w:p>
        </w:tc>
      </w:tr>
      <w:tr w:rsidR="00823317" w14:paraId="38E6F5F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C97ACE"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78E6DC" w14:textId="77777777" w:rsidR="00A77B3E" w:rsidRDefault="00B16CCF">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3D5E56"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58EFF7"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FAD80E" w14:textId="77777777" w:rsidR="00A77B3E" w:rsidRDefault="00B16CCF">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3F7E8E" w14:textId="77777777" w:rsidR="00A77B3E" w:rsidRDefault="00B16CCF">
            <w:pPr>
              <w:spacing w:before="5pt"/>
              <w:jc w:val="end"/>
              <w:rPr>
                <w:color w:val="000000"/>
                <w:sz w:val="20"/>
              </w:rPr>
            </w:pPr>
            <w:r>
              <w:rPr>
                <w:color w:val="000000"/>
                <w:sz w:val="20"/>
              </w:rPr>
              <w:t>15.240.500,00</w:t>
            </w:r>
          </w:p>
        </w:tc>
      </w:tr>
      <w:tr w:rsidR="00823317" w14:paraId="53ACD78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76B92F"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AAF93E" w14:textId="77777777" w:rsidR="00A77B3E" w:rsidRDefault="00B16CCF">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28B011"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F74F45"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A8F4C3" w14:textId="77777777" w:rsidR="00A77B3E" w:rsidRDefault="00B16CCF">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C2CFDB" w14:textId="77777777" w:rsidR="00A77B3E" w:rsidRDefault="00B16CCF">
            <w:pPr>
              <w:spacing w:before="5pt"/>
              <w:jc w:val="end"/>
              <w:rPr>
                <w:color w:val="000000"/>
                <w:sz w:val="20"/>
              </w:rPr>
            </w:pPr>
            <w:r>
              <w:rPr>
                <w:color w:val="000000"/>
                <w:sz w:val="20"/>
              </w:rPr>
              <w:t>62.146.235,00</w:t>
            </w:r>
          </w:p>
        </w:tc>
      </w:tr>
      <w:tr w:rsidR="00823317" w14:paraId="0D642AB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D44CA0"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8C6B04" w14:textId="77777777" w:rsidR="00A77B3E" w:rsidRDefault="00B16CCF">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F270EF"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E38406"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4CB61E"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F371DE" w14:textId="77777777" w:rsidR="00A77B3E" w:rsidRDefault="00B16CCF">
            <w:pPr>
              <w:spacing w:before="5pt"/>
              <w:jc w:val="end"/>
              <w:rPr>
                <w:color w:val="000000"/>
                <w:sz w:val="20"/>
              </w:rPr>
            </w:pPr>
            <w:r>
              <w:rPr>
                <w:color w:val="000000"/>
                <w:sz w:val="20"/>
              </w:rPr>
              <w:t>77.386.735,00</w:t>
            </w:r>
          </w:p>
        </w:tc>
      </w:tr>
    </w:tbl>
    <w:p w14:paraId="56C86D60" w14:textId="77777777" w:rsidR="00A77B3E" w:rsidRDefault="00A77B3E">
      <w:pPr>
        <w:spacing w:before="5pt"/>
        <w:rPr>
          <w:color w:val="000000"/>
          <w:sz w:val="20"/>
        </w:rPr>
      </w:pPr>
    </w:p>
    <w:p w14:paraId="6218D81C" w14:textId="77777777" w:rsidR="00A77B3E" w:rsidRDefault="00B16CCF">
      <w:pPr>
        <w:pStyle w:val="Naslov5"/>
        <w:spacing w:before="5pt" w:after="0pt"/>
        <w:rPr>
          <w:b w:val="0"/>
          <w:i w:val="0"/>
          <w:color w:val="000000"/>
          <w:sz w:val="24"/>
        </w:rPr>
      </w:pPr>
      <w:bookmarkStart w:id="503" w:name="_Toc256001264"/>
      <w:r>
        <w:rPr>
          <w:b w:val="0"/>
          <w:i w:val="0"/>
          <w:color w:val="000000"/>
          <w:sz w:val="24"/>
        </w:rPr>
        <w:t>Tabela 6: Razsežnost 3 – mehanizem za ozemeljsko izvrševanje in ozemeljski pristop</w:t>
      </w:r>
      <w:bookmarkEnd w:id="503"/>
    </w:p>
    <w:p w14:paraId="6E279B0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26"/>
        <w:gridCol w:w="2331"/>
        <w:gridCol w:w="1692"/>
        <w:gridCol w:w="2416"/>
        <w:gridCol w:w="3027"/>
        <w:gridCol w:w="3180"/>
      </w:tblGrid>
      <w:tr w:rsidR="00823317" w14:paraId="56397FF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72B110"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AFF66BD"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1535C8"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BD05C9"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193B87A"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18EC9A" w14:textId="77777777" w:rsidR="00A77B3E" w:rsidRDefault="00B16CCF">
            <w:pPr>
              <w:spacing w:before="5pt"/>
              <w:jc w:val="center"/>
              <w:rPr>
                <w:color w:val="000000"/>
                <w:sz w:val="20"/>
              </w:rPr>
            </w:pPr>
            <w:r>
              <w:rPr>
                <w:color w:val="000000"/>
                <w:sz w:val="20"/>
              </w:rPr>
              <w:t>Znesek (v EUR)</w:t>
            </w:r>
          </w:p>
        </w:tc>
      </w:tr>
      <w:tr w:rsidR="00823317" w14:paraId="38060E2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EF5DDA"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F071B3" w14:textId="77777777" w:rsidR="00A77B3E" w:rsidRDefault="00B16CCF">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46C375"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C53AC4"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6C5430" w14:textId="77777777" w:rsidR="00A77B3E" w:rsidRDefault="00B16CCF">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E666E5" w14:textId="77777777" w:rsidR="00A77B3E" w:rsidRDefault="00B16CCF">
            <w:pPr>
              <w:spacing w:before="5pt"/>
              <w:jc w:val="end"/>
              <w:rPr>
                <w:color w:val="000000"/>
                <w:sz w:val="20"/>
              </w:rPr>
            </w:pPr>
            <w:r>
              <w:rPr>
                <w:color w:val="000000"/>
                <w:sz w:val="20"/>
              </w:rPr>
              <w:t>15.240.500,00</w:t>
            </w:r>
          </w:p>
        </w:tc>
      </w:tr>
      <w:tr w:rsidR="00823317" w14:paraId="730BB2C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5A838D"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75A2B2" w14:textId="77777777" w:rsidR="00A77B3E" w:rsidRDefault="00B16CCF">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EF64C6"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F9DF29"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F322ED" w14:textId="77777777" w:rsidR="00A77B3E" w:rsidRDefault="00B16CCF">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8FC1D4" w14:textId="77777777" w:rsidR="00A77B3E" w:rsidRDefault="00B16CCF">
            <w:pPr>
              <w:spacing w:before="5pt"/>
              <w:jc w:val="end"/>
              <w:rPr>
                <w:color w:val="000000"/>
                <w:sz w:val="20"/>
              </w:rPr>
            </w:pPr>
            <w:r>
              <w:rPr>
                <w:color w:val="000000"/>
                <w:sz w:val="20"/>
              </w:rPr>
              <w:t>62.146.235,00</w:t>
            </w:r>
          </w:p>
        </w:tc>
      </w:tr>
      <w:tr w:rsidR="00823317" w14:paraId="375CC99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D6C1E2"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D8AE21" w14:textId="77777777" w:rsidR="00A77B3E" w:rsidRDefault="00B16CCF">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9CF637"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9E67B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FE6347"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335550" w14:textId="77777777" w:rsidR="00A77B3E" w:rsidRDefault="00B16CCF">
            <w:pPr>
              <w:spacing w:before="5pt"/>
              <w:jc w:val="end"/>
              <w:rPr>
                <w:color w:val="000000"/>
                <w:sz w:val="20"/>
              </w:rPr>
            </w:pPr>
            <w:r>
              <w:rPr>
                <w:color w:val="000000"/>
                <w:sz w:val="20"/>
              </w:rPr>
              <w:t>77.386.735,00</w:t>
            </w:r>
          </w:p>
        </w:tc>
      </w:tr>
    </w:tbl>
    <w:p w14:paraId="7DAE4C11" w14:textId="77777777" w:rsidR="00A77B3E" w:rsidRDefault="00A77B3E">
      <w:pPr>
        <w:spacing w:before="5pt"/>
        <w:rPr>
          <w:color w:val="000000"/>
          <w:sz w:val="20"/>
        </w:rPr>
      </w:pPr>
    </w:p>
    <w:p w14:paraId="22A91A72" w14:textId="77777777" w:rsidR="00A77B3E" w:rsidRDefault="00B16CCF">
      <w:pPr>
        <w:pStyle w:val="Naslov5"/>
        <w:spacing w:before="5pt" w:after="0pt"/>
        <w:rPr>
          <w:b w:val="0"/>
          <w:i w:val="0"/>
          <w:color w:val="000000"/>
          <w:sz w:val="24"/>
        </w:rPr>
      </w:pPr>
      <w:bookmarkStart w:id="504" w:name="_Toc256001265"/>
      <w:r>
        <w:rPr>
          <w:b w:val="0"/>
          <w:i w:val="0"/>
          <w:color w:val="000000"/>
          <w:sz w:val="24"/>
        </w:rPr>
        <w:t>Tabela 7: Razsežnost 6 – sekundarna področja ESS+</w:t>
      </w:r>
      <w:bookmarkEnd w:id="504"/>
    </w:p>
    <w:p w14:paraId="4C683B0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13"/>
        <w:gridCol w:w="2318"/>
        <w:gridCol w:w="1683"/>
        <w:gridCol w:w="2403"/>
        <w:gridCol w:w="3093"/>
        <w:gridCol w:w="3162"/>
      </w:tblGrid>
      <w:tr w:rsidR="00823317" w14:paraId="583B304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ADCE3E"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CDF1AD"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BD2276"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DFCD94"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0DE6FE6"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779FD4" w14:textId="77777777" w:rsidR="00A77B3E" w:rsidRDefault="00B16CCF">
            <w:pPr>
              <w:spacing w:before="5pt"/>
              <w:jc w:val="center"/>
              <w:rPr>
                <w:color w:val="000000"/>
                <w:sz w:val="20"/>
              </w:rPr>
            </w:pPr>
            <w:r>
              <w:rPr>
                <w:color w:val="000000"/>
                <w:sz w:val="20"/>
              </w:rPr>
              <w:t>Znesek (v EUR)</w:t>
            </w:r>
          </w:p>
        </w:tc>
      </w:tr>
      <w:tr w:rsidR="00823317" w14:paraId="569975A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B6F5D7"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023D35" w14:textId="77777777" w:rsidR="00A77B3E" w:rsidRDefault="00B16CCF">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F2D6B8"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244117"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E1C693" w14:textId="77777777" w:rsidR="00A77B3E" w:rsidRDefault="00B16CCF">
            <w:pPr>
              <w:spacing w:before="5pt"/>
              <w:rPr>
                <w:color w:val="000000"/>
                <w:sz w:val="20"/>
              </w:rPr>
            </w:pPr>
            <w:r>
              <w:rPr>
                <w:color w:val="000000"/>
                <w:sz w:val="20"/>
              </w:rPr>
              <w:t>10. Obravnavanje izzivov, opredeljenih v evropskem semestru</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8BF096" w14:textId="77777777" w:rsidR="00A77B3E" w:rsidRDefault="00B16CCF">
            <w:pPr>
              <w:spacing w:before="5pt"/>
              <w:jc w:val="end"/>
              <w:rPr>
                <w:color w:val="000000"/>
                <w:sz w:val="20"/>
              </w:rPr>
            </w:pPr>
            <w:r>
              <w:rPr>
                <w:color w:val="000000"/>
                <w:sz w:val="20"/>
              </w:rPr>
              <w:t>15.240.500,00</w:t>
            </w:r>
          </w:p>
        </w:tc>
      </w:tr>
      <w:tr w:rsidR="00823317" w14:paraId="1224485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431BE6"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92220B" w14:textId="77777777" w:rsidR="00A77B3E" w:rsidRDefault="00B16CCF">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30D184"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E2A6C5"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24AA1B" w14:textId="77777777" w:rsidR="00A77B3E" w:rsidRDefault="00B16CCF">
            <w:pPr>
              <w:spacing w:before="5pt"/>
              <w:rPr>
                <w:color w:val="000000"/>
                <w:sz w:val="20"/>
              </w:rPr>
            </w:pPr>
            <w:r>
              <w:rPr>
                <w:color w:val="000000"/>
                <w:sz w:val="20"/>
              </w:rPr>
              <w:t>10. Obravnavanje izzivov, opredeljenih v evropskem semestru</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9EC625" w14:textId="77777777" w:rsidR="00A77B3E" w:rsidRDefault="00B16CCF">
            <w:pPr>
              <w:spacing w:before="5pt"/>
              <w:jc w:val="end"/>
              <w:rPr>
                <w:color w:val="000000"/>
                <w:sz w:val="20"/>
              </w:rPr>
            </w:pPr>
            <w:r>
              <w:rPr>
                <w:color w:val="000000"/>
                <w:sz w:val="20"/>
              </w:rPr>
              <w:t>62.146.235,00</w:t>
            </w:r>
          </w:p>
        </w:tc>
      </w:tr>
      <w:tr w:rsidR="00823317" w14:paraId="69AD9B9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F815B6"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65B45F" w14:textId="77777777" w:rsidR="00A77B3E" w:rsidRDefault="00B16CCF">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C55E67"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C3709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C3C65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9C13B9" w14:textId="77777777" w:rsidR="00A77B3E" w:rsidRDefault="00B16CCF">
            <w:pPr>
              <w:spacing w:before="5pt"/>
              <w:jc w:val="end"/>
              <w:rPr>
                <w:color w:val="000000"/>
                <w:sz w:val="20"/>
              </w:rPr>
            </w:pPr>
            <w:r>
              <w:rPr>
                <w:color w:val="000000"/>
                <w:sz w:val="20"/>
              </w:rPr>
              <w:t>77.386.735,00</w:t>
            </w:r>
          </w:p>
        </w:tc>
      </w:tr>
    </w:tbl>
    <w:p w14:paraId="4437B618" w14:textId="77777777" w:rsidR="00A77B3E" w:rsidRDefault="00A77B3E">
      <w:pPr>
        <w:spacing w:before="5pt"/>
        <w:rPr>
          <w:color w:val="000000"/>
          <w:sz w:val="20"/>
        </w:rPr>
      </w:pPr>
    </w:p>
    <w:p w14:paraId="28518B51" w14:textId="77777777" w:rsidR="00A77B3E" w:rsidRDefault="00B16CCF">
      <w:pPr>
        <w:pStyle w:val="Naslov5"/>
        <w:spacing w:before="5pt" w:after="0pt"/>
        <w:rPr>
          <w:b w:val="0"/>
          <w:i w:val="0"/>
          <w:color w:val="000000"/>
          <w:sz w:val="24"/>
        </w:rPr>
      </w:pPr>
      <w:bookmarkStart w:id="505" w:name="_Toc256001266"/>
      <w:r>
        <w:rPr>
          <w:b w:val="0"/>
          <w:i w:val="0"/>
          <w:color w:val="000000"/>
          <w:sz w:val="24"/>
        </w:rPr>
        <w:t>Tabela 8: Razsežnost 7 – razsežnost enakosti spolov v okviru ESS+*, ESRR, Kohezijskega sklada in SPP</w:t>
      </w:r>
      <w:bookmarkEnd w:id="505"/>
    </w:p>
    <w:p w14:paraId="5B5A58A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35"/>
        <w:gridCol w:w="2339"/>
        <w:gridCol w:w="1699"/>
        <w:gridCol w:w="2425"/>
        <w:gridCol w:w="2983"/>
        <w:gridCol w:w="3191"/>
      </w:tblGrid>
      <w:tr w:rsidR="00823317" w14:paraId="049F808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08ABCE"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B3D833"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79F89D"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4381F0"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DCCB66"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73E184" w14:textId="77777777" w:rsidR="00A77B3E" w:rsidRDefault="00B16CCF">
            <w:pPr>
              <w:spacing w:before="5pt"/>
              <w:jc w:val="center"/>
              <w:rPr>
                <w:color w:val="000000"/>
                <w:sz w:val="20"/>
              </w:rPr>
            </w:pPr>
            <w:r>
              <w:rPr>
                <w:color w:val="000000"/>
                <w:sz w:val="20"/>
              </w:rPr>
              <w:t>Znesek (v EUR)</w:t>
            </w:r>
          </w:p>
        </w:tc>
      </w:tr>
      <w:tr w:rsidR="00823317" w14:paraId="3E69308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11E94B"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2FDBEE" w14:textId="77777777" w:rsidR="00A77B3E" w:rsidRDefault="00B16CCF">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1512B3"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7B43AD"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E03E34" w14:textId="77777777" w:rsidR="00A77B3E" w:rsidRDefault="00B16CCF">
            <w:pPr>
              <w:spacing w:before="5pt"/>
              <w:rPr>
                <w:color w:val="000000"/>
                <w:sz w:val="20"/>
              </w:rPr>
            </w:pPr>
            <w:r>
              <w:rPr>
                <w:color w:val="000000"/>
                <w:sz w:val="20"/>
              </w:rPr>
              <w:t>02. Vključevanje vidika spola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BF428F" w14:textId="77777777" w:rsidR="00A77B3E" w:rsidRDefault="00B16CCF">
            <w:pPr>
              <w:spacing w:before="5pt"/>
              <w:jc w:val="end"/>
              <w:rPr>
                <w:color w:val="000000"/>
                <w:sz w:val="20"/>
              </w:rPr>
            </w:pPr>
            <w:r>
              <w:rPr>
                <w:color w:val="000000"/>
                <w:sz w:val="20"/>
              </w:rPr>
              <w:t>15.240.500,00</w:t>
            </w:r>
          </w:p>
        </w:tc>
      </w:tr>
      <w:tr w:rsidR="00823317" w14:paraId="5B1ED24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7891CC" w14:textId="77777777" w:rsidR="00A77B3E" w:rsidRDefault="00B16CCF">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7E33A1" w14:textId="77777777" w:rsidR="00A77B3E" w:rsidRDefault="00B16CCF">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8F45EA"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79CBBF"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8A2407" w14:textId="77777777" w:rsidR="00A77B3E" w:rsidRDefault="00B16CCF">
            <w:pPr>
              <w:spacing w:before="5pt"/>
              <w:rPr>
                <w:color w:val="000000"/>
                <w:sz w:val="20"/>
              </w:rPr>
            </w:pPr>
            <w:r>
              <w:rPr>
                <w:color w:val="000000"/>
                <w:sz w:val="20"/>
              </w:rPr>
              <w:t>02. Vključevanje vidika spola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94FF9B" w14:textId="77777777" w:rsidR="00A77B3E" w:rsidRDefault="00B16CCF">
            <w:pPr>
              <w:spacing w:before="5pt"/>
              <w:jc w:val="end"/>
              <w:rPr>
                <w:color w:val="000000"/>
                <w:sz w:val="20"/>
              </w:rPr>
            </w:pPr>
            <w:r>
              <w:rPr>
                <w:color w:val="000000"/>
                <w:sz w:val="20"/>
              </w:rPr>
              <w:t>62.146.235,00</w:t>
            </w:r>
          </w:p>
        </w:tc>
      </w:tr>
      <w:tr w:rsidR="00823317" w14:paraId="1E96EBF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758FA9" w14:textId="77777777" w:rsidR="00A77B3E" w:rsidRDefault="00B16CCF">
            <w:pPr>
              <w:spacing w:before="5pt"/>
              <w:rPr>
                <w:color w:val="000000"/>
                <w:sz w:val="20"/>
              </w:rPr>
            </w:pPr>
            <w:r>
              <w:rPr>
                <w:color w:val="000000"/>
                <w:sz w:val="20"/>
              </w:rPr>
              <w:lastRenderedPageBreak/>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152421" w14:textId="77777777" w:rsidR="00A77B3E" w:rsidRDefault="00B16CCF">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17E8BF"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48AA4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BA075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B799E1" w14:textId="77777777" w:rsidR="00A77B3E" w:rsidRDefault="00B16CCF">
            <w:pPr>
              <w:spacing w:before="5pt"/>
              <w:jc w:val="end"/>
              <w:rPr>
                <w:color w:val="000000"/>
                <w:sz w:val="20"/>
              </w:rPr>
            </w:pPr>
            <w:r>
              <w:rPr>
                <w:color w:val="000000"/>
                <w:sz w:val="20"/>
              </w:rPr>
              <w:t>77.386.735,00</w:t>
            </w:r>
          </w:p>
        </w:tc>
      </w:tr>
    </w:tbl>
    <w:p w14:paraId="1EE7F293" w14:textId="77777777" w:rsidR="00A77B3E" w:rsidRDefault="00B16CCF">
      <w:pPr>
        <w:spacing w:before="5pt"/>
        <w:rPr>
          <w:color w:val="000000"/>
          <w:sz w:val="20"/>
        </w:rPr>
      </w:pPr>
      <w:r>
        <w:rPr>
          <w:color w:val="000000"/>
          <w:sz w:val="20"/>
        </w:rPr>
        <w:t>* Načeloma 40 % za ESS+ prispeva k spremljanju enakosti spolov. 100 % se uporabi, kadar se država članica odloči za uporabo člena 6 uredbe o ESS+.</w:t>
      </w:r>
    </w:p>
    <w:p w14:paraId="4351B014" w14:textId="77777777" w:rsidR="00A77B3E" w:rsidRDefault="00B16CCF">
      <w:pPr>
        <w:pStyle w:val="Naslov3"/>
        <w:spacing w:before="5pt" w:after="0pt"/>
        <w:rPr>
          <w:rFonts w:ascii="Times New Roman" w:hAnsi="Times New Roman" w:cs="Times New Roman"/>
          <w:b w:val="0"/>
          <w:color w:val="000000"/>
          <w:sz w:val="24"/>
        </w:rPr>
      </w:pPr>
      <w:r>
        <w:rPr>
          <w:rFonts w:ascii="Times New Roman" w:hAnsi="Times New Roman" w:cs="Times New Roman"/>
          <w:b w:val="0"/>
          <w:color w:val="000000"/>
          <w:sz w:val="24"/>
        </w:rPr>
        <w:br w:type="page"/>
      </w:r>
      <w:bookmarkStart w:id="506" w:name="_Toc256001267"/>
      <w:r>
        <w:rPr>
          <w:rFonts w:ascii="Times New Roman" w:hAnsi="Times New Roman" w:cs="Times New Roman"/>
          <w:b w:val="0"/>
          <w:color w:val="000000"/>
          <w:sz w:val="24"/>
        </w:rPr>
        <w:lastRenderedPageBreak/>
        <w:t>2.1.1. Prednostna naloga: 7. Dolgotrajna oskrba in zdravje ter socialna vključenost</w:t>
      </w:r>
      <w:bookmarkEnd w:id="506"/>
      <w:r>
        <w:rPr>
          <w:rFonts w:ascii="Times New Roman" w:hAnsi="Times New Roman" w:cs="Times New Roman"/>
          <w:b w:val="0"/>
          <w:color w:val="000000"/>
          <w:sz w:val="24"/>
        </w:rPr>
        <w:t xml:space="preserve"> </w:t>
      </w:r>
    </w:p>
    <w:p w14:paraId="2FDCDA14" w14:textId="77777777" w:rsidR="00A77B3E" w:rsidRDefault="00A77B3E">
      <w:pPr>
        <w:spacing w:before="5pt"/>
        <w:rPr>
          <w:color w:val="000000"/>
          <w:sz w:val="0"/>
        </w:rPr>
      </w:pPr>
    </w:p>
    <w:p w14:paraId="46A6F527" w14:textId="77777777" w:rsidR="00A77B3E" w:rsidRDefault="00B16CCF">
      <w:pPr>
        <w:pStyle w:val="Naslov4"/>
        <w:spacing w:before="5pt" w:after="0pt"/>
        <w:rPr>
          <w:b w:val="0"/>
          <w:color w:val="000000"/>
          <w:sz w:val="24"/>
        </w:rPr>
      </w:pPr>
      <w:bookmarkStart w:id="507" w:name="_Toc256001268"/>
      <w:r>
        <w:rPr>
          <w:b w:val="0"/>
          <w:color w:val="000000"/>
          <w:sz w:val="24"/>
        </w:rPr>
        <w:t>2.1.1.1. Specifični cilj: RSO4.3. Spodbujanje socialno-ekonomskega vključevanja marginaliziranih skupnosti, gospodinjstev z nizkimi dohodki in prikrajšanih skupin, tudi ljudi s posebnimi potrebami, s celostnimi ukrepi, vključno s stanovanjskimi in socialnimi storitvami (ESRR)</w:t>
      </w:r>
      <w:bookmarkEnd w:id="507"/>
    </w:p>
    <w:p w14:paraId="0E17A260" w14:textId="77777777" w:rsidR="00A77B3E" w:rsidRDefault="00A77B3E">
      <w:pPr>
        <w:spacing w:before="5pt"/>
        <w:rPr>
          <w:color w:val="000000"/>
          <w:sz w:val="0"/>
        </w:rPr>
      </w:pPr>
    </w:p>
    <w:p w14:paraId="3BBD021C" w14:textId="77777777" w:rsidR="00A77B3E" w:rsidRDefault="00B16CCF">
      <w:pPr>
        <w:pStyle w:val="Naslov4"/>
        <w:spacing w:before="5pt" w:after="0pt"/>
        <w:rPr>
          <w:b w:val="0"/>
          <w:color w:val="000000"/>
          <w:sz w:val="24"/>
        </w:rPr>
      </w:pPr>
      <w:bookmarkStart w:id="508" w:name="_Toc256001269"/>
      <w:r>
        <w:rPr>
          <w:b w:val="0"/>
          <w:color w:val="000000"/>
          <w:sz w:val="24"/>
        </w:rPr>
        <w:t>2.1.1.1.1. Ukrepi skladov</w:t>
      </w:r>
      <w:bookmarkEnd w:id="508"/>
    </w:p>
    <w:p w14:paraId="5D06BFB7" w14:textId="77777777" w:rsidR="00A77B3E" w:rsidRDefault="00A77B3E">
      <w:pPr>
        <w:spacing w:before="5pt"/>
        <w:rPr>
          <w:color w:val="000000"/>
          <w:sz w:val="0"/>
        </w:rPr>
      </w:pPr>
    </w:p>
    <w:p w14:paraId="66F5BD9F" w14:textId="77777777" w:rsidR="00A77B3E" w:rsidRDefault="00B16CCF">
      <w:pPr>
        <w:spacing w:before="5pt"/>
        <w:rPr>
          <w:color w:val="000000"/>
          <w:sz w:val="0"/>
        </w:rPr>
      </w:pPr>
      <w:r>
        <w:rPr>
          <w:color w:val="000000"/>
        </w:rPr>
        <w:t>Sklic: člen 22(3)(d)(i), (iii), (iv), (v), (vi) in (vii) uredbe o skupnih določbah</w:t>
      </w:r>
    </w:p>
    <w:p w14:paraId="7C787D69" w14:textId="77777777" w:rsidR="00A77B3E" w:rsidRDefault="00B16CCF">
      <w:pPr>
        <w:pStyle w:val="Naslov5"/>
        <w:spacing w:before="5pt" w:after="0pt"/>
        <w:rPr>
          <w:b w:val="0"/>
          <w:i w:val="0"/>
          <w:color w:val="000000"/>
          <w:sz w:val="24"/>
        </w:rPr>
      </w:pPr>
      <w:bookmarkStart w:id="509" w:name="_Toc256001270"/>
      <w:r>
        <w:rPr>
          <w:b w:val="0"/>
          <w:i w:val="0"/>
          <w:color w:val="000000"/>
          <w:sz w:val="24"/>
        </w:rPr>
        <w:t>Povezane vrste ukrepov – člen 22(3)(d)(i) uredbe o skupnih določbah in člen 6 uredbe o ESS+:</w:t>
      </w:r>
      <w:bookmarkEnd w:id="509"/>
    </w:p>
    <w:p w14:paraId="357020A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4F90A724"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A08127" w14:textId="77777777" w:rsidR="00A77B3E" w:rsidRDefault="00A77B3E">
            <w:pPr>
              <w:spacing w:before="5pt"/>
              <w:rPr>
                <w:color w:val="000000"/>
                <w:sz w:val="0"/>
              </w:rPr>
            </w:pPr>
          </w:p>
          <w:p w14:paraId="0D8785A5" w14:textId="77777777" w:rsidR="00A77B3E" w:rsidRDefault="00B16CCF">
            <w:pPr>
              <w:spacing w:before="5pt"/>
              <w:rPr>
                <w:color w:val="000000"/>
              </w:rPr>
            </w:pPr>
            <w:r>
              <w:rPr>
                <w:color w:val="000000"/>
              </w:rPr>
              <w:t>Slovenijo na področju oskrbe oseb, ki za vsakdanje življenje potrebujejo pomoč drugega (starejši, ranljive skupine in osebe s posebnimi potrebami), uvrščamo med bolj institucionalizirane države, za katere je značilna visoka stopnja formalne oskrbe oziroma varstva. Do tega je prišlo zaradi večanja kapacitet institucionalnega varstva ob stagnaciji razvoja skupnostnih oblik socialnega varstva. V zadnjih letih pa je tudi zaradi politik EU za Slovenijo ponovno relevanten koncept deinstitucionalizacije oziroma oskrbe v skupnosti. [1] Cilj Resolucije o nacionalnem programu socialnega varstva za obdobje 2022-2030[2] je sprememba razmerja med uporabniki skupnostnih in institucionalnih oblik socialnega varstva ter povečanje deleža uporabnikov skupnostnih storitev in zmanjšanje deleža uporabnikov institucionalnih oblik socialnega varstva. Resolucijo bo nadgradila Strategija Republike Slovenije za deinstitucionalizacijo v socialnem varstvu za obdobje 2023 – 2033, ki bo v ospredje postavila človeka s ciljem dopolnjevanja novih storitev, prilagojenih zmožnosti in potrebam uporabnika, s čim več možnostmi izvajanja na domu ali v skupnosti.</w:t>
            </w:r>
          </w:p>
          <w:p w14:paraId="231EC191" w14:textId="77777777" w:rsidR="00A77B3E" w:rsidRDefault="00B16CCF">
            <w:pPr>
              <w:spacing w:before="5pt"/>
              <w:rPr>
                <w:color w:val="000000"/>
              </w:rPr>
            </w:pPr>
            <w:r>
              <w:rPr>
                <w:color w:val="000000"/>
              </w:rPr>
              <w:t>V skladu z navedenim se v okviru tega specifičnega cilja načrtuje ukrepe, ki bodo oblikovane po analizi vrzeli in rezultatih mapiranja infrastrukture, storitev in potreb, tudi na mikroregionalni ravni s posebno pozornostjo na ozemeljskih neenakostih, morebitni prostorski segregaciji ter demografskih spremembah. V skladu s Konvencijo o pravicah invalidov in Izbirnim protokolom h Konvenciji o pravicah invalidov (MKPI) bo narejen pregled odločitev za prioritetno potrebne investicije na osnovi ocene individualnih potreb. Kartiranje (mapiranje) bo temeljilo na pregledu trenutnega števila rezidenčnih ustanov (vključno z bivalnimi ustanovami v skupnosti), nerezidenčnimi družinskimi skupnostmi storitev ob upoštevanju teritorialnih neenakosti in demografskih izzivov. Vse naložbe v socialno infrastrukturo bodo v celoti v skladu z zahtevami MKPI, vključno s splošnim komentarjem 5 in sklepnimi ugotovitvami Odbora MKPI, ob ustreznem spoštovanju načel enakosti, svobode izbire, pravice do neodvisnega življenja, dostopnosti in prepovedi vseh oblik ločevanja. Poleg tega se bo pri vsaki naložbi zagotovila dostopnost v skladu z najsodobnejšimi standardi dostopnosti EU. Naložbe bodo morale dokazati skladnost s strategijo deinstitucionalizacije ter ustreznimi političnimi in pravnimi okviri EU za spoštovanje človekovih pravic, in sicer MKPI in splošno pripombo št. 5, Evropskim stebrom socialnih pravic in Strategijo o pravicah invalidov za obdobje 2021–2030. Naložbe bodo upoštevale strategijo deinstitucionalizacije, tako da ne bodo prispevale k ustvarjanju novih okolij, ki niso v celoti v skladu z MKPI. Po načelu partnerstva bodo neodvisni organi za temeljne pravice in organizacije za človekove pravice vključeni v vse faze programiranja, izvajanja, spremljanja, vrednotenja naložb v socialno in zdravstveno infrastrukturo za zagotavljanje spoštovanja načel neodvisnega življenja, nesegregacije. in nediskriminacija v skladu z MKPI in Listino.</w:t>
            </w:r>
          </w:p>
          <w:p w14:paraId="6DF49B1C" w14:textId="77777777" w:rsidR="00A77B3E" w:rsidRDefault="00B16CCF">
            <w:pPr>
              <w:spacing w:before="5pt"/>
              <w:rPr>
                <w:color w:val="000000"/>
              </w:rPr>
            </w:pPr>
            <w:r>
              <w:rPr>
                <w:color w:val="000000"/>
              </w:rPr>
              <w:t>V okviru specifičnega cilja RSO4.3 bodo podprti ukrepi, ki bodo osredotočeni na:</w:t>
            </w:r>
          </w:p>
          <w:p w14:paraId="5BEF6D4B" w14:textId="77777777" w:rsidR="00A77B3E" w:rsidRDefault="00B16CCF">
            <w:pPr>
              <w:spacing w:before="5pt"/>
              <w:rPr>
                <w:color w:val="000000"/>
              </w:rPr>
            </w:pPr>
            <w:r>
              <w:rPr>
                <w:color w:val="000000"/>
              </w:rPr>
              <w:t>•</w:t>
            </w:r>
            <w:r>
              <w:rPr>
                <w:i/>
                <w:iCs/>
                <w:color w:val="000000"/>
              </w:rPr>
              <w:t>investicije v socialno infrastrukturo</w:t>
            </w:r>
            <w:r>
              <w:rPr>
                <w:color w:val="000000"/>
              </w:rPr>
              <w:t xml:space="preserve">, ki bo namenjena integriranim skupnostnim storitvam in oblikam oskrbe in prispevala k vključenosti posameznikov v skupnost ter posledično k samostojnejšemu življenju in zagotavljanju bolj kakovostnega bivanja ciljnih skupin. V okviru NOO se bo izvajal ukrep Zagotovitev varnega okolja bivanja za osebe, ki so odvisne od pomoči drugih, z vlaganjem v nove institucionalne kapacitete za oskrbo starejših, medtem ko </w:t>
            </w:r>
            <w:r>
              <w:rPr>
                <w:color w:val="000000"/>
              </w:rPr>
              <w:lastRenderedPageBreak/>
              <w:t>bomo v okviru sredstev ESRR vlagali v nakup in prilagoditev socialne infrastrukture za odrasle in otroke z oviranostmi, vključno z infrastrukturo na področju dolgotrajne oskrbe, ki bo prednostno izvedena na naslednjih področjih:</w:t>
            </w:r>
          </w:p>
          <w:p w14:paraId="0B40B449" w14:textId="77777777" w:rsidR="00A77B3E" w:rsidRDefault="00B16CCF">
            <w:pPr>
              <w:spacing w:before="5pt"/>
              <w:rPr>
                <w:color w:val="000000"/>
              </w:rPr>
            </w:pPr>
            <w:r>
              <w:rPr>
                <w:color w:val="000000"/>
              </w:rPr>
              <w:t>ovzpostavitev stanovanjskih skupin za prehod iz institucij v samostojno življenje v skupnosti: ukrep bo podprl izvajalce integriranih skupnostnih oblik storitev, ki nudijo prehodno storitev integrirane oskrbe z namestitvijo v manjših stanovanjskih enotah. Ukrep bomo poskusili izvesti na način, da se bo uporabilo proste stanovanjske kapacitete po državi, v kolikor bodo le-te primerne za namestitev oseb in v skladu s pravilniki in smernicami deinstitucionalizacije z doslednim spoštovanjem temeljnih pravic posameznikov.</w:t>
            </w:r>
          </w:p>
          <w:p w14:paraId="4C51066C" w14:textId="77777777" w:rsidR="00A77B3E" w:rsidRDefault="00B16CCF">
            <w:pPr>
              <w:spacing w:before="5pt"/>
              <w:rPr>
                <w:color w:val="000000"/>
              </w:rPr>
            </w:pPr>
            <w:r>
              <w:rPr>
                <w:color w:val="000000"/>
              </w:rPr>
              <w:t>oDnevni centri za oskrbo oseb z demenco in drugih oblik upada kognitivnih funkcij: ukrep naslavlja izziv vzpostavitve centrov, v katerih se bo izvajalo dnevno varstvo starejših, v katerega se bodo lahko vključevali posamezniki za poljubno število dni in ur (8 ur ali manj) in s tem dobili možnost, da bivajo v domačem okolju, s čimer se bo zmanjšala potreba po odhodu v institucije, preprečevalo poslabšanje zdravstvenega stanja in morebitne hospitalizacije, ipd., kar je skladno s ciljem prehoda iz institucionalnih v skupnostne oblike storitev. Razmislek bo tudi o možnosti medgeneracijskega povezovanja ter povezovanju aktivnosti z lokalnim okoljem. Ta ukrep se bo povezoval z ukrepom krepitve socialnovarstvenih storitev v okviru SC ESO4.11, kjer bodo predvidena usposabljanja osebja v dnevnih centrih in pomoč svojcem.</w:t>
            </w:r>
          </w:p>
          <w:p w14:paraId="5B703606" w14:textId="77777777" w:rsidR="00A77B3E" w:rsidRDefault="00B16CCF">
            <w:pPr>
              <w:spacing w:before="5pt"/>
              <w:rPr>
                <w:color w:val="000000"/>
              </w:rPr>
            </w:pPr>
            <w:r>
              <w:rPr>
                <w:color w:val="000000"/>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V skladu s Tehničnimi smernicami za uporabo »načela, da se ne škoduje bistveno« smo na podlagi odgovorov na vprašanja iz kontrolnega seznama ugotovili, da noben izmed predvidenih ukrepov v okviru tega specifičnega cilja nima bistvenega škodljivega vpliva na katerega koli od šestih okoljskih ciljev ob upoštevanju tehničnih meril, navedenih v Prilogi: DNSH. Kjer bo to relevantno, bo izvajanje ukrepov skladno s pobudo Novi evropski Bauhaus.</w:t>
            </w:r>
          </w:p>
          <w:p w14:paraId="7AD56762" w14:textId="77777777" w:rsidR="00A77B3E" w:rsidRDefault="00A77B3E">
            <w:pPr>
              <w:spacing w:before="5pt"/>
              <w:rPr>
                <w:color w:val="000000"/>
              </w:rPr>
            </w:pPr>
          </w:p>
          <w:p w14:paraId="67EC0752" w14:textId="77777777" w:rsidR="00A77B3E" w:rsidRDefault="00B16CCF">
            <w:pPr>
              <w:spacing w:before="5pt"/>
              <w:rPr>
                <w:color w:val="000000"/>
              </w:rPr>
            </w:pPr>
            <w:r>
              <w:rPr>
                <w:color w:val="000000"/>
              </w:rPr>
              <w:t>[1] UMAR, Evropski steber socialnih pravic, Slovenija 2000-2020, 2021. Dostopno na: https://www.umar.gov.si/fileadmin/user_upload/publikacije/ESSP/2021/ESSP_splet.pdf.</w:t>
            </w:r>
          </w:p>
          <w:p w14:paraId="64E1C435" w14:textId="77777777" w:rsidR="00A77B3E" w:rsidRDefault="00B16CCF">
            <w:pPr>
              <w:spacing w:before="5pt"/>
              <w:rPr>
                <w:color w:val="000000"/>
              </w:rPr>
            </w:pPr>
            <w:r>
              <w:rPr>
                <w:color w:val="000000"/>
              </w:rPr>
              <w:t>[2] Resolucija je bila sprejeta 23. 3. 2022. Dostopna na: https://e-uprava.gov.si/drzava-in-druzba/e-demokracija/predlogi-predpisov/predlog-predpisa.html?id=13038.</w:t>
            </w:r>
          </w:p>
          <w:p w14:paraId="443102EA" w14:textId="77777777" w:rsidR="00A77B3E" w:rsidRDefault="00A77B3E">
            <w:pPr>
              <w:spacing w:before="5pt"/>
              <w:rPr>
                <w:color w:val="000000"/>
                <w:sz w:val="6"/>
              </w:rPr>
            </w:pPr>
          </w:p>
          <w:p w14:paraId="2749A6CC" w14:textId="77777777" w:rsidR="00A77B3E" w:rsidRDefault="00A77B3E">
            <w:pPr>
              <w:spacing w:before="5pt"/>
              <w:rPr>
                <w:color w:val="000000"/>
                <w:sz w:val="6"/>
              </w:rPr>
            </w:pPr>
          </w:p>
        </w:tc>
      </w:tr>
    </w:tbl>
    <w:p w14:paraId="7B68F168" w14:textId="77777777" w:rsidR="00A77B3E" w:rsidRDefault="00A77B3E">
      <w:pPr>
        <w:spacing w:before="5pt"/>
        <w:rPr>
          <w:color w:val="000000"/>
        </w:rPr>
      </w:pPr>
    </w:p>
    <w:p w14:paraId="0402211D" w14:textId="77777777" w:rsidR="00A77B3E" w:rsidRDefault="00B16CCF">
      <w:pPr>
        <w:pStyle w:val="Naslov5"/>
        <w:spacing w:before="5pt" w:after="0pt"/>
        <w:rPr>
          <w:b w:val="0"/>
          <w:i w:val="0"/>
          <w:color w:val="000000"/>
          <w:sz w:val="24"/>
        </w:rPr>
      </w:pPr>
      <w:bookmarkStart w:id="510" w:name="_Toc256001271"/>
      <w:r>
        <w:rPr>
          <w:b w:val="0"/>
          <w:i w:val="0"/>
          <w:color w:val="000000"/>
          <w:sz w:val="24"/>
        </w:rPr>
        <w:t>Glavne ciljne skupine – člen 22(3)(d)(iii) uredbe o skupnih določbah:</w:t>
      </w:r>
      <w:bookmarkEnd w:id="510"/>
    </w:p>
    <w:p w14:paraId="60BD129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122E5702"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7F7935" w14:textId="77777777" w:rsidR="00A77B3E" w:rsidRDefault="00A77B3E">
            <w:pPr>
              <w:spacing w:before="5pt"/>
              <w:rPr>
                <w:color w:val="000000"/>
                <w:sz w:val="0"/>
              </w:rPr>
            </w:pPr>
          </w:p>
          <w:p w14:paraId="4559C93C" w14:textId="77777777" w:rsidR="00A77B3E" w:rsidRDefault="00B16CCF">
            <w:pPr>
              <w:spacing w:before="5pt"/>
              <w:rPr>
                <w:color w:val="000000"/>
              </w:rPr>
            </w:pPr>
            <w:r>
              <w:rPr>
                <w:color w:val="000000"/>
              </w:rPr>
              <w:t>Ciljne skupine so:</w:t>
            </w:r>
          </w:p>
          <w:p w14:paraId="2089DA9D" w14:textId="77777777" w:rsidR="00A77B3E" w:rsidRDefault="00B16CCF">
            <w:pPr>
              <w:spacing w:before="5pt"/>
              <w:rPr>
                <w:color w:val="000000"/>
              </w:rPr>
            </w:pPr>
            <w:r>
              <w:rPr>
                <w:color w:val="000000"/>
              </w:rPr>
              <w:t>•posamezniki in družine, ki ne zmorejo začasno samostojnega življenja ter ne morejo bivati doma, in druge ranljive skupine;</w:t>
            </w:r>
          </w:p>
          <w:p w14:paraId="63948E60" w14:textId="77777777" w:rsidR="00A77B3E" w:rsidRDefault="00B16CCF">
            <w:pPr>
              <w:spacing w:before="5pt"/>
              <w:rPr>
                <w:color w:val="000000"/>
              </w:rPr>
            </w:pPr>
            <w:r>
              <w:rPr>
                <w:color w:val="000000"/>
              </w:rPr>
              <w:t>•izvajalci storitev v skupnosti, posebni socialno varstveni zavod, centri za usposabljanje varstvo in delo, lokalne skupnosti, stanovanjski skladi;</w:t>
            </w:r>
          </w:p>
          <w:p w14:paraId="5526F4CE" w14:textId="77777777" w:rsidR="00A77B3E" w:rsidRDefault="00B16CCF">
            <w:pPr>
              <w:spacing w:before="5pt"/>
              <w:rPr>
                <w:color w:val="000000"/>
              </w:rPr>
            </w:pPr>
            <w:r>
              <w:rPr>
                <w:color w:val="000000"/>
              </w:rPr>
              <w:t>•osebe z demenco in drugimi oblikami upada kognitivnih funkcij ter njihovi svojci, uporabniki pomoči na domu in socialnih servisov, zaposleni v novo vzpostavljenih dnevnih centrih.</w:t>
            </w:r>
          </w:p>
          <w:p w14:paraId="528A6D4F" w14:textId="77777777" w:rsidR="00A77B3E" w:rsidRDefault="00A77B3E">
            <w:pPr>
              <w:spacing w:before="5pt"/>
              <w:rPr>
                <w:color w:val="000000"/>
              </w:rPr>
            </w:pPr>
          </w:p>
          <w:p w14:paraId="23904DD0" w14:textId="77777777" w:rsidR="00A77B3E" w:rsidRDefault="00B16CCF">
            <w:pPr>
              <w:spacing w:before="5pt"/>
              <w:rPr>
                <w:color w:val="000000"/>
              </w:rPr>
            </w:pPr>
            <w:r>
              <w:rPr>
                <w:color w:val="000000"/>
              </w:rPr>
              <w:t>Upravičenci: domovi za starejše, lokalne skupnosti, izvajalci socialno varstvenih programov in storitev, izvajalci storitev v skupnosti, skladi ipd.</w:t>
            </w:r>
          </w:p>
          <w:p w14:paraId="7205DD6E" w14:textId="77777777" w:rsidR="00A77B3E" w:rsidRDefault="00A77B3E">
            <w:pPr>
              <w:spacing w:before="5pt"/>
              <w:rPr>
                <w:color w:val="000000"/>
                <w:sz w:val="6"/>
              </w:rPr>
            </w:pPr>
          </w:p>
          <w:p w14:paraId="660CBFFE" w14:textId="77777777" w:rsidR="00A77B3E" w:rsidRDefault="00A77B3E">
            <w:pPr>
              <w:spacing w:before="5pt"/>
              <w:rPr>
                <w:color w:val="000000"/>
                <w:sz w:val="6"/>
              </w:rPr>
            </w:pPr>
          </w:p>
        </w:tc>
      </w:tr>
    </w:tbl>
    <w:p w14:paraId="16CC9224" w14:textId="77777777" w:rsidR="00A77B3E" w:rsidRDefault="00A77B3E">
      <w:pPr>
        <w:spacing w:before="5pt"/>
        <w:rPr>
          <w:color w:val="000000"/>
        </w:rPr>
      </w:pPr>
    </w:p>
    <w:p w14:paraId="410F1B36" w14:textId="77777777" w:rsidR="00A77B3E" w:rsidRDefault="00B16CCF">
      <w:pPr>
        <w:pStyle w:val="Naslov5"/>
        <w:spacing w:before="5pt" w:after="0pt"/>
        <w:rPr>
          <w:b w:val="0"/>
          <w:i w:val="0"/>
          <w:color w:val="000000"/>
          <w:sz w:val="24"/>
        </w:rPr>
      </w:pPr>
      <w:bookmarkStart w:id="511" w:name="_Toc256001272"/>
      <w:r>
        <w:rPr>
          <w:b w:val="0"/>
          <w:i w:val="0"/>
          <w:color w:val="000000"/>
          <w:sz w:val="24"/>
        </w:rPr>
        <w:t>Ukrepi za zaščito enakosti, vključenosti in nediskriminacije – člen 22(3)(d)(iv) uredbe o skupnih določbah in člen 6 uredbe o ESS+</w:t>
      </w:r>
      <w:bookmarkEnd w:id="511"/>
    </w:p>
    <w:p w14:paraId="7B93BFE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4E8F51B0"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36FB14" w14:textId="77777777" w:rsidR="00A77B3E" w:rsidRDefault="00A77B3E">
            <w:pPr>
              <w:spacing w:before="5pt"/>
              <w:rPr>
                <w:color w:val="000000"/>
                <w:sz w:val="0"/>
              </w:rPr>
            </w:pPr>
          </w:p>
          <w:p w14:paraId="4E4B2494" w14:textId="77777777" w:rsidR="00A77B3E" w:rsidRDefault="00B16CCF">
            <w:pPr>
              <w:spacing w:before="5pt"/>
              <w:rPr>
                <w:color w:val="000000"/>
              </w:rPr>
            </w:pPr>
            <w:r>
              <w:rPr>
                <w:color w:val="000000"/>
              </w:rPr>
              <w:t xml:space="preserve">Spoštovanje načel enakosti, vključenosti in nediskriminacije bo zagotovljeno pri izvajanju vseh aktivnosti na vseh ravneh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bodo upoštevani tudi Postopkovnik za zagotavljanje horizontalnega omogočitvenega pogoja »Učinkovita uporaba in izvajanje Listine o temeljnih pravicah« in Akcijski program za invalide 2022-2030, Strategija Republike Slovenije za deinstitucionalizacijo v socialnem varstvu za obdobje 2023 – 2033 (v pripravi) ter drugi relevantni dokumenti, ki bodo nastali v okviru izvajanja. Po potrebi bodo za njihovo uresničevanje zagotovljena usposabljanja upravne zmogljivosti. Načelo se bo upoštevalo tudi v okviru sistema upravljanja in nadzora. </w:t>
            </w:r>
          </w:p>
          <w:p w14:paraId="33C7146A" w14:textId="77777777" w:rsidR="00A77B3E" w:rsidRDefault="00A77B3E">
            <w:pPr>
              <w:spacing w:before="5pt"/>
              <w:rPr>
                <w:color w:val="000000"/>
              </w:rPr>
            </w:pPr>
          </w:p>
          <w:p w14:paraId="7766E765" w14:textId="77777777" w:rsidR="00A77B3E" w:rsidRDefault="00B16CCF">
            <w:pPr>
              <w:spacing w:before="5pt"/>
              <w:rPr>
                <w:color w:val="000000"/>
              </w:rPr>
            </w:pPr>
            <w:r>
              <w:rPr>
                <w:color w:val="000000"/>
              </w:rPr>
              <w:t>Ukrepi so skladni s ciljem Strategije za trajnostni razvoj »Socialna enakost in kohezija«, saj spodbujajo razvoj demokratične, socialno vključujoče, kohezivne, zdrave, varne in pravične družbe, ki spoštuje temeljne pravice in kulturno raznolikost, ustvarja enake možnosti ter se bori proti vsem oblikam diskriminacije. V aktivnostih ukrepov se bodo upoštevala načela nediskriminacije ter vključevanje ne glede na spol raso ali etično poreklo, vero ali prepričanje, invalidnost ali spolno usmerjenost. Ukrepi prispevajo k uresničevanju ciljev, navedenih v poglavju 3.3 Akcijskega načrta evropskega stebra socialnih pravic, saj bodo zagotavljali učinkovit in zadosten obseg mreže socialne varnosti in dostop do podpornih storitev ter prispevali k odpravljanju medgeneracijskega kroga prikrajšanosti. Ukrepi na področju deinstitucionalizacije in dnevnih centrov za osebe z demenco bodo posredno krepili enakost spolov.</w:t>
            </w:r>
          </w:p>
          <w:p w14:paraId="41C7F312" w14:textId="77777777" w:rsidR="00A77B3E" w:rsidRDefault="00A77B3E">
            <w:pPr>
              <w:spacing w:before="5pt"/>
              <w:rPr>
                <w:color w:val="000000"/>
                <w:sz w:val="6"/>
              </w:rPr>
            </w:pPr>
          </w:p>
          <w:p w14:paraId="2EC4CA3D" w14:textId="77777777" w:rsidR="00A77B3E" w:rsidRDefault="00A77B3E">
            <w:pPr>
              <w:spacing w:before="5pt"/>
              <w:rPr>
                <w:color w:val="000000"/>
                <w:sz w:val="6"/>
              </w:rPr>
            </w:pPr>
          </w:p>
        </w:tc>
      </w:tr>
    </w:tbl>
    <w:p w14:paraId="6B3DAA5F" w14:textId="77777777" w:rsidR="00A77B3E" w:rsidRDefault="00A77B3E">
      <w:pPr>
        <w:spacing w:before="5pt"/>
        <w:rPr>
          <w:color w:val="000000"/>
        </w:rPr>
      </w:pPr>
    </w:p>
    <w:p w14:paraId="37BDEBC2" w14:textId="77777777" w:rsidR="00A77B3E" w:rsidRDefault="00B16CCF">
      <w:pPr>
        <w:pStyle w:val="Naslov5"/>
        <w:spacing w:before="5pt" w:after="0pt"/>
        <w:rPr>
          <w:b w:val="0"/>
          <w:i w:val="0"/>
          <w:color w:val="000000"/>
          <w:sz w:val="24"/>
        </w:rPr>
      </w:pPr>
      <w:bookmarkStart w:id="512" w:name="_Toc256001273"/>
      <w:r>
        <w:rPr>
          <w:b w:val="0"/>
          <w:i w:val="0"/>
          <w:color w:val="000000"/>
          <w:sz w:val="24"/>
        </w:rPr>
        <w:t>Navedba specifičnih ciljnih ozemelj, vključno z načrtovano uporabo teritorialnih orodij – člen 22(3)(d)(v) uredbe o skupnih določbah</w:t>
      </w:r>
      <w:bookmarkEnd w:id="512"/>
    </w:p>
    <w:p w14:paraId="0C0A450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146DE2F0"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06BEF7" w14:textId="77777777" w:rsidR="00A77B3E" w:rsidRDefault="00A77B3E">
            <w:pPr>
              <w:spacing w:before="5pt"/>
              <w:rPr>
                <w:color w:val="000000"/>
                <w:sz w:val="0"/>
              </w:rPr>
            </w:pPr>
          </w:p>
          <w:p w14:paraId="7AD8BDA7" w14:textId="77777777" w:rsidR="00A77B3E" w:rsidRDefault="00B16CCF">
            <w:pPr>
              <w:spacing w:before="5pt"/>
              <w:rPr>
                <w:color w:val="000000"/>
              </w:rPr>
            </w:pPr>
            <w:r>
              <w:rPr>
                <w:color w:val="000000"/>
              </w:rPr>
              <w:t>V okviru specifičnega cilja se ne predvideva uporaba teritorialnih pristopov. Ukrepi specifičnega cilja se bodo izvajali zgolj v KRVS saj le-ta razvojno zaostaja za KRZS in je zaznamovana z demografskimi, socialnimi in ekonomskimi razmerami, ki ovirajo razvoj potenciala regije.</w:t>
            </w:r>
          </w:p>
          <w:p w14:paraId="67F0AB26" w14:textId="77777777" w:rsidR="00A77B3E" w:rsidRDefault="00A77B3E">
            <w:pPr>
              <w:spacing w:before="5pt"/>
              <w:rPr>
                <w:color w:val="000000"/>
                <w:sz w:val="6"/>
              </w:rPr>
            </w:pPr>
          </w:p>
          <w:p w14:paraId="16E2C35F" w14:textId="77777777" w:rsidR="00A77B3E" w:rsidRDefault="00A77B3E">
            <w:pPr>
              <w:spacing w:before="5pt"/>
              <w:rPr>
                <w:color w:val="000000"/>
                <w:sz w:val="6"/>
              </w:rPr>
            </w:pPr>
          </w:p>
        </w:tc>
      </w:tr>
    </w:tbl>
    <w:p w14:paraId="56A7D958" w14:textId="77777777" w:rsidR="00A77B3E" w:rsidRDefault="00A77B3E">
      <w:pPr>
        <w:spacing w:before="5pt"/>
        <w:rPr>
          <w:color w:val="000000"/>
        </w:rPr>
      </w:pPr>
    </w:p>
    <w:p w14:paraId="0049DBBD" w14:textId="77777777" w:rsidR="00A77B3E" w:rsidRDefault="00B16CCF">
      <w:pPr>
        <w:pStyle w:val="Naslov5"/>
        <w:spacing w:before="5pt" w:after="0pt"/>
        <w:rPr>
          <w:b w:val="0"/>
          <w:i w:val="0"/>
          <w:color w:val="000000"/>
          <w:sz w:val="24"/>
        </w:rPr>
      </w:pPr>
      <w:bookmarkStart w:id="513" w:name="_Toc256001274"/>
      <w:r>
        <w:rPr>
          <w:b w:val="0"/>
          <w:i w:val="0"/>
          <w:color w:val="000000"/>
          <w:sz w:val="24"/>
        </w:rPr>
        <w:lastRenderedPageBreak/>
        <w:t>Medregionalni, čezmejni in transnacionalni ukrepi – člen 22(3)(d)(vi) uredbe o skupnih določbah</w:t>
      </w:r>
      <w:bookmarkEnd w:id="513"/>
    </w:p>
    <w:p w14:paraId="2C7FA22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30865B0F"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7D5AE3" w14:textId="77777777" w:rsidR="00A77B3E" w:rsidRDefault="00A77B3E">
            <w:pPr>
              <w:spacing w:before="5pt"/>
              <w:rPr>
                <w:color w:val="000000"/>
                <w:sz w:val="0"/>
              </w:rPr>
            </w:pPr>
          </w:p>
          <w:p w14:paraId="5F1483B7" w14:textId="77777777" w:rsidR="00A77B3E" w:rsidRDefault="00B16CCF">
            <w:pPr>
              <w:spacing w:before="5pt"/>
              <w:rPr>
                <w:color w:val="000000"/>
              </w:rPr>
            </w:pPr>
            <w:r>
              <w:rPr>
                <w:color w:val="000000"/>
              </w:rPr>
              <w:t>V okviru navedenega specifičnega cilja medregionalni, čezmejni in transnacionalni ukrepi niso predvideni, saj gre za investicije v javno socialno infrastrukturo na področju Slovenije, ki je namenjena prebivalcem Slovenije.</w:t>
            </w:r>
          </w:p>
          <w:p w14:paraId="310DE7BC" w14:textId="77777777" w:rsidR="00A77B3E" w:rsidRDefault="00A77B3E">
            <w:pPr>
              <w:spacing w:before="5pt"/>
              <w:rPr>
                <w:color w:val="000000"/>
                <w:sz w:val="6"/>
              </w:rPr>
            </w:pPr>
          </w:p>
          <w:p w14:paraId="7D7FF27B" w14:textId="77777777" w:rsidR="00A77B3E" w:rsidRDefault="00A77B3E">
            <w:pPr>
              <w:spacing w:before="5pt"/>
              <w:rPr>
                <w:color w:val="000000"/>
                <w:sz w:val="6"/>
              </w:rPr>
            </w:pPr>
          </w:p>
        </w:tc>
      </w:tr>
    </w:tbl>
    <w:p w14:paraId="2D602A63" w14:textId="77777777" w:rsidR="00A77B3E" w:rsidRDefault="00A77B3E">
      <w:pPr>
        <w:spacing w:before="5pt"/>
        <w:rPr>
          <w:color w:val="000000"/>
        </w:rPr>
      </w:pPr>
    </w:p>
    <w:p w14:paraId="5D46ECEF" w14:textId="77777777" w:rsidR="00A77B3E" w:rsidRDefault="00B16CCF">
      <w:pPr>
        <w:pStyle w:val="Naslov5"/>
        <w:spacing w:before="5pt" w:after="0pt"/>
        <w:rPr>
          <w:b w:val="0"/>
          <w:i w:val="0"/>
          <w:color w:val="000000"/>
          <w:sz w:val="24"/>
        </w:rPr>
      </w:pPr>
      <w:bookmarkStart w:id="514" w:name="_Toc256001275"/>
      <w:r>
        <w:rPr>
          <w:b w:val="0"/>
          <w:i w:val="0"/>
          <w:color w:val="000000"/>
          <w:sz w:val="24"/>
        </w:rPr>
        <w:t>Načrtovana uporaba finančnih instrumentov – člen 22(3)(d)(vii) uredbe o skupnih določbah</w:t>
      </w:r>
      <w:bookmarkEnd w:id="514"/>
    </w:p>
    <w:p w14:paraId="04FC65E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73F93B52"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DE9AB9" w14:textId="77777777" w:rsidR="00A77B3E" w:rsidRDefault="00A77B3E">
            <w:pPr>
              <w:spacing w:before="5pt"/>
              <w:rPr>
                <w:color w:val="000000"/>
                <w:sz w:val="0"/>
              </w:rPr>
            </w:pPr>
          </w:p>
          <w:p w14:paraId="33E28772" w14:textId="77777777" w:rsidR="00A77B3E" w:rsidRDefault="00B16CCF">
            <w:pPr>
              <w:spacing w:before="5pt"/>
              <w:rPr>
                <w:color w:val="000000"/>
              </w:rPr>
            </w:pPr>
            <w:r>
              <w:rPr>
                <w:color w:val="000000"/>
              </w:rPr>
              <w:t xml:space="preserve">Predvidena je uporaba nepovratnih virov. V okviru predmetnega specifičnega cilja uporaba finančnih instrumentov v skladu z izsledki analize Predhodnih ocen potreb trga in vrzeli financiranja na trgu za izvajanje finančnih instrumentov v programskem obdobju 2021-2027 (julij 2022) ni predvidena. Predlagani ukrepi ne ustvarjajo prihodkov oziroma prihrankov, zaradi česar uporaba finančnih instrumentov ni smiselna oziroma ustrezna. </w:t>
            </w:r>
          </w:p>
          <w:p w14:paraId="1472EAE5" w14:textId="77777777" w:rsidR="00A77B3E" w:rsidRDefault="00A77B3E">
            <w:pPr>
              <w:spacing w:before="5pt"/>
              <w:rPr>
                <w:color w:val="000000"/>
                <w:sz w:val="6"/>
              </w:rPr>
            </w:pPr>
          </w:p>
          <w:p w14:paraId="17AA1BCD" w14:textId="77777777" w:rsidR="00A77B3E" w:rsidRDefault="00A77B3E">
            <w:pPr>
              <w:spacing w:before="5pt"/>
              <w:rPr>
                <w:color w:val="000000"/>
                <w:sz w:val="6"/>
              </w:rPr>
            </w:pPr>
          </w:p>
        </w:tc>
      </w:tr>
    </w:tbl>
    <w:p w14:paraId="3B65AD4E" w14:textId="77777777" w:rsidR="00A77B3E" w:rsidRDefault="00A77B3E">
      <w:pPr>
        <w:spacing w:before="5pt"/>
        <w:rPr>
          <w:color w:val="000000"/>
        </w:rPr>
      </w:pPr>
    </w:p>
    <w:p w14:paraId="46B64E32" w14:textId="77777777" w:rsidR="00A77B3E" w:rsidRDefault="00B16CCF">
      <w:pPr>
        <w:pStyle w:val="Naslov4"/>
        <w:spacing w:before="5pt" w:after="0pt"/>
        <w:rPr>
          <w:b w:val="0"/>
          <w:color w:val="000000"/>
          <w:sz w:val="24"/>
        </w:rPr>
      </w:pPr>
      <w:bookmarkStart w:id="515" w:name="_Toc256001276"/>
      <w:r>
        <w:rPr>
          <w:b w:val="0"/>
          <w:color w:val="000000"/>
          <w:sz w:val="24"/>
        </w:rPr>
        <w:t>2.1.1.1.2. Kazalniki</w:t>
      </w:r>
      <w:bookmarkEnd w:id="515"/>
    </w:p>
    <w:p w14:paraId="5AE2AB3B" w14:textId="77777777" w:rsidR="00A77B3E" w:rsidRDefault="00A77B3E">
      <w:pPr>
        <w:spacing w:before="5pt"/>
        <w:rPr>
          <w:color w:val="000000"/>
          <w:sz w:val="0"/>
        </w:rPr>
      </w:pPr>
    </w:p>
    <w:p w14:paraId="44CFD2D2" w14:textId="77777777" w:rsidR="00A77B3E" w:rsidRDefault="00B16CCF">
      <w:pPr>
        <w:spacing w:before="5pt"/>
        <w:rPr>
          <w:color w:val="000000"/>
          <w:sz w:val="0"/>
        </w:rPr>
      </w:pPr>
      <w:r>
        <w:rPr>
          <w:color w:val="000000"/>
        </w:rPr>
        <w:t>Sklic: člen 22(3)(d)(ii) uredbe o skupnih določbah in člen 8 uredbe o ESRR in Kohezijskem skladu</w:t>
      </w:r>
    </w:p>
    <w:p w14:paraId="73D79AB4" w14:textId="77777777" w:rsidR="00A77B3E" w:rsidRDefault="00B16CCF">
      <w:pPr>
        <w:pStyle w:val="Naslov5"/>
        <w:spacing w:before="5pt" w:after="0pt"/>
        <w:rPr>
          <w:b w:val="0"/>
          <w:i w:val="0"/>
          <w:color w:val="000000"/>
          <w:sz w:val="24"/>
        </w:rPr>
      </w:pPr>
      <w:bookmarkStart w:id="516" w:name="_Toc256001277"/>
      <w:r>
        <w:rPr>
          <w:b w:val="0"/>
          <w:i w:val="0"/>
          <w:color w:val="000000"/>
          <w:sz w:val="24"/>
        </w:rPr>
        <w:t>Tabela 2: Kazalniki učinka</w:t>
      </w:r>
      <w:bookmarkEnd w:id="516"/>
    </w:p>
    <w:p w14:paraId="3156D21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981"/>
        <w:gridCol w:w="1828"/>
        <w:gridCol w:w="1219"/>
        <w:gridCol w:w="1895"/>
        <w:gridCol w:w="2199"/>
        <w:gridCol w:w="1981"/>
        <w:gridCol w:w="1414"/>
        <w:gridCol w:w="1371"/>
        <w:gridCol w:w="1284"/>
      </w:tblGrid>
      <w:tr w:rsidR="00823317" w14:paraId="3D3A8E4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C7A3EF"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E8FC44"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227AAC"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C8D448"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847FAF"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2338E2"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4A2DEA"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D02E92" w14:textId="77777777" w:rsidR="00A77B3E" w:rsidRDefault="00B16CCF">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97523B" w14:textId="77777777" w:rsidR="00A77B3E" w:rsidRDefault="00B16CCF">
            <w:pPr>
              <w:spacing w:before="5pt"/>
              <w:jc w:val="center"/>
              <w:rPr>
                <w:color w:val="000000"/>
                <w:sz w:val="20"/>
              </w:rPr>
            </w:pPr>
            <w:r>
              <w:rPr>
                <w:color w:val="000000"/>
                <w:sz w:val="20"/>
              </w:rPr>
              <w:t>Cilj (2029)</w:t>
            </w:r>
          </w:p>
        </w:tc>
      </w:tr>
      <w:tr w:rsidR="00823317" w14:paraId="4101689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721D55"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DBF4EF" w14:textId="77777777" w:rsidR="00A77B3E" w:rsidRDefault="00B16CCF">
            <w:pPr>
              <w:spacing w:before="5pt"/>
              <w:rPr>
                <w:color w:val="000000"/>
                <w:sz w:val="20"/>
              </w:rPr>
            </w:pPr>
            <w:r>
              <w:rPr>
                <w:color w:val="000000"/>
                <w:sz w:val="20"/>
              </w:rPr>
              <w:t>RSO4.3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50515C"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4E1CC6"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B2B669" w14:textId="77777777" w:rsidR="00A77B3E" w:rsidRDefault="00B16CCF">
            <w:pPr>
              <w:spacing w:before="5pt"/>
              <w:rPr>
                <w:color w:val="000000"/>
                <w:sz w:val="20"/>
              </w:rPr>
            </w:pPr>
            <w:r>
              <w:rPr>
                <w:color w:val="000000"/>
                <w:sz w:val="20"/>
              </w:rPr>
              <w:t>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0CDC38" w14:textId="77777777" w:rsidR="00A77B3E" w:rsidRDefault="00B16CCF">
            <w:pPr>
              <w:spacing w:before="5pt"/>
              <w:rPr>
                <w:color w:val="000000"/>
                <w:sz w:val="20"/>
              </w:rPr>
            </w:pPr>
            <w:r>
              <w:rPr>
                <w:color w:val="000000"/>
                <w:sz w:val="20"/>
              </w:rPr>
              <w:t>Število enot, v katere bo investirano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6936C5" w14:textId="77777777" w:rsidR="00A77B3E" w:rsidRDefault="00B16CCF">
            <w:pPr>
              <w:spacing w:before="5pt"/>
              <w:rPr>
                <w:color w:val="000000"/>
                <w:sz w:val="20"/>
              </w:rPr>
            </w:pPr>
            <w:r>
              <w:rPr>
                <w:color w:val="000000"/>
                <w:sz w:val="20"/>
              </w:rPr>
              <w:t>število enot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670906"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D1DC68" w14:textId="77777777" w:rsidR="00A77B3E" w:rsidRDefault="00B16CCF">
            <w:pPr>
              <w:spacing w:before="5pt"/>
              <w:jc w:val="end"/>
              <w:rPr>
                <w:color w:val="000000"/>
                <w:sz w:val="20"/>
              </w:rPr>
            </w:pPr>
            <w:r>
              <w:rPr>
                <w:color w:val="000000"/>
                <w:sz w:val="20"/>
              </w:rPr>
              <w:t>18,00</w:t>
            </w:r>
          </w:p>
        </w:tc>
      </w:tr>
    </w:tbl>
    <w:p w14:paraId="6E15FE0F" w14:textId="77777777" w:rsidR="00A77B3E" w:rsidRDefault="00A77B3E">
      <w:pPr>
        <w:spacing w:before="5pt"/>
        <w:rPr>
          <w:color w:val="000000"/>
          <w:sz w:val="20"/>
        </w:rPr>
      </w:pPr>
    </w:p>
    <w:p w14:paraId="5CC06ECC" w14:textId="77777777" w:rsidR="00A77B3E" w:rsidRDefault="00B16CCF">
      <w:pPr>
        <w:spacing w:before="5pt"/>
        <w:rPr>
          <w:color w:val="000000"/>
          <w:sz w:val="0"/>
        </w:rPr>
      </w:pPr>
      <w:r>
        <w:rPr>
          <w:color w:val="000000"/>
        </w:rPr>
        <w:t>Sklic: člen 22(3)(d)(ii) uredbe o skupnih določbah</w:t>
      </w:r>
    </w:p>
    <w:p w14:paraId="5D6770EF" w14:textId="77777777" w:rsidR="00A77B3E" w:rsidRDefault="00B16CCF">
      <w:pPr>
        <w:pStyle w:val="Naslov5"/>
        <w:spacing w:before="5pt" w:after="0pt"/>
        <w:rPr>
          <w:b w:val="0"/>
          <w:i w:val="0"/>
          <w:color w:val="000000"/>
          <w:sz w:val="24"/>
        </w:rPr>
      </w:pPr>
      <w:bookmarkStart w:id="517" w:name="_Toc256001278"/>
      <w:r>
        <w:rPr>
          <w:b w:val="0"/>
          <w:i w:val="0"/>
          <w:color w:val="000000"/>
          <w:sz w:val="24"/>
        </w:rPr>
        <w:t>Tabela 3: Kazalniki rezultatov</w:t>
      </w:r>
      <w:bookmarkEnd w:id="517"/>
    </w:p>
    <w:p w14:paraId="64645F1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08"/>
        <w:gridCol w:w="1208"/>
        <w:gridCol w:w="805"/>
        <w:gridCol w:w="1252"/>
        <w:gridCol w:w="1453"/>
        <w:gridCol w:w="1467"/>
        <w:gridCol w:w="1467"/>
        <w:gridCol w:w="1280"/>
        <w:gridCol w:w="1352"/>
        <w:gridCol w:w="1064"/>
        <w:gridCol w:w="1467"/>
        <w:gridCol w:w="1049"/>
      </w:tblGrid>
      <w:tr w:rsidR="00823317" w14:paraId="035BF57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A095CC"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09FA5E7"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AC4CE3"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0E5C43"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F627DD"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644BF5"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C2EDD0"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2A2F7B" w14:textId="77777777" w:rsidR="00A77B3E" w:rsidRDefault="00B16CCF">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6C899A" w14:textId="77777777" w:rsidR="00A77B3E" w:rsidRDefault="00B16CCF">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E7C5F8" w14:textId="77777777" w:rsidR="00A77B3E" w:rsidRDefault="00B16CCF">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A27995" w14:textId="77777777" w:rsidR="00A77B3E" w:rsidRDefault="00B16CCF">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1F35B2" w14:textId="77777777" w:rsidR="00A77B3E" w:rsidRDefault="00B16CCF">
            <w:pPr>
              <w:spacing w:before="5pt"/>
              <w:jc w:val="center"/>
              <w:rPr>
                <w:color w:val="000000"/>
                <w:sz w:val="20"/>
              </w:rPr>
            </w:pPr>
            <w:r>
              <w:rPr>
                <w:color w:val="000000"/>
                <w:sz w:val="20"/>
              </w:rPr>
              <w:t>Opombe</w:t>
            </w:r>
          </w:p>
        </w:tc>
      </w:tr>
      <w:tr w:rsidR="00823317" w14:paraId="743C7E0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E38241"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08FD23" w14:textId="77777777" w:rsidR="00A77B3E" w:rsidRDefault="00B16CCF">
            <w:pPr>
              <w:spacing w:before="5pt"/>
              <w:rPr>
                <w:color w:val="000000"/>
                <w:sz w:val="20"/>
              </w:rPr>
            </w:pPr>
            <w:r>
              <w:rPr>
                <w:color w:val="000000"/>
                <w:sz w:val="20"/>
              </w:rPr>
              <w:t>RSO4.3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E3F590"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508AF2"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EF6D02" w14:textId="77777777" w:rsidR="00A77B3E" w:rsidRDefault="00B16CCF">
            <w:pPr>
              <w:spacing w:before="5pt"/>
              <w:rPr>
                <w:color w:val="000000"/>
                <w:sz w:val="20"/>
              </w:rPr>
            </w:pPr>
            <w:r>
              <w:rPr>
                <w:color w:val="000000"/>
                <w:sz w:val="20"/>
              </w:rPr>
              <w:t>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35D2BF" w14:textId="77777777" w:rsidR="00A77B3E" w:rsidRDefault="00B16CCF">
            <w:pPr>
              <w:spacing w:before="5pt"/>
              <w:rPr>
                <w:color w:val="000000"/>
                <w:sz w:val="20"/>
              </w:rPr>
            </w:pPr>
            <w:r>
              <w:rPr>
                <w:color w:val="000000"/>
                <w:sz w:val="20"/>
              </w:rPr>
              <w:t>Število uporabnikov na leto, ki uporabljajo nove enote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E2CE52" w14:textId="77777777" w:rsidR="00A77B3E" w:rsidRDefault="00B16CCF">
            <w:pPr>
              <w:spacing w:before="5pt"/>
              <w:rPr>
                <w:color w:val="000000"/>
                <w:sz w:val="20"/>
              </w:rPr>
            </w:pPr>
            <w:r>
              <w:rPr>
                <w:color w:val="000000"/>
                <w:sz w:val="20"/>
              </w:rPr>
              <w:t>število uporabnikov na leto, ki uporabljajo nove enote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11C69A"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FCDF3D" w14:textId="77777777" w:rsidR="00A77B3E" w:rsidRDefault="00B16CCF">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0CD0C0" w14:textId="77777777" w:rsidR="00A77B3E" w:rsidRDefault="00B16CCF">
            <w:pPr>
              <w:spacing w:before="5pt"/>
              <w:jc w:val="end"/>
              <w:rPr>
                <w:color w:val="000000"/>
                <w:sz w:val="20"/>
              </w:rPr>
            </w:pPr>
            <w:r>
              <w:rPr>
                <w:color w:val="000000"/>
                <w:sz w:val="20"/>
              </w:rPr>
              <w:t>2.178,00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B101F6" w14:textId="77777777" w:rsidR="00A77B3E" w:rsidRDefault="00B16CCF">
            <w:pPr>
              <w:spacing w:before="5pt"/>
              <w:rPr>
                <w:color w:val="000000"/>
                <w:sz w:val="20"/>
              </w:rPr>
            </w:pPr>
            <w:r>
              <w:rPr>
                <w:color w:val="000000"/>
                <w:sz w:val="20"/>
              </w:rPr>
              <w:t>Upravičenec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A4F44A" w14:textId="77777777" w:rsidR="00A77B3E" w:rsidRDefault="00A77B3E">
            <w:pPr>
              <w:spacing w:before="5pt"/>
              <w:rPr>
                <w:color w:val="000000"/>
                <w:sz w:val="20"/>
              </w:rPr>
            </w:pPr>
          </w:p>
        </w:tc>
      </w:tr>
    </w:tbl>
    <w:p w14:paraId="4FBB5610" w14:textId="77777777" w:rsidR="00A77B3E" w:rsidRDefault="00A77B3E">
      <w:pPr>
        <w:spacing w:before="5pt"/>
        <w:rPr>
          <w:color w:val="000000"/>
          <w:sz w:val="20"/>
        </w:rPr>
      </w:pPr>
    </w:p>
    <w:p w14:paraId="60E19254" w14:textId="77777777" w:rsidR="00A77B3E" w:rsidRDefault="00B16CCF">
      <w:pPr>
        <w:pStyle w:val="Naslov4"/>
        <w:spacing w:before="5pt" w:after="0pt"/>
        <w:rPr>
          <w:b w:val="0"/>
          <w:color w:val="000000"/>
          <w:sz w:val="24"/>
        </w:rPr>
      </w:pPr>
      <w:bookmarkStart w:id="518" w:name="_Toc256001279"/>
      <w:r>
        <w:rPr>
          <w:b w:val="0"/>
          <w:color w:val="000000"/>
          <w:sz w:val="24"/>
        </w:rPr>
        <w:t>2.1.1.1.3. Okvirna razčlenitev načrtovanih sredstev (EU) glede na vrsto ukrepa</w:t>
      </w:r>
      <w:bookmarkEnd w:id="518"/>
    </w:p>
    <w:p w14:paraId="48B79DA5" w14:textId="77777777" w:rsidR="00A77B3E" w:rsidRDefault="00A77B3E">
      <w:pPr>
        <w:spacing w:before="5pt"/>
        <w:rPr>
          <w:color w:val="000000"/>
          <w:sz w:val="0"/>
        </w:rPr>
      </w:pPr>
    </w:p>
    <w:p w14:paraId="4727A9D1" w14:textId="77777777" w:rsidR="00A77B3E" w:rsidRDefault="00B16CCF">
      <w:pPr>
        <w:spacing w:before="5pt"/>
        <w:rPr>
          <w:color w:val="000000"/>
          <w:sz w:val="0"/>
        </w:rPr>
      </w:pPr>
      <w:r>
        <w:rPr>
          <w:color w:val="000000"/>
        </w:rPr>
        <w:t>Sklic: člen 22(3)(d)(viii) uredbe o skupnih določbah</w:t>
      </w:r>
    </w:p>
    <w:p w14:paraId="57AA9FD3" w14:textId="77777777" w:rsidR="00A77B3E" w:rsidRDefault="00B16CCF">
      <w:pPr>
        <w:pStyle w:val="Naslov5"/>
        <w:spacing w:before="5pt" w:after="0pt"/>
        <w:rPr>
          <w:b w:val="0"/>
          <w:i w:val="0"/>
          <w:color w:val="000000"/>
          <w:sz w:val="24"/>
        </w:rPr>
      </w:pPr>
      <w:bookmarkStart w:id="519" w:name="_Toc256001280"/>
      <w:r>
        <w:rPr>
          <w:b w:val="0"/>
          <w:i w:val="0"/>
          <w:color w:val="000000"/>
          <w:sz w:val="24"/>
        </w:rPr>
        <w:t>Tabela 4: Razsežnost 1 – področje ukrepanja</w:t>
      </w:r>
      <w:bookmarkEnd w:id="519"/>
    </w:p>
    <w:p w14:paraId="47C246E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47"/>
        <w:gridCol w:w="2350"/>
        <w:gridCol w:w="1707"/>
        <w:gridCol w:w="2436"/>
        <w:gridCol w:w="3178"/>
        <w:gridCol w:w="2954"/>
      </w:tblGrid>
      <w:tr w:rsidR="00823317" w14:paraId="200DCB4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260ECB"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12282F"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9C73E2"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A1689A8"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ABC2BA"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5A4B77" w14:textId="77777777" w:rsidR="00A77B3E" w:rsidRDefault="00B16CCF">
            <w:pPr>
              <w:spacing w:before="5pt"/>
              <w:jc w:val="center"/>
              <w:rPr>
                <w:color w:val="000000"/>
                <w:sz w:val="20"/>
              </w:rPr>
            </w:pPr>
            <w:r>
              <w:rPr>
                <w:color w:val="000000"/>
                <w:sz w:val="20"/>
              </w:rPr>
              <w:t>Znesek (v EUR)</w:t>
            </w:r>
          </w:p>
        </w:tc>
      </w:tr>
      <w:tr w:rsidR="00823317" w14:paraId="1469409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3D3638"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55D5BD" w14:textId="77777777" w:rsidR="00A77B3E" w:rsidRDefault="00B16CCF">
            <w:pPr>
              <w:spacing w:before="5pt"/>
              <w:rPr>
                <w:color w:val="000000"/>
                <w:sz w:val="20"/>
              </w:rPr>
            </w:pPr>
            <w:r>
              <w:rPr>
                <w:color w:val="000000"/>
                <w:sz w:val="20"/>
              </w:rPr>
              <w:t>RSO4.3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F593DE"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368E2D"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F94F27" w14:textId="77777777" w:rsidR="00A77B3E" w:rsidRDefault="00B16CCF">
            <w:pPr>
              <w:spacing w:before="5pt"/>
              <w:rPr>
                <w:color w:val="000000"/>
                <w:sz w:val="20"/>
              </w:rPr>
            </w:pPr>
            <w:r>
              <w:rPr>
                <w:color w:val="000000"/>
                <w:sz w:val="20"/>
              </w:rPr>
              <w:t>127. Druga socialna infrastruktura, ki prispeva k socialnemu vključevanju v skupnost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5E8036" w14:textId="77777777" w:rsidR="00A77B3E" w:rsidRDefault="00B16CCF">
            <w:pPr>
              <w:spacing w:before="5pt"/>
              <w:jc w:val="end"/>
              <w:rPr>
                <w:color w:val="000000"/>
                <w:sz w:val="20"/>
              </w:rPr>
            </w:pPr>
            <w:r>
              <w:rPr>
                <w:color w:val="000000"/>
                <w:sz w:val="20"/>
              </w:rPr>
              <w:t>7.839.700,00</w:t>
            </w:r>
          </w:p>
        </w:tc>
      </w:tr>
      <w:tr w:rsidR="00823317" w14:paraId="5C2D2D2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E03B80"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575206" w14:textId="77777777" w:rsidR="00A77B3E" w:rsidRDefault="00B16CCF">
            <w:pPr>
              <w:spacing w:before="5pt"/>
              <w:rPr>
                <w:color w:val="000000"/>
                <w:sz w:val="20"/>
              </w:rPr>
            </w:pPr>
            <w:r>
              <w:rPr>
                <w:color w:val="000000"/>
                <w:sz w:val="20"/>
              </w:rPr>
              <w:t>RSO4.3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F296AF"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8B7DA2"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5F8353"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3DC7F8" w14:textId="77777777" w:rsidR="00A77B3E" w:rsidRDefault="00B16CCF">
            <w:pPr>
              <w:spacing w:before="5pt"/>
              <w:jc w:val="end"/>
              <w:rPr>
                <w:color w:val="000000"/>
                <w:sz w:val="20"/>
              </w:rPr>
            </w:pPr>
            <w:r>
              <w:rPr>
                <w:color w:val="000000"/>
                <w:sz w:val="20"/>
              </w:rPr>
              <w:t>7.839.700,00</w:t>
            </w:r>
          </w:p>
        </w:tc>
      </w:tr>
    </w:tbl>
    <w:p w14:paraId="4C2992D2" w14:textId="77777777" w:rsidR="00A77B3E" w:rsidRDefault="00A77B3E">
      <w:pPr>
        <w:spacing w:before="5pt"/>
        <w:rPr>
          <w:color w:val="000000"/>
          <w:sz w:val="20"/>
        </w:rPr>
      </w:pPr>
    </w:p>
    <w:p w14:paraId="71F26CD6" w14:textId="77777777" w:rsidR="00A77B3E" w:rsidRDefault="00B16CCF">
      <w:pPr>
        <w:pStyle w:val="Naslov5"/>
        <w:spacing w:before="5pt" w:after="0pt"/>
        <w:rPr>
          <w:b w:val="0"/>
          <w:i w:val="0"/>
          <w:color w:val="000000"/>
          <w:sz w:val="24"/>
        </w:rPr>
      </w:pPr>
      <w:bookmarkStart w:id="520" w:name="_Toc256001281"/>
      <w:r>
        <w:rPr>
          <w:b w:val="0"/>
          <w:i w:val="0"/>
          <w:color w:val="000000"/>
          <w:sz w:val="24"/>
        </w:rPr>
        <w:t>Tabela 5: Razsežnost 2 – oblika financiranja</w:t>
      </w:r>
      <w:bookmarkEnd w:id="520"/>
    </w:p>
    <w:p w14:paraId="7C4632D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37"/>
        <w:gridCol w:w="2434"/>
        <w:gridCol w:w="1767"/>
        <w:gridCol w:w="2523"/>
        <w:gridCol w:w="2753"/>
        <w:gridCol w:w="3058"/>
      </w:tblGrid>
      <w:tr w:rsidR="00823317" w14:paraId="1812BD2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187D7A"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928D68"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47B1B1"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787DC9"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7E617C"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86EA73E" w14:textId="77777777" w:rsidR="00A77B3E" w:rsidRDefault="00B16CCF">
            <w:pPr>
              <w:spacing w:before="5pt"/>
              <w:jc w:val="center"/>
              <w:rPr>
                <w:color w:val="000000"/>
                <w:sz w:val="20"/>
              </w:rPr>
            </w:pPr>
            <w:r>
              <w:rPr>
                <w:color w:val="000000"/>
                <w:sz w:val="20"/>
              </w:rPr>
              <w:t>Znesek (v EUR)</w:t>
            </w:r>
          </w:p>
        </w:tc>
      </w:tr>
      <w:tr w:rsidR="00823317" w14:paraId="78640EE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EF73E3"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3D8276" w14:textId="77777777" w:rsidR="00A77B3E" w:rsidRDefault="00B16CCF">
            <w:pPr>
              <w:spacing w:before="5pt"/>
              <w:rPr>
                <w:color w:val="000000"/>
                <w:sz w:val="20"/>
              </w:rPr>
            </w:pPr>
            <w:r>
              <w:rPr>
                <w:color w:val="000000"/>
                <w:sz w:val="20"/>
              </w:rPr>
              <w:t>RSO4.3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C2CF25"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919608"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3597B5" w14:textId="77777777" w:rsidR="00A77B3E" w:rsidRDefault="00B16CCF">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09DCB0" w14:textId="77777777" w:rsidR="00A77B3E" w:rsidRDefault="00B16CCF">
            <w:pPr>
              <w:spacing w:before="5pt"/>
              <w:jc w:val="end"/>
              <w:rPr>
                <w:color w:val="000000"/>
                <w:sz w:val="20"/>
              </w:rPr>
            </w:pPr>
            <w:r>
              <w:rPr>
                <w:color w:val="000000"/>
                <w:sz w:val="20"/>
              </w:rPr>
              <w:t>7.839.700,00</w:t>
            </w:r>
          </w:p>
        </w:tc>
      </w:tr>
      <w:tr w:rsidR="00823317" w14:paraId="2D4F6DF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9D5C69"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EEF88A" w14:textId="77777777" w:rsidR="00A77B3E" w:rsidRDefault="00B16CCF">
            <w:pPr>
              <w:spacing w:before="5pt"/>
              <w:rPr>
                <w:color w:val="000000"/>
                <w:sz w:val="20"/>
              </w:rPr>
            </w:pPr>
            <w:r>
              <w:rPr>
                <w:color w:val="000000"/>
                <w:sz w:val="20"/>
              </w:rPr>
              <w:t>RSO4.3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C1C283"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500984"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89AC0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9A30CF" w14:textId="77777777" w:rsidR="00A77B3E" w:rsidRDefault="00B16CCF">
            <w:pPr>
              <w:spacing w:before="5pt"/>
              <w:jc w:val="end"/>
              <w:rPr>
                <w:color w:val="000000"/>
                <w:sz w:val="20"/>
              </w:rPr>
            </w:pPr>
            <w:r>
              <w:rPr>
                <w:color w:val="000000"/>
                <w:sz w:val="20"/>
              </w:rPr>
              <w:t>7.839.700,00</w:t>
            </w:r>
          </w:p>
        </w:tc>
      </w:tr>
    </w:tbl>
    <w:p w14:paraId="5B3B2EE4" w14:textId="77777777" w:rsidR="00A77B3E" w:rsidRDefault="00A77B3E">
      <w:pPr>
        <w:spacing w:before="5pt"/>
        <w:rPr>
          <w:color w:val="000000"/>
          <w:sz w:val="20"/>
        </w:rPr>
      </w:pPr>
    </w:p>
    <w:p w14:paraId="0882D293" w14:textId="77777777" w:rsidR="00A77B3E" w:rsidRDefault="00B16CCF">
      <w:pPr>
        <w:pStyle w:val="Naslov5"/>
        <w:spacing w:before="5pt" w:after="0pt"/>
        <w:rPr>
          <w:b w:val="0"/>
          <w:i w:val="0"/>
          <w:color w:val="000000"/>
          <w:sz w:val="24"/>
        </w:rPr>
      </w:pPr>
      <w:bookmarkStart w:id="521" w:name="_Toc256001282"/>
      <w:r>
        <w:rPr>
          <w:b w:val="0"/>
          <w:i w:val="0"/>
          <w:color w:val="000000"/>
          <w:sz w:val="24"/>
        </w:rPr>
        <w:t>Tabela 6: Razsežnost 3 – mehanizem za ozemeljsko izvrševanje in ozemeljski pristop</w:t>
      </w:r>
      <w:bookmarkEnd w:id="521"/>
    </w:p>
    <w:p w14:paraId="1DD4FA8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68"/>
        <w:gridCol w:w="2370"/>
        <w:gridCol w:w="1721"/>
        <w:gridCol w:w="2457"/>
        <w:gridCol w:w="3078"/>
        <w:gridCol w:w="2978"/>
      </w:tblGrid>
      <w:tr w:rsidR="00823317" w14:paraId="0BF7CB7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9C4F43"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9969A0"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75E004"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1FB878"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F4A437"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4CBCE8" w14:textId="77777777" w:rsidR="00A77B3E" w:rsidRDefault="00B16CCF">
            <w:pPr>
              <w:spacing w:before="5pt"/>
              <w:jc w:val="center"/>
              <w:rPr>
                <w:color w:val="000000"/>
                <w:sz w:val="20"/>
              </w:rPr>
            </w:pPr>
            <w:r>
              <w:rPr>
                <w:color w:val="000000"/>
                <w:sz w:val="20"/>
              </w:rPr>
              <w:t>Znesek (v EUR)</w:t>
            </w:r>
          </w:p>
        </w:tc>
      </w:tr>
      <w:tr w:rsidR="00823317" w14:paraId="70FAAD6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45CDD4"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F614EE" w14:textId="77777777" w:rsidR="00A77B3E" w:rsidRDefault="00B16CCF">
            <w:pPr>
              <w:spacing w:before="5pt"/>
              <w:rPr>
                <w:color w:val="000000"/>
                <w:sz w:val="20"/>
              </w:rPr>
            </w:pPr>
            <w:r>
              <w:rPr>
                <w:color w:val="000000"/>
                <w:sz w:val="20"/>
              </w:rPr>
              <w:t>RSO4.3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8DE346"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54D516"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7F92F8" w14:textId="77777777" w:rsidR="00A77B3E" w:rsidRDefault="00B16CCF">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361619" w14:textId="77777777" w:rsidR="00A77B3E" w:rsidRDefault="00B16CCF">
            <w:pPr>
              <w:spacing w:before="5pt"/>
              <w:jc w:val="end"/>
              <w:rPr>
                <w:color w:val="000000"/>
                <w:sz w:val="20"/>
              </w:rPr>
            </w:pPr>
            <w:r>
              <w:rPr>
                <w:color w:val="000000"/>
                <w:sz w:val="20"/>
              </w:rPr>
              <w:t>7.839.000,00</w:t>
            </w:r>
          </w:p>
        </w:tc>
      </w:tr>
      <w:tr w:rsidR="00823317" w14:paraId="7583AB2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DB06AF"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9C3F50" w14:textId="77777777" w:rsidR="00A77B3E" w:rsidRDefault="00B16CCF">
            <w:pPr>
              <w:spacing w:before="5pt"/>
              <w:rPr>
                <w:color w:val="000000"/>
                <w:sz w:val="20"/>
              </w:rPr>
            </w:pPr>
            <w:r>
              <w:rPr>
                <w:color w:val="000000"/>
                <w:sz w:val="20"/>
              </w:rPr>
              <w:t>RSO4.3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35D4CE"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31964F"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604CB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6CA1B0" w14:textId="77777777" w:rsidR="00A77B3E" w:rsidRDefault="00B16CCF">
            <w:pPr>
              <w:spacing w:before="5pt"/>
              <w:jc w:val="end"/>
              <w:rPr>
                <w:color w:val="000000"/>
                <w:sz w:val="20"/>
              </w:rPr>
            </w:pPr>
            <w:r>
              <w:rPr>
                <w:color w:val="000000"/>
                <w:sz w:val="20"/>
              </w:rPr>
              <w:t>7.839.000,00</w:t>
            </w:r>
          </w:p>
        </w:tc>
      </w:tr>
    </w:tbl>
    <w:p w14:paraId="574A3602" w14:textId="77777777" w:rsidR="00A77B3E" w:rsidRDefault="00A77B3E">
      <w:pPr>
        <w:spacing w:before="5pt"/>
        <w:rPr>
          <w:color w:val="000000"/>
          <w:sz w:val="20"/>
        </w:rPr>
      </w:pPr>
    </w:p>
    <w:p w14:paraId="5506DD24" w14:textId="77777777" w:rsidR="00A77B3E" w:rsidRDefault="00B16CCF">
      <w:pPr>
        <w:pStyle w:val="Naslov5"/>
        <w:spacing w:before="5pt" w:after="0pt"/>
        <w:rPr>
          <w:b w:val="0"/>
          <w:i w:val="0"/>
          <w:color w:val="000000"/>
          <w:sz w:val="24"/>
        </w:rPr>
      </w:pPr>
      <w:bookmarkStart w:id="522" w:name="_Toc256001283"/>
      <w:r>
        <w:rPr>
          <w:b w:val="0"/>
          <w:i w:val="0"/>
          <w:color w:val="000000"/>
          <w:sz w:val="24"/>
        </w:rPr>
        <w:t>Tabela 7: Razsežnost 6 – sekundarna področja ESS+</w:t>
      </w:r>
      <w:bookmarkEnd w:id="522"/>
    </w:p>
    <w:p w14:paraId="035E95E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117"/>
        <w:gridCol w:w="2877"/>
        <w:gridCol w:w="1780"/>
        <w:gridCol w:w="2982"/>
        <w:gridCol w:w="2259"/>
        <w:gridCol w:w="2157"/>
      </w:tblGrid>
      <w:tr w:rsidR="00823317" w14:paraId="3996294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AA9BDC"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2A1CF0"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A5111C"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8E248E"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1D3D11"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BC9B15" w14:textId="77777777" w:rsidR="00A77B3E" w:rsidRDefault="00B16CCF">
            <w:pPr>
              <w:spacing w:before="5pt"/>
              <w:jc w:val="center"/>
              <w:rPr>
                <w:color w:val="000000"/>
                <w:sz w:val="20"/>
              </w:rPr>
            </w:pPr>
            <w:r>
              <w:rPr>
                <w:color w:val="000000"/>
                <w:sz w:val="20"/>
              </w:rPr>
              <w:t>Znesek (v EUR)</w:t>
            </w:r>
          </w:p>
        </w:tc>
      </w:tr>
    </w:tbl>
    <w:p w14:paraId="50BB6369" w14:textId="77777777" w:rsidR="00A77B3E" w:rsidRDefault="00A77B3E">
      <w:pPr>
        <w:spacing w:before="5pt"/>
        <w:rPr>
          <w:color w:val="000000"/>
          <w:sz w:val="20"/>
        </w:rPr>
      </w:pPr>
    </w:p>
    <w:p w14:paraId="3FE19753" w14:textId="77777777" w:rsidR="00A77B3E" w:rsidRDefault="00B16CCF">
      <w:pPr>
        <w:pStyle w:val="Naslov5"/>
        <w:spacing w:before="5pt" w:after="0pt"/>
        <w:rPr>
          <w:b w:val="0"/>
          <w:i w:val="0"/>
          <w:color w:val="000000"/>
          <w:sz w:val="24"/>
        </w:rPr>
      </w:pPr>
      <w:bookmarkStart w:id="523" w:name="_Toc256001284"/>
      <w:r>
        <w:rPr>
          <w:b w:val="0"/>
          <w:i w:val="0"/>
          <w:color w:val="000000"/>
          <w:sz w:val="24"/>
        </w:rPr>
        <w:t>Tabela 8: Razsežnost 7 – razsežnost enakosti spolov v okviru ESS+*, ESRR, Kohezijskega sklada in SPP</w:t>
      </w:r>
      <w:bookmarkEnd w:id="523"/>
    </w:p>
    <w:p w14:paraId="4C771F5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57"/>
        <w:gridCol w:w="2452"/>
        <w:gridCol w:w="1781"/>
        <w:gridCol w:w="2542"/>
        <w:gridCol w:w="2658"/>
        <w:gridCol w:w="3082"/>
      </w:tblGrid>
      <w:tr w:rsidR="00823317" w14:paraId="138BCEE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FB5FA6"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911882"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65E55A"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1C9B63"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382222C"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65B98C" w14:textId="77777777" w:rsidR="00A77B3E" w:rsidRDefault="00B16CCF">
            <w:pPr>
              <w:spacing w:before="5pt"/>
              <w:jc w:val="center"/>
              <w:rPr>
                <w:color w:val="000000"/>
                <w:sz w:val="20"/>
              </w:rPr>
            </w:pPr>
            <w:r>
              <w:rPr>
                <w:color w:val="000000"/>
                <w:sz w:val="20"/>
              </w:rPr>
              <w:t>Znesek (v EUR)</w:t>
            </w:r>
          </w:p>
        </w:tc>
      </w:tr>
      <w:tr w:rsidR="00823317" w14:paraId="5E1D091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8C6F38" w14:textId="77777777" w:rsidR="00A77B3E" w:rsidRDefault="00B16CCF">
            <w:pPr>
              <w:spacing w:before="5pt"/>
              <w:rPr>
                <w:color w:val="000000"/>
                <w:sz w:val="20"/>
              </w:rPr>
            </w:pPr>
            <w:r>
              <w:rPr>
                <w:color w:val="000000"/>
                <w:sz w:val="20"/>
              </w:rPr>
              <w:lastRenderedPageBreak/>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93B440" w14:textId="77777777" w:rsidR="00A77B3E" w:rsidRDefault="00B16CCF">
            <w:pPr>
              <w:spacing w:before="5pt"/>
              <w:rPr>
                <w:color w:val="000000"/>
                <w:sz w:val="20"/>
              </w:rPr>
            </w:pPr>
            <w:r>
              <w:rPr>
                <w:color w:val="000000"/>
                <w:sz w:val="20"/>
              </w:rPr>
              <w:t>RSO4.3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76CD4B"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AEB27A"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01D24E" w14:textId="77777777" w:rsidR="00A77B3E" w:rsidRDefault="00B16CCF">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EDC7F7" w14:textId="77777777" w:rsidR="00A77B3E" w:rsidRDefault="00B16CCF">
            <w:pPr>
              <w:spacing w:before="5pt"/>
              <w:jc w:val="end"/>
              <w:rPr>
                <w:color w:val="000000"/>
                <w:sz w:val="20"/>
              </w:rPr>
            </w:pPr>
            <w:r>
              <w:rPr>
                <w:color w:val="000000"/>
                <w:sz w:val="20"/>
              </w:rPr>
              <w:t>7.839.700,00</w:t>
            </w:r>
          </w:p>
        </w:tc>
      </w:tr>
      <w:tr w:rsidR="00823317" w14:paraId="1721DBA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F2F108"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15776D" w14:textId="77777777" w:rsidR="00A77B3E" w:rsidRDefault="00B16CCF">
            <w:pPr>
              <w:spacing w:before="5pt"/>
              <w:rPr>
                <w:color w:val="000000"/>
                <w:sz w:val="20"/>
              </w:rPr>
            </w:pPr>
            <w:r>
              <w:rPr>
                <w:color w:val="000000"/>
                <w:sz w:val="20"/>
              </w:rPr>
              <w:t>RSO4.3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93814A"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D3D4EA"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9BF777"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715DA3" w14:textId="77777777" w:rsidR="00A77B3E" w:rsidRDefault="00B16CCF">
            <w:pPr>
              <w:spacing w:before="5pt"/>
              <w:jc w:val="end"/>
              <w:rPr>
                <w:color w:val="000000"/>
                <w:sz w:val="20"/>
              </w:rPr>
            </w:pPr>
            <w:r>
              <w:rPr>
                <w:color w:val="000000"/>
                <w:sz w:val="20"/>
              </w:rPr>
              <w:t>7.839.700,00</w:t>
            </w:r>
          </w:p>
        </w:tc>
      </w:tr>
    </w:tbl>
    <w:p w14:paraId="08F57529" w14:textId="77777777" w:rsidR="00A77B3E" w:rsidRDefault="00B16CCF">
      <w:pPr>
        <w:spacing w:before="5pt"/>
        <w:rPr>
          <w:color w:val="000000"/>
          <w:sz w:val="20"/>
        </w:rPr>
      </w:pPr>
      <w:r>
        <w:rPr>
          <w:color w:val="000000"/>
          <w:sz w:val="20"/>
        </w:rPr>
        <w:t>* Načeloma 40 % za ESS+ prispeva k spremljanju enakosti spolov. 100 % se uporabi, kadar se država članica odloči za uporabo člena 6 uredbe o ESS+.</w:t>
      </w:r>
    </w:p>
    <w:p w14:paraId="4B9C5C4B" w14:textId="77777777" w:rsidR="00A77B3E" w:rsidRDefault="00B16CCF">
      <w:pPr>
        <w:pStyle w:val="Naslov4"/>
        <w:spacing w:before="5pt" w:after="0pt"/>
        <w:rPr>
          <w:b w:val="0"/>
          <w:color w:val="000000"/>
          <w:sz w:val="24"/>
        </w:rPr>
      </w:pPr>
      <w:r>
        <w:rPr>
          <w:b w:val="0"/>
          <w:color w:val="000000"/>
          <w:sz w:val="24"/>
        </w:rPr>
        <w:br w:type="page"/>
      </w:r>
      <w:bookmarkStart w:id="524" w:name="_Toc256001285"/>
      <w:r>
        <w:rPr>
          <w:b w:val="0"/>
          <w:color w:val="000000"/>
          <w:sz w:val="24"/>
        </w:rPr>
        <w:lastRenderedPageBreak/>
        <w:t>2.1.1.1. Specifični cilj: RSO4.5. Zagotavljanje enakega dostopa do zdravstvenega varstva in krepitev odpornosti zdravstvenih sistemov, vključno z osnovnim zdravstvenim varstvom, ter spodbujanje prehoda z institucionalne oskrbe na oskrbo v družini in skupnosti (ESRR)</w:t>
      </w:r>
      <w:bookmarkEnd w:id="524"/>
    </w:p>
    <w:p w14:paraId="488D7E24" w14:textId="77777777" w:rsidR="00A77B3E" w:rsidRDefault="00A77B3E">
      <w:pPr>
        <w:spacing w:before="5pt"/>
        <w:rPr>
          <w:color w:val="000000"/>
          <w:sz w:val="0"/>
        </w:rPr>
      </w:pPr>
    </w:p>
    <w:p w14:paraId="772CFD32" w14:textId="77777777" w:rsidR="00A77B3E" w:rsidRDefault="00B16CCF">
      <w:pPr>
        <w:pStyle w:val="Naslov4"/>
        <w:spacing w:before="5pt" w:after="0pt"/>
        <w:rPr>
          <w:b w:val="0"/>
          <w:color w:val="000000"/>
          <w:sz w:val="24"/>
        </w:rPr>
      </w:pPr>
      <w:bookmarkStart w:id="525" w:name="_Toc256001286"/>
      <w:r>
        <w:rPr>
          <w:b w:val="0"/>
          <w:color w:val="000000"/>
          <w:sz w:val="24"/>
        </w:rPr>
        <w:t>2.1.1.1.1. Ukrepi skladov</w:t>
      </w:r>
      <w:bookmarkEnd w:id="525"/>
    </w:p>
    <w:p w14:paraId="13FA6A5E" w14:textId="77777777" w:rsidR="00A77B3E" w:rsidRDefault="00A77B3E">
      <w:pPr>
        <w:spacing w:before="5pt"/>
        <w:rPr>
          <w:color w:val="000000"/>
          <w:sz w:val="0"/>
        </w:rPr>
      </w:pPr>
    </w:p>
    <w:p w14:paraId="08CF4DBA" w14:textId="77777777" w:rsidR="00A77B3E" w:rsidRDefault="00B16CCF">
      <w:pPr>
        <w:spacing w:before="5pt"/>
        <w:rPr>
          <w:color w:val="000000"/>
          <w:sz w:val="0"/>
        </w:rPr>
      </w:pPr>
      <w:r>
        <w:rPr>
          <w:color w:val="000000"/>
        </w:rPr>
        <w:t>Sklic: člen 22(3)(d)(i), (iii), (iv), (v), (vi) in (vii) uredbe o skupnih določbah</w:t>
      </w:r>
    </w:p>
    <w:p w14:paraId="13E5872E" w14:textId="77777777" w:rsidR="00A77B3E" w:rsidRDefault="00B16CCF">
      <w:pPr>
        <w:pStyle w:val="Naslov5"/>
        <w:spacing w:before="5pt" w:after="0pt"/>
        <w:rPr>
          <w:b w:val="0"/>
          <w:i w:val="0"/>
          <w:color w:val="000000"/>
          <w:sz w:val="24"/>
        </w:rPr>
      </w:pPr>
      <w:bookmarkStart w:id="526" w:name="_Toc256001287"/>
      <w:r>
        <w:rPr>
          <w:b w:val="0"/>
          <w:i w:val="0"/>
          <w:color w:val="000000"/>
          <w:sz w:val="24"/>
        </w:rPr>
        <w:t>Povezane vrste ukrepov – člen 22(3)(d)(i) uredbe o skupnih določbah in člen 6 uredbe o ESS+:</w:t>
      </w:r>
      <w:bookmarkEnd w:id="526"/>
    </w:p>
    <w:p w14:paraId="677FA26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5905DC6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877B68" w14:textId="77777777" w:rsidR="00A77B3E" w:rsidRDefault="00A77B3E">
            <w:pPr>
              <w:spacing w:before="5pt"/>
              <w:rPr>
                <w:color w:val="000000"/>
                <w:sz w:val="0"/>
              </w:rPr>
            </w:pPr>
          </w:p>
          <w:p w14:paraId="3695FAA8" w14:textId="77777777" w:rsidR="00A77B3E" w:rsidRDefault="00B16CCF">
            <w:pPr>
              <w:spacing w:before="5pt"/>
              <w:rPr>
                <w:color w:val="000000"/>
              </w:rPr>
            </w:pPr>
            <w:r>
              <w:rPr>
                <w:color w:val="000000"/>
              </w:rPr>
              <w:t>Investicije v zdravstvu bodo zajemale tako gradnje, kot obnove javnih zdravstvenih zavodov ter nabavo opreme. Namen investicij je zagotoviti boljšo dostopnost prebivalcev do zdravstvenih storitev in preprečevanje bolezni, s ciljem ohranjanja zdravja prebivalcev in samostojnega bivanja posameznikov. Ukrepi bodo zajemali predvsem investicije v satelitske urgentne centre in dežurna mesta, ki zagotavljajo neprekinjeno izvajanje najnujnejših zdravstvenih storitev, centre za duševno zdravje in druge investicije v javne zdravstvene zavode, ki izvajajo zdravstveno dejavnost na način spodbujanja krepitve zdravja ter preprečevanja bolezni. Obenem bodo investicije zajemale nabavo drage medicinske opreme, ki je ključnega pomena za zagotavljanje optimalne zdravstvene obravnave pacientov. Kartiranje potreb na področju zdravstva in dolgotrajne oskrbe ter Resolucija »Skupaj za družbo zdravja« nakazujeta širše potrebe po investicijah, kot jih omogočajo sredstva evropske kohezijske politike, zato naslavljamo le nekatere, ki pa omogočajo večjo dostopnost lokalnega prebivalstva in so povezani z ukrepanjem v okviru ESS sredstev[1].</w:t>
            </w:r>
          </w:p>
          <w:p w14:paraId="32BDC983" w14:textId="77777777" w:rsidR="00A77B3E" w:rsidRDefault="00B16CCF">
            <w:pPr>
              <w:spacing w:before="5pt"/>
              <w:rPr>
                <w:color w:val="000000"/>
              </w:rPr>
            </w:pPr>
            <w:r>
              <w:rPr>
                <w:color w:val="000000"/>
              </w:rPr>
              <w:t>Slovensko zdravstvo se sooča s staranjem infrastrukture, pomanjkanjem sodobne medicinske opreme in naraščajočimi zahtevami po kakovostni oskrbi, zato so nujne investicije v javne zdravstvene zavode, ki se že dlje časa soočajo s temi težavami. Z investicijami v infrastrukturo na vseh nivojih zdravstvene oskrbe bomo izboljšali dostop do zdravstvenih storitev in njihovo kakovost.</w:t>
            </w:r>
          </w:p>
          <w:p w14:paraId="35E86F32" w14:textId="77777777" w:rsidR="00A77B3E" w:rsidRDefault="00B16CCF">
            <w:pPr>
              <w:spacing w:before="5pt"/>
              <w:rPr>
                <w:color w:val="000000"/>
              </w:rPr>
            </w:pPr>
            <w:r>
              <w:rPr>
                <w:color w:val="000000"/>
              </w:rPr>
              <w:t>Satelitski urgentni centri predstavljajo obliko zunaj bolnišničnega dela službe nujne medicinske pomoči (NMP) in so strokovno in organizacijsko vezani na urgentni center, ki deluje na njihovem območju. Načrtovana je vzpostavitev 11 satelitskih centrov na območju celotne Slovenije. S sredstvi evropske kohezijske politike se predvideva izgradnja ali dograditev obstoječih javnih zdravstvenih zavodov vsaj šestih satelitskih urgentnih centrov.</w:t>
            </w:r>
          </w:p>
          <w:p w14:paraId="30FEAB61" w14:textId="77777777" w:rsidR="00A77B3E" w:rsidRDefault="00B16CCF">
            <w:pPr>
              <w:spacing w:before="5pt"/>
              <w:rPr>
                <w:color w:val="000000"/>
              </w:rPr>
            </w:pPr>
            <w:r>
              <w:rPr>
                <w:color w:val="000000"/>
              </w:rPr>
              <w:t>Ob satelitskih urgentnih centrih Republika Slovenija potrebuje za zdravniško oskrbo prebivalstva lokacije, kjer se zraven 24 urne NMP v obliki mobilnih enot vozila urgentnega zdravnika (VUZ) izvaja tudi začetna oskrba nujnih stanj v ambulanti NMP in nudijo zdravstvene storitve, za katere bi prebivalci v nasprotnem primeru bili primorani obiskovati in po nepotrebnem obremenjevati urgentne centre. Gre za tako imenovane dežurne službe. S sredstvi evropske kohezijske politike se predvideva izgradnja vsaj 8 dežurnih služb. V nekaterih primerih gre za izgradnjo, v določenih primerih dograditev obstoječih javnih zdravstvenih zavodov. Oba ukrepa sta komplementarna z ukrepanjem z ESS sredstvi na SC ESO4.11, v okviru katerih bomo predvsem krepili kompetence kadra.</w:t>
            </w:r>
          </w:p>
          <w:p w14:paraId="35017664" w14:textId="77777777" w:rsidR="00A77B3E" w:rsidRDefault="00A77B3E">
            <w:pPr>
              <w:spacing w:before="5pt"/>
              <w:rPr>
                <w:color w:val="000000"/>
              </w:rPr>
            </w:pPr>
          </w:p>
          <w:p w14:paraId="14279F1E" w14:textId="77777777" w:rsidR="00A77B3E" w:rsidRDefault="00B16CCF">
            <w:pPr>
              <w:spacing w:before="5pt"/>
              <w:rPr>
                <w:color w:val="000000"/>
              </w:rPr>
            </w:pPr>
            <w:r>
              <w:rPr>
                <w:color w:val="000000"/>
              </w:rPr>
              <w:t xml:space="preserve">V okviru Resolucije o nacionalnem planu duševnega zdravja 2018-2028 se vzpostavlja mreža centrov za duševno zdravje, v katerih delujejo timi različnih strokovnjakov. Vzpostavljajo se Centri za duševno zdravje otrok in mladostnikov (CDZOM) in Centri za duševno zdravje odraslih (CDZO). Vodilo centrov za duševno zdravje je zagotavljanje enake dostopnosti do storitev in programov za vse skupine ljudi na določenem območju. in gre za deinstitucionalni pristop. Mreža multidisciplinarnih CDZOM omogoča lokalno dostopnost, zgodnjo in strokovno ter multidisciplinarno obravnavo otrok in mladostnikov (0 – 19 let) s težavami v duševnem zdravju ter njihovih staršev v okviru osnovnega zdravstvenega varstva in v tesnem sodelovanju z drugimi službami, šolskimi strokovnimi delavci, učitelji in strokovnimi delavci v centrih za socialno delo. CDZO (za starejše od 19 let) so organizacijska struktura, ki prek preventivnih </w:t>
            </w:r>
            <w:r>
              <w:rPr>
                <w:color w:val="000000"/>
              </w:rPr>
              <w:lastRenderedPageBreak/>
              <w:t>in zdravljenju namenjenih služb omogoča izboljšanje dostopa do storitev za duševno zdravje in odgovarja na potrebe odrasle populacije, med katerimi so tudi starejši. S prilagodljivimi in povezanimi intervencijami dosežejo posameznike s pogostimi duševnimi motnjami, ljudi s hudimi in ponavljajočimi se duševnimi motnjami, ljudi z demenco in drugimi duševnimi motnjami v starosti, ljudi, ki trpijo zaradi odvisnosti od alkohola, ter najbolj ogrožene posameznike, ki so samomorilno ogroženi. S sredstvi evropske kohezijske politike se predvideva izgradnja ali dograditev obstoječih javnih zdravstvenih zavodov za širitev mreže centrov za duševno zdravje tako otrok in mladostnikov kot odraslih. Ukrepanje bo povezano tako s SC ESO4.11, kot tudi z NOO, kjer se bomo osredotočili na izobraževanje izobraževalcev in diseminaciji že preverjenih in učinkovitih programov promocije duševnega zdravja in preventive duševnih motenj izključno pri otrocih, mladostnikih in mladih odraslih.</w:t>
            </w:r>
          </w:p>
          <w:p w14:paraId="4F0FEBA2" w14:textId="77777777" w:rsidR="00A77B3E" w:rsidRDefault="00A77B3E">
            <w:pPr>
              <w:spacing w:before="5pt"/>
              <w:rPr>
                <w:color w:val="000000"/>
              </w:rPr>
            </w:pPr>
          </w:p>
          <w:p w14:paraId="30CF865C" w14:textId="77777777" w:rsidR="00A77B3E" w:rsidRDefault="00B16CCF">
            <w:pPr>
              <w:spacing w:before="5pt"/>
              <w:rPr>
                <w:color w:val="000000"/>
              </w:rPr>
            </w:pPr>
            <w:r>
              <w:rPr>
                <w:color w:val="000000"/>
              </w:rPr>
              <w:t>Z uvajanjem novih preventivnih pristopov v vseh ambulantah na primarni ravni se zagotavlja enak dostop do preventivnih programov za vse, s posebnim poudarkom na dostopnosti programov za ranljive skupine. Zdravstveni dom mora zagotavljati celovito preventivno-kurativno dejavnost za potrebe lokalnega prebivalstva. Preventivni programi na primarni ravni so se v določenem številu nadgradili in razširili tudi s pomočjo Evropskih kohezijskih sredstev v finančni perspektivi 2014-2020. Vzpostavilo se je 25 Centrov za krepitev zdravja s ciljem uspešnejšega preprečevanja in obvladovanja kroničnih bolezni in drugih stanj, še posebej v luči specifičnih potreb ranljivih skupin in starejše populacije, ki preventivnih storitev ne koristijo v polni meri. Tako v Republiki Sloveniji trenutno beležimo 28 delujočih Centrov za krepitev zdravja. Za krepitev primarnega zdravstvenega varstva je nadaljevanje širitve Centrov za krepitev zdravja nujna. Ukrepanje bo komplementarno s sredstvi ESS na SC ESO4.11.</w:t>
            </w:r>
          </w:p>
          <w:p w14:paraId="24624F77" w14:textId="77777777" w:rsidR="00A77B3E" w:rsidRDefault="00A77B3E">
            <w:pPr>
              <w:spacing w:before="5pt"/>
              <w:rPr>
                <w:color w:val="000000"/>
              </w:rPr>
            </w:pPr>
          </w:p>
          <w:p w14:paraId="6A8F4C1D" w14:textId="77777777" w:rsidR="00A77B3E" w:rsidRDefault="00B16CCF">
            <w:pPr>
              <w:spacing w:before="5pt"/>
              <w:rPr>
                <w:color w:val="000000"/>
              </w:rPr>
            </w:pPr>
            <w:r>
              <w:rPr>
                <w:color w:val="000000"/>
              </w:rPr>
              <w:t>Medicinska oprema v javnih zdravstvenih zavodih je poleg kadra ključna za zagotavljanje optimalne zdravstvene oskrbe. Zaradi dotrajanosti in pomanjkanja predvsem tako imenovane drage medicinske opreme optimalno izvajanje zdravstvene dejavnosti ni mogoče. Gre predvsem za naslednjo opremo: magnetna resonanca, računalniški topograf, pozitronski emisijski tomograf, gama kamera ali naprava za nuklearno medicino, mamografske diagnostične RTG naprave, radioterapijske naprave, rentgenske naprave ter ultrazvočne naprave. Glede na dejstvo, da se večajo potrebe po nabavi medicinske opreme namerava Republika Slovenija s sredstvi evropske kohezijske politike nabavljati medicinsko opremo za specialistično obravnavo pacientov.</w:t>
            </w:r>
          </w:p>
          <w:p w14:paraId="1667E41B" w14:textId="77777777" w:rsidR="00A77B3E" w:rsidRDefault="00A77B3E">
            <w:pPr>
              <w:spacing w:before="5pt"/>
              <w:rPr>
                <w:color w:val="000000"/>
              </w:rPr>
            </w:pPr>
          </w:p>
          <w:p w14:paraId="2AA6A50B" w14:textId="77777777" w:rsidR="00A77B3E" w:rsidRDefault="00B16CCF">
            <w:pPr>
              <w:spacing w:before="5pt"/>
              <w:rPr>
                <w:color w:val="000000"/>
              </w:rPr>
            </w:pPr>
            <w:r>
              <w:rPr>
                <w:color w:val="000000"/>
              </w:rPr>
              <w:t>Kjer bo to relevantno, bo izvajanje ukrepov skladno s pobudo Novi evropski Bauhaus. 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V skladu s Tehničnimi smernicami za uporabo »načela, da se ne škoduje bistveno« smo na podlagi odgovorov na vprašanja iz kontrolnega seznama ugotovili, da noben izmed predvidenih ukrepov v okviru SC RSO4.5 nima bistvenega škodljivega vpliva na katerega koli od šestih okoljskih ciljev ob upoštevanju tehničnih meril, navedenih v Prilogi: DNSH.</w:t>
            </w:r>
          </w:p>
          <w:p w14:paraId="56166A8A" w14:textId="77777777" w:rsidR="00A77B3E" w:rsidRDefault="00A77B3E">
            <w:pPr>
              <w:spacing w:before="5pt"/>
              <w:rPr>
                <w:color w:val="000000"/>
              </w:rPr>
            </w:pPr>
          </w:p>
          <w:p w14:paraId="35021E47" w14:textId="77777777" w:rsidR="00A77B3E" w:rsidRDefault="00B16CCF">
            <w:pPr>
              <w:spacing w:before="5pt"/>
              <w:rPr>
                <w:color w:val="000000"/>
              </w:rPr>
            </w:pPr>
            <w:r>
              <w:rPr>
                <w:color w:val="000000"/>
              </w:rPr>
              <w:t xml:space="preserve">[1] Ukrepi zdravstvene infrastrukture temeljijo na naložbeni vrzeli in rezultatih kartiranja (mapiranju) infrastrukture in storitev. V skladu s Konvencijo OZN o pravicah invalidov bo narejen pregled odločitev za prioritetno potrebne investicije na osnovi ocene individualnih potreb. Kartiranje (mapiranje) temelji na pregledu trenutnega števila rezidenčnih ustanov (vključno z bivalnimi ustanovami v skupnosti), nerezidenčnimi družinskimi skupnostmi storitev ob upoštevanju teritorialnih neenakosti in demografskih izzivov. Vse naložbe v zdravstveno infrastrukturo bodo v celoti v skladu z zahtevami Konvencije OZN o pravicah invalidov, vključno s splošnim komentarjem 5 in sklepnimi ugotovitvami Odbora UNCRPD, ob ustreznem spoštovanju načel enakosti, svobode </w:t>
            </w:r>
            <w:r>
              <w:rPr>
                <w:color w:val="000000"/>
              </w:rPr>
              <w:lastRenderedPageBreak/>
              <w:t>izbire, pravice do neodvisnega življenja, dostopnosti in prepovedi vseh oblik ločevanja. Poleg tega se bo pri vsaki naložbi zagotovila dostopnost v skladu z najsodobnejšimi standardi dostopnosti EU. Naložbe bodo morale dokazati skladnost s strategijo deinstitucionalizacije ter ustreznimi političnimi in pravnimi okviri EU za spoštovanje človekovih pravic, in sicer Konvencije OZN o pravicah invalidov in splošno pripombo št. 5, Evropskim stebrom socialnih pravic in Strategijo o pravicah invalidov za obdobje 2021–2030. Naložbe bodo upoštevale strategijo deinstitucionalizacije, tako da ne bodo prispevale k ustvarjanju novih okolij, ki niso v celoti v skladu z UNCRPD. Po načelu partnerstva bodo neodvisni organi za temeljne pravice in organizacije za človekove pravice vključeni v vse faze programiranja, izvajanja, spremljanja, vrednotenja naložb v socialno in zdravstveno infrastrukturo za zagotavljanje spoštovanja načel neodvisnega življenja, nesegregacije. in nediskriminacija v skladu s Konvencijo OZN o pravicah invalidov in Listino.</w:t>
            </w:r>
          </w:p>
          <w:p w14:paraId="2D506415" w14:textId="77777777" w:rsidR="00A77B3E" w:rsidRDefault="00A77B3E">
            <w:pPr>
              <w:spacing w:before="5pt"/>
              <w:rPr>
                <w:color w:val="000000"/>
                <w:sz w:val="6"/>
              </w:rPr>
            </w:pPr>
          </w:p>
          <w:p w14:paraId="001C4EC0" w14:textId="77777777" w:rsidR="00A77B3E" w:rsidRDefault="00A77B3E">
            <w:pPr>
              <w:spacing w:before="5pt"/>
              <w:rPr>
                <w:color w:val="000000"/>
                <w:sz w:val="6"/>
              </w:rPr>
            </w:pPr>
          </w:p>
        </w:tc>
      </w:tr>
    </w:tbl>
    <w:p w14:paraId="50E59EFB" w14:textId="77777777" w:rsidR="00A77B3E" w:rsidRDefault="00A77B3E">
      <w:pPr>
        <w:spacing w:before="5pt"/>
        <w:rPr>
          <w:color w:val="000000"/>
        </w:rPr>
      </w:pPr>
    </w:p>
    <w:p w14:paraId="1410EE8F" w14:textId="77777777" w:rsidR="00A77B3E" w:rsidRDefault="00B16CCF">
      <w:pPr>
        <w:pStyle w:val="Naslov5"/>
        <w:spacing w:before="5pt" w:after="0pt"/>
        <w:rPr>
          <w:b w:val="0"/>
          <w:i w:val="0"/>
          <w:color w:val="000000"/>
          <w:sz w:val="24"/>
        </w:rPr>
      </w:pPr>
      <w:bookmarkStart w:id="527" w:name="_Toc256001288"/>
      <w:r>
        <w:rPr>
          <w:b w:val="0"/>
          <w:i w:val="0"/>
          <w:color w:val="000000"/>
          <w:sz w:val="24"/>
        </w:rPr>
        <w:t>Glavne ciljne skupine – člen 22(3)(d)(iii) uredbe o skupnih določbah:</w:t>
      </w:r>
      <w:bookmarkEnd w:id="527"/>
    </w:p>
    <w:p w14:paraId="689CA29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722321F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164F00" w14:textId="77777777" w:rsidR="00A77B3E" w:rsidRDefault="00A77B3E">
            <w:pPr>
              <w:spacing w:before="5pt"/>
              <w:rPr>
                <w:color w:val="000000"/>
                <w:sz w:val="0"/>
              </w:rPr>
            </w:pPr>
          </w:p>
          <w:p w14:paraId="5EE18C2A" w14:textId="77777777" w:rsidR="00A77B3E" w:rsidRDefault="00B16CCF">
            <w:pPr>
              <w:spacing w:before="5pt"/>
              <w:rPr>
                <w:color w:val="000000"/>
              </w:rPr>
            </w:pPr>
            <w:r>
              <w:rPr>
                <w:color w:val="000000"/>
              </w:rPr>
              <w:t>Ciljne skupine in upravičenci: ministrstvo za zdravje, javni zdravstveni zavodi, socialni zavodi in lokalne skupnosti.</w:t>
            </w:r>
          </w:p>
          <w:p w14:paraId="0DCB06F2" w14:textId="77777777" w:rsidR="00A77B3E" w:rsidRDefault="00A77B3E">
            <w:pPr>
              <w:spacing w:before="5pt"/>
              <w:rPr>
                <w:color w:val="000000"/>
                <w:sz w:val="6"/>
              </w:rPr>
            </w:pPr>
          </w:p>
          <w:p w14:paraId="40D623AB" w14:textId="77777777" w:rsidR="00A77B3E" w:rsidRDefault="00A77B3E">
            <w:pPr>
              <w:spacing w:before="5pt"/>
              <w:rPr>
                <w:color w:val="000000"/>
                <w:sz w:val="6"/>
              </w:rPr>
            </w:pPr>
          </w:p>
        </w:tc>
      </w:tr>
    </w:tbl>
    <w:p w14:paraId="48DB38E7" w14:textId="77777777" w:rsidR="00A77B3E" w:rsidRDefault="00A77B3E">
      <w:pPr>
        <w:spacing w:before="5pt"/>
        <w:rPr>
          <w:color w:val="000000"/>
        </w:rPr>
      </w:pPr>
    </w:p>
    <w:p w14:paraId="1D22E20B" w14:textId="77777777" w:rsidR="00A77B3E" w:rsidRDefault="00B16CCF">
      <w:pPr>
        <w:pStyle w:val="Naslov5"/>
        <w:spacing w:before="5pt" w:after="0pt"/>
        <w:rPr>
          <w:b w:val="0"/>
          <w:i w:val="0"/>
          <w:color w:val="000000"/>
          <w:sz w:val="24"/>
        </w:rPr>
      </w:pPr>
      <w:bookmarkStart w:id="528" w:name="_Toc256001289"/>
      <w:r>
        <w:rPr>
          <w:b w:val="0"/>
          <w:i w:val="0"/>
          <w:color w:val="000000"/>
          <w:sz w:val="24"/>
        </w:rPr>
        <w:t>Ukrepi za zaščito enakosti, vključenosti in nediskriminacije – člen 22(3)(d)(iv) uredbe o skupnih določbah in člen 6 uredbe o ESS+</w:t>
      </w:r>
      <w:bookmarkEnd w:id="528"/>
    </w:p>
    <w:p w14:paraId="5E46779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1138241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66D384" w14:textId="77777777" w:rsidR="00A77B3E" w:rsidRDefault="00A77B3E">
            <w:pPr>
              <w:spacing w:before="5pt"/>
              <w:rPr>
                <w:color w:val="000000"/>
                <w:sz w:val="0"/>
              </w:rPr>
            </w:pPr>
          </w:p>
          <w:p w14:paraId="13CD4BDE" w14:textId="77777777" w:rsidR="00A77B3E" w:rsidRDefault="00B16CCF">
            <w:pPr>
              <w:spacing w:before="5pt"/>
              <w:rPr>
                <w:color w:val="000000"/>
              </w:rPr>
            </w:pPr>
            <w:r>
              <w:rPr>
                <w:color w:val="000000"/>
              </w:rPr>
              <w:t xml:space="preserve">Spoštovanje načel enakosti, vključenosti in nediskriminacije bo zagotovljeno pri izvajanju vseh aktivnosti na vseh ravneh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Načelo se bo upoštevalo tudi v okviru sistema upravljanja in nadzora. </w:t>
            </w:r>
          </w:p>
          <w:p w14:paraId="45E4401E" w14:textId="77777777" w:rsidR="00A77B3E" w:rsidRDefault="00A77B3E">
            <w:pPr>
              <w:spacing w:before="5pt"/>
              <w:rPr>
                <w:color w:val="000000"/>
              </w:rPr>
            </w:pPr>
          </w:p>
          <w:p w14:paraId="607C88C7" w14:textId="77777777" w:rsidR="00A77B3E" w:rsidRDefault="00B16CCF">
            <w:pPr>
              <w:spacing w:before="5pt"/>
              <w:rPr>
                <w:color w:val="000000"/>
              </w:rPr>
            </w:pPr>
            <w:r>
              <w:rPr>
                <w:color w:val="000000"/>
              </w:rPr>
              <w:t>Pri načrtovanju, izvedbi in spremljanju ukrepov bodo spoštovana načela enakosti spolov, enakih možnosti in nediskriminacije. Hkrati bodo ukrepi vlaganj v zdravstveno infrastrukturo in opremo v skladu z osnovnimi načeli zagotavljali dostopnost vsem, predvsem pa najranljivejšim. Z vlaganji v razvoj te infrastrukture bomo v skladu z nacionalno zakonodajo in strateškimi dokumenti prispevali k ciljem zagotavljanja kakovostnega zdravstva, dostopnega vsem državljanom EU, saj so ukrepi še posebej usmerjeni v uveljavljene tematike solidarnosti, kakovosti dela, socialne varnosti, družbene kohezije, vključevanja ranljivih ter obrobnih skupin, nediskriminatornosti in podobnega. Predvsem pa s tem, ko se približamo prebivalstvu v njihovem lokalnem okolju, omogočamo dostop najširšemu prebivalstvu. Dodatno bodo pri izvajanju gradbenih ukrepov objekti izpolnjevali tehnične zahteve, s katerimi se prilagodijo tako, da so nediskriminatorni do vseh oblik začasne ali trajne invalidnosti in so prilagojeni ranljivim skupinam prebivalstva.</w:t>
            </w:r>
          </w:p>
          <w:p w14:paraId="249817E1" w14:textId="77777777" w:rsidR="00A77B3E" w:rsidRDefault="00A77B3E">
            <w:pPr>
              <w:spacing w:before="5pt"/>
              <w:rPr>
                <w:color w:val="000000"/>
                <w:sz w:val="6"/>
              </w:rPr>
            </w:pPr>
          </w:p>
          <w:p w14:paraId="79D8E78E" w14:textId="77777777" w:rsidR="00A77B3E" w:rsidRDefault="00A77B3E">
            <w:pPr>
              <w:spacing w:before="5pt"/>
              <w:rPr>
                <w:color w:val="000000"/>
                <w:sz w:val="6"/>
              </w:rPr>
            </w:pPr>
          </w:p>
        </w:tc>
      </w:tr>
    </w:tbl>
    <w:p w14:paraId="31CDDA7B" w14:textId="77777777" w:rsidR="00A77B3E" w:rsidRDefault="00A77B3E">
      <w:pPr>
        <w:spacing w:before="5pt"/>
        <w:rPr>
          <w:color w:val="000000"/>
        </w:rPr>
      </w:pPr>
    </w:p>
    <w:p w14:paraId="41435CC7" w14:textId="77777777" w:rsidR="00A77B3E" w:rsidRDefault="00B16CCF">
      <w:pPr>
        <w:pStyle w:val="Naslov5"/>
        <w:spacing w:before="5pt" w:after="0pt"/>
        <w:rPr>
          <w:b w:val="0"/>
          <w:i w:val="0"/>
          <w:color w:val="000000"/>
          <w:sz w:val="24"/>
        </w:rPr>
      </w:pPr>
      <w:bookmarkStart w:id="529" w:name="_Toc256001290"/>
      <w:r>
        <w:rPr>
          <w:b w:val="0"/>
          <w:i w:val="0"/>
          <w:color w:val="000000"/>
          <w:sz w:val="24"/>
        </w:rPr>
        <w:t>Navedba specifičnih ciljnih ozemelj, vključno z načrtovano uporabo teritorialnih orodij – člen 22(3)(d)(v) uredbe o skupnih določbah</w:t>
      </w:r>
      <w:bookmarkEnd w:id="529"/>
    </w:p>
    <w:p w14:paraId="504B0BB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6F6CA1D3"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0C777D" w14:textId="77777777" w:rsidR="00A77B3E" w:rsidRDefault="00A77B3E">
            <w:pPr>
              <w:spacing w:before="5pt"/>
              <w:rPr>
                <w:color w:val="000000"/>
                <w:sz w:val="0"/>
              </w:rPr>
            </w:pPr>
          </w:p>
          <w:p w14:paraId="7B50EFB7" w14:textId="77777777" w:rsidR="00A77B3E" w:rsidRDefault="00B16CCF">
            <w:pPr>
              <w:spacing w:before="5pt"/>
              <w:rPr>
                <w:color w:val="000000"/>
              </w:rPr>
            </w:pPr>
            <w:r>
              <w:rPr>
                <w:color w:val="000000"/>
              </w:rPr>
              <w:t>Ukrepi se bodo izvajali zgolj v KRVS, ker je razvojni zaostanek te regije večji kot pa v KRZS, posledično je tudi zdravje prebivalstva po različnih determinantah v tej regiji na nižji stopnji. Uporaba teritorialnih pristopov na tem specifičnem cilju ni predvidena.</w:t>
            </w:r>
          </w:p>
          <w:p w14:paraId="6B09429A" w14:textId="77777777" w:rsidR="00A77B3E" w:rsidRDefault="00A77B3E">
            <w:pPr>
              <w:spacing w:before="5pt"/>
              <w:rPr>
                <w:color w:val="000000"/>
                <w:sz w:val="6"/>
              </w:rPr>
            </w:pPr>
          </w:p>
          <w:p w14:paraId="5D4D095A" w14:textId="77777777" w:rsidR="00A77B3E" w:rsidRDefault="00A77B3E">
            <w:pPr>
              <w:spacing w:before="5pt"/>
              <w:rPr>
                <w:color w:val="000000"/>
                <w:sz w:val="6"/>
              </w:rPr>
            </w:pPr>
          </w:p>
        </w:tc>
      </w:tr>
    </w:tbl>
    <w:p w14:paraId="35891D94" w14:textId="77777777" w:rsidR="00A77B3E" w:rsidRDefault="00A77B3E">
      <w:pPr>
        <w:spacing w:before="5pt"/>
        <w:rPr>
          <w:color w:val="000000"/>
        </w:rPr>
      </w:pPr>
    </w:p>
    <w:p w14:paraId="68408F67" w14:textId="77777777" w:rsidR="00A77B3E" w:rsidRDefault="00B16CCF">
      <w:pPr>
        <w:pStyle w:val="Naslov5"/>
        <w:spacing w:before="5pt" w:after="0pt"/>
        <w:rPr>
          <w:b w:val="0"/>
          <w:i w:val="0"/>
          <w:color w:val="000000"/>
          <w:sz w:val="24"/>
        </w:rPr>
      </w:pPr>
      <w:bookmarkStart w:id="530" w:name="_Toc256001291"/>
      <w:r>
        <w:rPr>
          <w:b w:val="0"/>
          <w:i w:val="0"/>
          <w:color w:val="000000"/>
          <w:sz w:val="24"/>
        </w:rPr>
        <w:t>Medregionalni, čezmejni in transnacionalni ukrepi – člen 22(3)(d)(vi) uredbe o skupnih določbah</w:t>
      </w:r>
      <w:bookmarkEnd w:id="530"/>
    </w:p>
    <w:p w14:paraId="0FCA5E0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42DA14E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86E752" w14:textId="77777777" w:rsidR="00A77B3E" w:rsidRDefault="00A77B3E">
            <w:pPr>
              <w:spacing w:before="5pt"/>
              <w:rPr>
                <w:color w:val="000000"/>
                <w:sz w:val="0"/>
              </w:rPr>
            </w:pPr>
          </w:p>
          <w:p w14:paraId="0F652363" w14:textId="77777777" w:rsidR="00A77B3E" w:rsidRDefault="00B16CCF">
            <w:pPr>
              <w:spacing w:before="5pt"/>
              <w:rPr>
                <w:color w:val="000000"/>
              </w:rPr>
            </w:pPr>
            <w:r>
              <w:rPr>
                <w:color w:val="000000"/>
              </w:rPr>
              <w:t>V okviru predmetnega specifičnega cilja ni načrtovana izvedba medregionalnih, čezmejnih in transnacionalnih ukrepov, saj gre za ukrepe investiranja v javne zdravstvene zavode, ki delujejo na območju Republike Slovenije in so namenjene prvenstveno prebivalcem Slovenije.</w:t>
            </w:r>
          </w:p>
          <w:p w14:paraId="360B4456" w14:textId="77777777" w:rsidR="00A77B3E" w:rsidRDefault="00A77B3E">
            <w:pPr>
              <w:spacing w:before="5pt"/>
              <w:rPr>
                <w:color w:val="000000"/>
                <w:sz w:val="6"/>
              </w:rPr>
            </w:pPr>
          </w:p>
          <w:p w14:paraId="694979FF" w14:textId="77777777" w:rsidR="00A77B3E" w:rsidRDefault="00A77B3E">
            <w:pPr>
              <w:spacing w:before="5pt"/>
              <w:rPr>
                <w:color w:val="000000"/>
                <w:sz w:val="6"/>
              </w:rPr>
            </w:pPr>
          </w:p>
        </w:tc>
      </w:tr>
    </w:tbl>
    <w:p w14:paraId="4361105A" w14:textId="77777777" w:rsidR="00A77B3E" w:rsidRDefault="00A77B3E">
      <w:pPr>
        <w:spacing w:before="5pt"/>
        <w:rPr>
          <w:color w:val="000000"/>
        </w:rPr>
      </w:pPr>
    </w:p>
    <w:p w14:paraId="7DBD2123" w14:textId="77777777" w:rsidR="00A77B3E" w:rsidRDefault="00B16CCF">
      <w:pPr>
        <w:pStyle w:val="Naslov5"/>
        <w:spacing w:before="5pt" w:after="0pt"/>
        <w:rPr>
          <w:b w:val="0"/>
          <w:i w:val="0"/>
          <w:color w:val="000000"/>
          <w:sz w:val="24"/>
        </w:rPr>
      </w:pPr>
      <w:bookmarkStart w:id="531" w:name="_Toc256001292"/>
      <w:r>
        <w:rPr>
          <w:b w:val="0"/>
          <w:i w:val="0"/>
          <w:color w:val="000000"/>
          <w:sz w:val="24"/>
        </w:rPr>
        <w:t>Načrtovana uporaba finančnih instrumentov – člen 22(3)(d)(vii) uredbe o skupnih določbah</w:t>
      </w:r>
      <w:bookmarkEnd w:id="531"/>
    </w:p>
    <w:p w14:paraId="5BAD30C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4333BF3E"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342B77" w14:textId="77777777" w:rsidR="00A77B3E" w:rsidRDefault="00A77B3E">
            <w:pPr>
              <w:spacing w:before="5pt"/>
              <w:rPr>
                <w:color w:val="000000"/>
                <w:sz w:val="0"/>
              </w:rPr>
            </w:pPr>
          </w:p>
          <w:p w14:paraId="5274356B" w14:textId="77777777" w:rsidR="00A77B3E" w:rsidRDefault="00B16CCF">
            <w:pPr>
              <w:spacing w:before="5pt"/>
              <w:rPr>
                <w:color w:val="000000"/>
              </w:rPr>
            </w:pPr>
            <w:r>
              <w:rPr>
                <w:color w:val="000000"/>
              </w:rPr>
              <w:t>Predvidena je uporaba nepovratnih virov. V okviru predmetnega specifičnega cilja uporaba finančnih instrumentov v skladu z izsledki analize Predhodnih ocen potreb trga in vrzeli financiranja na trgu za izvajanje finančnih instrumentov v programskem obdobju 2021-2027 (julij 2022) ni predvidena. Predlagani ukrepi ne ustvarjajo prihodkov oziroma prihrankov, zaradi česar uporaba finančnih instrumentov ni smiselna oziroma ustrezna. Gre namreč za ukrepe, ki se nanašajo na javne zdravstvene ustanove, ki so večinoma v lasti države oz. občin in nimajo tržne dejavnosti oziroma je le-ta v zelo omejenem obsegu in večinoma namenska, zato se ne morejo zadolževati na trgu.</w:t>
            </w:r>
          </w:p>
          <w:p w14:paraId="4F3224C2" w14:textId="77777777" w:rsidR="00A77B3E" w:rsidRDefault="00A77B3E">
            <w:pPr>
              <w:spacing w:before="5pt"/>
              <w:rPr>
                <w:color w:val="000000"/>
                <w:sz w:val="6"/>
              </w:rPr>
            </w:pPr>
          </w:p>
          <w:p w14:paraId="51B90CFA" w14:textId="77777777" w:rsidR="00A77B3E" w:rsidRDefault="00A77B3E">
            <w:pPr>
              <w:spacing w:before="5pt"/>
              <w:rPr>
                <w:color w:val="000000"/>
                <w:sz w:val="6"/>
              </w:rPr>
            </w:pPr>
          </w:p>
        </w:tc>
      </w:tr>
    </w:tbl>
    <w:p w14:paraId="333C80FF" w14:textId="77777777" w:rsidR="00A77B3E" w:rsidRDefault="00A77B3E">
      <w:pPr>
        <w:spacing w:before="5pt"/>
        <w:rPr>
          <w:color w:val="000000"/>
        </w:rPr>
      </w:pPr>
    </w:p>
    <w:p w14:paraId="332D7773" w14:textId="77777777" w:rsidR="00A77B3E" w:rsidRDefault="00B16CCF">
      <w:pPr>
        <w:pStyle w:val="Naslov4"/>
        <w:spacing w:before="5pt" w:after="0pt"/>
        <w:rPr>
          <w:b w:val="0"/>
          <w:color w:val="000000"/>
          <w:sz w:val="24"/>
        </w:rPr>
      </w:pPr>
      <w:bookmarkStart w:id="532" w:name="_Toc256001293"/>
      <w:r>
        <w:rPr>
          <w:b w:val="0"/>
          <w:color w:val="000000"/>
          <w:sz w:val="24"/>
        </w:rPr>
        <w:t>2.1.1.1.2. Kazalniki</w:t>
      </w:r>
      <w:bookmarkEnd w:id="532"/>
    </w:p>
    <w:p w14:paraId="724C552F" w14:textId="77777777" w:rsidR="00A77B3E" w:rsidRDefault="00A77B3E">
      <w:pPr>
        <w:spacing w:before="5pt"/>
        <w:rPr>
          <w:color w:val="000000"/>
          <w:sz w:val="0"/>
        </w:rPr>
      </w:pPr>
    </w:p>
    <w:p w14:paraId="756CE72E" w14:textId="77777777" w:rsidR="00A77B3E" w:rsidRDefault="00B16CCF">
      <w:pPr>
        <w:spacing w:before="5pt"/>
        <w:rPr>
          <w:color w:val="000000"/>
          <w:sz w:val="0"/>
        </w:rPr>
      </w:pPr>
      <w:r>
        <w:rPr>
          <w:color w:val="000000"/>
        </w:rPr>
        <w:t>Sklic: člen 22(3)(d)(ii) uredbe o skupnih določbah in člen 8 uredbe o ESRR in Kohezijskem skladu</w:t>
      </w:r>
    </w:p>
    <w:p w14:paraId="6DEDBA55" w14:textId="77777777" w:rsidR="00A77B3E" w:rsidRDefault="00B16CCF">
      <w:pPr>
        <w:pStyle w:val="Naslov5"/>
        <w:spacing w:before="5pt" w:after="0pt"/>
        <w:rPr>
          <w:b w:val="0"/>
          <w:i w:val="0"/>
          <w:color w:val="000000"/>
          <w:sz w:val="24"/>
        </w:rPr>
      </w:pPr>
      <w:bookmarkStart w:id="533" w:name="_Toc256001294"/>
      <w:r>
        <w:rPr>
          <w:b w:val="0"/>
          <w:i w:val="0"/>
          <w:color w:val="000000"/>
          <w:sz w:val="24"/>
        </w:rPr>
        <w:t>Tabela 2: Kazalniki učinka</w:t>
      </w:r>
      <w:bookmarkEnd w:id="533"/>
    </w:p>
    <w:p w14:paraId="54123B0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981"/>
        <w:gridCol w:w="1828"/>
        <w:gridCol w:w="1219"/>
        <w:gridCol w:w="1895"/>
        <w:gridCol w:w="2199"/>
        <w:gridCol w:w="1981"/>
        <w:gridCol w:w="1414"/>
        <w:gridCol w:w="1371"/>
        <w:gridCol w:w="1284"/>
      </w:tblGrid>
      <w:tr w:rsidR="00823317" w14:paraId="54D460F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6E4D09"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8E2A89"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02A28F"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232B28"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3B63E3"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73EAD0"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03DE0B"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36A137C" w14:textId="77777777" w:rsidR="00A77B3E" w:rsidRDefault="00B16CCF">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7A2B1A" w14:textId="77777777" w:rsidR="00A77B3E" w:rsidRDefault="00B16CCF">
            <w:pPr>
              <w:spacing w:before="5pt"/>
              <w:jc w:val="center"/>
              <w:rPr>
                <w:color w:val="000000"/>
                <w:sz w:val="20"/>
              </w:rPr>
            </w:pPr>
            <w:r>
              <w:rPr>
                <w:color w:val="000000"/>
                <w:sz w:val="20"/>
              </w:rPr>
              <w:t>Cilj (2029)</w:t>
            </w:r>
          </w:p>
        </w:tc>
      </w:tr>
      <w:tr w:rsidR="00823317" w14:paraId="2AFD459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996388"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8C5D42" w14:textId="77777777" w:rsidR="00A77B3E" w:rsidRDefault="00B16CCF">
            <w:pPr>
              <w:spacing w:before="5pt"/>
              <w:rPr>
                <w:color w:val="000000"/>
                <w:sz w:val="20"/>
              </w:rPr>
            </w:pPr>
            <w:r>
              <w:rPr>
                <w:color w:val="000000"/>
                <w:sz w:val="20"/>
              </w:rPr>
              <w:t>RSO4.5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E26268"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E5D074"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7AB89C" w14:textId="77777777" w:rsidR="00A77B3E" w:rsidRDefault="00B16CCF">
            <w:pPr>
              <w:spacing w:before="5pt"/>
              <w:rPr>
                <w:color w:val="000000"/>
                <w:sz w:val="20"/>
              </w:rPr>
            </w:pPr>
            <w:r>
              <w:rPr>
                <w:color w:val="000000"/>
                <w:sz w:val="20"/>
              </w:rPr>
              <w:t>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09084A" w14:textId="77777777" w:rsidR="00A77B3E" w:rsidRDefault="00B16CCF">
            <w:pPr>
              <w:spacing w:before="5pt"/>
              <w:rPr>
                <w:color w:val="000000"/>
                <w:sz w:val="20"/>
              </w:rPr>
            </w:pPr>
            <w:r>
              <w:rPr>
                <w:color w:val="000000"/>
                <w:sz w:val="20"/>
              </w:rPr>
              <w:t>Število enot, v katere bo investirano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8FFAE3" w14:textId="77777777" w:rsidR="00A77B3E" w:rsidRDefault="00B16CCF">
            <w:pPr>
              <w:spacing w:before="5pt"/>
              <w:rPr>
                <w:color w:val="000000"/>
                <w:sz w:val="20"/>
              </w:rPr>
            </w:pPr>
            <w:r>
              <w:rPr>
                <w:color w:val="000000"/>
                <w:sz w:val="20"/>
              </w:rPr>
              <w:t>število enot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98C7FB"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3CC925" w14:textId="77777777" w:rsidR="00A77B3E" w:rsidRDefault="00B16CCF">
            <w:pPr>
              <w:spacing w:before="5pt"/>
              <w:jc w:val="end"/>
              <w:rPr>
                <w:color w:val="000000"/>
                <w:sz w:val="20"/>
              </w:rPr>
            </w:pPr>
            <w:r>
              <w:rPr>
                <w:color w:val="000000"/>
                <w:sz w:val="20"/>
              </w:rPr>
              <w:t>53,00</w:t>
            </w:r>
          </w:p>
        </w:tc>
      </w:tr>
    </w:tbl>
    <w:p w14:paraId="51629D32" w14:textId="77777777" w:rsidR="00A77B3E" w:rsidRDefault="00A77B3E">
      <w:pPr>
        <w:spacing w:before="5pt"/>
        <w:rPr>
          <w:color w:val="000000"/>
          <w:sz w:val="20"/>
        </w:rPr>
      </w:pPr>
    </w:p>
    <w:p w14:paraId="4F3578FB" w14:textId="77777777" w:rsidR="00A77B3E" w:rsidRDefault="00B16CCF">
      <w:pPr>
        <w:spacing w:before="5pt"/>
        <w:rPr>
          <w:color w:val="000000"/>
          <w:sz w:val="0"/>
        </w:rPr>
      </w:pPr>
      <w:r>
        <w:rPr>
          <w:color w:val="000000"/>
        </w:rPr>
        <w:lastRenderedPageBreak/>
        <w:t>Sklic: člen 22(3)(d)(ii) uredbe o skupnih določbah</w:t>
      </w:r>
    </w:p>
    <w:p w14:paraId="516F0BA6" w14:textId="77777777" w:rsidR="00A77B3E" w:rsidRDefault="00B16CCF">
      <w:pPr>
        <w:pStyle w:val="Naslov5"/>
        <w:spacing w:before="5pt" w:after="0pt"/>
        <w:rPr>
          <w:b w:val="0"/>
          <w:i w:val="0"/>
          <w:color w:val="000000"/>
          <w:sz w:val="24"/>
        </w:rPr>
      </w:pPr>
      <w:bookmarkStart w:id="534" w:name="_Toc256001295"/>
      <w:r>
        <w:rPr>
          <w:b w:val="0"/>
          <w:i w:val="0"/>
          <w:color w:val="000000"/>
          <w:sz w:val="24"/>
        </w:rPr>
        <w:t>Tabela 3: Kazalniki rezultatov</w:t>
      </w:r>
      <w:bookmarkEnd w:id="534"/>
    </w:p>
    <w:p w14:paraId="2C1ED0A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17"/>
        <w:gridCol w:w="1215"/>
        <w:gridCol w:w="810"/>
        <w:gridCol w:w="1259"/>
        <w:gridCol w:w="1461"/>
        <w:gridCol w:w="1475"/>
        <w:gridCol w:w="1475"/>
        <w:gridCol w:w="1287"/>
        <w:gridCol w:w="1359"/>
        <w:gridCol w:w="1331"/>
        <w:gridCol w:w="1128"/>
        <w:gridCol w:w="1055"/>
      </w:tblGrid>
      <w:tr w:rsidR="00823317" w14:paraId="4717202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382982"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9D1D98"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8520FF"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4F82C5"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5898E1"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EDDD5C"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51E24D"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634936" w14:textId="77777777" w:rsidR="00A77B3E" w:rsidRDefault="00B16CCF">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FC8104" w14:textId="77777777" w:rsidR="00A77B3E" w:rsidRDefault="00B16CCF">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EE85F2" w14:textId="77777777" w:rsidR="00A77B3E" w:rsidRDefault="00B16CCF">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954266" w14:textId="77777777" w:rsidR="00A77B3E" w:rsidRDefault="00B16CCF">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21005A" w14:textId="77777777" w:rsidR="00A77B3E" w:rsidRDefault="00B16CCF">
            <w:pPr>
              <w:spacing w:before="5pt"/>
              <w:jc w:val="center"/>
              <w:rPr>
                <w:color w:val="000000"/>
                <w:sz w:val="20"/>
              </w:rPr>
            </w:pPr>
            <w:r>
              <w:rPr>
                <w:color w:val="000000"/>
                <w:sz w:val="20"/>
              </w:rPr>
              <w:t>Opombe</w:t>
            </w:r>
          </w:p>
        </w:tc>
      </w:tr>
      <w:tr w:rsidR="00823317" w14:paraId="33D5CA7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38B555"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916DD2" w14:textId="77777777" w:rsidR="00A77B3E" w:rsidRDefault="00B16CCF">
            <w:pPr>
              <w:spacing w:before="5pt"/>
              <w:rPr>
                <w:color w:val="000000"/>
                <w:sz w:val="20"/>
              </w:rPr>
            </w:pPr>
            <w:r>
              <w:rPr>
                <w:color w:val="000000"/>
                <w:sz w:val="20"/>
              </w:rPr>
              <w:t>RSO4.5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2EF95D"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214A16"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241E03" w14:textId="77777777" w:rsidR="00A77B3E" w:rsidRDefault="00B16CCF">
            <w:pPr>
              <w:spacing w:before="5pt"/>
              <w:rPr>
                <w:color w:val="000000"/>
                <w:sz w:val="20"/>
              </w:rPr>
            </w:pPr>
            <w:r>
              <w:rPr>
                <w:color w:val="000000"/>
                <w:sz w:val="20"/>
              </w:rPr>
              <w:t>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A021D9" w14:textId="77777777" w:rsidR="00A77B3E" w:rsidRDefault="00B16CCF">
            <w:pPr>
              <w:spacing w:before="5pt"/>
              <w:rPr>
                <w:color w:val="000000"/>
                <w:sz w:val="20"/>
              </w:rPr>
            </w:pPr>
            <w:r>
              <w:rPr>
                <w:color w:val="000000"/>
                <w:sz w:val="20"/>
              </w:rPr>
              <w:t>Število uporabnikov na leto, ki uporabljajo nove enote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3F439F" w14:textId="77777777" w:rsidR="00A77B3E" w:rsidRDefault="00B16CCF">
            <w:pPr>
              <w:spacing w:before="5pt"/>
              <w:rPr>
                <w:color w:val="000000"/>
                <w:sz w:val="20"/>
              </w:rPr>
            </w:pPr>
            <w:r>
              <w:rPr>
                <w:color w:val="000000"/>
                <w:sz w:val="20"/>
              </w:rPr>
              <w:t>število uporabnikov na leto, ki uporabljajo nove enote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11F0AB"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4ABC05" w14:textId="77777777" w:rsidR="00A77B3E" w:rsidRDefault="00B16CCF">
            <w:pPr>
              <w:spacing w:before="5pt"/>
              <w:jc w:val="center"/>
              <w:rPr>
                <w:color w:val="000000"/>
                <w:sz w:val="20"/>
              </w:rPr>
            </w:pPr>
            <w:r>
              <w:rPr>
                <w:color w:val="000000"/>
                <w:sz w:val="20"/>
              </w:rPr>
              <w:t>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1BD4E0" w14:textId="77777777" w:rsidR="00A77B3E" w:rsidRDefault="00B16CCF">
            <w:pPr>
              <w:spacing w:before="5pt"/>
              <w:jc w:val="end"/>
              <w:rPr>
                <w:color w:val="000000"/>
                <w:sz w:val="20"/>
              </w:rPr>
            </w:pPr>
            <w:r>
              <w:rPr>
                <w:color w:val="000000"/>
                <w:sz w:val="20"/>
              </w:rPr>
              <w:t>153.000,00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C24CAC" w14:textId="77777777" w:rsidR="00A77B3E" w:rsidRDefault="00B16CCF">
            <w:pPr>
              <w:spacing w:before="5pt"/>
              <w:rPr>
                <w:color w:val="000000"/>
                <w:sz w:val="20"/>
              </w:rPr>
            </w:pPr>
            <w:r>
              <w:rPr>
                <w:color w:val="000000"/>
                <w:sz w:val="20"/>
              </w:rPr>
              <w:t>MZ</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043E45" w14:textId="77777777" w:rsidR="00A77B3E" w:rsidRDefault="00A77B3E">
            <w:pPr>
              <w:spacing w:before="5pt"/>
              <w:rPr>
                <w:color w:val="000000"/>
                <w:sz w:val="20"/>
              </w:rPr>
            </w:pPr>
          </w:p>
        </w:tc>
      </w:tr>
    </w:tbl>
    <w:p w14:paraId="2BC4F233" w14:textId="77777777" w:rsidR="00A77B3E" w:rsidRDefault="00A77B3E">
      <w:pPr>
        <w:spacing w:before="5pt"/>
        <w:rPr>
          <w:color w:val="000000"/>
          <w:sz w:val="20"/>
        </w:rPr>
      </w:pPr>
    </w:p>
    <w:p w14:paraId="3D8C667E" w14:textId="77777777" w:rsidR="00A77B3E" w:rsidRDefault="00B16CCF">
      <w:pPr>
        <w:pStyle w:val="Naslov4"/>
        <w:spacing w:before="5pt" w:after="0pt"/>
        <w:rPr>
          <w:b w:val="0"/>
          <w:color w:val="000000"/>
          <w:sz w:val="24"/>
        </w:rPr>
      </w:pPr>
      <w:bookmarkStart w:id="535" w:name="_Toc256001296"/>
      <w:r>
        <w:rPr>
          <w:b w:val="0"/>
          <w:color w:val="000000"/>
          <w:sz w:val="24"/>
        </w:rPr>
        <w:t>2.1.1.1.3. Okvirna razčlenitev načrtovanih sredstev (EU) glede na vrsto ukrepa</w:t>
      </w:r>
      <w:bookmarkEnd w:id="535"/>
    </w:p>
    <w:p w14:paraId="4E44D30E" w14:textId="77777777" w:rsidR="00A77B3E" w:rsidRDefault="00A77B3E">
      <w:pPr>
        <w:spacing w:before="5pt"/>
        <w:rPr>
          <w:color w:val="000000"/>
          <w:sz w:val="0"/>
        </w:rPr>
      </w:pPr>
    </w:p>
    <w:p w14:paraId="41618D6A" w14:textId="77777777" w:rsidR="00A77B3E" w:rsidRDefault="00B16CCF">
      <w:pPr>
        <w:spacing w:before="5pt"/>
        <w:rPr>
          <w:color w:val="000000"/>
          <w:sz w:val="0"/>
        </w:rPr>
      </w:pPr>
      <w:r>
        <w:rPr>
          <w:color w:val="000000"/>
        </w:rPr>
        <w:t>Sklic: člen 22(3)(d)(viii) uredbe o skupnih določbah</w:t>
      </w:r>
    </w:p>
    <w:p w14:paraId="567AE05E" w14:textId="77777777" w:rsidR="00A77B3E" w:rsidRDefault="00B16CCF">
      <w:pPr>
        <w:pStyle w:val="Naslov5"/>
        <w:spacing w:before="5pt" w:after="0pt"/>
        <w:rPr>
          <w:b w:val="0"/>
          <w:i w:val="0"/>
          <w:color w:val="000000"/>
          <w:sz w:val="24"/>
        </w:rPr>
      </w:pPr>
      <w:bookmarkStart w:id="536" w:name="_Toc256001297"/>
      <w:r>
        <w:rPr>
          <w:b w:val="0"/>
          <w:i w:val="0"/>
          <w:color w:val="000000"/>
          <w:sz w:val="24"/>
        </w:rPr>
        <w:t>Tabela 4: Razsežnost 1 – področje ukrepanja</w:t>
      </w:r>
      <w:bookmarkEnd w:id="536"/>
    </w:p>
    <w:p w14:paraId="42FE4D3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05"/>
        <w:gridCol w:w="2312"/>
        <w:gridCol w:w="1679"/>
        <w:gridCol w:w="2396"/>
        <w:gridCol w:w="3126"/>
        <w:gridCol w:w="3154"/>
      </w:tblGrid>
      <w:tr w:rsidR="00823317" w14:paraId="7DB7D20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E5135E"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24D590"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21DC0B"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034698"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B822B0"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17A23D" w14:textId="77777777" w:rsidR="00A77B3E" w:rsidRDefault="00B16CCF">
            <w:pPr>
              <w:spacing w:before="5pt"/>
              <w:jc w:val="center"/>
              <w:rPr>
                <w:color w:val="000000"/>
                <w:sz w:val="20"/>
              </w:rPr>
            </w:pPr>
            <w:r>
              <w:rPr>
                <w:color w:val="000000"/>
                <w:sz w:val="20"/>
              </w:rPr>
              <w:t>Znesek (v EUR)</w:t>
            </w:r>
          </w:p>
        </w:tc>
      </w:tr>
      <w:tr w:rsidR="00823317" w14:paraId="76726BD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005405"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A40DC4" w14:textId="77777777" w:rsidR="00A77B3E" w:rsidRDefault="00B16CCF">
            <w:pPr>
              <w:spacing w:before="5pt"/>
              <w:rPr>
                <w:color w:val="000000"/>
                <w:sz w:val="20"/>
              </w:rPr>
            </w:pPr>
            <w:r>
              <w:rPr>
                <w:color w:val="000000"/>
                <w:sz w:val="20"/>
              </w:rPr>
              <w:t>RSO4.5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B1231E"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9D2D1D"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D864B5" w14:textId="77777777" w:rsidR="00A77B3E" w:rsidRDefault="00B16CCF">
            <w:pPr>
              <w:spacing w:before="5pt"/>
              <w:rPr>
                <w:color w:val="000000"/>
                <w:sz w:val="20"/>
              </w:rPr>
            </w:pPr>
            <w:r>
              <w:rPr>
                <w:color w:val="000000"/>
                <w:sz w:val="20"/>
              </w:rPr>
              <w:t>043. Gradnja novih energijsko učinkovitih stavb</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9C7647" w14:textId="77777777" w:rsidR="00A77B3E" w:rsidRDefault="00B16CCF">
            <w:pPr>
              <w:spacing w:before="5pt"/>
              <w:jc w:val="end"/>
              <w:rPr>
                <w:color w:val="000000"/>
                <w:sz w:val="20"/>
              </w:rPr>
            </w:pPr>
            <w:r>
              <w:rPr>
                <w:color w:val="000000"/>
                <w:sz w:val="20"/>
              </w:rPr>
              <w:t>17.500.000,00</w:t>
            </w:r>
          </w:p>
        </w:tc>
      </w:tr>
      <w:tr w:rsidR="00823317" w14:paraId="374D9A2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9F0BAB"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8F5166" w14:textId="77777777" w:rsidR="00A77B3E" w:rsidRDefault="00B16CCF">
            <w:pPr>
              <w:spacing w:before="5pt"/>
              <w:rPr>
                <w:color w:val="000000"/>
                <w:sz w:val="20"/>
              </w:rPr>
            </w:pPr>
            <w:r>
              <w:rPr>
                <w:color w:val="000000"/>
                <w:sz w:val="20"/>
              </w:rPr>
              <w:t>RSO4.5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328B52"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17BDC0"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D75D59" w14:textId="77777777" w:rsidR="00A77B3E" w:rsidRDefault="00B16CCF">
            <w:pPr>
              <w:spacing w:before="5pt"/>
              <w:rPr>
                <w:color w:val="000000"/>
                <w:sz w:val="20"/>
              </w:rPr>
            </w:pPr>
            <w:r>
              <w:rPr>
                <w:color w:val="000000"/>
                <w:sz w:val="20"/>
              </w:rPr>
              <w:t>044. Prenova za večjo energijsko učinkovitost ali ukrepi za večjo energijsko učinkovitost javne infrastrukture, predstavitveni projekti in podporni ukrepi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24D6B5" w14:textId="77777777" w:rsidR="00A77B3E" w:rsidRDefault="00B16CCF">
            <w:pPr>
              <w:spacing w:before="5pt"/>
              <w:jc w:val="end"/>
              <w:rPr>
                <w:color w:val="000000"/>
                <w:sz w:val="20"/>
              </w:rPr>
            </w:pPr>
            <w:r>
              <w:rPr>
                <w:color w:val="000000"/>
                <w:sz w:val="20"/>
              </w:rPr>
              <w:t>17.500.000,00</w:t>
            </w:r>
          </w:p>
        </w:tc>
      </w:tr>
      <w:tr w:rsidR="00823317" w14:paraId="1A89EA6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1F66B8"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B47331" w14:textId="77777777" w:rsidR="00A77B3E" w:rsidRDefault="00B16CCF">
            <w:pPr>
              <w:spacing w:before="5pt"/>
              <w:rPr>
                <w:color w:val="000000"/>
                <w:sz w:val="20"/>
              </w:rPr>
            </w:pPr>
            <w:r>
              <w:rPr>
                <w:color w:val="000000"/>
                <w:sz w:val="20"/>
              </w:rPr>
              <w:t>RSO4.5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B3EA2F"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2BB636"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FA04BE" w14:textId="77777777" w:rsidR="00A77B3E" w:rsidRDefault="00B16CCF">
            <w:pPr>
              <w:spacing w:before="5pt"/>
              <w:rPr>
                <w:color w:val="000000"/>
                <w:sz w:val="20"/>
              </w:rPr>
            </w:pPr>
            <w:r>
              <w:rPr>
                <w:color w:val="000000"/>
                <w:sz w:val="20"/>
              </w:rPr>
              <w:t>129. Zdravstvena oprema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94BFAC" w14:textId="77777777" w:rsidR="00A77B3E" w:rsidRDefault="00B16CCF">
            <w:pPr>
              <w:spacing w:before="5pt"/>
              <w:jc w:val="end"/>
              <w:rPr>
                <w:color w:val="000000"/>
                <w:sz w:val="20"/>
              </w:rPr>
            </w:pPr>
            <w:r>
              <w:rPr>
                <w:color w:val="000000"/>
                <w:sz w:val="20"/>
              </w:rPr>
              <w:t>23.780.000,00</w:t>
            </w:r>
          </w:p>
        </w:tc>
      </w:tr>
      <w:tr w:rsidR="00823317" w14:paraId="6F6520D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F123E4"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FAB274" w14:textId="77777777" w:rsidR="00A77B3E" w:rsidRDefault="00B16CCF">
            <w:pPr>
              <w:spacing w:before="5pt"/>
              <w:rPr>
                <w:color w:val="000000"/>
                <w:sz w:val="20"/>
              </w:rPr>
            </w:pPr>
            <w:r>
              <w:rPr>
                <w:color w:val="000000"/>
                <w:sz w:val="20"/>
              </w:rPr>
              <w:t>RSO4.5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9CD0B4"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FF4496"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F6F4FF"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21D7EB" w14:textId="77777777" w:rsidR="00A77B3E" w:rsidRDefault="00B16CCF">
            <w:pPr>
              <w:spacing w:before="5pt"/>
              <w:jc w:val="end"/>
              <w:rPr>
                <w:color w:val="000000"/>
                <w:sz w:val="20"/>
              </w:rPr>
            </w:pPr>
            <w:r>
              <w:rPr>
                <w:color w:val="000000"/>
                <w:sz w:val="20"/>
              </w:rPr>
              <w:t>58.780.000,00</w:t>
            </w:r>
          </w:p>
        </w:tc>
      </w:tr>
    </w:tbl>
    <w:p w14:paraId="15A8F8F3" w14:textId="77777777" w:rsidR="00A77B3E" w:rsidRDefault="00A77B3E">
      <w:pPr>
        <w:spacing w:before="5pt"/>
        <w:rPr>
          <w:color w:val="000000"/>
          <w:sz w:val="20"/>
        </w:rPr>
      </w:pPr>
    </w:p>
    <w:p w14:paraId="0E63420B" w14:textId="77777777" w:rsidR="00A77B3E" w:rsidRDefault="00B16CCF">
      <w:pPr>
        <w:pStyle w:val="Naslov5"/>
        <w:spacing w:before="5pt" w:after="0pt"/>
        <w:rPr>
          <w:b w:val="0"/>
          <w:i w:val="0"/>
          <w:color w:val="000000"/>
          <w:sz w:val="24"/>
        </w:rPr>
      </w:pPr>
      <w:bookmarkStart w:id="537" w:name="_Toc256001298"/>
      <w:r>
        <w:rPr>
          <w:b w:val="0"/>
          <w:i w:val="0"/>
          <w:color w:val="000000"/>
          <w:sz w:val="24"/>
        </w:rPr>
        <w:t>Tabela 5: Razsežnost 2 – oblika financiranja</w:t>
      </w:r>
      <w:bookmarkEnd w:id="537"/>
    </w:p>
    <w:p w14:paraId="10E9699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93"/>
        <w:gridCol w:w="2392"/>
        <w:gridCol w:w="1737"/>
        <w:gridCol w:w="2480"/>
        <w:gridCol w:w="2706"/>
        <w:gridCol w:w="3264"/>
      </w:tblGrid>
      <w:tr w:rsidR="00823317" w14:paraId="5A69818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84147A"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1271A0"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9DD0C8"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5F5155"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C0316D"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34ECB5" w14:textId="77777777" w:rsidR="00A77B3E" w:rsidRDefault="00B16CCF">
            <w:pPr>
              <w:spacing w:before="5pt"/>
              <w:jc w:val="center"/>
              <w:rPr>
                <w:color w:val="000000"/>
                <w:sz w:val="20"/>
              </w:rPr>
            </w:pPr>
            <w:r>
              <w:rPr>
                <w:color w:val="000000"/>
                <w:sz w:val="20"/>
              </w:rPr>
              <w:t>Znesek (v EUR)</w:t>
            </w:r>
          </w:p>
        </w:tc>
      </w:tr>
      <w:tr w:rsidR="00823317" w14:paraId="4363D58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9A93C6"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23DF34" w14:textId="77777777" w:rsidR="00A77B3E" w:rsidRDefault="00B16CCF">
            <w:pPr>
              <w:spacing w:before="5pt"/>
              <w:rPr>
                <w:color w:val="000000"/>
                <w:sz w:val="20"/>
              </w:rPr>
            </w:pPr>
            <w:r>
              <w:rPr>
                <w:color w:val="000000"/>
                <w:sz w:val="20"/>
              </w:rPr>
              <w:t>RSO4.5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36CAA6"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09066A"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47EE9F" w14:textId="77777777" w:rsidR="00A77B3E" w:rsidRDefault="00B16CCF">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9A02A2" w14:textId="77777777" w:rsidR="00A77B3E" w:rsidRDefault="00B16CCF">
            <w:pPr>
              <w:spacing w:before="5pt"/>
              <w:jc w:val="end"/>
              <w:rPr>
                <w:color w:val="000000"/>
                <w:sz w:val="20"/>
              </w:rPr>
            </w:pPr>
            <w:r>
              <w:rPr>
                <w:color w:val="000000"/>
                <w:sz w:val="20"/>
              </w:rPr>
              <w:t>58.780.000,00</w:t>
            </w:r>
          </w:p>
        </w:tc>
      </w:tr>
      <w:tr w:rsidR="00823317" w14:paraId="27E4213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0332E5"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C46464" w14:textId="77777777" w:rsidR="00A77B3E" w:rsidRDefault="00B16CCF">
            <w:pPr>
              <w:spacing w:before="5pt"/>
              <w:rPr>
                <w:color w:val="000000"/>
                <w:sz w:val="20"/>
              </w:rPr>
            </w:pPr>
            <w:r>
              <w:rPr>
                <w:color w:val="000000"/>
                <w:sz w:val="20"/>
              </w:rPr>
              <w:t>RSO4.5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4C2B11"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1D03BE"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255E53"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A068DF" w14:textId="77777777" w:rsidR="00A77B3E" w:rsidRDefault="00B16CCF">
            <w:pPr>
              <w:spacing w:before="5pt"/>
              <w:jc w:val="end"/>
              <w:rPr>
                <w:color w:val="000000"/>
                <w:sz w:val="20"/>
              </w:rPr>
            </w:pPr>
            <w:r>
              <w:rPr>
                <w:color w:val="000000"/>
                <w:sz w:val="20"/>
              </w:rPr>
              <w:t>58.780.000,00</w:t>
            </w:r>
          </w:p>
        </w:tc>
      </w:tr>
    </w:tbl>
    <w:p w14:paraId="75DBB5B0" w14:textId="77777777" w:rsidR="00A77B3E" w:rsidRDefault="00A77B3E">
      <w:pPr>
        <w:spacing w:before="5pt"/>
        <w:rPr>
          <w:color w:val="000000"/>
          <w:sz w:val="20"/>
        </w:rPr>
      </w:pPr>
    </w:p>
    <w:p w14:paraId="08D6184D" w14:textId="77777777" w:rsidR="00A77B3E" w:rsidRDefault="00B16CCF">
      <w:pPr>
        <w:pStyle w:val="Naslov5"/>
        <w:spacing w:before="5pt" w:after="0pt"/>
        <w:rPr>
          <w:b w:val="0"/>
          <w:i w:val="0"/>
          <w:color w:val="000000"/>
          <w:sz w:val="24"/>
        </w:rPr>
      </w:pPr>
      <w:bookmarkStart w:id="538" w:name="_Toc256001299"/>
      <w:r>
        <w:rPr>
          <w:b w:val="0"/>
          <w:i w:val="0"/>
          <w:color w:val="000000"/>
          <w:sz w:val="24"/>
        </w:rPr>
        <w:t>Tabela 6: Razsežnost 3 – mehanizem za ozemeljsko izvrševanje in ozemeljski pristop</w:t>
      </w:r>
      <w:bookmarkEnd w:id="538"/>
    </w:p>
    <w:p w14:paraId="186F031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26"/>
        <w:gridCol w:w="2331"/>
        <w:gridCol w:w="1692"/>
        <w:gridCol w:w="2416"/>
        <w:gridCol w:w="3027"/>
        <w:gridCol w:w="3180"/>
      </w:tblGrid>
      <w:tr w:rsidR="00823317" w14:paraId="210E943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D636E9"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057345"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23E3D4"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E7F39D"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799F55"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E25CCA" w14:textId="77777777" w:rsidR="00A77B3E" w:rsidRDefault="00B16CCF">
            <w:pPr>
              <w:spacing w:before="5pt"/>
              <w:jc w:val="center"/>
              <w:rPr>
                <w:color w:val="000000"/>
                <w:sz w:val="20"/>
              </w:rPr>
            </w:pPr>
            <w:r>
              <w:rPr>
                <w:color w:val="000000"/>
                <w:sz w:val="20"/>
              </w:rPr>
              <w:t>Znesek (v EUR)</w:t>
            </w:r>
          </w:p>
        </w:tc>
      </w:tr>
      <w:tr w:rsidR="00823317" w14:paraId="79F6FE9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58CBDC"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919482" w14:textId="77777777" w:rsidR="00A77B3E" w:rsidRDefault="00B16CCF">
            <w:pPr>
              <w:spacing w:before="5pt"/>
              <w:rPr>
                <w:color w:val="000000"/>
                <w:sz w:val="20"/>
              </w:rPr>
            </w:pPr>
            <w:r>
              <w:rPr>
                <w:color w:val="000000"/>
                <w:sz w:val="20"/>
              </w:rPr>
              <w:t>RSO4.5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FB140B"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3CDB83"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BE118C" w14:textId="77777777" w:rsidR="00A77B3E" w:rsidRDefault="00B16CCF">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B40380" w14:textId="77777777" w:rsidR="00A77B3E" w:rsidRDefault="00B16CCF">
            <w:pPr>
              <w:spacing w:before="5pt"/>
              <w:jc w:val="end"/>
              <w:rPr>
                <w:color w:val="000000"/>
                <w:sz w:val="20"/>
              </w:rPr>
            </w:pPr>
            <w:r>
              <w:rPr>
                <w:color w:val="000000"/>
                <w:sz w:val="20"/>
              </w:rPr>
              <w:t>58.780.000,00</w:t>
            </w:r>
          </w:p>
        </w:tc>
      </w:tr>
      <w:tr w:rsidR="00823317" w14:paraId="5F0B6BC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91F6CC"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B5A109" w14:textId="77777777" w:rsidR="00A77B3E" w:rsidRDefault="00B16CCF">
            <w:pPr>
              <w:spacing w:before="5pt"/>
              <w:rPr>
                <w:color w:val="000000"/>
                <w:sz w:val="20"/>
              </w:rPr>
            </w:pPr>
            <w:r>
              <w:rPr>
                <w:color w:val="000000"/>
                <w:sz w:val="20"/>
              </w:rPr>
              <w:t>RSO4.5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EFC790"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C7AB5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05F6A4"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D39BC3" w14:textId="77777777" w:rsidR="00A77B3E" w:rsidRDefault="00B16CCF">
            <w:pPr>
              <w:spacing w:before="5pt"/>
              <w:jc w:val="end"/>
              <w:rPr>
                <w:color w:val="000000"/>
                <w:sz w:val="20"/>
              </w:rPr>
            </w:pPr>
            <w:r>
              <w:rPr>
                <w:color w:val="000000"/>
                <w:sz w:val="20"/>
              </w:rPr>
              <w:t>58.780.000,00</w:t>
            </w:r>
          </w:p>
        </w:tc>
      </w:tr>
    </w:tbl>
    <w:p w14:paraId="5433306C" w14:textId="77777777" w:rsidR="00A77B3E" w:rsidRDefault="00A77B3E">
      <w:pPr>
        <w:spacing w:before="5pt"/>
        <w:rPr>
          <w:color w:val="000000"/>
          <w:sz w:val="20"/>
        </w:rPr>
      </w:pPr>
    </w:p>
    <w:p w14:paraId="4AD58BBB" w14:textId="77777777" w:rsidR="00A77B3E" w:rsidRDefault="00B16CCF">
      <w:pPr>
        <w:pStyle w:val="Naslov5"/>
        <w:spacing w:before="5pt" w:after="0pt"/>
        <w:rPr>
          <w:b w:val="0"/>
          <w:i w:val="0"/>
          <w:color w:val="000000"/>
          <w:sz w:val="24"/>
        </w:rPr>
      </w:pPr>
      <w:bookmarkStart w:id="539" w:name="_Toc256001300"/>
      <w:r>
        <w:rPr>
          <w:b w:val="0"/>
          <w:i w:val="0"/>
          <w:color w:val="000000"/>
          <w:sz w:val="24"/>
        </w:rPr>
        <w:t>Tabela 7: Razsežnost 6 – sekundarna področja ESS+</w:t>
      </w:r>
      <w:bookmarkEnd w:id="539"/>
    </w:p>
    <w:p w14:paraId="7D5E5F5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117"/>
        <w:gridCol w:w="2877"/>
        <w:gridCol w:w="1780"/>
        <w:gridCol w:w="2982"/>
        <w:gridCol w:w="2259"/>
        <w:gridCol w:w="2157"/>
      </w:tblGrid>
      <w:tr w:rsidR="00823317" w14:paraId="4E42138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7DA292"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D2739B"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AA06D6"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D4E73B"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B791B6"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5DC457" w14:textId="77777777" w:rsidR="00A77B3E" w:rsidRDefault="00B16CCF">
            <w:pPr>
              <w:spacing w:before="5pt"/>
              <w:jc w:val="center"/>
              <w:rPr>
                <w:color w:val="000000"/>
                <w:sz w:val="20"/>
              </w:rPr>
            </w:pPr>
            <w:r>
              <w:rPr>
                <w:color w:val="000000"/>
                <w:sz w:val="20"/>
              </w:rPr>
              <w:t>Znesek (v EUR)</w:t>
            </w:r>
          </w:p>
        </w:tc>
      </w:tr>
    </w:tbl>
    <w:p w14:paraId="57F4C8CF" w14:textId="77777777" w:rsidR="00A77B3E" w:rsidRDefault="00A77B3E">
      <w:pPr>
        <w:spacing w:before="5pt"/>
        <w:rPr>
          <w:color w:val="000000"/>
          <w:sz w:val="20"/>
        </w:rPr>
      </w:pPr>
    </w:p>
    <w:p w14:paraId="64C89D11" w14:textId="77777777" w:rsidR="00A77B3E" w:rsidRDefault="00B16CCF">
      <w:pPr>
        <w:pStyle w:val="Naslov5"/>
        <w:spacing w:before="5pt" w:after="0pt"/>
        <w:rPr>
          <w:b w:val="0"/>
          <w:i w:val="0"/>
          <w:color w:val="000000"/>
          <w:sz w:val="24"/>
        </w:rPr>
      </w:pPr>
      <w:bookmarkStart w:id="540" w:name="_Toc256001301"/>
      <w:r>
        <w:rPr>
          <w:b w:val="0"/>
          <w:i w:val="0"/>
          <w:color w:val="000000"/>
          <w:sz w:val="24"/>
        </w:rPr>
        <w:t>Tabela 8: Razsežnost 7 – razsežnost enakosti spolov v okviru ESS+*, ESRR, Kohezijskega sklada in SPP</w:t>
      </w:r>
      <w:bookmarkEnd w:id="540"/>
    </w:p>
    <w:p w14:paraId="7F3E764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13"/>
        <w:gridCol w:w="2411"/>
        <w:gridCol w:w="1750"/>
        <w:gridCol w:w="2498"/>
        <w:gridCol w:w="2612"/>
        <w:gridCol w:w="3288"/>
      </w:tblGrid>
      <w:tr w:rsidR="00823317" w14:paraId="6DA84D4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4C9195"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679CA7D"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59CA39"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AF91A5"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7355D5"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B0C5FC" w14:textId="77777777" w:rsidR="00A77B3E" w:rsidRDefault="00B16CCF">
            <w:pPr>
              <w:spacing w:before="5pt"/>
              <w:jc w:val="center"/>
              <w:rPr>
                <w:color w:val="000000"/>
                <w:sz w:val="20"/>
              </w:rPr>
            </w:pPr>
            <w:r>
              <w:rPr>
                <w:color w:val="000000"/>
                <w:sz w:val="20"/>
              </w:rPr>
              <w:t>Znesek (v EUR)</w:t>
            </w:r>
          </w:p>
        </w:tc>
      </w:tr>
      <w:tr w:rsidR="00823317" w14:paraId="3034320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A8A85A"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4F7AB6" w14:textId="77777777" w:rsidR="00A77B3E" w:rsidRDefault="00B16CCF">
            <w:pPr>
              <w:spacing w:before="5pt"/>
              <w:rPr>
                <w:color w:val="000000"/>
                <w:sz w:val="20"/>
              </w:rPr>
            </w:pPr>
            <w:r>
              <w:rPr>
                <w:color w:val="000000"/>
                <w:sz w:val="20"/>
              </w:rPr>
              <w:t>RSO4.5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234EE5"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965234"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DC5269" w14:textId="77777777" w:rsidR="00A77B3E" w:rsidRDefault="00B16CCF">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523E7E" w14:textId="77777777" w:rsidR="00A77B3E" w:rsidRDefault="00B16CCF">
            <w:pPr>
              <w:spacing w:before="5pt"/>
              <w:jc w:val="end"/>
              <w:rPr>
                <w:color w:val="000000"/>
                <w:sz w:val="20"/>
              </w:rPr>
            </w:pPr>
            <w:r>
              <w:rPr>
                <w:color w:val="000000"/>
                <w:sz w:val="20"/>
              </w:rPr>
              <w:t>58.780.000,00</w:t>
            </w:r>
          </w:p>
        </w:tc>
      </w:tr>
      <w:tr w:rsidR="00823317" w14:paraId="653C824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70109B"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39F0E3" w14:textId="77777777" w:rsidR="00A77B3E" w:rsidRDefault="00B16CCF">
            <w:pPr>
              <w:spacing w:before="5pt"/>
              <w:rPr>
                <w:color w:val="000000"/>
                <w:sz w:val="20"/>
              </w:rPr>
            </w:pPr>
            <w:r>
              <w:rPr>
                <w:color w:val="000000"/>
                <w:sz w:val="20"/>
              </w:rPr>
              <w:t>RSO4.5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DB017D"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D50E1F"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8BA2D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F1E074" w14:textId="77777777" w:rsidR="00A77B3E" w:rsidRDefault="00B16CCF">
            <w:pPr>
              <w:spacing w:before="5pt"/>
              <w:jc w:val="end"/>
              <w:rPr>
                <w:color w:val="000000"/>
                <w:sz w:val="20"/>
              </w:rPr>
            </w:pPr>
            <w:r>
              <w:rPr>
                <w:color w:val="000000"/>
                <w:sz w:val="20"/>
              </w:rPr>
              <w:t>58.780.000,00</w:t>
            </w:r>
          </w:p>
        </w:tc>
      </w:tr>
    </w:tbl>
    <w:p w14:paraId="5D5ED5B7" w14:textId="77777777" w:rsidR="00A77B3E" w:rsidRDefault="00B16CCF">
      <w:pPr>
        <w:spacing w:before="5pt"/>
        <w:rPr>
          <w:color w:val="000000"/>
          <w:sz w:val="20"/>
        </w:rPr>
      </w:pPr>
      <w:r>
        <w:rPr>
          <w:color w:val="000000"/>
          <w:sz w:val="20"/>
        </w:rPr>
        <w:t>* Načeloma 40 % za ESS+ prispeva k spremljanju enakosti spolov. 100 % se uporabi, kadar se država članica odloči za uporabo člena 6 uredbe o ESS+.</w:t>
      </w:r>
    </w:p>
    <w:p w14:paraId="1A39AFA4" w14:textId="77777777" w:rsidR="00A77B3E" w:rsidRDefault="00B16CCF">
      <w:pPr>
        <w:pStyle w:val="Naslov4"/>
        <w:spacing w:before="5pt" w:after="0pt"/>
        <w:rPr>
          <w:b w:val="0"/>
          <w:color w:val="000000"/>
          <w:sz w:val="24"/>
        </w:rPr>
      </w:pPr>
      <w:r>
        <w:rPr>
          <w:b w:val="0"/>
          <w:color w:val="000000"/>
          <w:sz w:val="24"/>
        </w:rPr>
        <w:br w:type="page"/>
      </w:r>
      <w:bookmarkStart w:id="541" w:name="_Toc256001302"/>
      <w:r>
        <w:rPr>
          <w:b w:val="0"/>
          <w:color w:val="000000"/>
          <w:sz w:val="24"/>
        </w:rPr>
        <w:lastRenderedPageBreak/>
        <w:t>2.1.1.1. Specifični cilj: ESO4.8. Pospeševanje dejavnega vključevanja za spodbujanje enakih možnosti, nediskriminacije in aktivne udeležbe ter povečevanje zaposljivosti, zlasti za prikrajšane skupine (ESS+)</w:t>
      </w:r>
      <w:bookmarkEnd w:id="541"/>
    </w:p>
    <w:p w14:paraId="3213D81B" w14:textId="77777777" w:rsidR="00A77B3E" w:rsidRDefault="00A77B3E">
      <w:pPr>
        <w:spacing w:before="5pt"/>
        <w:rPr>
          <w:color w:val="000000"/>
          <w:sz w:val="0"/>
        </w:rPr>
      </w:pPr>
    </w:p>
    <w:p w14:paraId="3E56601F" w14:textId="77777777" w:rsidR="00A77B3E" w:rsidRDefault="00B16CCF">
      <w:pPr>
        <w:pStyle w:val="Naslov4"/>
        <w:spacing w:before="5pt" w:after="0pt"/>
        <w:rPr>
          <w:b w:val="0"/>
          <w:color w:val="000000"/>
          <w:sz w:val="24"/>
        </w:rPr>
      </w:pPr>
      <w:bookmarkStart w:id="542" w:name="_Toc256001303"/>
      <w:r>
        <w:rPr>
          <w:b w:val="0"/>
          <w:color w:val="000000"/>
          <w:sz w:val="24"/>
        </w:rPr>
        <w:t>2.1.1.1.1. Ukrepi skladov</w:t>
      </w:r>
      <w:bookmarkEnd w:id="542"/>
    </w:p>
    <w:p w14:paraId="12B256B6" w14:textId="77777777" w:rsidR="00A77B3E" w:rsidRDefault="00A77B3E">
      <w:pPr>
        <w:spacing w:before="5pt"/>
        <w:rPr>
          <w:color w:val="000000"/>
          <w:sz w:val="0"/>
        </w:rPr>
      </w:pPr>
    </w:p>
    <w:p w14:paraId="5EB5489A" w14:textId="77777777" w:rsidR="00A77B3E" w:rsidRDefault="00B16CCF">
      <w:pPr>
        <w:spacing w:before="5pt"/>
        <w:rPr>
          <w:color w:val="000000"/>
          <w:sz w:val="0"/>
        </w:rPr>
      </w:pPr>
      <w:r>
        <w:rPr>
          <w:color w:val="000000"/>
        </w:rPr>
        <w:t>Sklic: člen 22(3)(d)(i), (iii), (iv), (v), (vi) in (vii) uredbe o skupnih določbah</w:t>
      </w:r>
    </w:p>
    <w:p w14:paraId="6BAF1688" w14:textId="77777777" w:rsidR="00A77B3E" w:rsidRDefault="00B16CCF">
      <w:pPr>
        <w:pStyle w:val="Naslov5"/>
        <w:spacing w:before="5pt" w:after="0pt"/>
        <w:rPr>
          <w:b w:val="0"/>
          <w:i w:val="0"/>
          <w:color w:val="000000"/>
          <w:sz w:val="24"/>
        </w:rPr>
      </w:pPr>
      <w:bookmarkStart w:id="543" w:name="_Toc256001304"/>
      <w:r>
        <w:rPr>
          <w:b w:val="0"/>
          <w:i w:val="0"/>
          <w:color w:val="000000"/>
          <w:sz w:val="24"/>
        </w:rPr>
        <w:t>Povezane vrste ukrepov – člen 22(3)(d)(i) uredbe o skupnih določbah in člen 6 uredbe o ESS+:</w:t>
      </w:r>
      <w:bookmarkEnd w:id="543"/>
    </w:p>
    <w:p w14:paraId="3700506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726D3D7D"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192F99" w14:textId="77777777" w:rsidR="00A77B3E" w:rsidRDefault="00A77B3E">
            <w:pPr>
              <w:spacing w:before="5pt"/>
              <w:rPr>
                <w:color w:val="000000"/>
                <w:sz w:val="0"/>
              </w:rPr>
            </w:pPr>
          </w:p>
          <w:p w14:paraId="3B43D28E" w14:textId="77777777" w:rsidR="00A77B3E" w:rsidRDefault="00B16CCF">
            <w:pPr>
              <w:spacing w:before="5pt"/>
              <w:rPr>
                <w:color w:val="000000"/>
              </w:rPr>
            </w:pPr>
            <w:r>
              <w:rPr>
                <w:color w:val="000000"/>
              </w:rPr>
              <w:t>V okviru specifičnega cilja ESO4.8 bodo z ukrepi naslovljena predvsem naslednja področja:</w:t>
            </w:r>
          </w:p>
          <w:p w14:paraId="33F1607D" w14:textId="77777777" w:rsidR="00A77B3E" w:rsidRDefault="00B16CCF">
            <w:pPr>
              <w:spacing w:before="5pt"/>
              <w:rPr>
                <w:color w:val="000000"/>
              </w:rPr>
            </w:pPr>
            <w:r>
              <w:rPr>
                <w:color w:val="000000"/>
              </w:rPr>
              <w:t xml:space="preserve">•spodbujanje socialnega vključevanja oseb, izpostavljenih tveganju revščine ali socialne izključenosti z identificiranimi ovirami pri vstopanju na trg dela: izvajali se bodo programi socialne aktivacije za dvig socialnih, funkcionalnih in delovnih kompetenc za osebe iz ciljnih skupin dolgotrajno brezposelnih, prejemnikov denarne socialne pomoči, začasno nezaposljivih, migrantov, ipd., ki se soočajo s kompleksno socialno problematiko, ki jih ovira pri vstopu na trg dela; program učnih delavnic, katerega namen je vključevanje ranljivih ciljnih skupin v okolje socialnega podjetništva </w:t>
            </w:r>
            <w:r>
              <w:rPr>
                <w:i/>
                <w:iCs/>
                <w:color w:val="000000"/>
              </w:rPr>
              <w:t>v delovanje organizacij socialne ekonomije, ki jih opredeljuje šesta točka 2. člena Zakona o socialnem podjetništvu</w:t>
            </w:r>
            <w:r>
              <w:rPr>
                <w:color w:val="000000"/>
              </w:rPr>
              <w:t xml:space="preserve"> in razvoju dejavnosti in zaposlovanja v obstoječih </w:t>
            </w:r>
            <w:r>
              <w:rPr>
                <w:i/>
                <w:iCs/>
                <w:color w:val="000000"/>
              </w:rPr>
              <w:t>organizacijah socialne ekonomije, ki delujejo skladno z načeli socialne ekonomije oziroma socialnega podjetništva</w:t>
            </w:r>
            <w:r>
              <w:rPr>
                <w:color w:val="000000"/>
              </w:rPr>
              <w:t xml:space="preserve"> ter program PUM-O, ki je namenjen mlajšim odraslim NEET, ki potrebujejo aktivno reševanje problematike za vključitev nazaj v šolanje ali vstop na trg dela;</w:t>
            </w:r>
          </w:p>
          <w:p w14:paraId="4E0F5927" w14:textId="77777777" w:rsidR="00A77B3E" w:rsidRDefault="00B16CCF">
            <w:pPr>
              <w:spacing w:before="5pt"/>
              <w:rPr>
                <w:color w:val="000000"/>
              </w:rPr>
            </w:pPr>
            <w:r>
              <w:rPr>
                <w:color w:val="000000"/>
              </w:rPr>
              <w:t>•</w:t>
            </w:r>
            <w:r>
              <w:rPr>
                <w:i/>
                <w:iCs/>
                <w:color w:val="000000"/>
              </w:rPr>
              <w:t>ukrepi za podporo izvajanju lažjega prehoda mladih s posebnimi potrebami</w:t>
            </w:r>
            <w:r>
              <w:rPr>
                <w:color w:val="000000"/>
              </w:rPr>
              <w:t xml:space="preserve"> </w:t>
            </w:r>
            <w:r>
              <w:rPr>
                <w:i/>
                <w:iCs/>
                <w:color w:val="000000"/>
              </w:rPr>
              <w:t>na trg dela</w:t>
            </w:r>
            <w:r>
              <w:rPr>
                <w:color w:val="000000"/>
              </w:rPr>
              <w:t xml:space="preserve"> preko različnih oblik pomoči, saj imajo mladi s posebnimi potrebami zaradi primanjkljajev težave pri prehodu na naslednji nivo izobraževanja ali na trg dela, zato potrebujejo dodatno vzpodbudo s strani strokovnih delavcev. Ukrep je komplementaren z ukrepom hitrejši vstop mladih na trgu dela, ki se bo izvajal v okviru NOO, ter z ukrepi na področju socialne vključenosti otrok s posebnimi potrebami v okviru SC ESO4.11;</w:t>
            </w:r>
          </w:p>
          <w:p w14:paraId="3DDBFA6B" w14:textId="77777777" w:rsidR="00A77B3E" w:rsidRDefault="00B16CCF">
            <w:pPr>
              <w:spacing w:before="5pt"/>
              <w:rPr>
                <w:color w:val="000000"/>
              </w:rPr>
            </w:pPr>
            <w:r>
              <w:rPr>
                <w:color w:val="000000"/>
              </w:rPr>
              <w:t xml:space="preserve">•izvajanje izobraževanj za zaprte osebe za pridobitev srednješolske izobrazbe in kvalifikacij, prekvalifikacije in nadaljnjo poklicno usposabljanje, izvajanje programov nacionalnih poklicnih kvalifikacij ter drugih neformalnih programov usposabljanja in izobraževanja za zaprte osebe </w:t>
            </w:r>
            <w:r>
              <w:rPr>
                <w:i/>
                <w:iCs/>
                <w:color w:val="000000"/>
              </w:rPr>
              <w:t>ter mladoletnike z izrečenim ukrepom oddaje v prevzgojni dom</w:t>
            </w:r>
            <w:r>
              <w:rPr>
                <w:color w:val="000000"/>
              </w:rPr>
              <w:t>. Ukrep omogoča hitrejše vključevanje na trg dela po prestani kazni zapora. ;</w:t>
            </w:r>
          </w:p>
          <w:p w14:paraId="3B22BF20" w14:textId="77777777" w:rsidR="00A77B3E" w:rsidRDefault="00B16CCF">
            <w:pPr>
              <w:spacing w:before="5pt"/>
              <w:rPr>
                <w:color w:val="000000"/>
              </w:rPr>
            </w:pPr>
            <w:r>
              <w:rPr>
                <w:color w:val="000000"/>
              </w:rPr>
              <w:t>•</w:t>
            </w:r>
            <w:r>
              <w:rPr>
                <w:i/>
                <w:iCs/>
                <w:color w:val="000000"/>
              </w:rPr>
              <w:t>zaposlovanje, usposabljanje in spodbujanje socialne vključenosti pripadnikov ranljivih družbenih skupin na področju kulture</w:t>
            </w:r>
            <w:r>
              <w:rPr>
                <w:color w:val="000000"/>
              </w:rPr>
              <w:t>, pri čemer se bo med drugim upoštevalo načelo enakih možnosti, s čimer se bo preprečeval zdrs v socialno izključenost.</w:t>
            </w:r>
          </w:p>
          <w:p w14:paraId="3F0B09D0" w14:textId="77777777" w:rsidR="00A77B3E" w:rsidRDefault="00A77B3E">
            <w:pPr>
              <w:spacing w:before="5pt"/>
              <w:rPr>
                <w:color w:val="000000"/>
              </w:rPr>
            </w:pPr>
          </w:p>
          <w:p w14:paraId="25844C94" w14:textId="77777777" w:rsidR="00A77B3E" w:rsidRDefault="00B16CCF">
            <w:pPr>
              <w:spacing w:before="5pt"/>
              <w:rPr>
                <w:color w:val="000000"/>
              </w:rPr>
            </w:pPr>
            <w:r>
              <w:rPr>
                <w:color w:val="000000"/>
              </w:rPr>
              <w:t>Gre za ukrepe, ki po svoji naravi nimajo predvidljivega negativnega vpliva na okoljske cilje, ki bi bil povezan z neposrednimi in primarnimi posrednimi učinki ukrepa v življenjskem ciklu oz. je ta vpliv nepomemben, zato so skladni z načelom DNSH.</w:t>
            </w:r>
          </w:p>
          <w:p w14:paraId="5F7A7F56" w14:textId="77777777" w:rsidR="00A77B3E" w:rsidRDefault="00A77B3E">
            <w:pPr>
              <w:spacing w:before="5pt"/>
              <w:rPr>
                <w:color w:val="000000"/>
                <w:sz w:val="6"/>
              </w:rPr>
            </w:pPr>
          </w:p>
          <w:p w14:paraId="79740192" w14:textId="77777777" w:rsidR="00A77B3E" w:rsidRDefault="00A77B3E">
            <w:pPr>
              <w:spacing w:before="5pt"/>
              <w:rPr>
                <w:color w:val="000000"/>
                <w:sz w:val="6"/>
              </w:rPr>
            </w:pPr>
          </w:p>
        </w:tc>
      </w:tr>
    </w:tbl>
    <w:p w14:paraId="63DCE390" w14:textId="77777777" w:rsidR="00A77B3E" w:rsidRDefault="00A77B3E">
      <w:pPr>
        <w:spacing w:before="5pt"/>
        <w:rPr>
          <w:color w:val="000000"/>
        </w:rPr>
      </w:pPr>
    </w:p>
    <w:p w14:paraId="2C12EE98" w14:textId="77777777" w:rsidR="00A77B3E" w:rsidRDefault="00B16CCF">
      <w:pPr>
        <w:pStyle w:val="Naslov5"/>
        <w:spacing w:before="5pt" w:after="0pt"/>
        <w:rPr>
          <w:b w:val="0"/>
          <w:i w:val="0"/>
          <w:color w:val="000000"/>
          <w:sz w:val="24"/>
        </w:rPr>
      </w:pPr>
      <w:bookmarkStart w:id="544" w:name="_Toc256001305"/>
      <w:r>
        <w:rPr>
          <w:b w:val="0"/>
          <w:i w:val="0"/>
          <w:color w:val="000000"/>
          <w:sz w:val="24"/>
        </w:rPr>
        <w:t>Glavne ciljne skupine – člen 22(3)(d)(iii) uredbe o skupnih določbah:</w:t>
      </w:r>
      <w:bookmarkEnd w:id="544"/>
    </w:p>
    <w:p w14:paraId="6D580A8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6C33F738"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9961B7" w14:textId="77777777" w:rsidR="00A77B3E" w:rsidRDefault="00A77B3E">
            <w:pPr>
              <w:spacing w:before="5pt"/>
              <w:rPr>
                <w:color w:val="000000"/>
                <w:sz w:val="0"/>
              </w:rPr>
            </w:pPr>
          </w:p>
          <w:p w14:paraId="4846A6FC" w14:textId="77777777" w:rsidR="00A77B3E" w:rsidRDefault="00B16CCF">
            <w:pPr>
              <w:spacing w:before="5pt"/>
              <w:rPr>
                <w:color w:val="000000"/>
              </w:rPr>
            </w:pPr>
            <w:r>
              <w:rPr>
                <w:color w:val="000000"/>
              </w:rPr>
              <w:t>Ciljne skupine:</w:t>
            </w:r>
          </w:p>
          <w:p w14:paraId="5980F4E7" w14:textId="77777777" w:rsidR="00A77B3E" w:rsidRDefault="00B16CCF">
            <w:pPr>
              <w:spacing w:before="5pt"/>
              <w:rPr>
                <w:color w:val="000000"/>
              </w:rPr>
            </w:pPr>
            <w:r>
              <w:rPr>
                <w:color w:val="000000"/>
              </w:rPr>
              <w:lastRenderedPageBreak/>
              <w:t>·brezposelne in neaktivne osebe, ki se soočajo z ovirami pri vstopu na trg dela ali pri vključitvi v ukrepe APZ;</w:t>
            </w:r>
          </w:p>
          <w:p w14:paraId="43401636" w14:textId="77777777" w:rsidR="00A77B3E" w:rsidRDefault="00B16CCF">
            <w:pPr>
              <w:spacing w:before="5pt"/>
              <w:rPr>
                <w:color w:val="000000"/>
              </w:rPr>
            </w:pPr>
            <w:r>
              <w:rPr>
                <w:color w:val="000000"/>
              </w:rPr>
              <w:t>·brezposelne in neaktivne osebe, ki še niso dolgotrajno brezposelne osebe, je pa za njih ZRSZ podal oceno, da pred vključitvijo v APZ ali trg dela, potrebujejo intenzivno in poglobljeno obravnavo,</w:t>
            </w:r>
          </w:p>
          <w:p w14:paraId="0CA0FCB9" w14:textId="77777777" w:rsidR="00A77B3E" w:rsidRDefault="00B16CCF">
            <w:pPr>
              <w:spacing w:before="5pt"/>
              <w:rPr>
                <w:color w:val="000000"/>
              </w:rPr>
            </w:pPr>
            <w:r>
              <w:rPr>
                <w:color w:val="000000"/>
              </w:rPr>
              <w:t>·osebe, mlajše od 30 let, s posebnimi potrebami,</w:t>
            </w:r>
          </w:p>
          <w:p w14:paraId="170BF64A" w14:textId="77777777" w:rsidR="00A77B3E" w:rsidRDefault="00B16CCF">
            <w:pPr>
              <w:spacing w:before="5pt"/>
              <w:rPr>
                <w:color w:val="000000"/>
              </w:rPr>
            </w:pPr>
            <w:r>
              <w:rPr>
                <w:color w:val="000000"/>
              </w:rPr>
              <w:t>·osebe na prestajanju zaporne kazni ter mladoletniki z izrečenim ukrepom oddaje v prevzgojni dom,</w:t>
            </w:r>
          </w:p>
          <w:p w14:paraId="40F42762" w14:textId="77777777" w:rsidR="00A77B3E" w:rsidRDefault="00B16CCF">
            <w:pPr>
              <w:spacing w:before="5pt"/>
              <w:rPr>
                <w:color w:val="000000"/>
              </w:rPr>
            </w:pPr>
            <w:r>
              <w:rPr>
                <w:color w:val="000000"/>
              </w:rPr>
              <w:t>·manjšinske etnične skupnosti,</w:t>
            </w:r>
          </w:p>
          <w:p w14:paraId="7197C4C6" w14:textId="77777777" w:rsidR="00A77B3E" w:rsidRDefault="00B16CCF">
            <w:pPr>
              <w:spacing w:before="5pt"/>
              <w:rPr>
                <w:color w:val="000000"/>
              </w:rPr>
            </w:pPr>
            <w:r>
              <w:rPr>
                <w:color w:val="000000"/>
              </w:rPr>
              <w:t>·invalidi.</w:t>
            </w:r>
          </w:p>
          <w:p w14:paraId="6664C887" w14:textId="77777777" w:rsidR="00A77B3E" w:rsidRDefault="00A77B3E">
            <w:pPr>
              <w:spacing w:before="5pt"/>
              <w:rPr>
                <w:color w:val="000000"/>
              </w:rPr>
            </w:pPr>
          </w:p>
          <w:p w14:paraId="436DD2C3" w14:textId="77777777" w:rsidR="00A77B3E" w:rsidRDefault="00B16CCF">
            <w:pPr>
              <w:spacing w:before="5pt"/>
              <w:rPr>
                <w:color w:val="000000"/>
              </w:rPr>
            </w:pPr>
            <w:r>
              <w:rPr>
                <w:color w:val="000000"/>
              </w:rPr>
              <w:t>Upravičenci: ZRSZ, URSIKS ter izvajalci ukrepov, izbrani v okviru javnega razpisa ali javnega poziva (npr. javne in zasebne organizacije, NVO, ipd.).</w:t>
            </w:r>
          </w:p>
          <w:p w14:paraId="673B5602" w14:textId="77777777" w:rsidR="00A77B3E" w:rsidRDefault="00A77B3E">
            <w:pPr>
              <w:spacing w:before="5pt"/>
              <w:rPr>
                <w:color w:val="000000"/>
                <w:sz w:val="6"/>
              </w:rPr>
            </w:pPr>
          </w:p>
          <w:p w14:paraId="6A5F7C64" w14:textId="77777777" w:rsidR="00A77B3E" w:rsidRDefault="00A77B3E">
            <w:pPr>
              <w:spacing w:before="5pt"/>
              <w:rPr>
                <w:color w:val="000000"/>
                <w:sz w:val="6"/>
              </w:rPr>
            </w:pPr>
          </w:p>
        </w:tc>
      </w:tr>
    </w:tbl>
    <w:p w14:paraId="20A018F4" w14:textId="77777777" w:rsidR="00A77B3E" w:rsidRDefault="00A77B3E">
      <w:pPr>
        <w:spacing w:before="5pt"/>
        <w:rPr>
          <w:color w:val="000000"/>
        </w:rPr>
      </w:pPr>
    </w:p>
    <w:p w14:paraId="38EA1AFD" w14:textId="77777777" w:rsidR="00A77B3E" w:rsidRDefault="00B16CCF">
      <w:pPr>
        <w:pStyle w:val="Naslov5"/>
        <w:spacing w:before="5pt" w:after="0pt"/>
        <w:rPr>
          <w:b w:val="0"/>
          <w:i w:val="0"/>
          <w:color w:val="000000"/>
          <w:sz w:val="24"/>
        </w:rPr>
      </w:pPr>
      <w:bookmarkStart w:id="545" w:name="_Toc256001306"/>
      <w:r>
        <w:rPr>
          <w:b w:val="0"/>
          <w:i w:val="0"/>
          <w:color w:val="000000"/>
          <w:sz w:val="24"/>
        </w:rPr>
        <w:t>Ukrepi za zaščito enakosti, vključenosti in nediskriminacije – člen 22(3)(d)(iv) uredbe o skupnih določbah in člen 6 uredbe o ESS+</w:t>
      </w:r>
      <w:bookmarkEnd w:id="545"/>
    </w:p>
    <w:p w14:paraId="081A274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095F6BAD"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621161" w14:textId="77777777" w:rsidR="00A77B3E" w:rsidRDefault="00A77B3E">
            <w:pPr>
              <w:spacing w:before="5pt"/>
              <w:rPr>
                <w:color w:val="000000"/>
                <w:sz w:val="0"/>
              </w:rPr>
            </w:pPr>
          </w:p>
          <w:p w14:paraId="4341ABBA" w14:textId="77777777" w:rsidR="00A77B3E" w:rsidRDefault="00B16CCF">
            <w:pPr>
              <w:spacing w:before="5pt"/>
              <w:rPr>
                <w:color w:val="000000"/>
              </w:rPr>
            </w:pPr>
            <w:r>
              <w:rPr>
                <w:color w:val="000000"/>
              </w:rPr>
              <w:t xml:space="preserve">Spoštovanje načel enakosti, vključenosti in nediskriminacije bo zagotovljeno pri izvajanju vseh aktivnosti na vseh ravneh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pravicah.V okviru Programa se bodo enake možnosti in boj proti diskriminaciji glede na različne osebne okoliščine zagotavljale horizontalno ter vertikalno, tudi v okviru sistema upravljanja in nadzora, upoštevana bosta tudi Postopkovnik za zagotavljanje horizontalnega omogočitvenega pogoja »Učinkovita uporaba in izvajanje Listine o temeljnih pravicah« in Akcijski program za invalide 2022-2030 ter drugi relevantni dokumenti, ki bodo nastali v okviru izvajanja. </w:t>
            </w:r>
          </w:p>
          <w:p w14:paraId="4965D137" w14:textId="77777777" w:rsidR="00A77B3E" w:rsidRDefault="00A77B3E">
            <w:pPr>
              <w:spacing w:before="5pt"/>
              <w:rPr>
                <w:color w:val="000000"/>
              </w:rPr>
            </w:pPr>
          </w:p>
          <w:p w14:paraId="6218123B" w14:textId="77777777" w:rsidR="00A77B3E" w:rsidRDefault="00B16CCF">
            <w:pPr>
              <w:spacing w:before="5pt"/>
              <w:rPr>
                <w:color w:val="000000"/>
              </w:rPr>
            </w:pPr>
            <w:r>
              <w:rPr>
                <w:color w:val="000000"/>
              </w:rPr>
              <w:t xml:space="preserve">Ukrepi bodo vključevali pomoč pri zmanjšanju revščine in spodbujanje socialnega vključevanja, zagotovljene bodo enake možnosti za vse, ne glede na osebne okoliščine, posebna pozornost bo namenjena zmanjševanju ovir invalidnim osebam. Cilji ukrepov bodo usmerjeni h krepitvi zaposljivosti, integraciji in opolnomočenju ranljivih družbenih skupin za udejanjanje načela enakih možnosti in preprečevanje zdrsa v socialno izključenost. </w:t>
            </w:r>
          </w:p>
          <w:p w14:paraId="508046D0" w14:textId="77777777" w:rsidR="00A77B3E" w:rsidRDefault="00A77B3E">
            <w:pPr>
              <w:spacing w:before="5pt"/>
              <w:rPr>
                <w:color w:val="000000"/>
              </w:rPr>
            </w:pPr>
          </w:p>
          <w:p w14:paraId="64296A2F" w14:textId="77777777" w:rsidR="00A77B3E" w:rsidRDefault="00B16CCF">
            <w:pPr>
              <w:spacing w:before="5pt"/>
              <w:rPr>
                <w:color w:val="000000"/>
              </w:rPr>
            </w:pPr>
            <w:r>
              <w:rPr>
                <w:color w:val="000000"/>
              </w:rPr>
              <w:t>V okviru ukrepa za zaprte osebe bo zagotovljena enaka obravnava, saj se bo v aktivnosti ukrepa vključevalo osebe na prestajanju zaporne kazni ne glede na spol, spolno usmerjenost, invalidnost, starost, vero ali prepričanje, rasno ali etnično pripadnost. V ukrepe izvajanja izobraževanj za zaprte osebe za pridobitev srednješolske izobrazbe in kvalifikacij, prekvalifikacije in nadaljnjo poklicno usposabljanje, izvajanje programov nacionalnih poklicnih kvalifikacij ter drugih neformalnih programov usposabljanja in izobraževanja za zaprte osebe bodo vključene tudi marginalizirane osebe na prestajanju zapornih kazni, ki so oddaljene od trga dela, s ciljem, da se jim po prestani kazni omogoči čim boljšo socialno-ekonomsko vključevanje v zaposlovanje ter s tem v vsa druga življenjska področja.</w:t>
            </w:r>
          </w:p>
          <w:p w14:paraId="23DB7800" w14:textId="77777777" w:rsidR="00A77B3E" w:rsidRDefault="00A77B3E">
            <w:pPr>
              <w:spacing w:before="5pt"/>
              <w:rPr>
                <w:color w:val="000000"/>
                <w:sz w:val="6"/>
              </w:rPr>
            </w:pPr>
          </w:p>
          <w:p w14:paraId="35975332" w14:textId="77777777" w:rsidR="00A77B3E" w:rsidRDefault="00A77B3E">
            <w:pPr>
              <w:spacing w:before="5pt"/>
              <w:rPr>
                <w:color w:val="000000"/>
                <w:sz w:val="6"/>
              </w:rPr>
            </w:pPr>
          </w:p>
        </w:tc>
      </w:tr>
    </w:tbl>
    <w:p w14:paraId="2CB27C67" w14:textId="77777777" w:rsidR="00A77B3E" w:rsidRDefault="00A77B3E">
      <w:pPr>
        <w:spacing w:before="5pt"/>
        <w:rPr>
          <w:color w:val="000000"/>
        </w:rPr>
      </w:pPr>
    </w:p>
    <w:p w14:paraId="565B49DE" w14:textId="77777777" w:rsidR="00A77B3E" w:rsidRDefault="00B16CCF">
      <w:pPr>
        <w:pStyle w:val="Naslov5"/>
        <w:spacing w:before="5pt" w:after="0pt"/>
        <w:rPr>
          <w:b w:val="0"/>
          <w:i w:val="0"/>
          <w:color w:val="000000"/>
          <w:sz w:val="24"/>
        </w:rPr>
      </w:pPr>
      <w:bookmarkStart w:id="546" w:name="_Toc256001307"/>
      <w:r>
        <w:rPr>
          <w:b w:val="0"/>
          <w:i w:val="0"/>
          <w:color w:val="000000"/>
          <w:sz w:val="24"/>
        </w:rPr>
        <w:t>Navedba specifičnih ciljnih ozemelj, vključno z načrtovano uporabo teritorialnih orodij – člen 22(3)(d)(v) uredbe o skupnih določbah</w:t>
      </w:r>
      <w:bookmarkEnd w:id="546"/>
    </w:p>
    <w:p w14:paraId="072DAA4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1EFBE437"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EB584F" w14:textId="77777777" w:rsidR="00A77B3E" w:rsidRDefault="00A77B3E">
            <w:pPr>
              <w:spacing w:before="5pt"/>
              <w:rPr>
                <w:color w:val="000000"/>
                <w:sz w:val="0"/>
              </w:rPr>
            </w:pPr>
          </w:p>
          <w:p w14:paraId="48A7D712" w14:textId="77777777" w:rsidR="00A77B3E" w:rsidRDefault="00B16CCF">
            <w:pPr>
              <w:spacing w:before="5pt"/>
              <w:rPr>
                <w:color w:val="000000"/>
              </w:rPr>
            </w:pPr>
            <w:r>
              <w:rPr>
                <w:color w:val="000000"/>
              </w:rPr>
              <w:t>V okviru navedenega specifičnega cilja ni predvidena uporaba teritorialnih orodij.</w:t>
            </w:r>
          </w:p>
          <w:p w14:paraId="69F2977E" w14:textId="77777777" w:rsidR="00A77B3E" w:rsidRDefault="00A77B3E">
            <w:pPr>
              <w:spacing w:before="5pt"/>
              <w:rPr>
                <w:color w:val="000000"/>
                <w:sz w:val="6"/>
              </w:rPr>
            </w:pPr>
          </w:p>
          <w:p w14:paraId="1AAAA154" w14:textId="77777777" w:rsidR="00A77B3E" w:rsidRDefault="00A77B3E">
            <w:pPr>
              <w:spacing w:before="5pt"/>
              <w:rPr>
                <w:color w:val="000000"/>
                <w:sz w:val="6"/>
              </w:rPr>
            </w:pPr>
          </w:p>
        </w:tc>
      </w:tr>
    </w:tbl>
    <w:p w14:paraId="406EDD82" w14:textId="77777777" w:rsidR="00A77B3E" w:rsidRDefault="00A77B3E">
      <w:pPr>
        <w:spacing w:before="5pt"/>
        <w:rPr>
          <w:color w:val="000000"/>
        </w:rPr>
      </w:pPr>
    </w:p>
    <w:p w14:paraId="7834A1A9" w14:textId="77777777" w:rsidR="00A77B3E" w:rsidRDefault="00B16CCF">
      <w:pPr>
        <w:pStyle w:val="Naslov5"/>
        <w:spacing w:before="5pt" w:after="0pt"/>
        <w:rPr>
          <w:b w:val="0"/>
          <w:i w:val="0"/>
          <w:color w:val="000000"/>
          <w:sz w:val="24"/>
        </w:rPr>
      </w:pPr>
      <w:bookmarkStart w:id="547" w:name="_Toc256001308"/>
      <w:r>
        <w:rPr>
          <w:b w:val="0"/>
          <w:i w:val="0"/>
          <w:color w:val="000000"/>
          <w:sz w:val="24"/>
        </w:rPr>
        <w:t>Medregionalni, čezmejni in transnacionalni ukrepi – člen 22(3)(d)(vi) uredbe o skupnih določbah</w:t>
      </w:r>
      <w:bookmarkEnd w:id="547"/>
    </w:p>
    <w:p w14:paraId="162ABDA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771C8A1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BA1021" w14:textId="77777777" w:rsidR="00A77B3E" w:rsidRDefault="00A77B3E">
            <w:pPr>
              <w:spacing w:before="5pt"/>
              <w:rPr>
                <w:color w:val="000000"/>
                <w:sz w:val="0"/>
              </w:rPr>
            </w:pPr>
          </w:p>
          <w:p w14:paraId="7D096367" w14:textId="77777777" w:rsidR="00A77B3E" w:rsidRDefault="00B16CCF">
            <w:pPr>
              <w:spacing w:before="5pt"/>
              <w:rPr>
                <w:color w:val="000000"/>
              </w:rPr>
            </w:pPr>
            <w:r>
              <w:rPr>
                <w:color w:val="000000"/>
              </w:rPr>
              <w:t xml:space="preserve">V okviru tega specifičnega cilja ni mogoče načrtovati medregionalnih, čezmejnih in transnacionalnih ukrepov, saj je ključni cilj ukrepov specifičnega cilja zaposlovanje, usposabljanje in spodbujanje socialne vključenosti pripadnikov ranljivih družbenih skupin živečih v Republiki Sloveniji, predvsem na območju kjer bivajo, saj s tem omogočamo lokalno integracijo in s tem socialno vključevanje na primarni ravni. </w:t>
            </w:r>
          </w:p>
          <w:p w14:paraId="6C376712" w14:textId="77777777" w:rsidR="00A77B3E" w:rsidRDefault="00A77B3E">
            <w:pPr>
              <w:spacing w:before="5pt"/>
              <w:rPr>
                <w:color w:val="000000"/>
                <w:sz w:val="6"/>
              </w:rPr>
            </w:pPr>
          </w:p>
          <w:p w14:paraId="2479FE46" w14:textId="77777777" w:rsidR="00A77B3E" w:rsidRDefault="00A77B3E">
            <w:pPr>
              <w:spacing w:before="5pt"/>
              <w:rPr>
                <w:color w:val="000000"/>
                <w:sz w:val="6"/>
              </w:rPr>
            </w:pPr>
          </w:p>
        </w:tc>
      </w:tr>
    </w:tbl>
    <w:p w14:paraId="1CEA52D9" w14:textId="77777777" w:rsidR="00A77B3E" w:rsidRDefault="00A77B3E">
      <w:pPr>
        <w:spacing w:before="5pt"/>
        <w:rPr>
          <w:color w:val="000000"/>
        </w:rPr>
      </w:pPr>
    </w:p>
    <w:p w14:paraId="64791530" w14:textId="77777777" w:rsidR="00A77B3E" w:rsidRDefault="00B16CCF">
      <w:pPr>
        <w:pStyle w:val="Naslov5"/>
        <w:spacing w:before="5pt" w:after="0pt"/>
        <w:rPr>
          <w:b w:val="0"/>
          <w:i w:val="0"/>
          <w:color w:val="000000"/>
          <w:sz w:val="24"/>
        </w:rPr>
      </w:pPr>
      <w:bookmarkStart w:id="548" w:name="_Toc256001309"/>
      <w:r>
        <w:rPr>
          <w:b w:val="0"/>
          <w:i w:val="0"/>
          <w:color w:val="000000"/>
          <w:sz w:val="24"/>
        </w:rPr>
        <w:t>Načrtovana uporaba finančnih instrumentov – člen 22(3)(d)(vii) uredbe o skupnih določbah</w:t>
      </w:r>
      <w:bookmarkEnd w:id="548"/>
    </w:p>
    <w:p w14:paraId="142EC1C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1CFC98E3"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CCEC59" w14:textId="77777777" w:rsidR="00A77B3E" w:rsidRDefault="00A77B3E">
            <w:pPr>
              <w:spacing w:before="5pt"/>
              <w:rPr>
                <w:color w:val="000000"/>
                <w:sz w:val="0"/>
              </w:rPr>
            </w:pPr>
          </w:p>
          <w:p w14:paraId="3093F23E" w14:textId="77777777" w:rsidR="00A77B3E" w:rsidRDefault="00B16CCF">
            <w:pPr>
              <w:spacing w:before="5pt"/>
              <w:rPr>
                <w:color w:val="000000"/>
              </w:rPr>
            </w:pPr>
            <w:r>
              <w:rPr>
                <w:color w:val="000000"/>
              </w:rPr>
              <w:t>V okviru predmetnega specifičnega cilja uporaba finančnih instrumentov v skladu z izsledki analize Predhodnih ocen potreb trga in vrzeli financiranja na trgu za izvajanje finančnih instrumentov v programskem obdobju 2021-2027 (julij 2022) ni predvidena. Predlagani ukrepi ne ustvarjajo prihodkov oziroma prihrankov, zaradi česar uporaba finančnih instrumentov ni smiselna oziroma ustrezna. V skladu z navedenim je zato predvidena uporaba nepovratnih virov.</w:t>
            </w:r>
          </w:p>
          <w:p w14:paraId="36C0FB2F" w14:textId="77777777" w:rsidR="00A77B3E" w:rsidRDefault="00A77B3E">
            <w:pPr>
              <w:spacing w:before="5pt"/>
              <w:rPr>
                <w:color w:val="000000"/>
                <w:sz w:val="6"/>
              </w:rPr>
            </w:pPr>
          </w:p>
          <w:p w14:paraId="2470F891" w14:textId="77777777" w:rsidR="00A77B3E" w:rsidRDefault="00A77B3E">
            <w:pPr>
              <w:spacing w:before="5pt"/>
              <w:rPr>
                <w:color w:val="000000"/>
                <w:sz w:val="6"/>
              </w:rPr>
            </w:pPr>
          </w:p>
        </w:tc>
      </w:tr>
    </w:tbl>
    <w:p w14:paraId="2181F783" w14:textId="77777777" w:rsidR="00A77B3E" w:rsidRDefault="00A77B3E">
      <w:pPr>
        <w:spacing w:before="5pt"/>
        <w:rPr>
          <w:color w:val="000000"/>
        </w:rPr>
      </w:pPr>
    </w:p>
    <w:p w14:paraId="1201152A" w14:textId="77777777" w:rsidR="00A77B3E" w:rsidRDefault="00B16CCF">
      <w:pPr>
        <w:pStyle w:val="Naslov4"/>
        <w:spacing w:before="5pt" w:after="0pt"/>
        <w:rPr>
          <w:b w:val="0"/>
          <w:color w:val="000000"/>
          <w:sz w:val="24"/>
        </w:rPr>
      </w:pPr>
      <w:bookmarkStart w:id="549" w:name="_Toc256001310"/>
      <w:r>
        <w:rPr>
          <w:b w:val="0"/>
          <w:color w:val="000000"/>
          <w:sz w:val="24"/>
        </w:rPr>
        <w:t>2.1.1.1.2. Kazalniki</w:t>
      </w:r>
      <w:bookmarkEnd w:id="549"/>
    </w:p>
    <w:p w14:paraId="4E95A50E" w14:textId="77777777" w:rsidR="00A77B3E" w:rsidRDefault="00A77B3E">
      <w:pPr>
        <w:spacing w:before="5pt"/>
        <w:rPr>
          <w:color w:val="000000"/>
          <w:sz w:val="0"/>
        </w:rPr>
      </w:pPr>
    </w:p>
    <w:p w14:paraId="5DE9D7C9" w14:textId="77777777" w:rsidR="00A77B3E" w:rsidRDefault="00B16CCF">
      <w:pPr>
        <w:spacing w:before="5pt"/>
        <w:rPr>
          <w:color w:val="000000"/>
          <w:sz w:val="0"/>
        </w:rPr>
      </w:pPr>
      <w:r>
        <w:rPr>
          <w:color w:val="000000"/>
        </w:rPr>
        <w:t>Sklic: člen 22(3)(d)(ii) uredbe o skupnih določbah in člen 8 uredbe o ESRR in Kohezijskem skladu</w:t>
      </w:r>
    </w:p>
    <w:p w14:paraId="6F0821B8" w14:textId="77777777" w:rsidR="00A77B3E" w:rsidRDefault="00B16CCF">
      <w:pPr>
        <w:pStyle w:val="Naslov5"/>
        <w:spacing w:before="5pt" w:after="0pt"/>
        <w:rPr>
          <w:b w:val="0"/>
          <w:i w:val="0"/>
          <w:color w:val="000000"/>
          <w:sz w:val="24"/>
        </w:rPr>
      </w:pPr>
      <w:bookmarkStart w:id="550" w:name="_Toc256001311"/>
      <w:r>
        <w:rPr>
          <w:b w:val="0"/>
          <w:i w:val="0"/>
          <w:color w:val="000000"/>
          <w:sz w:val="24"/>
        </w:rPr>
        <w:t>Tabela 2: Kazalniki učinka</w:t>
      </w:r>
      <w:bookmarkEnd w:id="550"/>
    </w:p>
    <w:p w14:paraId="260278A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64"/>
        <w:gridCol w:w="1719"/>
        <w:gridCol w:w="1067"/>
        <w:gridCol w:w="1782"/>
        <w:gridCol w:w="2068"/>
        <w:gridCol w:w="2315"/>
        <w:gridCol w:w="1329"/>
        <w:gridCol w:w="1514"/>
        <w:gridCol w:w="1514"/>
      </w:tblGrid>
      <w:tr w:rsidR="00823317" w14:paraId="5AD3165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DC1675"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565447"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EC1676"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269192"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AB6CAD"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74EC23"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93B28A"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3517F9" w14:textId="77777777" w:rsidR="00A77B3E" w:rsidRDefault="00B16CCF">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E57C02" w14:textId="77777777" w:rsidR="00A77B3E" w:rsidRDefault="00B16CCF">
            <w:pPr>
              <w:spacing w:before="5pt"/>
              <w:jc w:val="center"/>
              <w:rPr>
                <w:color w:val="000000"/>
                <w:sz w:val="20"/>
              </w:rPr>
            </w:pPr>
            <w:r>
              <w:rPr>
                <w:color w:val="000000"/>
                <w:sz w:val="20"/>
              </w:rPr>
              <w:t>Cilj (2029)</w:t>
            </w:r>
          </w:p>
        </w:tc>
      </w:tr>
      <w:tr w:rsidR="00823317" w14:paraId="08C257B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0C071A"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795CF1" w14:textId="77777777" w:rsidR="00A77B3E" w:rsidRDefault="00B16CCF">
            <w:pPr>
              <w:spacing w:before="5pt"/>
              <w:rPr>
                <w:color w:val="000000"/>
                <w:sz w:val="20"/>
              </w:rPr>
            </w:pPr>
            <w:r>
              <w:rPr>
                <w:color w:val="000000"/>
                <w:sz w:val="20"/>
              </w:rPr>
              <w:t>ESO4.8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EF63FD"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DBC3F7"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F9B984" w14:textId="77777777" w:rsidR="00A77B3E" w:rsidRDefault="00B16CCF">
            <w:pPr>
              <w:spacing w:before="5pt"/>
              <w:rPr>
                <w:color w:val="000000"/>
                <w:sz w:val="20"/>
              </w:rPr>
            </w:pPr>
            <w:r>
              <w:rPr>
                <w:color w:val="000000"/>
                <w:sz w:val="20"/>
              </w:rPr>
              <w:t>EECO02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4ECE2D" w14:textId="77777777" w:rsidR="00A77B3E" w:rsidRDefault="00B16CCF">
            <w:pPr>
              <w:spacing w:before="5pt"/>
              <w:rPr>
                <w:color w:val="000000"/>
                <w:sz w:val="20"/>
              </w:rPr>
            </w:pPr>
            <w:r>
              <w:rPr>
                <w:color w:val="000000"/>
                <w:sz w:val="20"/>
              </w:rPr>
              <w:t>Brezposelni, vključno z dolgotrajno brezposelnimi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486A4A" w14:textId="77777777" w:rsidR="00A77B3E" w:rsidRDefault="00B16CCF">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227FD7" w14:textId="77777777" w:rsidR="00A77B3E" w:rsidRDefault="00B16CCF">
            <w:pPr>
              <w:spacing w:before="5pt"/>
              <w:jc w:val="end"/>
              <w:rPr>
                <w:color w:val="000000"/>
                <w:sz w:val="20"/>
              </w:rPr>
            </w:pPr>
            <w:r>
              <w:rPr>
                <w:color w:val="000000"/>
                <w:sz w:val="20"/>
              </w:rPr>
              <w:t>520,00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8EFE67" w14:textId="77777777" w:rsidR="00A77B3E" w:rsidRDefault="00B16CCF">
            <w:pPr>
              <w:spacing w:before="5pt"/>
              <w:jc w:val="end"/>
              <w:rPr>
                <w:color w:val="000000"/>
                <w:sz w:val="20"/>
              </w:rPr>
            </w:pPr>
            <w:r>
              <w:rPr>
                <w:color w:val="000000"/>
                <w:sz w:val="20"/>
              </w:rPr>
              <w:t>2.487,00</w:t>
            </w:r>
          </w:p>
        </w:tc>
      </w:tr>
      <w:tr w:rsidR="00823317" w14:paraId="1A35CA5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ACBF7A"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3A7F85" w14:textId="77777777" w:rsidR="00A77B3E" w:rsidRDefault="00B16CCF">
            <w:pPr>
              <w:spacing w:before="5pt"/>
              <w:rPr>
                <w:color w:val="000000"/>
                <w:sz w:val="20"/>
              </w:rPr>
            </w:pPr>
            <w:r>
              <w:rPr>
                <w:color w:val="000000"/>
                <w:sz w:val="20"/>
              </w:rPr>
              <w:t>ESO4.8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3AF951"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7B76C4"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87E49D" w14:textId="77777777" w:rsidR="00A77B3E" w:rsidRDefault="00B16CCF">
            <w:pPr>
              <w:spacing w:before="5pt"/>
              <w:rPr>
                <w:color w:val="000000"/>
                <w:sz w:val="20"/>
              </w:rPr>
            </w:pPr>
            <w:r>
              <w:rPr>
                <w:color w:val="000000"/>
                <w:sz w:val="20"/>
              </w:rPr>
              <w:t>EECO04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5A49B5" w14:textId="77777777" w:rsidR="00A77B3E" w:rsidRDefault="00B16CCF">
            <w:pPr>
              <w:spacing w:before="5pt"/>
              <w:rPr>
                <w:color w:val="000000"/>
                <w:sz w:val="20"/>
              </w:rPr>
            </w:pPr>
            <w:r>
              <w:rPr>
                <w:color w:val="000000"/>
                <w:sz w:val="20"/>
              </w:rPr>
              <w:t>Neaktivni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CA632C" w14:textId="77777777" w:rsidR="00A77B3E" w:rsidRDefault="00B16CCF">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4B4E39" w14:textId="77777777" w:rsidR="00A77B3E" w:rsidRDefault="00B16CCF">
            <w:pPr>
              <w:spacing w:before="5pt"/>
              <w:jc w:val="end"/>
              <w:rPr>
                <w:color w:val="000000"/>
                <w:sz w:val="20"/>
              </w:rPr>
            </w:pPr>
            <w:r>
              <w:rPr>
                <w:color w:val="000000"/>
                <w:sz w:val="20"/>
              </w:rPr>
              <w:t>250,00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04C63C" w14:textId="77777777" w:rsidR="00A77B3E" w:rsidRDefault="00B16CCF">
            <w:pPr>
              <w:spacing w:before="5pt"/>
              <w:jc w:val="end"/>
              <w:rPr>
                <w:color w:val="000000"/>
                <w:sz w:val="20"/>
              </w:rPr>
            </w:pPr>
            <w:r>
              <w:rPr>
                <w:color w:val="000000"/>
                <w:sz w:val="20"/>
              </w:rPr>
              <w:t>1.646,00</w:t>
            </w:r>
          </w:p>
        </w:tc>
      </w:tr>
      <w:tr w:rsidR="00823317" w14:paraId="2ABBBAD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A0E7BE" w14:textId="77777777" w:rsidR="00A77B3E" w:rsidRDefault="00B16CCF">
            <w:pPr>
              <w:spacing w:before="5pt"/>
              <w:rPr>
                <w:color w:val="000000"/>
                <w:sz w:val="20"/>
              </w:rPr>
            </w:pPr>
            <w:r>
              <w:rPr>
                <w:color w:val="000000"/>
                <w:sz w:val="20"/>
              </w:rPr>
              <w:lastRenderedPageBreak/>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E71FF7" w14:textId="77777777" w:rsidR="00A77B3E" w:rsidRDefault="00B16CCF">
            <w:pPr>
              <w:spacing w:before="5pt"/>
              <w:rPr>
                <w:color w:val="000000"/>
                <w:sz w:val="20"/>
              </w:rPr>
            </w:pPr>
            <w:r>
              <w:rPr>
                <w:color w:val="000000"/>
                <w:sz w:val="20"/>
              </w:rPr>
              <w:t>ESO4.8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C22C8F"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343E06"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3C1804" w14:textId="77777777" w:rsidR="00A77B3E" w:rsidRDefault="00B16CCF">
            <w:pPr>
              <w:spacing w:before="5pt"/>
              <w:rPr>
                <w:color w:val="000000"/>
                <w:sz w:val="20"/>
              </w:rPr>
            </w:pPr>
            <w:r>
              <w:rPr>
                <w:color w:val="000000"/>
                <w:sz w:val="20"/>
              </w:rPr>
              <w:t>EECO02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720EE5" w14:textId="77777777" w:rsidR="00A77B3E" w:rsidRDefault="00B16CCF">
            <w:pPr>
              <w:spacing w:before="5pt"/>
              <w:rPr>
                <w:color w:val="000000"/>
                <w:sz w:val="20"/>
              </w:rPr>
            </w:pPr>
            <w:r>
              <w:rPr>
                <w:color w:val="000000"/>
                <w:sz w:val="20"/>
              </w:rPr>
              <w:t>Brezposelni, vključno z dolgotrajno brezposelnimi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B23EEE" w14:textId="77777777" w:rsidR="00A77B3E" w:rsidRDefault="00B16CCF">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252533" w14:textId="77777777" w:rsidR="00A77B3E" w:rsidRDefault="00B16CCF">
            <w:pPr>
              <w:spacing w:before="5pt"/>
              <w:jc w:val="end"/>
              <w:rPr>
                <w:color w:val="000000"/>
                <w:sz w:val="20"/>
              </w:rPr>
            </w:pPr>
            <w:r>
              <w:rPr>
                <w:color w:val="000000"/>
                <w:sz w:val="20"/>
              </w:rPr>
              <w:t>1.095,00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10EF5E" w14:textId="77777777" w:rsidR="00A77B3E" w:rsidRDefault="00B16CCF">
            <w:pPr>
              <w:spacing w:before="5pt"/>
              <w:jc w:val="end"/>
              <w:rPr>
                <w:color w:val="000000"/>
                <w:sz w:val="20"/>
              </w:rPr>
            </w:pPr>
            <w:r>
              <w:rPr>
                <w:color w:val="000000"/>
                <w:sz w:val="20"/>
              </w:rPr>
              <w:t>5.188,00</w:t>
            </w:r>
          </w:p>
        </w:tc>
      </w:tr>
      <w:tr w:rsidR="00823317" w14:paraId="092C461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FAE3AD"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FD586F" w14:textId="77777777" w:rsidR="00A77B3E" w:rsidRDefault="00B16CCF">
            <w:pPr>
              <w:spacing w:before="5pt"/>
              <w:rPr>
                <w:color w:val="000000"/>
                <w:sz w:val="20"/>
              </w:rPr>
            </w:pPr>
            <w:r>
              <w:rPr>
                <w:color w:val="000000"/>
                <w:sz w:val="20"/>
              </w:rPr>
              <w:t>ESO4.8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368C72"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B6971A"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CFA84C" w14:textId="77777777" w:rsidR="00A77B3E" w:rsidRDefault="00B16CCF">
            <w:pPr>
              <w:spacing w:before="5pt"/>
              <w:rPr>
                <w:color w:val="000000"/>
                <w:sz w:val="20"/>
              </w:rPr>
            </w:pPr>
            <w:r>
              <w:rPr>
                <w:color w:val="000000"/>
                <w:sz w:val="20"/>
              </w:rPr>
              <w:t>EECO04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783C02" w14:textId="77777777" w:rsidR="00A77B3E" w:rsidRDefault="00B16CCF">
            <w:pPr>
              <w:spacing w:before="5pt"/>
              <w:rPr>
                <w:color w:val="000000"/>
                <w:sz w:val="20"/>
              </w:rPr>
            </w:pPr>
            <w:r>
              <w:rPr>
                <w:color w:val="000000"/>
                <w:sz w:val="20"/>
              </w:rPr>
              <w:t>Neaktivni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A2EEBE" w14:textId="77777777" w:rsidR="00A77B3E" w:rsidRDefault="00B16CCF">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ADDCF1" w14:textId="77777777" w:rsidR="00A77B3E" w:rsidRDefault="00B16CCF">
            <w:pPr>
              <w:spacing w:before="5pt"/>
              <w:jc w:val="end"/>
              <w:rPr>
                <w:color w:val="000000"/>
                <w:sz w:val="20"/>
              </w:rPr>
            </w:pPr>
            <w:r>
              <w:rPr>
                <w:color w:val="000000"/>
                <w:sz w:val="20"/>
              </w:rPr>
              <w:t>375,00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01F54B" w14:textId="77777777" w:rsidR="00A77B3E" w:rsidRDefault="00B16CCF">
            <w:pPr>
              <w:spacing w:before="5pt"/>
              <w:jc w:val="end"/>
              <w:rPr>
                <w:color w:val="000000"/>
                <w:sz w:val="20"/>
              </w:rPr>
            </w:pPr>
            <w:r>
              <w:rPr>
                <w:color w:val="000000"/>
                <w:sz w:val="20"/>
              </w:rPr>
              <w:t>2.420,00</w:t>
            </w:r>
          </w:p>
        </w:tc>
      </w:tr>
    </w:tbl>
    <w:p w14:paraId="0289C656" w14:textId="77777777" w:rsidR="00A77B3E" w:rsidRDefault="00A77B3E">
      <w:pPr>
        <w:spacing w:before="5pt"/>
        <w:rPr>
          <w:color w:val="000000"/>
          <w:sz w:val="20"/>
        </w:rPr>
      </w:pPr>
    </w:p>
    <w:p w14:paraId="7A8A8CE2" w14:textId="77777777" w:rsidR="00A77B3E" w:rsidRDefault="00B16CCF">
      <w:pPr>
        <w:spacing w:before="5pt"/>
        <w:rPr>
          <w:color w:val="000000"/>
          <w:sz w:val="0"/>
        </w:rPr>
      </w:pPr>
      <w:r>
        <w:rPr>
          <w:color w:val="000000"/>
        </w:rPr>
        <w:t>Sklic: člen 22(3)(d)(ii) uredbe o skupnih določbah</w:t>
      </w:r>
    </w:p>
    <w:p w14:paraId="304BAA6C" w14:textId="77777777" w:rsidR="00A77B3E" w:rsidRDefault="00B16CCF">
      <w:pPr>
        <w:pStyle w:val="Naslov5"/>
        <w:spacing w:before="5pt" w:after="0pt"/>
        <w:rPr>
          <w:b w:val="0"/>
          <w:i w:val="0"/>
          <w:color w:val="000000"/>
          <w:sz w:val="24"/>
        </w:rPr>
      </w:pPr>
      <w:bookmarkStart w:id="551" w:name="_Toc256001312"/>
      <w:r>
        <w:rPr>
          <w:b w:val="0"/>
          <w:i w:val="0"/>
          <w:color w:val="000000"/>
          <w:sz w:val="24"/>
        </w:rPr>
        <w:t>Tabela 3: Kazalniki rezultatov</w:t>
      </w:r>
      <w:bookmarkEnd w:id="551"/>
    </w:p>
    <w:p w14:paraId="61D5C66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82"/>
        <w:gridCol w:w="1275"/>
        <w:gridCol w:w="792"/>
        <w:gridCol w:w="1322"/>
        <w:gridCol w:w="1534"/>
        <w:gridCol w:w="1686"/>
        <w:gridCol w:w="986"/>
        <w:gridCol w:w="1352"/>
        <w:gridCol w:w="1427"/>
        <w:gridCol w:w="1123"/>
        <w:gridCol w:w="1185"/>
        <w:gridCol w:w="1108"/>
      </w:tblGrid>
      <w:tr w:rsidR="00823317" w14:paraId="0810257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2A3197"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ABD6093"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2E9E66"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7F9556"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90B565"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8BC386"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D8D1BB"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F2DBE8" w14:textId="77777777" w:rsidR="00A77B3E" w:rsidRDefault="00B16CCF">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EB3F7A" w14:textId="77777777" w:rsidR="00A77B3E" w:rsidRDefault="00B16CCF">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EF1040" w14:textId="77777777" w:rsidR="00A77B3E" w:rsidRDefault="00B16CCF">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4F3480" w14:textId="77777777" w:rsidR="00A77B3E" w:rsidRDefault="00B16CCF">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9DF6C1" w14:textId="77777777" w:rsidR="00A77B3E" w:rsidRDefault="00B16CCF">
            <w:pPr>
              <w:spacing w:before="5pt"/>
              <w:jc w:val="center"/>
              <w:rPr>
                <w:color w:val="000000"/>
                <w:sz w:val="20"/>
              </w:rPr>
            </w:pPr>
            <w:r>
              <w:rPr>
                <w:color w:val="000000"/>
                <w:sz w:val="20"/>
              </w:rPr>
              <w:t>Opombe</w:t>
            </w:r>
          </w:p>
        </w:tc>
      </w:tr>
      <w:tr w:rsidR="00823317" w14:paraId="305DDD8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7996B9"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983144" w14:textId="77777777" w:rsidR="00A77B3E" w:rsidRDefault="00B16CCF">
            <w:pPr>
              <w:spacing w:before="5pt"/>
              <w:rPr>
                <w:color w:val="000000"/>
                <w:sz w:val="20"/>
              </w:rPr>
            </w:pPr>
            <w:r>
              <w:rPr>
                <w:color w:val="000000"/>
                <w:sz w:val="20"/>
              </w:rPr>
              <w:t>ESO4.8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A6D37E"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0C8828"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D011EB" w14:textId="77777777" w:rsidR="00A77B3E" w:rsidRDefault="00B16CCF">
            <w:pPr>
              <w:spacing w:before="5pt"/>
              <w:rPr>
                <w:color w:val="000000"/>
                <w:sz w:val="20"/>
              </w:rPr>
            </w:pPr>
            <w:r>
              <w:rPr>
                <w:color w:val="000000"/>
                <w:sz w:val="20"/>
              </w:rPr>
              <w:t>EECR02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4C1E5D" w14:textId="77777777" w:rsidR="00A77B3E" w:rsidRDefault="00B16CCF">
            <w:pPr>
              <w:spacing w:before="5pt"/>
              <w:rPr>
                <w:color w:val="000000"/>
                <w:sz w:val="20"/>
              </w:rPr>
            </w:pPr>
            <w:r>
              <w:rPr>
                <w:color w:val="000000"/>
                <w:sz w:val="20"/>
              </w:rPr>
              <w:t>Udeleženci, ki so po zaključku sodelovanja vključeni v izobraževanje ali usposabljanje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35C640" w14:textId="77777777" w:rsidR="00A77B3E" w:rsidRDefault="00B16CCF">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0377BD" w14:textId="77777777" w:rsidR="00A77B3E" w:rsidRDefault="00B16CCF">
            <w:pPr>
              <w:spacing w:before="5pt"/>
              <w:jc w:val="end"/>
              <w:rPr>
                <w:color w:val="000000"/>
                <w:sz w:val="20"/>
              </w:rPr>
            </w:pPr>
            <w:r>
              <w:rPr>
                <w:color w:val="000000"/>
                <w:sz w:val="20"/>
              </w:rPr>
              <w:t>697,00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157C7A" w14:textId="77777777" w:rsidR="00A77B3E" w:rsidRDefault="00B16CCF">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5546F7" w14:textId="77777777" w:rsidR="00A77B3E" w:rsidRDefault="00B16CCF">
            <w:pPr>
              <w:spacing w:before="5pt"/>
              <w:jc w:val="end"/>
              <w:rPr>
                <w:color w:val="000000"/>
                <w:sz w:val="20"/>
              </w:rPr>
            </w:pPr>
            <w:r>
              <w:rPr>
                <w:color w:val="000000"/>
                <w:sz w:val="20"/>
              </w:rPr>
              <w:t>755,00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9021C2" w14:textId="77777777" w:rsidR="00A77B3E" w:rsidRDefault="00B16CCF">
            <w:pPr>
              <w:spacing w:before="5pt"/>
              <w:rPr>
                <w:color w:val="000000"/>
                <w:sz w:val="20"/>
              </w:rPr>
            </w:pPr>
            <w:r>
              <w:rPr>
                <w:color w:val="000000"/>
                <w:sz w:val="20"/>
              </w:rPr>
              <w:t>MDDSZ</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6BF9E1" w14:textId="77777777" w:rsidR="00A77B3E" w:rsidRDefault="00A77B3E">
            <w:pPr>
              <w:spacing w:before="5pt"/>
              <w:rPr>
                <w:color w:val="000000"/>
                <w:sz w:val="20"/>
              </w:rPr>
            </w:pPr>
          </w:p>
        </w:tc>
      </w:tr>
      <w:tr w:rsidR="00823317" w14:paraId="67F0A7D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07F450"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344EFE" w14:textId="77777777" w:rsidR="00A77B3E" w:rsidRDefault="00B16CCF">
            <w:pPr>
              <w:spacing w:before="5pt"/>
              <w:rPr>
                <w:color w:val="000000"/>
                <w:sz w:val="20"/>
              </w:rPr>
            </w:pPr>
            <w:r>
              <w:rPr>
                <w:color w:val="000000"/>
                <w:sz w:val="20"/>
              </w:rPr>
              <w:t>ESO4.8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C74D61"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F03351"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ED834A" w14:textId="77777777" w:rsidR="00A77B3E" w:rsidRDefault="00B16CCF">
            <w:pPr>
              <w:spacing w:before="5pt"/>
              <w:rPr>
                <w:color w:val="000000"/>
                <w:sz w:val="20"/>
              </w:rPr>
            </w:pPr>
            <w:r>
              <w:rPr>
                <w:color w:val="000000"/>
                <w:sz w:val="20"/>
              </w:rPr>
              <w:t>EECR04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D2980F" w14:textId="77777777" w:rsidR="00A77B3E" w:rsidRDefault="00B16CCF">
            <w:pPr>
              <w:spacing w:before="5pt"/>
              <w:rPr>
                <w:color w:val="000000"/>
                <w:sz w:val="20"/>
              </w:rPr>
            </w:pPr>
            <w:r>
              <w:rPr>
                <w:color w:val="000000"/>
                <w:sz w:val="20"/>
              </w:rPr>
              <w:t>Udeleženci, ki imajo po zaključku sodelovanja zaposlitev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2039B0" w14:textId="77777777" w:rsidR="00A77B3E" w:rsidRDefault="00B16CCF">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51DE4B" w14:textId="77777777" w:rsidR="00A77B3E" w:rsidRDefault="00B16CCF">
            <w:pPr>
              <w:spacing w:before="5pt"/>
              <w:jc w:val="end"/>
              <w:rPr>
                <w:color w:val="000000"/>
                <w:sz w:val="20"/>
              </w:rPr>
            </w:pPr>
            <w:r>
              <w:rPr>
                <w:color w:val="000000"/>
                <w:sz w:val="20"/>
              </w:rPr>
              <w:t>221,00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C9B66C" w14:textId="77777777" w:rsidR="00A77B3E" w:rsidRDefault="00B16CCF">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67F22D" w14:textId="77777777" w:rsidR="00A77B3E" w:rsidRDefault="00B16CCF">
            <w:pPr>
              <w:spacing w:before="5pt"/>
              <w:jc w:val="end"/>
              <w:rPr>
                <w:color w:val="000000"/>
                <w:sz w:val="20"/>
              </w:rPr>
            </w:pPr>
            <w:r>
              <w:rPr>
                <w:color w:val="000000"/>
                <w:sz w:val="20"/>
              </w:rPr>
              <w:t>207,00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C270E1" w14:textId="77777777" w:rsidR="00A77B3E" w:rsidRDefault="00B16CCF">
            <w:pPr>
              <w:spacing w:before="5pt"/>
              <w:rPr>
                <w:color w:val="000000"/>
                <w:sz w:val="20"/>
              </w:rPr>
            </w:pPr>
            <w:r>
              <w:rPr>
                <w:color w:val="000000"/>
                <w:sz w:val="20"/>
              </w:rPr>
              <w:t>MDDSZ</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713AFB" w14:textId="77777777" w:rsidR="00A77B3E" w:rsidRDefault="00A77B3E">
            <w:pPr>
              <w:spacing w:before="5pt"/>
              <w:rPr>
                <w:color w:val="000000"/>
                <w:sz w:val="20"/>
              </w:rPr>
            </w:pPr>
          </w:p>
        </w:tc>
      </w:tr>
      <w:tr w:rsidR="00823317" w14:paraId="37750F9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62E7B4"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5F91A5" w14:textId="77777777" w:rsidR="00A77B3E" w:rsidRDefault="00B16CCF">
            <w:pPr>
              <w:spacing w:before="5pt"/>
              <w:rPr>
                <w:color w:val="000000"/>
                <w:sz w:val="20"/>
              </w:rPr>
            </w:pPr>
            <w:r>
              <w:rPr>
                <w:color w:val="000000"/>
                <w:sz w:val="20"/>
              </w:rPr>
              <w:t>ESO4.8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635C0E"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CF5B55"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EF81FB" w14:textId="77777777" w:rsidR="00A77B3E" w:rsidRDefault="00B16CCF">
            <w:pPr>
              <w:spacing w:before="5pt"/>
              <w:rPr>
                <w:color w:val="000000"/>
                <w:sz w:val="20"/>
              </w:rPr>
            </w:pPr>
            <w:r>
              <w:rPr>
                <w:color w:val="000000"/>
                <w:sz w:val="20"/>
              </w:rPr>
              <w:t>EECR02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5A3334" w14:textId="77777777" w:rsidR="00A77B3E" w:rsidRDefault="00B16CCF">
            <w:pPr>
              <w:spacing w:before="5pt"/>
              <w:rPr>
                <w:color w:val="000000"/>
                <w:sz w:val="20"/>
              </w:rPr>
            </w:pPr>
            <w:r>
              <w:rPr>
                <w:color w:val="000000"/>
                <w:sz w:val="20"/>
              </w:rPr>
              <w:t>Udeleženci, ki so po zaključku sodelovanja vključeni v izobraževanje ali usposabljanje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6B3480" w14:textId="77777777" w:rsidR="00A77B3E" w:rsidRDefault="00B16CCF">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C9C779" w14:textId="77777777" w:rsidR="00A77B3E" w:rsidRDefault="00B16CCF">
            <w:pPr>
              <w:spacing w:before="5pt"/>
              <w:jc w:val="end"/>
              <w:rPr>
                <w:color w:val="000000"/>
                <w:sz w:val="20"/>
              </w:rPr>
            </w:pPr>
            <w:r>
              <w:rPr>
                <w:color w:val="000000"/>
                <w:sz w:val="20"/>
              </w:rPr>
              <w:t>1.175,00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F656E9" w14:textId="77777777" w:rsidR="00A77B3E" w:rsidRDefault="00B16CCF">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70D5F9" w14:textId="77777777" w:rsidR="00A77B3E" w:rsidRDefault="00B16CCF">
            <w:pPr>
              <w:spacing w:before="5pt"/>
              <w:jc w:val="end"/>
              <w:rPr>
                <w:color w:val="000000"/>
                <w:sz w:val="20"/>
              </w:rPr>
            </w:pPr>
            <w:r>
              <w:rPr>
                <w:color w:val="000000"/>
                <w:sz w:val="20"/>
              </w:rPr>
              <w:t>1.283,00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CDAD89" w14:textId="77777777" w:rsidR="00A77B3E" w:rsidRDefault="00B16CCF">
            <w:pPr>
              <w:spacing w:before="5pt"/>
              <w:rPr>
                <w:color w:val="000000"/>
                <w:sz w:val="20"/>
              </w:rPr>
            </w:pPr>
            <w:r>
              <w:rPr>
                <w:color w:val="000000"/>
                <w:sz w:val="20"/>
              </w:rPr>
              <w:t>MDDSZ</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87592D" w14:textId="77777777" w:rsidR="00A77B3E" w:rsidRDefault="00A77B3E">
            <w:pPr>
              <w:spacing w:before="5pt"/>
              <w:rPr>
                <w:color w:val="000000"/>
                <w:sz w:val="20"/>
              </w:rPr>
            </w:pPr>
          </w:p>
        </w:tc>
      </w:tr>
      <w:tr w:rsidR="00823317" w14:paraId="18B9BE4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E380C0"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CF1360" w14:textId="77777777" w:rsidR="00A77B3E" w:rsidRDefault="00B16CCF">
            <w:pPr>
              <w:spacing w:before="5pt"/>
              <w:rPr>
                <w:color w:val="000000"/>
                <w:sz w:val="20"/>
              </w:rPr>
            </w:pPr>
            <w:r>
              <w:rPr>
                <w:color w:val="000000"/>
                <w:sz w:val="20"/>
              </w:rPr>
              <w:t>ESO4.8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272A9B"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9A6942"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C4C0A6" w14:textId="77777777" w:rsidR="00A77B3E" w:rsidRDefault="00B16CCF">
            <w:pPr>
              <w:spacing w:before="5pt"/>
              <w:rPr>
                <w:color w:val="000000"/>
                <w:sz w:val="20"/>
              </w:rPr>
            </w:pPr>
            <w:r>
              <w:rPr>
                <w:color w:val="000000"/>
                <w:sz w:val="20"/>
              </w:rPr>
              <w:t>EECR04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1F7892" w14:textId="77777777" w:rsidR="00A77B3E" w:rsidRDefault="00B16CCF">
            <w:pPr>
              <w:spacing w:before="5pt"/>
              <w:rPr>
                <w:color w:val="000000"/>
                <w:sz w:val="20"/>
              </w:rPr>
            </w:pPr>
            <w:r>
              <w:rPr>
                <w:color w:val="000000"/>
                <w:sz w:val="20"/>
              </w:rPr>
              <w:t>Udeleženci, ki imajo po zaključku sodelovanja zaposlitev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6151D4" w14:textId="77777777" w:rsidR="00A77B3E" w:rsidRDefault="00B16CCF">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8D1538" w14:textId="77777777" w:rsidR="00A77B3E" w:rsidRDefault="00B16CCF">
            <w:pPr>
              <w:spacing w:before="5pt"/>
              <w:jc w:val="end"/>
              <w:rPr>
                <w:color w:val="000000"/>
                <w:sz w:val="20"/>
              </w:rPr>
            </w:pPr>
            <w:r>
              <w:rPr>
                <w:color w:val="000000"/>
                <w:sz w:val="20"/>
              </w:rPr>
              <w:t>820,00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73F210" w14:textId="77777777" w:rsidR="00A77B3E" w:rsidRDefault="00B16CCF">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1A3F3C" w14:textId="77777777" w:rsidR="00A77B3E" w:rsidRDefault="00B16CCF">
            <w:pPr>
              <w:spacing w:before="5pt"/>
              <w:jc w:val="end"/>
              <w:rPr>
                <w:color w:val="000000"/>
                <w:sz w:val="20"/>
              </w:rPr>
            </w:pPr>
            <w:r>
              <w:rPr>
                <w:color w:val="000000"/>
                <w:sz w:val="20"/>
              </w:rPr>
              <w:t>736,00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F89818" w14:textId="77777777" w:rsidR="00A77B3E" w:rsidRDefault="00B16CCF">
            <w:pPr>
              <w:spacing w:before="5pt"/>
              <w:rPr>
                <w:color w:val="000000"/>
                <w:sz w:val="20"/>
              </w:rPr>
            </w:pPr>
            <w:r>
              <w:rPr>
                <w:color w:val="000000"/>
                <w:sz w:val="20"/>
              </w:rPr>
              <w:t>MDDSZ</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EFAC82" w14:textId="77777777" w:rsidR="00A77B3E" w:rsidRDefault="00A77B3E">
            <w:pPr>
              <w:spacing w:before="5pt"/>
              <w:rPr>
                <w:color w:val="000000"/>
                <w:sz w:val="20"/>
              </w:rPr>
            </w:pPr>
          </w:p>
        </w:tc>
      </w:tr>
    </w:tbl>
    <w:p w14:paraId="28C4CB4F" w14:textId="77777777" w:rsidR="00A77B3E" w:rsidRDefault="00A77B3E">
      <w:pPr>
        <w:spacing w:before="5pt"/>
        <w:rPr>
          <w:color w:val="000000"/>
          <w:sz w:val="20"/>
        </w:rPr>
      </w:pPr>
    </w:p>
    <w:p w14:paraId="20B86DAB" w14:textId="77777777" w:rsidR="00A77B3E" w:rsidRDefault="00B16CCF">
      <w:pPr>
        <w:pStyle w:val="Naslov4"/>
        <w:spacing w:before="5pt" w:after="0pt"/>
        <w:rPr>
          <w:b w:val="0"/>
          <w:color w:val="000000"/>
          <w:sz w:val="24"/>
        </w:rPr>
      </w:pPr>
      <w:bookmarkStart w:id="552" w:name="_Toc256001313"/>
      <w:r>
        <w:rPr>
          <w:b w:val="0"/>
          <w:color w:val="000000"/>
          <w:sz w:val="24"/>
        </w:rPr>
        <w:t>2.1.1.1.3. Okvirna razčlenitev načrtovanih sredstev (EU) glede na vrsto ukrepa</w:t>
      </w:r>
      <w:bookmarkEnd w:id="552"/>
    </w:p>
    <w:p w14:paraId="5E53F609" w14:textId="77777777" w:rsidR="00A77B3E" w:rsidRDefault="00A77B3E">
      <w:pPr>
        <w:spacing w:before="5pt"/>
        <w:rPr>
          <w:color w:val="000000"/>
          <w:sz w:val="0"/>
        </w:rPr>
      </w:pPr>
    </w:p>
    <w:p w14:paraId="5612AAF5" w14:textId="77777777" w:rsidR="00A77B3E" w:rsidRDefault="00B16CCF">
      <w:pPr>
        <w:spacing w:before="5pt"/>
        <w:rPr>
          <w:color w:val="000000"/>
          <w:sz w:val="0"/>
        </w:rPr>
      </w:pPr>
      <w:r>
        <w:rPr>
          <w:color w:val="000000"/>
        </w:rPr>
        <w:t>Sklic: člen 22(3)(d)(viii) uredbe o skupnih določbah</w:t>
      </w:r>
    </w:p>
    <w:p w14:paraId="2535643A" w14:textId="77777777" w:rsidR="00A77B3E" w:rsidRDefault="00B16CCF">
      <w:pPr>
        <w:pStyle w:val="Naslov5"/>
        <w:spacing w:before="5pt" w:after="0pt"/>
        <w:rPr>
          <w:b w:val="0"/>
          <w:i w:val="0"/>
          <w:color w:val="000000"/>
          <w:sz w:val="24"/>
        </w:rPr>
      </w:pPr>
      <w:bookmarkStart w:id="553" w:name="_Toc256001314"/>
      <w:r>
        <w:rPr>
          <w:b w:val="0"/>
          <w:i w:val="0"/>
          <w:color w:val="000000"/>
          <w:sz w:val="24"/>
        </w:rPr>
        <w:t>Tabela 4: Razsežnost 1 – področje ukrepanja</w:t>
      </w:r>
      <w:bookmarkEnd w:id="553"/>
    </w:p>
    <w:p w14:paraId="0C52DC2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32"/>
        <w:gridCol w:w="2244"/>
        <w:gridCol w:w="1630"/>
        <w:gridCol w:w="2327"/>
        <w:gridCol w:w="3477"/>
        <w:gridCol w:w="3062"/>
      </w:tblGrid>
      <w:tr w:rsidR="00823317" w14:paraId="384F332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D4071A" w14:textId="77777777" w:rsidR="00A77B3E" w:rsidRDefault="00B16CCF">
            <w:pPr>
              <w:spacing w:before="5pt"/>
              <w:jc w:val="center"/>
              <w:rPr>
                <w:color w:val="000000"/>
                <w:sz w:val="20"/>
              </w:rPr>
            </w:pPr>
            <w:r>
              <w:rPr>
                <w:color w:val="000000"/>
                <w:sz w:val="20"/>
              </w:rPr>
              <w:lastRenderedPageBreak/>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2148DD"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F506A5"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0CE945"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5DC352"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1B1706" w14:textId="77777777" w:rsidR="00A77B3E" w:rsidRDefault="00B16CCF">
            <w:pPr>
              <w:spacing w:before="5pt"/>
              <w:jc w:val="center"/>
              <w:rPr>
                <w:color w:val="000000"/>
                <w:sz w:val="20"/>
              </w:rPr>
            </w:pPr>
            <w:r>
              <w:rPr>
                <w:color w:val="000000"/>
                <w:sz w:val="20"/>
              </w:rPr>
              <w:t>Znesek (v EUR)</w:t>
            </w:r>
          </w:p>
        </w:tc>
      </w:tr>
      <w:tr w:rsidR="00823317" w14:paraId="1AFB710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69F6D8"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2FA597" w14:textId="77777777" w:rsidR="00A77B3E" w:rsidRDefault="00B16CCF">
            <w:pPr>
              <w:spacing w:before="5pt"/>
              <w:rPr>
                <w:color w:val="000000"/>
                <w:sz w:val="20"/>
              </w:rPr>
            </w:pPr>
            <w:r>
              <w:rPr>
                <w:color w:val="000000"/>
                <w:sz w:val="20"/>
              </w:rPr>
              <w:t>ESO4.8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F08BFD"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374599"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75CC82" w14:textId="77777777" w:rsidR="00A77B3E" w:rsidRDefault="00B16CCF">
            <w:pPr>
              <w:spacing w:before="5pt"/>
              <w:rPr>
                <w:color w:val="000000"/>
                <w:sz w:val="20"/>
              </w:rPr>
            </w:pPr>
            <w:r>
              <w:rPr>
                <w:color w:val="000000"/>
                <w:sz w:val="20"/>
              </w:rPr>
              <w:t>151. Podpora za izobraževanje odraslih (razen infrastrukture)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336D78" w14:textId="77777777" w:rsidR="00A77B3E" w:rsidRDefault="00B16CCF">
            <w:pPr>
              <w:spacing w:before="5pt"/>
              <w:jc w:val="end"/>
              <w:rPr>
                <w:color w:val="000000"/>
                <w:sz w:val="20"/>
              </w:rPr>
            </w:pPr>
            <w:r>
              <w:rPr>
                <w:color w:val="000000"/>
                <w:sz w:val="20"/>
              </w:rPr>
              <w:t>240.000,00</w:t>
            </w:r>
          </w:p>
        </w:tc>
      </w:tr>
      <w:tr w:rsidR="00823317" w14:paraId="45D5F59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2D0578"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37AF33" w14:textId="77777777" w:rsidR="00A77B3E" w:rsidRDefault="00B16CCF">
            <w:pPr>
              <w:spacing w:before="5pt"/>
              <w:rPr>
                <w:color w:val="000000"/>
                <w:sz w:val="20"/>
              </w:rPr>
            </w:pPr>
            <w:r>
              <w:rPr>
                <w:color w:val="000000"/>
                <w:sz w:val="20"/>
              </w:rPr>
              <w:t>ESO4.8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4912DD"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65923C"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A7DBA5" w14:textId="77777777" w:rsidR="00A77B3E" w:rsidRDefault="00B16CCF">
            <w:pPr>
              <w:spacing w:before="5pt"/>
              <w:rPr>
                <w:color w:val="000000"/>
                <w:sz w:val="20"/>
              </w:rPr>
            </w:pPr>
            <w:r>
              <w:rPr>
                <w:color w:val="000000"/>
                <w:sz w:val="20"/>
              </w:rPr>
              <w:t xml:space="preserve">153. Možnosti vključevanja in ponovnega zaposlovanja prikrajšanih ljudi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A2063C" w14:textId="77777777" w:rsidR="00A77B3E" w:rsidRDefault="00B16CCF">
            <w:pPr>
              <w:spacing w:before="5pt"/>
              <w:jc w:val="end"/>
              <w:rPr>
                <w:color w:val="000000"/>
                <w:sz w:val="20"/>
              </w:rPr>
            </w:pPr>
            <w:r>
              <w:rPr>
                <w:color w:val="000000"/>
                <w:sz w:val="20"/>
              </w:rPr>
              <w:t>6.180.000,00</w:t>
            </w:r>
          </w:p>
        </w:tc>
      </w:tr>
      <w:tr w:rsidR="00823317" w14:paraId="3BE7CD2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3BEB90"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C8CC40" w14:textId="77777777" w:rsidR="00A77B3E" w:rsidRDefault="00B16CCF">
            <w:pPr>
              <w:spacing w:before="5pt"/>
              <w:rPr>
                <w:color w:val="000000"/>
                <w:sz w:val="20"/>
              </w:rPr>
            </w:pPr>
            <w:r>
              <w:rPr>
                <w:color w:val="000000"/>
                <w:sz w:val="20"/>
              </w:rPr>
              <w:t>ESO4.8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50A464"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BF74D0"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F0F300" w14:textId="77777777" w:rsidR="00A77B3E" w:rsidRDefault="00B16CCF">
            <w:pPr>
              <w:spacing w:before="5pt"/>
              <w:rPr>
                <w:color w:val="000000"/>
                <w:sz w:val="20"/>
              </w:rPr>
            </w:pPr>
            <w:r>
              <w:rPr>
                <w:color w:val="000000"/>
                <w:sz w:val="20"/>
              </w:rPr>
              <w:t>154. Ukrepi za izboljšanje dostopa marginaliziranih skupin, kot so Romi, do izobraževanja in zaposlitve ter za spodbujanje njihovega socialnega vključevanja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A743FB" w14:textId="77777777" w:rsidR="00A77B3E" w:rsidRDefault="00B16CCF">
            <w:pPr>
              <w:spacing w:before="5pt"/>
              <w:jc w:val="end"/>
              <w:rPr>
                <w:color w:val="000000"/>
                <w:sz w:val="20"/>
              </w:rPr>
            </w:pPr>
            <w:r>
              <w:rPr>
                <w:color w:val="000000"/>
                <w:sz w:val="20"/>
              </w:rPr>
              <w:t>720.000,00</w:t>
            </w:r>
          </w:p>
        </w:tc>
      </w:tr>
      <w:tr w:rsidR="00823317" w14:paraId="40CBD2D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B50F67"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1CC6E6" w14:textId="77777777" w:rsidR="00A77B3E" w:rsidRDefault="00B16CCF">
            <w:pPr>
              <w:spacing w:before="5pt"/>
              <w:rPr>
                <w:color w:val="000000"/>
                <w:sz w:val="20"/>
              </w:rPr>
            </w:pPr>
            <w:r>
              <w:rPr>
                <w:color w:val="000000"/>
                <w:sz w:val="20"/>
              </w:rPr>
              <w:t>ESO4.8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072F4A"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ADD32B"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8AF5AF" w14:textId="77777777" w:rsidR="00A77B3E" w:rsidRDefault="00B16CCF">
            <w:pPr>
              <w:spacing w:before="5pt"/>
              <w:rPr>
                <w:color w:val="000000"/>
                <w:sz w:val="20"/>
              </w:rPr>
            </w:pPr>
            <w:r>
              <w:rPr>
                <w:color w:val="000000"/>
                <w:sz w:val="20"/>
              </w:rPr>
              <w:t>151. Podpora za izobraževanje odraslih (razen infrastrukture)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0004FA" w14:textId="77777777" w:rsidR="00A77B3E" w:rsidRDefault="00B16CCF">
            <w:pPr>
              <w:spacing w:before="5pt"/>
              <w:jc w:val="end"/>
              <w:rPr>
                <w:color w:val="000000"/>
                <w:sz w:val="20"/>
              </w:rPr>
            </w:pPr>
            <w:r>
              <w:rPr>
                <w:color w:val="000000"/>
                <w:sz w:val="20"/>
              </w:rPr>
              <w:t>1.190.000,00</w:t>
            </w:r>
          </w:p>
        </w:tc>
      </w:tr>
      <w:tr w:rsidR="00823317" w14:paraId="5C6A20B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63A09F"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15E7E7" w14:textId="77777777" w:rsidR="00A77B3E" w:rsidRDefault="00B16CCF">
            <w:pPr>
              <w:spacing w:before="5pt"/>
              <w:rPr>
                <w:color w:val="000000"/>
                <w:sz w:val="20"/>
              </w:rPr>
            </w:pPr>
            <w:r>
              <w:rPr>
                <w:color w:val="000000"/>
                <w:sz w:val="20"/>
              </w:rPr>
              <w:t>ESO4.8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6E5139"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2EDC6A"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CA86C8" w14:textId="77777777" w:rsidR="00A77B3E" w:rsidRDefault="00B16CCF">
            <w:pPr>
              <w:spacing w:before="5pt"/>
              <w:rPr>
                <w:color w:val="000000"/>
                <w:sz w:val="20"/>
              </w:rPr>
            </w:pPr>
            <w:r>
              <w:rPr>
                <w:color w:val="000000"/>
                <w:sz w:val="20"/>
              </w:rPr>
              <w:t xml:space="preserve">153. Možnosti vključevanja in ponovnega zaposlovanja prikrajšanih ljudi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A169F1" w14:textId="77777777" w:rsidR="00A77B3E" w:rsidRDefault="00B16CCF">
            <w:pPr>
              <w:spacing w:before="5pt"/>
              <w:jc w:val="end"/>
              <w:rPr>
                <w:color w:val="000000"/>
                <w:sz w:val="20"/>
              </w:rPr>
            </w:pPr>
            <w:r>
              <w:rPr>
                <w:color w:val="000000"/>
                <w:sz w:val="20"/>
              </w:rPr>
              <w:t>25.970.000,00</w:t>
            </w:r>
          </w:p>
        </w:tc>
      </w:tr>
      <w:tr w:rsidR="00823317" w14:paraId="6B95628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76B27F"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AAA90C" w14:textId="77777777" w:rsidR="00A77B3E" w:rsidRDefault="00B16CCF">
            <w:pPr>
              <w:spacing w:before="5pt"/>
              <w:rPr>
                <w:color w:val="000000"/>
                <w:sz w:val="20"/>
              </w:rPr>
            </w:pPr>
            <w:r>
              <w:rPr>
                <w:color w:val="000000"/>
                <w:sz w:val="20"/>
              </w:rPr>
              <w:t>ESO4.8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241563"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55639C"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DB400C" w14:textId="77777777" w:rsidR="00A77B3E" w:rsidRDefault="00B16CCF">
            <w:pPr>
              <w:spacing w:before="5pt"/>
              <w:rPr>
                <w:color w:val="000000"/>
                <w:sz w:val="20"/>
              </w:rPr>
            </w:pPr>
            <w:r>
              <w:rPr>
                <w:color w:val="000000"/>
                <w:sz w:val="20"/>
              </w:rPr>
              <w:t>154. Ukrepi za izboljšanje dostopa marginaliziranih skupin, kot so Romi, do izobraževanja in zaposlitve ter za spodbujanje njihovega socialnega vključevanja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34E72C" w14:textId="77777777" w:rsidR="00A77B3E" w:rsidRDefault="00B16CCF">
            <w:pPr>
              <w:spacing w:before="5pt"/>
              <w:jc w:val="end"/>
              <w:rPr>
                <w:color w:val="000000"/>
                <w:sz w:val="20"/>
              </w:rPr>
            </w:pPr>
            <w:r>
              <w:rPr>
                <w:color w:val="000000"/>
                <w:sz w:val="20"/>
              </w:rPr>
              <w:t>1.640.000,00</w:t>
            </w:r>
          </w:p>
        </w:tc>
      </w:tr>
      <w:tr w:rsidR="00823317" w14:paraId="5482FFD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F1527E"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F6A562" w14:textId="77777777" w:rsidR="00A77B3E" w:rsidRDefault="00B16CCF">
            <w:pPr>
              <w:spacing w:before="5pt"/>
              <w:rPr>
                <w:color w:val="000000"/>
                <w:sz w:val="20"/>
              </w:rPr>
            </w:pPr>
            <w:r>
              <w:rPr>
                <w:color w:val="000000"/>
                <w:sz w:val="20"/>
              </w:rPr>
              <w:t>ESO4.8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3372E1"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CABFC9"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2C55A4"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DE4ED3" w14:textId="77777777" w:rsidR="00A77B3E" w:rsidRDefault="00B16CCF">
            <w:pPr>
              <w:spacing w:before="5pt"/>
              <w:jc w:val="end"/>
              <w:rPr>
                <w:color w:val="000000"/>
                <w:sz w:val="20"/>
              </w:rPr>
            </w:pPr>
            <w:r>
              <w:rPr>
                <w:color w:val="000000"/>
                <w:sz w:val="20"/>
              </w:rPr>
              <w:t>35.940.000,00</w:t>
            </w:r>
          </w:p>
        </w:tc>
      </w:tr>
    </w:tbl>
    <w:p w14:paraId="409ED45F" w14:textId="77777777" w:rsidR="00A77B3E" w:rsidRDefault="00A77B3E">
      <w:pPr>
        <w:spacing w:before="5pt"/>
        <w:rPr>
          <w:color w:val="000000"/>
          <w:sz w:val="20"/>
        </w:rPr>
      </w:pPr>
    </w:p>
    <w:p w14:paraId="2846097E" w14:textId="77777777" w:rsidR="00A77B3E" w:rsidRDefault="00B16CCF">
      <w:pPr>
        <w:pStyle w:val="Naslov5"/>
        <w:spacing w:before="5pt" w:after="0pt"/>
        <w:rPr>
          <w:b w:val="0"/>
          <w:i w:val="0"/>
          <w:color w:val="000000"/>
          <w:sz w:val="24"/>
        </w:rPr>
      </w:pPr>
      <w:bookmarkStart w:id="554" w:name="_Toc256001315"/>
      <w:r>
        <w:rPr>
          <w:b w:val="0"/>
          <w:i w:val="0"/>
          <w:color w:val="000000"/>
          <w:sz w:val="24"/>
        </w:rPr>
        <w:t>Tabela 5: Razsežnost 2 – oblika financiranja</w:t>
      </w:r>
      <w:bookmarkEnd w:id="554"/>
    </w:p>
    <w:p w14:paraId="21E6FD7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93"/>
        <w:gridCol w:w="2392"/>
        <w:gridCol w:w="1737"/>
        <w:gridCol w:w="2480"/>
        <w:gridCol w:w="2706"/>
        <w:gridCol w:w="3264"/>
      </w:tblGrid>
      <w:tr w:rsidR="00823317" w14:paraId="1499EEE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969E24"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3D91BC"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0CBE26"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E7A487"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9F9806"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97F4DF" w14:textId="77777777" w:rsidR="00A77B3E" w:rsidRDefault="00B16CCF">
            <w:pPr>
              <w:spacing w:before="5pt"/>
              <w:jc w:val="center"/>
              <w:rPr>
                <w:color w:val="000000"/>
                <w:sz w:val="20"/>
              </w:rPr>
            </w:pPr>
            <w:r>
              <w:rPr>
                <w:color w:val="000000"/>
                <w:sz w:val="20"/>
              </w:rPr>
              <w:t>Znesek (v EUR)</w:t>
            </w:r>
          </w:p>
        </w:tc>
      </w:tr>
      <w:tr w:rsidR="00823317" w14:paraId="2DA5D2A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6F9A64"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82D330" w14:textId="77777777" w:rsidR="00A77B3E" w:rsidRDefault="00B16CCF">
            <w:pPr>
              <w:spacing w:before="5pt"/>
              <w:rPr>
                <w:color w:val="000000"/>
                <w:sz w:val="20"/>
              </w:rPr>
            </w:pPr>
            <w:r>
              <w:rPr>
                <w:color w:val="000000"/>
                <w:sz w:val="20"/>
              </w:rPr>
              <w:t>ESO4.8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EC786F"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D5034D"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EC9E07" w14:textId="77777777" w:rsidR="00A77B3E" w:rsidRDefault="00B16CCF">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775286" w14:textId="77777777" w:rsidR="00A77B3E" w:rsidRDefault="00B16CCF">
            <w:pPr>
              <w:spacing w:before="5pt"/>
              <w:jc w:val="end"/>
              <w:rPr>
                <w:color w:val="000000"/>
                <w:sz w:val="20"/>
              </w:rPr>
            </w:pPr>
            <w:r>
              <w:rPr>
                <w:color w:val="000000"/>
                <w:sz w:val="20"/>
              </w:rPr>
              <w:t>7.140.000,00</w:t>
            </w:r>
          </w:p>
        </w:tc>
      </w:tr>
      <w:tr w:rsidR="00823317" w14:paraId="23CA91C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8FCADA"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65FA25" w14:textId="77777777" w:rsidR="00A77B3E" w:rsidRDefault="00B16CCF">
            <w:pPr>
              <w:spacing w:before="5pt"/>
              <w:rPr>
                <w:color w:val="000000"/>
                <w:sz w:val="20"/>
              </w:rPr>
            </w:pPr>
            <w:r>
              <w:rPr>
                <w:color w:val="000000"/>
                <w:sz w:val="20"/>
              </w:rPr>
              <w:t>ESO4.8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3A14F8"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43120F"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18AA7C" w14:textId="77777777" w:rsidR="00A77B3E" w:rsidRDefault="00B16CCF">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512A24" w14:textId="77777777" w:rsidR="00A77B3E" w:rsidRDefault="00B16CCF">
            <w:pPr>
              <w:spacing w:before="5pt"/>
              <w:jc w:val="end"/>
              <w:rPr>
                <w:color w:val="000000"/>
                <w:sz w:val="20"/>
              </w:rPr>
            </w:pPr>
            <w:r>
              <w:rPr>
                <w:color w:val="000000"/>
                <w:sz w:val="20"/>
              </w:rPr>
              <w:t>28.800.000,00</w:t>
            </w:r>
          </w:p>
        </w:tc>
      </w:tr>
      <w:tr w:rsidR="00823317" w14:paraId="589C416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474BF2"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3955C9" w14:textId="77777777" w:rsidR="00A77B3E" w:rsidRDefault="00B16CCF">
            <w:pPr>
              <w:spacing w:before="5pt"/>
              <w:rPr>
                <w:color w:val="000000"/>
                <w:sz w:val="20"/>
              </w:rPr>
            </w:pPr>
            <w:r>
              <w:rPr>
                <w:color w:val="000000"/>
                <w:sz w:val="20"/>
              </w:rPr>
              <w:t>ESO4.8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9CD5CF"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C36594"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1CB084"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AC71F3" w14:textId="77777777" w:rsidR="00A77B3E" w:rsidRDefault="00B16CCF">
            <w:pPr>
              <w:spacing w:before="5pt"/>
              <w:jc w:val="end"/>
              <w:rPr>
                <w:color w:val="000000"/>
                <w:sz w:val="20"/>
              </w:rPr>
            </w:pPr>
            <w:r>
              <w:rPr>
                <w:color w:val="000000"/>
                <w:sz w:val="20"/>
              </w:rPr>
              <w:t>35.940.000,00</w:t>
            </w:r>
          </w:p>
        </w:tc>
      </w:tr>
    </w:tbl>
    <w:p w14:paraId="7D8518BA" w14:textId="77777777" w:rsidR="00A77B3E" w:rsidRDefault="00A77B3E">
      <w:pPr>
        <w:spacing w:before="5pt"/>
        <w:rPr>
          <w:color w:val="000000"/>
          <w:sz w:val="20"/>
        </w:rPr>
      </w:pPr>
    </w:p>
    <w:p w14:paraId="76128663" w14:textId="77777777" w:rsidR="00A77B3E" w:rsidRDefault="00B16CCF">
      <w:pPr>
        <w:pStyle w:val="Naslov5"/>
        <w:spacing w:before="5pt" w:after="0pt"/>
        <w:rPr>
          <w:b w:val="0"/>
          <w:i w:val="0"/>
          <w:color w:val="000000"/>
          <w:sz w:val="24"/>
        </w:rPr>
      </w:pPr>
      <w:bookmarkStart w:id="555" w:name="_Toc256001316"/>
      <w:r>
        <w:rPr>
          <w:b w:val="0"/>
          <w:i w:val="0"/>
          <w:color w:val="000000"/>
          <w:sz w:val="24"/>
        </w:rPr>
        <w:t>Tabela 6: Razsežnost 3 – mehanizem za ozemeljsko izvrševanje in ozemeljski pristop</w:t>
      </w:r>
      <w:bookmarkEnd w:id="555"/>
    </w:p>
    <w:p w14:paraId="3FBA76A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26"/>
        <w:gridCol w:w="2331"/>
        <w:gridCol w:w="1692"/>
        <w:gridCol w:w="2416"/>
        <w:gridCol w:w="3027"/>
        <w:gridCol w:w="3180"/>
      </w:tblGrid>
      <w:tr w:rsidR="00823317" w14:paraId="602372D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67CEA5" w14:textId="77777777" w:rsidR="00A77B3E" w:rsidRDefault="00B16CCF">
            <w:pPr>
              <w:spacing w:before="5pt"/>
              <w:jc w:val="center"/>
              <w:rPr>
                <w:color w:val="000000"/>
                <w:sz w:val="20"/>
              </w:rPr>
            </w:pPr>
            <w:r>
              <w:rPr>
                <w:color w:val="000000"/>
                <w:sz w:val="20"/>
              </w:rPr>
              <w:lastRenderedPageBreak/>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6F7D2F"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226DFB"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E22468"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19B64AE"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17211D9" w14:textId="77777777" w:rsidR="00A77B3E" w:rsidRDefault="00B16CCF">
            <w:pPr>
              <w:spacing w:before="5pt"/>
              <w:jc w:val="center"/>
              <w:rPr>
                <w:color w:val="000000"/>
                <w:sz w:val="20"/>
              </w:rPr>
            </w:pPr>
            <w:r>
              <w:rPr>
                <w:color w:val="000000"/>
                <w:sz w:val="20"/>
              </w:rPr>
              <w:t>Znesek (v EUR)</w:t>
            </w:r>
          </w:p>
        </w:tc>
      </w:tr>
      <w:tr w:rsidR="00823317" w14:paraId="09B0211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FAA1F6"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24491D" w14:textId="77777777" w:rsidR="00A77B3E" w:rsidRDefault="00B16CCF">
            <w:pPr>
              <w:spacing w:before="5pt"/>
              <w:rPr>
                <w:color w:val="000000"/>
                <w:sz w:val="20"/>
              </w:rPr>
            </w:pPr>
            <w:r>
              <w:rPr>
                <w:color w:val="000000"/>
                <w:sz w:val="20"/>
              </w:rPr>
              <w:t>ESO4.8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15A2D7"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1512FB"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861134" w14:textId="77777777" w:rsidR="00A77B3E" w:rsidRDefault="00B16CCF">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4EF8EA" w14:textId="77777777" w:rsidR="00A77B3E" w:rsidRDefault="00B16CCF">
            <w:pPr>
              <w:spacing w:before="5pt"/>
              <w:jc w:val="end"/>
              <w:rPr>
                <w:color w:val="000000"/>
                <w:sz w:val="20"/>
              </w:rPr>
            </w:pPr>
            <w:r>
              <w:rPr>
                <w:color w:val="000000"/>
                <w:sz w:val="20"/>
              </w:rPr>
              <w:t>7.140.000,00</w:t>
            </w:r>
          </w:p>
        </w:tc>
      </w:tr>
      <w:tr w:rsidR="00823317" w14:paraId="1395E52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F35C55"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29F9F4" w14:textId="77777777" w:rsidR="00A77B3E" w:rsidRDefault="00B16CCF">
            <w:pPr>
              <w:spacing w:before="5pt"/>
              <w:rPr>
                <w:color w:val="000000"/>
                <w:sz w:val="20"/>
              </w:rPr>
            </w:pPr>
            <w:r>
              <w:rPr>
                <w:color w:val="000000"/>
                <w:sz w:val="20"/>
              </w:rPr>
              <w:t>ESO4.8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66CDA6"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EC2222"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E66178" w14:textId="77777777" w:rsidR="00A77B3E" w:rsidRDefault="00B16CCF">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3620D3" w14:textId="77777777" w:rsidR="00A77B3E" w:rsidRDefault="00B16CCF">
            <w:pPr>
              <w:spacing w:before="5pt"/>
              <w:jc w:val="end"/>
              <w:rPr>
                <w:color w:val="000000"/>
                <w:sz w:val="20"/>
              </w:rPr>
            </w:pPr>
            <w:r>
              <w:rPr>
                <w:color w:val="000000"/>
                <w:sz w:val="20"/>
              </w:rPr>
              <w:t>28.800.000,00</w:t>
            </w:r>
          </w:p>
        </w:tc>
      </w:tr>
      <w:tr w:rsidR="00823317" w14:paraId="5ADD5D6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856408"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5B76B3" w14:textId="77777777" w:rsidR="00A77B3E" w:rsidRDefault="00B16CCF">
            <w:pPr>
              <w:spacing w:before="5pt"/>
              <w:rPr>
                <w:color w:val="000000"/>
                <w:sz w:val="20"/>
              </w:rPr>
            </w:pPr>
            <w:r>
              <w:rPr>
                <w:color w:val="000000"/>
                <w:sz w:val="20"/>
              </w:rPr>
              <w:t>ESO4.8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E58B2B"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18B7C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5022BE"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51A2BF" w14:textId="77777777" w:rsidR="00A77B3E" w:rsidRDefault="00B16CCF">
            <w:pPr>
              <w:spacing w:before="5pt"/>
              <w:jc w:val="end"/>
              <w:rPr>
                <w:color w:val="000000"/>
                <w:sz w:val="20"/>
              </w:rPr>
            </w:pPr>
            <w:r>
              <w:rPr>
                <w:color w:val="000000"/>
                <w:sz w:val="20"/>
              </w:rPr>
              <w:t>35.940.000,00</w:t>
            </w:r>
          </w:p>
        </w:tc>
      </w:tr>
    </w:tbl>
    <w:p w14:paraId="79559827" w14:textId="77777777" w:rsidR="00A77B3E" w:rsidRDefault="00A77B3E">
      <w:pPr>
        <w:spacing w:before="5pt"/>
        <w:rPr>
          <w:color w:val="000000"/>
          <w:sz w:val="20"/>
        </w:rPr>
      </w:pPr>
    </w:p>
    <w:p w14:paraId="63BAF88B" w14:textId="77777777" w:rsidR="00A77B3E" w:rsidRDefault="00B16CCF">
      <w:pPr>
        <w:pStyle w:val="Naslov5"/>
        <w:spacing w:before="5pt" w:after="0pt"/>
        <w:rPr>
          <w:b w:val="0"/>
          <w:i w:val="0"/>
          <w:color w:val="000000"/>
          <w:sz w:val="24"/>
        </w:rPr>
      </w:pPr>
      <w:bookmarkStart w:id="556" w:name="_Toc256001317"/>
      <w:r>
        <w:rPr>
          <w:b w:val="0"/>
          <w:i w:val="0"/>
          <w:color w:val="000000"/>
          <w:sz w:val="24"/>
        </w:rPr>
        <w:t>Tabela 7: Razsežnost 6 – sekundarna področja ESS+</w:t>
      </w:r>
      <w:bookmarkEnd w:id="556"/>
    </w:p>
    <w:p w14:paraId="16DDC76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33"/>
        <w:gridCol w:w="2429"/>
        <w:gridCol w:w="1763"/>
        <w:gridCol w:w="2517"/>
        <w:gridCol w:w="2517"/>
        <w:gridCol w:w="3313"/>
      </w:tblGrid>
      <w:tr w:rsidR="00823317" w14:paraId="3631716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36E11A"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668EDE"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83AE1F"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BB9C13"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5F6351"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71C8CE" w14:textId="77777777" w:rsidR="00A77B3E" w:rsidRDefault="00B16CCF">
            <w:pPr>
              <w:spacing w:before="5pt"/>
              <w:jc w:val="center"/>
              <w:rPr>
                <w:color w:val="000000"/>
                <w:sz w:val="20"/>
              </w:rPr>
            </w:pPr>
            <w:r>
              <w:rPr>
                <w:color w:val="000000"/>
                <w:sz w:val="20"/>
              </w:rPr>
              <w:t>Znesek (v EUR)</w:t>
            </w:r>
          </w:p>
        </w:tc>
      </w:tr>
      <w:tr w:rsidR="00823317" w14:paraId="468A3E1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D7B011"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8A527E" w14:textId="77777777" w:rsidR="00A77B3E" w:rsidRDefault="00B16CCF">
            <w:pPr>
              <w:spacing w:before="5pt"/>
              <w:rPr>
                <w:color w:val="000000"/>
                <w:sz w:val="20"/>
              </w:rPr>
            </w:pPr>
            <w:r>
              <w:rPr>
                <w:color w:val="000000"/>
                <w:sz w:val="20"/>
              </w:rPr>
              <w:t>ESO4.8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8B8F34"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019928"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5D5025" w14:textId="77777777" w:rsidR="00A77B3E" w:rsidRDefault="00B16CCF">
            <w:pPr>
              <w:spacing w:before="5pt"/>
              <w:rPr>
                <w:color w:val="000000"/>
                <w:sz w:val="20"/>
              </w:rPr>
            </w:pPr>
            <w:r>
              <w:rPr>
                <w:color w:val="000000"/>
                <w:sz w:val="20"/>
              </w:rPr>
              <w:t>09. Ni relevantno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D8999F" w14:textId="77777777" w:rsidR="00A77B3E" w:rsidRDefault="00B16CCF">
            <w:pPr>
              <w:spacing w:before="5pt"/>
              <w:jc w:val="end"/>
              <w:rPr>
                <w:color w:val="000000"/>
                <w:sz w:val="20"/>
              </w:rPr>
            </w:pPr>
            <w:r>
              <w:rPr>
                <w:color w:val="000000"/>
                <w:sz w:val="20"/>
              </w:rPr>
              <w:t>7.140.000,00</w:t>
            </w:r>
          </w:p>
        </w:tc>
      </w:tr>
      <w:tr w:rsidR="00823317" w14:paraId="2D28A2A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7D6761"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F3B85A" w14:textId="77777777" w:rsidR="00A77B3E" w:rsidRDefault="00B16CCF">
            <w:pPr>
              <w:spacing w:before="5pt"/>
              <w:rPr>
                <w:color w:val="000000"/>
                <w:sz w:val="20"/>
              </w:rPr>
            </w:pPr>
            <w:r>
              <w:rPr>
                <w:color w:val="000000"/>
                <w:sz w:val="20"/>
              </w:rPr>
              <w:t>ESO4.8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F40C72"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8E2A49"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F90731" w14:textId="77777777" w:rsidR="00A77B3E" w:rsidRDefault="00B16CCF">
            <w:pPr>
              <w:spacing w:before="5pt"/>
              <w:rPr>
                <w:color w:val="000000"/>
                <w:sz w:val="20"/>
              </w:rPr>
            </w:pPr>
            <w:r>
              <w:rPr>
                <w:color w:val="000000"/>
                <w:sz w:val="20"/>
              </w:rPr>
              <w:t>09. Ni relevantno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95A004" w14:textId="77777777" w:rsidR="00A77B3E" w:rsidRDefault="00B16CCF">
            <w:pPr>
              <w:spacing w:before="5pt"/>
              <w:jc w:val="end"/>
              <w:rPr>
                <w:color w:val="000000"/>
                <w:sz w:val="20"/>
              </w:rPr>
            </w:pPr>
            <w:r>
              <w:rPr>
                <w:color w:val="000000"/>
                <w:sz w:val="20"/>
              </w:rPr>
              <w:t>28.800.000,00</w:t>
            </w:r>
          </w:p>
        </w:tc>
      </w:tr>
      <w:tr w:rsidR="00823317" w14:paraId="57C5E0C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F4BB69"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C65D58" w14:textId="77777777" w:rsidR="00A77B3E" w:rsidRDefault="00B16CCF">
            <w:pPr>
              <w:spacing w:before="5pt"/>
              <w:rPr>
                <w:color w:val="000000"/>
                <w:sz w:val="20"/>
              </w:rPr>
            </w:pPr>
            <w:r>
              <w:rPr>
                <w:color w:val="000000"/>
                <w:sz w:val="20"/>
              </w:rPr>
              <w:t>ESO4.8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F7EDA1"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643293"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F4F943"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0B3A3B" w14:textId="77777777" w:rsidR="00A77B3E" w:rsidRDefault="00B16CCF">
            <w:pPr>
              <w:spacing w:before="5pt"/>
              <w:jc w:val="end"/>
              <w:rPr>
                <w:color w:val="000000"/>
                <w:sz w:val="20"/>
              </w:rPr>
            </w:pPr>
            <w:r>
              <w:rPr>
                <w:color w:val="000000"/>
                <w:sz w:val="20"/>
              </w:rPr>
              <w:t>35.940.000,00</w:t>
            </w:r>
          </w:p>
        </w:tc>
      </w:tr>
    </w:tbl>
    <w:p w14:paraId="5D4DB325" w14:textId="77777777" w:rsidR="00A77B3E" w:rsidRDefault="00A77B3E">
      <w:pPr>
        <w:spacing w:before="5pt"/>
        <w:rPr>
          <w:color w:val="000000"/>
          <w:sz w:val="20"/>
        </w:rPr>
      </w:pPr>
    </w:p>
    <w:p w14:paraId="08DE85C2" w14:textId="77777777" w:rsidR="00A77B3E" w:rsidRDefault="00B16CCF">
      <w:pPr>
        <w:pStyle w:val="Naslov5"/>
        <w:spacing w:before="5pt" w:after="0pt"/>
        <w:rPr>
          <w:b w:val="0"/>
          <w:i w:val="0"/>
          <w:color w:val="000000"/>
          <w:sz w:val="24"/>
        </w:rPr>
      </w:pPr>
      <w:bookmarkStart w:id="557" w:name="_Toc256001318"/>
      <w:r>
        <w:rPr>
          <w:b w:val="0"/>
          <w:i w:val="0"/>
          <w:color w:val="000000"/>
          <w:sz w:val="24"/>
        </w:rPr>
        <w:t>Tabela 8: Razsežnost 7 – razsežnost enakosti spolov v okviru ESS+*, ESRR, Kohezijskega sklada in SPP</w:t>
      </w:r>
      <w:bookmarkEnd w:id="557"/>
    </w:p>
    <w:p w14:paraId="5BBE2BD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35"/>
        <w:gridCol w:w="2339"/>
        <w:gridCol w:w="1699"/>
        <w:gridCol w:w="2425"/>
        <w:gridCol w:w="2983"/>
        <w:gridCol w:w="3191"/>
      </w:tblGrid>
      <w:tr w:rsidR="00823317" w14:paraId="65B5B0D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9A55C3B"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D01DF2"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19B6F1"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8BEFD9"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7D4FCA"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6AF13F" w14:textId="77777777" w:rsidR="00A77B3E" w:rsidRDefault="00B16CCF">
            <w:pPr>
              <w:spacing w:before="5pt"/>
              <w:jc w:val="center"/>
              <w:rPr>
                <w:color w:val="000000"/>
                <w:sz w:val="20"/>
              </w:rPr>
            </w:pPr>
            <w:r>
              <w:rPr>
                <w:color w:val="000000"/>
                <w:sz w:val="20"/>
              </w:rPr>
              <w:t>Znesek (v EUR)</w:t>
            </w:r>
          </w:p>
        </w:tc>
      </w:tr>
      <w:tr w:rsidR="00823317" w14:paraId="4CF202C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4DEF5E"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E492A8" w14:textId="77777777" w:rsidR="00A77B3E" w:rsidRDefault="00B16CCF">
            <w:pPr>
              <w:spacing w:before="5pt"/>
              <w:rPr>
                <w:color w:val="000000"/>
                <w:sz w:val="20"/>
              </w:rPr>
            </w:pPr>
            <w:r>
              <w:rPr>
                <w:color w:val="000000"/>
                <w:sz w:val="20"/>
              </w:rPr>
              <w:t>ESO4.8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DB28FF"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C0A31E"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3E7FA1" w14:textId="77777777" w:rsidR="00A77B3E" w:rsidRDefault="00B16CCF">
            <w:pPr>
              <w:spacing w:before="5pt"/>
              <w:rPr>
                <w:color w:val="000000"/>
                <w:sz w:val="20"/>
              </w:rPr>
            </w:pPr>
            <w:r>
              <w:rPr>
                <w:color w:val="000000"/>
                <w:sz w:val="20"/>
              </w:rPr>
              <w:t>02. Vključevanje vidika spola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B31324" w14:textId="77777777" w:rsidR="00A77B3E" w:rsidRDefault="00B16CCF">
            <w:pPr>
              <w:spacing w:before="5pt"/>
              <w:jc w:val="end"/>
              <w:rPr>
                <w:color w:val="000000"/>
                <w:sz w:val="20"/>
              </w:rPr>
            </w:pPr>
            <w:r>
              <w:rPr>
                <w:color w:val="000000"/>
                <w:sz w:val="20"/>
              </w:rPr>
              <w:t>7.140.000,00</w:t>
            </w:r>
          </w:p>
        </w:tc>
      </w:tr>
      <w:tr w:rsidR="00823317" w14:paraId="784BE19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6156B2"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47D2AA" w14:textId="77777777" w:rsidR="00A77B3E" w:rsidRDefault="00B16CCF">
            <w:pPr>
              <w:spacing w:before="5pt"/>
              <w:rPr>
                <w:color w:val="000000"/>
                <w:sz w:val="20"/>
              </w:rPr>
            </w:pPr>
            <w:r>
              <w:rPr>
                <w:color w:val="000000"/>
                <w:sz w:val="20"/>
              </w:rPr>
              <w:t>ESO4.8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69A218"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7C407E"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C31071" w14:textId="77777777" w:rsidR="00A77B3E" w:rsidRDefault="00B16CCF">
            <w:pPr>
              <w:spacing w:before="5pt"/>
              <w:rPr>
                <w:color w:val="000000"/>
                <w:sz w:val="20"/>
              </w:rPr>
            </w:pPr>
            <w:r>
              <w:rPr>
                <w:color w:val="000000"/>
                <w:sz w:val="20"/>
              </w:rPr>
              <w:t>02. Vključevanje vidika spola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5AA3D4" w14:textId="77777777" w:rsidR="00A77B3E" w:rsidRDefault="00B16CCF">
            <w:pPr>
              <w:spacing w:before="5pt"/>
              <w:jc w:val="end"/>
              <w:rPr>
                <w:color w:val="000000"/>
                <w:sz w:val="20"/>
              </w:rPr>
            </w:pPr>
            <w:r>
              <w:rPr>
                <w:color w:val="000000"/>
                <w:sz w:val="20"/>
              </w:rPr>
              <w:t>28.800.000,00</w:t>
            </w:r>
          </w:p>
        </w:tc>
      </w:tr>
      <w:tr w:rsidR="00823317" w14:paraId="5EF1071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1B4FEE"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D615BC" w14:textId="77777777" w:rsidR="00A77B3E" w:rsidRDefault="00B16CCF">
            <w:pPr>
              <w:spacing w:before="5pt"/>
              <w:rPr>
                <w:color w:val="000000"/>
                <w:sz w:val="20"/>
              </w:rPr>
            </w:pPr>
            <w:r>
              <w:rPr>
                <w:color w:val="000000"/>
                <w:sz w:val="20"/>
              </w:rPr>
              <w:t>ESO4.8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0C9094"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13825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7B1D57"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216A20" w14:textId="77777777" w:rsidR="00A77B3E" w:rsidRDefault="00B16CCF">
            <w:pPr>
              <w:spacing w:before="5pt"/>
              <w:jc w:val="end"/>
              <w:rPr>
                <w:color w:val="000000"/>
                <w:sz w:val="20"/>
              </w:rPr>
            </w:pPr>
            <w:r>
              <w:rPr>
                <w:color w:val="000000"/>
                <w:sz w:val="20"/>
              </w:rPr>
              <w:t>35.940.000,00</w:t>
            </w:r>
          </w:p>
        </w:tc>
      </w:tr>
    </w:tbl>
    <w:p w14:paraId="5FAA09C5" w14:textId="77777777" w:rsidR="00A77B3E" w:rsidRDefault="00B16CCF">
      <w:pPr>
        <w:spacing w:before="5pt"/>
        <w:rPr>
          <w:color w:val="000000"/>
          <w:sz w:val="20"/>
        </w:rPr>
      </w:pPr>
      <w:r>
        <w:rPr>
          <w:color w:val="000000"/>
          <w:sz w:val="20"/>
        </w:rPr>
        <w:t>* Načeloma 40 % za ESS+ prispeva k spremljanju enakosti spolov. 100 % se uporabi, kadar se država članica odloči za uporabo člena 6 uredbe o ESS+.</w:t>
      </w:r>
    </w:p>
    <w:p w14:paraId="1945B38B" w14:textId="77777777" w:rsidR="00A77B3E" w:rsidRDefault="00B16CCF">
      <w:pPr>
        <w:pStyle w:val="Naslov4"/>
        <w:spacing w:before="5pt" w:after="0pt"/>
        <w:rPr>
          <w:b w:val="0"/>
          <w:color w:val="000000"/>
          <w:sz w:val="24"/>
        </w:rPr>
      </w:pPr>
      <w:r>
        <w:rPr>
          <w:b w:val="0"/>
          <w:color w:val="000000"/>
          <w:sz w:val="24"/>
        </w:rPr>
        <w:br w:type="page"/>
      </w:r>
      <w:bookmarkStart w:id="558" w:name="_Toc256001319"/>
      <w:r>
        <w:rPr>
          <w:b w:val="0"/>
          <w:color w:val="000000"/>
          <w:sz w:val="24"/>
        </w:rPr>
        <w:lastRenderedPageBreak/>
        <w:t>2.1.1.1. Specifični cilj: ESO4.11. Krepitev enakopravnega in pravočasnega dostopa do kakovostnih, trajnostnih in cenovno ugodnih storitev, vključno s storitvami, ki spodbujajo dostop do stanovanj, in storitvami oskrbe, usmerjene v posameznika, vključno z zdravstveno oskrbo; posodobitev sistemov socialne zaščite, vključno s spodbujanjem dostopa do socialne zaščite, s posebnim poudarkom na otrocih in prikrajšanih skupinah; izboljšanje dostopnosti, tudi za invalide, učinkovitosti in odpornosti zdravstvenih sistemov in storitev dolgotrajne oskrbe (ESS+)</w:t>
      </w:r>
      <w:bookmarkEnd w:id="558"/>
    </w:p>
    <w:p w14:paraId="2205A155" w14:textId="77777777" w:rsidR="00A77B3E" w:rsidRDefault="00A77B3E">
      <w:pPr>
        <w:spacing w:before="5pt"/>
        <w:rPr>
          <w:color w:val="000000"/>
          <w:sz w:val="0"/>
        </w:rPr>
      </w:pPr>
    </w:p>
    <w:p w14:paraId="4D0AF872" w14:textId="77777777" w:rsidR="00A77B3E" w:rsidRDefault="00B16CCF">
      <w:pPr>
        <w:pStyle w:val="Naslov4"/>
        <w:spacing w:before="5pt" w:after="0pt"/>
        <w:rPr>
          <w:b w:val="0"/>
          <w:color w:val="000000"/>
          <w:sz w:val="24"/>
        </w:rPr>
      </w:pPr>
      <w:bookmarkStart w:id="559" w:name="_Toc256001320"/>
      <w:r>
        <w:rPr>
          <w:b w:val="0"/>
          <w:color w:val="000000"/>
          <w:sz w:val="24"/>
        </w:rPr>
        <w:t>2.1.1.1.1. Ukrepi skladov</w:t>
      </w:r>
      <w:bookmarkEnd w:id="559"/>
    </w:p>
    <w:p w14:paraId="38E9FA97" w14:textId="77777777" w:rsidR="00A77B3E" w:rsidRDefault="00A77B3E">
      <w:pPr>
        <w:spacing w:before="5pt"/>
        <w:rPr>
          <w:color w:val="000000"/>
          <w:sz w:val="0"/>
        </w:rPr>
      </w:pPr>
    </w:p>
    <w:p w14:paraId="033F5025" w14:textId="77777777" w:rsidR="00A77B3E" w:rsidRDefault="00B16CCF">
      <w:pPr>
        <w:spacing w:before="5pt"/>
        <w:rPr>
          <w:color w:val="000000"/>
          <w:sz w:val="0"/>
        </w:rPr>
      </w:pPr>
      <w:r>
        <w:rPr>
          <w:color w:val="000000"/>
        </w:rPr>
        <w:t>Sklic: člen 22(3)(d)(i), (iii), (iv), (v), (vi) in (vii) uredbe o skupnih določbah</w:t>
      </w:r>
    </w:p>
    <w:p w14:paraId="2EF25463" w14:textId="77777777" w:rsidR="00A77B3E" w:rsidRDefault="00B16CCF">
      <w:pPr>
        <w:pStyle w:val="Naslov5"/>
        <w:spacing w:before="5pt" w:after="0pt"/>
        <w:rPr>
          <w:b w:val="0"/>
          <w:i w:val="0"/>
          <w:color w:val="000000"/>
          <w:sz w:val="24"/>
        </w:rPr>
      </w:pPr>
      <w:bookmarkStart w:id="560" w:name="_Toc256001321"/>
      <w:r>
        <w:rPr>
          <w:b w:val="0"/>
          <w:i w:val="0"/>
          <w:color w:val="000000"/>
          <w:sz w:val="24"/>
        </w:rPr>
        <w:t>Povezane vrste ukrepov – člen 22(3)(d)(i) uredbe o skupnih določbah in člen 6 uredbe o ESS+:</w:t>
      </w:r>
      <w:bookmarkEnd w:id="560"/>
    </w:p>
    <w:p w14:paraId="219C359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7BC67E57"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C14B69" w14:textId="77777777" w:rsidR="00A77B3E" w:rsidRDefault="00A77B3E">
            <w:pPr>
              <w:spacing w:before="5pt"/>
              <w:rPr>
                <w:color w:val="000000"/>
                <w:sz w:val="0"/>
              </w:rPr>
            </w:pPr>
          </w:p>
          <w:p w14:paraId="1276B54B" w14:textId="77777777" w:rsidR="00A77B3E" w:rsidRDefault="00B16CCF">
            <w:pPr>
              <w:spacing w:before="5pt"/>
              <w:rPr>
                <w:color w:val="000000"/>
              </w:rPr>
            </w:pPr>
            <w:r>
              <w:rPr>
                <w:color w:val="000000"/>
              </w:rPr>
              <w:t>Izbruh epidemije covid-19 je izpostavil pomanjkljivost sistema oskrbe, zlasti starejših, zato je nujno nadgraditi informacijsko infrastrukturo socialno varstvenih zavodov, ki bo omogočala pravočasen in ciljni dostop do podatkov. Na povečanje težav na področju zdravstva, na katere opozarja UMAR v PoR 2021, pa bo treba odgovoriti s celovitimi in ciljno usmerjenimi ukrepi. Nujna je krepitev preventivnih programov (tudi športnih) in oblikovanje programov, ki so prilagojeni potrebam starejših ter podpora ukrepom za krepitev socialnega (družbenega) inoviranja, za hitrejši odziv na hitro spreminjajoče se družbene potrebe.</w:t>
            </w:r>
          </w:p>
          <w:p w14:paraId="6F15AFEC" w14:textId="77777777" w:rsidR="00A77B3E" w:rsidRDefault="00A77B3E">
            <w:pPr>
              <w:spacing w:before="5pt"/>
              <w:rPr>
                <w:color w:val="000000"/>
              </w:rPr>
            </w:pPr>
          </w:p>
          <w:p w14:paraId="2E0AE67C" w14:textId="77777777" w:rsidR="00A77B3E" w:rsidRDefault="00B16CCF">
            <w:pPr>
              <w:spacing w:before="5pt"/>
              <w:rPr>
                <w:color w:val="000000"/>
              </w:rPr>
            </w:pPr>
            <w:r>
              <w:rPr>
                <w:color w:val="000000"/>
              </w:rPr>
              <w:t>Podprti bodo naslednji ukrepi:</w:t>
            </w:r>
          </w:p>
          <w:p w14:paraId="7338FAEF" w14:textId="77777777" w:rsidR="00A77B3E" w:rsidRDefault="00B16CCF">
            <w:pPr>
              <w:spacing w:before="5pt"/>
              <w:rPr>
                <w:color w:val="000000"/>
              </w:rPr>
            </w:pPr>
            <w:r>
              <w:rPr>
                <w:color w:val="000000"/>
              </w:rPr>
              <w:t>•</w:t>
            </w:r>
            <w:r>
              <w:rPr>
                <w:i/>
                <w:iCs/>
                <w:color w:val="000000"/>
              </w:rPr>
              <w:t>krepitev socialno varstvenih (SV) storitev:</w:t>
            </w:r>
          </w:p>
          <w:p w14:paraId="6BFFA57F" w14:textId="77777777" w:rsidR="00A77B3E" w:rsidRDefault="00B16CCF">
            <w:pPr>
              <w:spacing w:before="5pt"/>
              <w:rPr>
                <w:color w:val="000000"/>
              </w:rPr>
            </w:pPr>
            <w:r>
              <w:rPr>
                <w:color w:val="000000"/>
              </w:rPr>
              <w:t>oukrepi za dvig kakovosti izvajanja storitev v okviru institucij socialnega varstva: posodobitev sistema SV ter varstva otrok in družin z namenom večje učinkovitosti, dostopnosti in kvalitete storitev za uporabnike v skladu z Družinskim zakonikom iz leta 2017. Vzpostavljen bo sistem vrednotenja potreb uporabnikov na področju SV, izvajalo se bo izobraževanje in usposabljanje strokovnih delavcev ter programi krepitve starševskih kompetenc, vzpostavljen bo model ocenjevanja in merjenja učinkov posameznih storitev/programov ter nadgrajen informacijski sistem za poenoteno vodenje evidenc.</w:t>
            </w:r>
          </w:p>
          <w:p w14:paraId="497CF0F2" w14:textId="77777777" w:rsidR="00A77B3E" w:rsidRDefault="00B16CCF">
            <w:pPr>
              <w:spacing w:before="5pt"/>
              <w:rPr>
                <w:color w:val="000000"/>
              </w:rPr>
            </w:pPr>
            <w:r>
              <w:rPr>
                <w:color w:val="000000"/>
              </w:rPr>
              <w:t>oUkrepi za podporo prehodu iz institucionalne oskrbe na oskrbo na domu z zagotavljanjem SV storitev in storitev v skupnosti: zagotovitev koordinacije vseh akterjev, ki izvajajo SV storitve in programe, podpora na terenu z zagotavljanjem izobraževanja zaposlenih v SV skladno z načeli deinstitucionalizacije, konzultacije, ozaveščanje in spodbujanje procesa deinstitucionalizacije, preprečevanje institucionalizacije in krepitev skupnostnih služb ter preselitve in transformacije delovanja SV.</w:t>
            </w:r>
          </w:p>
          <w:p w14:paraId="59345ED6" w14:textId="77777777" w:rsidR="00A77B3E" w:rsidRDefault="00B16CCF">
            <w:pPr>
              <w:spacing w:before="5pt"/>
              <w:rPr>
                <w:color w:val="000000"/>
              </w:rPr>
            </w:pPr>
            <w:r>
              <w:rPr>
                <w:color w:val="000000"/>
              </w:rPr>
              <w:t>oUkrepi za digitalizacijo sistema shranjevanja in uporabe podatkov v SV zavodih, s katerimi se bo optimiziralo delo, izboljšalo komunikacijo, zagotovila visoka varnost osebnih podatkov ter transparentnost opravljanja storitev;</w:t>
            </w:r>
          </w:p>
          <w:p w14:paraId="4927194C" w14:textId="77777777" w:rsidR="00A77B3E" w:rsidRDefault="00A77B3E">
            <w:pPr>
              <w:spacing w:before="5pt"/>
              <w:rPr>
                <w:color w:val="000000"/>
              </w:rPr>
            </w:pPr>
          </w:p>
          <w:p w14:paraId="7C02657A" w14:textId="77777777" w:rsidR="00A77B3E" w:rsidRDefault="00B16CCF">
            <w:pPr>
              <w:spacing w:before="5pt"/>
              <w:rPr>
                <w:color w:val="000000"/>
              </w:rPr>
            </w:pPr>
            <w:r>
              <w:rPr>
                <w:color w:val="000000"/>
              </w:rPr>
              <w:t>•</w:t>
            </w:r>
            <w:r>
              <w:rPr>
                <w:i/>
                <w:iCs/>
                <w:color w:val="000000"/>
              </w:rPr>
              <w:t>krepitev odpornosti sistema dolgotrajne oskrbe in ukrepi za zgodnje odkrivanje demence:</w:t>
            </w:r>
          </w:p>
          <w:p w14:paraId="02FBF69B" w14:textId="77777777" w:rsidR="00A77B3E" w:rsidRDefault="00B16CCF">
            <w:pPr>
              <w:spacing w:before="5pt"/>
              <w:rPr>
                <w:color w:val="000000"/>
              </w:rPr>
            </w:pPr>
            <w:r>
              <w:rPr>
                <w:color w:val="000000"/>
              </w:rPr>
              <w:t xml:space="preserve">o ukrepi za krepitev kompetenc zaposlenih za kakovostno, varno in v uporabnika usmerjeno opravljanje storitev, vzpostavitev simulacijskega centra, ki bo omogočal pridobivanje kliničnih izkušenj v varnem okolju brez ogrožanja uporabnikov, ukrepi za verificirano usposabljanje za delo v zdravstvu in </w:t>
            </w:r>
            <w:r>
              <w:rPr>
                <w:color w:val="000000"/>
              </w:rPr>
              <w:lastRenderedPageBreak/>
              <w:t>dolgotrajni oskrbi, ukrepi za krepitev zobozdravstvene obravnave, zlasti pri starejših, ukrep vzpostavitve modela priprave zdravil s pomočjo informacijske podpore in tehnologije.</w:t>
            </w:r>
          </w:p>
          <w:p w14:paraId="17304066" w14:textId="77777777" w:rsidR="00A77B3E" w:rsidRDefault="00B16CCF">
            <w:pPr>
              <w:spacing w:before="5pt"/>
              <w:rPr>
                <w:color w:val="000000"/>
              </w:rPr>
            </w:pPr>
            <w:r>
              <w:rPr>
                <w:color w:val="000000"/>
              </w:rPr>
              <w:t>o Ukrepi za zgodnje prepoznavanje demence, ki vključujejo programe za zagotavljanje integriranih obravnav in oskrbe na področju duševnega zdravja med vsemi službami in strokami ter programi izobraževanja/usposabljanja za zvečanje kompetenc za prepoznavanje in delo z ljudmi z demenco;</w:t>
            </w:r>
          </w:p>
          <w:p w14:paraId="3123435A" w14:textId="77777777" w:rsidR="00A77B3E" w:rsidRDefault="00A77B3E">
            <w:pPr>
              <w:spacing w:before="5pt"/>
              <w:rPr>
                <w:color w:val="000000"/>
              </w:rPr>
            </w:pPr>
          </w:p>
          <w:p w14:paraId="30DBAA50" w14:textId="77777777" w:rsidR="00A77B3E" w:rsidRDefault="00B16CCF">
            <w:pPr>
              <w:spacing w:before="5pt"/>
              <w:rPr>
                <w:color w:val="000000"/>
              </w:rPr>
            </w:pPr>
            <w:r>
              <w:rPr>
                <w:color w:val="000000"/>
              </w:rPr>
              <w:t>•</w:t>
            </w:r>
            <w:r>
              <w:rPr>
                <w:i/>
                <w:iCs/>
                <w:color w:val="000000"/>
              </w:rPr>
              <w:t>krepitev področja duševnega zdravja in ukrepanje na področju drog:</w:t>
            </w:r>
          </w:p>
          <w:p w14:paraId="76219800" w14:textId="77777777" w:rsidR="00A77B3E" w:rsidRDefault="00B16CCF">
            <w:pPr>
              <w:spacing w:before="5pt"/>
              <w:rPr>
                <w:color w:val="000000"/>
              </w:rPr>
            </w:pPr>
            <w:r>
              <w:rPr>
                <w:color w:val="000000"/>
              </w:rPr>
              <w:t>o izvedba ukrepov za horizontalno povezovanje vseh deležnikov in integracijo obstoječih programov na področju problematike prepovedanih drog in njihovih nosilcev. Razvijali bomo ukrepe in aktivnosti zdravstvene rehabilitacije in celovitega okrevanja uporabnikov prepovedanih drog, vključno z uporabniki novih psihoaktivnih snovi.</w:t>
            </w:r>
          </w:p>
          <w:p w14:paraId="01D12925" w14:textId="77777777" w:rsidR="00A77B3E" w:rsidRDefault="00B16CCF">
            <w:pPr>
              <w:spacing w:before="5pt"/>
              <w:rPr>
                <w:color w:val="000000"/>
              </w:rPr>
            </w:pPr>
            <w:r>
              <w:rPr>
                <w:color w:val="000000"/>
              </w:rPr>
              <w:t>o Krepitev duševnega zdravja bomo izvajali z ukrepi za promocijo duševnega zdravja, zgodnje prepoznavanje težav, boljši dostop do specialističnih storitev, integrirano obravnavo duševnih motenj v skupnosti ter psihosocialno rehabilitacijo oseb v skladu z njihovimi potrebami. Ukrep bo komplementaren NOO, kjer bomo vlagali v izobraževanje izobraževalcev, razvoj in diseminacijo že preverjenih in učinkovitih programov promocije duševnega zdravja in preventive duševnih motenj izključno pri otrocih in mladostnikih ter mladih odraslih,zlasti v post-covidnem obdobju;</w:t>
            </w:r>
          </w:p>
          <w:p w14:paraId="50242EB5" w14:textId="77777777" w:rsidR="00A77B3E" w:rsidRDefault="00A77B3E">
            <w:pPr>
              <w:spacing w:before="5pt"/>
              <w:rPr>
                <w:color w:val="000000"/>
              </w:rPr>
            </w:pPr>
          </w:p>
          <w:p w14:paraId="1720AD6D" w14:textId="77777777" w:rsidR="00A77B3E" w:rsidRDefault="00B16CCF">
            <w:pPr>
              <w:spacing w:before="5pt"/>
              <w:rPr>
                <w:color w:val="000000"/>
              </w:rPr>
            </w:pPr>
            <w:r>
              <w:rPr>
                <w:color w:val="000000"/>
              </w:rPr>
              <w:t>•</w:t>
            </w:r>
            <w:r>
              <w:rPr>
                <w:i/>
                <w:iCs/>
                <w:color w:val="000000"/>
              </w:rPr>
              <w:t>krepitev področja nujne medicinske pomoči (v nadaljevanju: NMP):</w:t>
            </w:r>
            <w:r>
              <w:rPr>
                <w:color w:val="000000"/>
              </w:rPr>
              <w:t xml:space="preserve"> s pomočjo ciljnih usposabljanj s področja ukrepanja zdravstva ob velikih nesrečah bomo na področju NMP prispevali k zagotovitvi kakovostne obravnave na terenu in razbremenitvi zdravnikov družinske medicine. Za najhitrejši dostop do žrtve srčnega zastoja in drugi nujnih stanj v ruralnih okoljih se bo z usposabljanjem razvijal tudi sistem prvih posredovalcev. Ukrep bo komplementaren z ukrepi na SC RSO4.5 in NOO, kjer bomo vlagali v infrastrukturo;</w:t>
            </w:r>
          </w:p>
          <w:p w14:paraId="5BA9E6A5" w14:textId="77777777" w:rsidR="00A77B3E" w:rsidRDefault="00A77B3E">
            <w:pPr>
              <w:spacing w:before="5pt"/>
              <w:rPr>
                <w:color w:val="000000"/>
              </w:rPr>
            </w:pPr>
          </w:p>
          <w:p w14:paraId="20021CB0" w14:textId="77777777" w:rsidR="00A77B3E" w:rsidRDefault="00B16CCF">
            <w:pPr>
              <w:spacing w:before="5pt"/>
              <w:rPr>
                <w:color w:val="000000"/>
              </w:rPr>
            </w:pPr>
            <w:r>
              <w:rPr>
                <w:color w:val="000000"/>
              </w:rPr>
              <w:t>•</w:t>
            </w:r>
            <w:r>
              <w:rPr>
                <w:i/>
                <w:iCs/>
                <w:color w:val="000000"/>
              </w:rPr>
              <w:t>krepitev digitalne pismenosti zaposlenih v zdravstvu in dolgotrajni oskrbi</w:t>
            </w:r>
            <w:r>
              <w:rPr>
                <w:color w:val="000000"/>
              </w:rPr>
              <w:t xml:space="preserve"> ter krepitev zdravstvene pismenosti prebivalcev, kar bo ključno prispevalo k boljšemu delovanju zdravstvenega sistema in usposobljenosti posameznikov pri udejanjanju v zdravstvenem sistemu. Ukrep bo komplementaren NOO, kjer bomo pripomogli k digitalni transformaciji zdravstva z vzpostavitvijo informacijskih rešitev in omogočili najnujnejše usposabljanja za konkretne IT rešitve za zdravstveni kader;</w:t>
            </w:r>
          </w:p>
          <w:p w14:paraId="0C135020" w14:textId="77777777" w:rsidR="00A77B3E" w:rsidRDefault="00A77B3E">
            <w:pPr>
              <w:spacing w:before="5pt"/>
              <w:rPr>
                <w:color w:val="000000"/>
              </w:rPr>
            </w:pPr>
          </w:p>
          <w:p w14:paraId="5BF59A57" w14:textId="77777777" w:rsidR="00A77B3E" w:rsidRDefault="00B16CCF">
            <w:pPr>
              <w:spacing w:before="5pt"/>
              <w:rPr>
                <w:color w:val="000000"/>
              </w:rPr>
            </w:pPr>
            <w:r>
              <w:rPr>
                <w:color w:val="000000"/>
              </w:rPr>
              <w:t>•</w:t>
            </w:r>
            <w:r>
              <w:rPr>
                <w:i/>
                <w:iCs/>
                <w:color w:val="000000"/>
              </w:rPr>
              <w:t>preventivne aktivnosti v zdravstvu in obvladovanje starostne krhkosti:</w:t>
            </w:r>
          </w:p>
          <w:p w14:paraId="782ED6B7" w14:textId="77777777" w:rsidR="00A77B3E" w:rsidRDefault="00B16CCF">
            <w:pPr>
              <w:spacing w:before="5pt"/>
              <w:rPr>
                <w:color w:val="000000"/>
              </w:rPr>
            </w:pPr>
            <w:r>
              <w:rPr>
                <w:color w:val="000000"/>
              </w:rPr>
              <w:t>o vzpostavitev sistema, ki bo zagotavljal sistematično prepoznavanje (geriatrična ocena) in najbolj optimalno oskrbo pacientov, ki so krhki, multimorbidni in izpostavljeni tveganju za razvoj nezmožnosti ali izgubo avtonomije (presejalna orodja, usposabljanje na področju krhkosti, pripomočki za presejanje, preventivne in kurativne intervencije). Potreben je celovit pristop, ki ga zagotavlja interdisciplinarni tim. S tem želimo zmanjšati delež podhranjenih in funkcionalno manj zmožnih starejših prebivalcev ter bolnikov ter spodbujati zdrav življenjski slog pri ogroženih populacijskih skupinah, kot so starostniki in bolniki. Ukrepanje bo komplementarno NOO, kjer bomo naslavljali predvsem kompetence kadrov.</w:t>
            </w:r>
          </w:p>
          <w:p w14:paraId="37F025E3" w14:textId="77777777" w:rsidR="00A77B3E" w:rsidRDefault="00B16CCF">
            <w:pPr>
              <w:spacing w:before="5pt"/>
              <w:rPr>
                <w:color w:val="000000"/>
              </w:rPr>
            </w:pPr>
            <w:r>
              <w:rPr>
                <w:color w:val="000000"/>
              </w:rPr>
              <w:t xml:space="preserve">oUkrep preventivnih aktivnosti v zdravstvu predvideva razvoj in testiranje novih programov in storitev, usmerjenih v preventivno obravnavo visoko ogroženih skupin prebivalstva (osebe z visokim tveganjem za razvoj kroničnih bolezni, kronični bolniki), gre za potrebo po obravnavi sekundarne in </w:t>
            </w:r>
            <w:r>
              <w:rPr>
                <w:color w:val="000000"/>
              </w:rPr>
              <w:lastRenderedPageBreak/>
              <w:t>terciarne preventive na primarnem nivoju in okrepitev vloge lokalnih skupnosti pri zagotavljanju boljšega življenjskega sloga posameznikov ter implementacija integrirane obravnave kroničnih bolnikov (povezava med zdravstveno dejavnostjo in lokalno skupnostjo, NVO in lokalnimi skupinami za krepitev zdravja, ki smo jih vzpostavili v prejšnji finančni perspektivi, potreba po celostni rehabilitaciji ter vključitev poti pacientov s kroničnimi boleznimi, razvitimi v operaciji »Dvig zdravstvene pismenosti v Sloveniji«). Cilj ukrepa: razvoj, testiranje in implementacija novih intervencij sekundarne in terciarne preventive v CKZ, izobraževanje izvajalcev. S preusmeritvijo preventivnih programov in spremljanja pacientov s kronično boleznijo na primarno zdravstveno raven, torej odmikom nastanka kroničnih nenalezljivih bolezni v kasnejše življenjsko obdobje, je inovativen pristop odgovoril na nove potrebe prebivalstva, s poudarkom na zadovoljevanju potreb najbolj ranljivih skupin, s ciljem zmanjševanja neenakosti v zdravju. Vzpostavili bomo tudi skupnostni pristop v vseh zdravstvenih domovih s ciljem zmanjševanja neenakosti v zdravju. Ukrepanje bo komplementarno SC RSO4.5, kjer bomo vlagali v infrastrukturo.</w:t>
            </w:r>
          </w:p>
          <w:p w14:paraId="12EA559A" w14:textId="77777777" w:rsidR="00A77B3E" w:rsidRDefault="00B16CCF">
            <w:pPr>
              <w:spacing w:before="5pt"/>
              <w:rPr>
                <w:color w:val="000000"/>
              </w:rPr>
            </w:pPr>
            <w:r>
              <w:rPr>
                <w:color w:val="000000"/>
              </w:rPr>
              <w:t>o Navedeni preventivni programi v zdravstvu bodo nadgrajeni s športno-rekreacijskimi in preventivnimi programi za krepitev zdravja in aktiviranja vseh generacij, saj se skladno s Smernicami EU o telesni dejavnosti priporoča vsakodnevna strokovna vodena vadba, zato bomo spodbujali vključitev posameznikov v programe za gibanje in na ta način prispevali k zvišanju deleža športno aktivnih;</w:t>
            </w:r>
          </w:p>
          <w:p w14:paraId="42E2AA25" w14:textId="77777777" w:rsidR="00A77B3E" w:rsidRDefault="00A77B3E">
            <w:pPr>
              <w:spacing w:before="5pt"/>
              <w:rPr>
                <w:color w:val="000000"/>
              </w:rPr>
            </w:pPr>
          </w:p>
          <w:p w14:paraId="0CA625EF" w14:textId="77777777" w:rsidR="00A77B3E" w:rsidRDefault="00B16CCF">
            <w:pPr>
              <w:spacing w:before="5pt"/>
              <w:rPr>
                <w:color w:val="000000"/>
              </w:rPr>
            </w:pPr>
            <w:r>
              <w:rPr>
                <w:color w:val="000000"/>
              </w:rPr>
              <w:t>•</w:t>
            </w:r>
            <w:r>
              <w:rPr>
                <w:i/>
                <w:iCs/>
                <w:color w:val="000000"/>
              </w:rPr>
              <w:t xml:space="preserve">zagotavljanje podpornega okolja za razvoj in implementacijo novih storitev, produktov in modelov za naslavljanje družbenih izzivov na inovativen način, </w:t>
            </w:r>
            <w:r>
              <w:rPr>
                <w:color w:val="000000"/>
              </w:rPr>
              <w:t>v okviru katerega bodo izvedeni ukrepi za krepitev aktivnega sodelovanja nevladnega sektorja, gospodarstva in državnih institucij pri naslavljanju skupnih izzivov (dolgoživa družba, deinstitucionalizacija, skupnostna skrb ipd.). Predvideva se vzpostavitev središč za socialne inovacije, ki bodo spodbudila razvoj novih rešitev, ovrednotenje njihove učinkovitosti in pilotno razširjanje uspešnih socialnih inovacij za zagotavljanje ponudbe različnih celostnih storitev.</w:t>
            </w:r>
          </w:p>
          <w:p w14:paraId="5D0A0928" w14:textId="77777777" w:rsidR="00A77B3E" w:rsidRDefault="00A77B3E">
            <w:pPr>
              <w:spacing w:before="5pt"/>
              <w:rPr>
                <w:color w:val="000000"/>
              </w:rPr>
            </w:pPr>
          </w:p>
          <w:p w14:paraId="650E1A5F" w14:textId="77777777" w:rsidR="00A77B3E" w:rsidRDefault="00B16CCF">
            <w:pPr>
              <w:spacing w:before="5pt"/>
              <w:rPr>
                <w:color w:val="000000"/>
              </w:rPr>
            </w:pPr>
            <w:r>
              <w:rPr>
                <w:color w:val="000000"/>
              </w:rPr>
              <w:t>Gre za ukrepe, ki po svoji naravi nimajo predvidljivega negativnega vpliva na okoljske cilje, ki bi bil povezan z neposrednimi in primarnimi posrednimi učinki ukrepa v življenjskem ciklu oz. je ta vpliv nepomemben, zato so skladni z načelom DNSH.</w:t>
            </w:r>
          </w:p>
          <w:p w14:paraId="69169C5B" w14:textId="77777777" w:rsidR="00A77B3E" w:rsidRDefault="00A77B3E">
            <w:pPr>
              <w:spacing w:before="5pt"/>
              <w:rPr>
                <w:color w:val="000000"/>
                <w:sz w:val="6"/>
              </w:rPr>
            </w:pPr>
          </w:p>
          <w:p w14:paraId="237933D7" w14:textId="77777777" w:rsidR="00A77B3E" w:rsidRDefault="00A77B3E">
            <w:pPr>
              <w:spacing w:before="5pt"/>
              <w:rPr>
                <w:color w:val="000000"/>
                <w:sz w:val="6"/>
              </w:rPr>
            </w:pPr>
          </w:p>
        </w:tc>
      </w:tr>
    </w:tbl>
    <w:p w14:paraId="08E9DB80" w14:textId="77777777" w:rsidR="00A77B3E" w:rsidRDefault="00A77B3E">
      <w:pPr>
        <w:spacing w:before="5pt"/>
        <w:rPr>
          <w:color w:val="000000"/>
        </w:rPr>
      </w:pPr>
    </w:p>
    <w:p w14:paraId="0E9675C6" w14:textId="77777777" w:rsidR="00A77B3E" w:rsidRDefault="00B16CCF">
      <w:pPr>
        <w:pStyle w:val="Naslov5"/>
        <w:spacing w:before="5pt" w:after="0pt"/>
        <w:rPr>
          <w:b w:val="0"/>
          <w:i w:val="0"/>
          <w:color w:val="000000"/>
          <w:sz w:val="24"/>
        </w:rPr>
      </w:pPr>
      <w:bookmarkStart w:id="561" w:name="_Toc256001322"/>
      <w:r>
        <w:rPr>
          <w:b w:val="0"/>
          <w:i w:val="0"/>
          <w:color w:val="000000"/>
          <w:sz w:val="24"/>
        </w:rPr>
        <w:t>Glavne ciljne skupine – člen 22(3)(d)(iii) uredbe o skupnih določbah:</w:t>
      </w:r>
      <w:bookmarkEnd w:id="561"/>
    </w:p>
    <w:p w14:paraId="3D30F03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2E1E34B7"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7C4C2B" w14:textId="77777777" w:rsidR="00A77B3E" w:rsidRDefault="00A77B3E">
            <w:pPr>
              <w:spacing w:before="5pt"/>
              <w:rPr>
                <w:color w:val="000000"/>
                <w:sz w:val="0"/>
              </w:rPr>
            </w:pPr>
          </w:p>
          <w:p w14:paraId="5082CD76" w14:textId="77777777" w:rsidR="00A77B3E" w:rsidRDefault="00B16CCF">
            <w:pPr>
              <w:spacing w:before="5pt"/>
              <w:rPr>
                <w:color w:val="000000"/>
              </w:rPr>
            </w:pPr>
            <w:r>
              <w:rPr>
                <w:color w:val="000000"/>
              </w:rPr>
              <w:t>Ciljne skupine: izvajalci oskrbe v instituciji in izvajalci podpore v skupnosti ter strokovni delavci na področju socialnega varstva (javni in zasebni sektor, NVO), ministrstvi, pristojni za delo, družino in socialne zadeve ter zdravstvo, uporabniki dolgotrajne oskrbe ter zdravstvene dejavnosti, organizacije, ki lahko prispevajo k izboljšanju na področju dela z družinami in njihovimi posameznimi družinskimi člani (vključene tudi kulturne ustanove), uporabniki s posameznih delovnih področij socialnega in invalidskega varstva in družine, posamezniki, osebe na prestajanju zaporne kazni, osebe, vključene v programe zdravega življenjskega sloga.</w:t>
            </w:r>
          </w:p>
          <w:p w14:paraId="4510F86A" w14:textId="77777777" w:rsidR="00A77B3E" w:rsidRDefault="00A77B3E">
            <w:pPr>
              <w:spacing w:before="5pt"/>
              <w:rPr>
                <w:color w:val="000000"/>
              </w:rPr>
            </w:pPr>
          </w:p>
          <w:p w14:paraId="3716DE77" w14:textId="77777777" w:rsidR="00A77B3E" w:rsidRDefault="00B16CCF">
            <w:pPr>
              <w:spacing w:before="5pt"/>
              <w:rPr>
                <w:color w:val="000000"/>
              </w:rPr>
            </w:pPr>
            <w:r>
              <w:rPr>
                <w:color w:val="000000"/>
              </w:rPr>
              <w:t xml:space="preserve">Upravičenci: institucije na področju socialnega varstva in zdravstva, ministrstva, CSD, IRSSV, NVO, javni zavodi, VIZ, krovne športne organizacije, izvajalci dolgotrajne oskrbe ter zdravstvene dejavnosti, zbornice in druge organizacije, ki pripomorejo k izboljšanju zdravstvenega sistema ter dela z </w:t>
            </w:r>
            <w:r>
              <w:rPr>
                <w:color w:val="000000"/>
              </w:rPr>
              <w:lastRenderedPageBreak/>
              <w:t>družinami in njihovimi posameznimi družinskimi člani (vključene tudi kulturne ustanove), uporabniki s posameznih delovnih področij socialnega in invalidskega varstva in družine.</w:t>
            </w:r>
          </w:p>
          <w:p w14:paraId="03613A8D" w14:textId="77777777" w:rsidR="00A77B3E" w:rsidRDefault="00A77B3E">
            <w:pPr>
              <w:spacing w:before="5pt"/>
              <w:rPr>
                <w:color w:val="000000"/>
                <w:sz w:val="6"/>
              </w:rPr>
            </w:pPr>
          </w:p>
          <w:p w14:paraId="440FD2FE" w14:textId="77777777" w:rsidR="00A77B3E" w:rsidRDefault="00A77B3E">
            <w:pPr>
              <w:spacing w:before="5pt"/>
              <w:rPr>
                <w:color w:val="000000"/>
                <w:sz w:val="6"/>
              </w:rPr>
            </w:pPr>
          </w:p>
        </w:tc>
      </w:tr>
    </w:tbl>
    <w:p w14:paraId="57D90D2C" w14:textId="77777777" w:rsidR="00A77B3E" w:rsidRDefault="00A77B3E">
      <w:pPr>
        <w:spacing w:before="5pt"/>
        <w:rPr>
          <w:color w:val="000000"/>
        </w:rPr>
      </w:pPr>
    </w:p>
    <w:p w14:paraId="3CDB2FC5" w14:textId="77777777" w:rsidR="00A77B3E" w:rsidRDefault="00B16CCF">
      <w:pPr>
        <w:pStyle w:val="Naslov5"/>
        <w:spacing w:before="5pt" w:after="0pt"/>
        <w:rPr>
          <w:b w:val="0"/>
          <w:i w:val="0"/>
          <w:color w:val="000000"/>
          <w:sz w:val="24"/>
        </w:rPr>
      </w:pPr>
      <w:bookmarkStart w:id="562" w:name="_Toc256001323"/>
      <w:r>
        <w:rPr>
          <w:b w:val="0"/>
          <w:i w:val="0"/>
          <w:color w:val="000000"/>
          <w:sz w:val="24"/>
        </w:rPr>
        <w:t>Ukrepi za zaščito enakosti, vključenosti in nediskriminacije – člen 22(3)(d)(iv) uredbe o skupnih določbah in člen 6 uredbe o ESS+</w:t>
      </w:r>
      <w:bookmarkEnd w:id="562"/>
    </w:p>
    <w:p w14:paraId="3FC469C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4F15154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1B4053" w14:textId="77777777" w:rsidR="00A77B3E" w:rsidRDefault="00A77B3E">
            <w:pPr>
              <w:spacing w:before="5pt"/>
              <w:rPr>
                <w:color w:val="000000"/>
                <w:sz w:val="0"/>
              </w:rPr>
            </w:pPr>
          </w:p>
          <w:p w14:paraId="497F971B" w14:textId="77777777" w:rsidR="00A77B3E" w:rsidRDefault="00B16CCF">
            <w:pPr>
              <w:spacing w:before="5pt"/>
              <w:rPr>
                <w:color w:val="000000"/>
              </w:rPr>
            </w:pPr>
            <w:r>
              <w:rPr>
                <w:color w:val="000000"/>
              </w:rPr>
              <w:t xml:space="preserve">Spoštovanje načel enakosti, vključenosti in nediskriminacije bo zagotovljeno na vseh ravneh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bosta upoštevana tudi Postopkovnik za zagotavljanje horizontalnega omogočitvenega pogoja »Učinkovita uporaba in izvajanje Listine o temeljnih pravicah« in Akcijski program za invalide 2022-2030 ter drugi relevantni dokumenti. Načelo se bo upoštevalo tudi v okviru sistema upravljanja in nadzora. </w:t>
            </w:r>
          </w:p>
          <w:p w14:paraId="3ED4B077" w14:textId="77777777" w:rsidR="00A77B3E" w:rsidRDefault="00A77B3E">
            <w:pPr>
              <w:spacing w:before="5pt"/>
              <w:rPr>
                <w:color w:val="000000"/>
              </w:rPr>
            </w:pPr>
          </w:p>
          <w:p w14:paraId="00828DEA" w14:textId="77777777" w:rsidR="00A77B3E" w:rsidRDefault="00B16CCF">
            <w:pPr>
              <w:spacing w:before="5pt"/>
              <w:rPr>
                <w:color w:val="000000"/>
              </w:rPr>
            </w:pPr>
            <w:r>
              <w:rPr>
                <w:color w:val="000000"/>
              </w:rPr>
              <w:t>Z ukrepom športno-rekreacijski in preventivni programi za krepitev zdravja in aktiviranja vseh generacij se bo zmanjševalo neenakosti v zdravju.</w:t>
            </w:r>
          </w:p>
          <w:p w14:paraId="2B8B04D4" w14:textId="77777777" w:rsidR="00A77B3E" w:rsidRDefault="00A77B3E">
            <w:pPr>
              <w:spacing w:before="5pt"/>
              <w:rPr>
                <w:color w:val="000000"/>
              </w:rPr>
            </w:pPr>
          </w:p>
          <w:p w14:paraId="0F45030D" w14:textId="77777777" w:rsidR="00A77B3E" w:rsidRDefault="00B16CCF">
            <w:pPr>
              <w:spacing w:before="5pt"/>
              <w:rPr>
                <w:color w:val="000000"/>
              </w:rPr>
            </w:pPr>
            <w:r>
              <w:rPr>
                <w:color w:val="000000"/>
              </w:rPr>
              <w:t>V ukrepe za dvig kakovosti izvajanja storitev v okviru institucij socialnega varstva ter v ukrepe za podporo prehodu iz institucionalne oskrbe na oskrbo na domu, preventivne ukrepe na področju zdravstva se bodo vključevali vsi zainteresirani, ne glede na osebne okoliščine. V ukrepe bomo vključevali najranljivejše skupine prebivalstva, na način, da se upošteva njihove specifične potrebe, vidik spola in da se jim približamo v njihovem lokalnem okolju in v skladu z načeli deinstitucionalizacije ter mednarodnih in EU dokumentov s področja pravic invalidov. Nediskriminacija in enake možnosti invalidov bodo zagotovljene tudi horizontalno, saj bomo pri izboru projektov spodbujali zagotavljanje dostopnosti za invalide. Ukrepi prispevajo k uresničevanju tretjega cilja ESSP - »socialna zaščita in vključevanje«. V skladu s priporočilom EK iz Akcijskega načrta ESSP, z ukrepi krepimo mrežo socialne varnosti in dostop do podpornih storitev za tiste, ki to potrebujejo. Ukrep za dvig kakovosti izvajanja storitev v okviru institucij socialnega varstva je ena od dveh ključnih aktivnost (skupaj z ukrepom večgeneracijskih centrov v okviru SC ESO4.12) s področja socialnega varstva za uresničevanje Priporočila Sveta o vzpostavitvi evropskega jamstva za otroke, ki predstavlja 11. načelo ESSP za zmanjševanje revščine.</w:t>
            </w:r>
          </w:p>
          <w:p w14:paraId="6592B405" w14:textId="77777777" w:rsidR="00A77B3E" w:rsidRDefault="00A77B3E">
            <w:pPr>
              <w:spacing w:before="5pt"/>
              <w:rPr>
                <w:color w:val="000000"/>
                <w:sz w:val="6"/>
              </w:rPr>
            </w:pPr>
          </w:p>
          <w:p w14:paraId="4810FF0B" w14:textId="77777777" w:rsidR="00A77B3E" w:rsidRDefault="00A77B3E">
            <w:pPr>
              <w:spacing w:before="5pt"/>
              <w:rPr>
                <w:color w:val="000000"/>
                <w:sz w:val="6"/>
              </w:rPr>
            </w:pPr>
          </w:p>
        </w:tc>
      </w:tr>
    </w:tbl>
    <w:p w14:paraId="76DDF4D2" w14:textId="77777777" w:rsidR="00A77B3E" w:rsidRDefault="00A77B3E">
      <w:pPr>
        <w:spacing w:before="5pt"/>
        <w:rPr>
          <w:color w:val="000000"/>
        </w:rPr>
      </w:pPr>
    </w:p>
    <w:p w14:paraId="3C0606B0" w14:textId="77777777" w:rsidR="00A77B3E" w:rsidRDefault="00B16CCF">
      <w:pPr>
        <w:pStyle w:val="Naslov5"/>
        <w:spacing w:before="5pt" w:after="0pt"/>
        <w:rPr>
          <w:b w:val="0"/>
          <w:i w:val="0"/>
          <w:color w:val="000000"/>
          <w:sz w:val="24"/>
        </w:rPr>
      </w:pPr>
      <w:bookmarkStart w:id="563" w:name="_Toc256001324"/>
      <w:r>
        <w:rPr>
          <w:b w:val="0"/>
          <w:i w:val="0"/>
          <w:color w:val="000000"/>
          <w:sz w:val="24"/>
        </w:rPr>
        <w:t>Navedba specifičnih ciljnih ozemelj, vključno z načrtovano uporabo teritorialnih orodij – člen 22(3)(d)(v) uredbe o skupnih določbah</w:t>
      </w:r>
      <w:bookmarkEnd w:id="563"/>
    </w:p>
    <w:p w14:paraId="4E3B651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4C71C39A"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A1939F" w14:textId="77777777" w:rsidR="00A77B3E" w:rsidRDefault="00A77B3E">
            <w:pPr>
              <w:spacing w:before="5pt"/>
              <w:rPr>
                <w:color w:val="000000"/>
                <w:sz w:val="0"/>
              </w:rPr>
            </w:pPr>
          </w:p>
          <w:p w14:paraId="6CA90F0E" w14:textId="77777777" w:rsidR="00A77B3E" w:rsidRDefault="00B16CCF">
            <w:pPr>
              <w:spacing w:before="5pt"/>
              <w:rPr>
                <w:color w:val="000000"/>
              </w:rPr>
            </w:pPr>
            <w:r>
              <w:rPr>
                <w:color w:val="000000"/>
              </w:rPr>
              <w:t>V okviru specifičnega cilja se ne načrtuje uporaba teritorialnih pristopov, saj gre za ukrepe investiranja v javne zdravstvene zavode, ki delujejo na področju Republike Slovenije in so namenjeni prvenstveno prebivalcem Slovenije.</w:t>
            </w:r>
          </w:p>
          <w:p w14:paraId="2CB37330" w14:textId="77777777" w:rsidR="00A77B3E" w:rsidRDefault="00A77B3E">
            <w:pPr>
              <w:spacing w:before="5pt"/>
              <w:rPr>
                <w:color w:val="000000"/>
                <w:sz w:val="6"/>
              </w:rPr>
            </w:pPr>
          </w:p>
          <w:p w14:paraId="7B56CFE0" w14:textId="77777777" w:rsidR="00A77B3E" w:rsidRDefault="00A77B3E">
            <w:pPr>
              <w:spacing w:before="5pt"/>
              <w:rPr>
                <w:color w:val="000000"/>
                <w:sz w:val="6"/>
              </w:rPr>
            </w:pPr>
          </w:p>
        </w:tc>
      </w:tr>
    </w:tbl>
    <w:p w14:paraId="4369D545" w14:textId="77777777" w:rsidR="00A77B3E" w:rsidRDefault="00A77B3E">
      <w:pPr>
        <w:spacing w:before="5pt"/>
        <w:rPr>
          <w:color w:val="000000"/>
        </w:rPr>
      </w:pPr>
    </w:p>
    <w:p w14:paraId="4E27883D" w14:textId="77777777" w:rsidR="00A77B3E" w:rsidRDefault="00B16CCF">
      <w:pPr>
        <w:pStyle w:val="Naslov5"/>
        <w:spacing w:before="5pt" w:after="0pt"/>
        <w:rPr>
          <w:b w:val="0"/>
          <w:i w:val="0"/>
          <w:color w:val="000000"/>
          <w:sz w:val="24"/>
        </w:rPr>
      </w:pPr>
      <w:bookmarkStart w:id="564" w:name="_Toc256001325"/>
      <w:r>
        <w:rPr>
          <w:b w:val="0"/>
          <w:i w:val="0"/>
          <w:color w:val="000000"/>
          <w:sz w:val="24"/>
        </w:rPr>
        <w:lastRenderedPageBreak/>
        <w:t>Medregionalni, čezmejni in transnacionalni ukrepi – člen 22(3)(d)(vi) uredbe o skupnih določbah</w:t>
      </w:r>
      <w:bookmarkEnd w:id="564"/>
    </w:p>
    <w:p w14:paraId="5DA273A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1C4FF40E"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3B0823" w14:textId="77777777" w:rsidR="00A77B3E" w:rsidRDefault="00A77B3E">
            <w:pPr>
              <w:spacing w:before="5pt"/>
              <w:rPr>
                <w:color w:val="000000"/>
                <w:sz w:val="0"/>
              </w:rPr>
            </w:pPr>
          </w:p>
          <w:p w14:paraId="3FB3EAFA" w14:textId="77777777" w:rsidR="00A77B3E" w:rsidRDefault="00B16CCF">
            <w:pPr>
              <w:spacing w:before="5pt"/>
              <w:rPr>
                <w:color w:val="000000"/>
              </w:rPr>
            </w:pPr>
            <w:r>
              <w:rPr>
                <w:color w:val="000000"/>
              </w:rPr>
              <w:t>V okviru navedenega specifičnega cilja medregionalni, čezmejni in transnacionalni ukrepi niso predvideni, saj gre za ukrepe investiranja, ki so sistemske narave in so namenjeni prvenstveno prebivalcem celotne Slovenije.</w:t>
            </w:r>
          </w:p>
          <w:p w14:paraId="744A3E80" w14:textId="77777777" w:rsidR="00A77B3E" w:rsidRDefault="00A77B3E">
            <w:pPr>
              <w:spacing w:before="5pt"/>
              <w:rPr>
                <w:color w:val="000000"/>
                <w:sz w:val="6"/>
              </w:rPr>
            </w:pPr>
          </w:p>
          <w:p w14:paraId="5F4CB1DA" w14:textId="77777777" w:rsidR="00A77B3E" w:rsidRDefault="00A77B3E">
            <w:pPr>
              <w:spacing w:before="5pt"/>
              <w:rPr>
                <w:color w:val="000000"/>
                <w:sz w:val="6"/>
              </w:rPr>
            </w:pPr>
          </w:p>
        </w:tc>
      </w:tr>
    </w:tbl>
    <w:p w14:paraId="42527A3A" w14:textId="77777777" w:rsidR="00A77B3E" w:rsidRDefault="00A77B3E">
      <w:pPr>
        <w:spacing w:before="5pt"/>
        <w:rPr>
          <w:color w:val="000000"/>
        </w:rPr>
      </w:pPr>
    </w:p>
    <w:p w14:paraId="7127E54C" w14:textId="77777777" w:rsidR="00A77B3E" w:rsidRDefault="00B16CCF">
      <w:pPr>
        <w:pStyle w:val="Naslov5"/>
        <w:spacing w:before="5pt" w:after="0pt"/>
        <w:rPr>
          <w:b w:val="0"/>
          <w:i w:val="0"/>
          <w:color w:val="000000"/>
          <w:sz w:val="24"/>
        </w:rPr>
      </w:pPr>
      <w:bookmarkStart w:id="565" w:name="_Toc256001326"/>
      <w:r>
        <w:rPr>
          <w:b w:val="0"/>
          <w:i w:val="0"/>
          <w:color w:val="000000"/>
          <w:sz w:val="24"/>
        </w:rPr>
        <w:t>Načrtovana uporaba finančnih instrumentov – člen 22(3)(d)(vii) uredbe o skupnih določbah</w:t>
      </w:r>
      <w:bookmarkEnd w:id="565"/>
    </w:p>
    <w:p w14:paraId="229499D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7397AB0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DE58B8" w14:textId="77777777" w:rsidR="00A77B3E" w:rsidRDefault="00A77B3E">
            <w:pPr>
              <w:spacing w:before="5pt"/>
              <w:rPr>
                <w:color w:val="000000"/>
                <w:sz w:val="0"/>
              </w:rPr>
            </w:pPr>
          </w:p>
          <w:p w14:paraId="21FE6A9B" w14:textId="77777777" w:rsidR="00A77B3E" w:rsidRDefault="00B16CCF">
            <w:pPr>
              <w:spacing w:before="5pt"/>
              <w:rPr>
                <w:color w:val="000000"/>
              </w:rPr>
            </w:pPr>
            <w:r>
              <w:rPr>
                <w:color w:val="000000"/>
              </w:rPr>
              <w:t>V okviru navedenega specifičnega cilja uporaba finančnih instrumentov v skladu z izsledki analize Predhodnih ocen potreb trga in vrzeli financiranja na trgu za izvajanje finančnih instrumentov v programskem obdobju 2021-2027 (julij 2022) ni predvidena. Predvidena je uporaba nepovratnih virov, saj gre kot navedeno za ukrepe sistemske narave, ki jih izvajajo javne institucije, pri čemer predlagani ukrepi ne ustvarjajo prihodkov oziroma prihrankov, zaradi česar uporaba finančnih instrumentov ni smiselna oziroma ustrezna.</w:t>
            </w:r>
          </w:p>
          <w:p w14:paraId="384C7508" w14:textId="77777777" w:rsidR="00A77B3E" w:rsidRDefault="00A77B3E">
            <w:pPr>
              <w:spacing w:before="5pt"/>
              <w:rPr>
                <w:color w:val="000000"/>
                <w:sz w:val="6"/>
              </w:rPr>
            </w:pPr>
          </w:p>
          <w:p w14:paraId="68327AA3" w14:textId="77777777" w:rsidR="00A77B3E" w:rsidRDefault="00A77B3E">
            <w:pPr>
              <w:spacing w:before="5pt"/>
              <w:rPr>
                <w:color w:val="000000"/>
                <w:sz w:val="6"/>
              </w:rPr>
            </w:pPr>
          </w:p>
        </w:tc>
      </w:tr>
    </w:tbl>
    <w:p w14:paraId="1C8960B9" w14:textId="77777777" w:rsidR="00A77B3E" w:rsidRDefault="00A77B3E">
      <w:pPr>
        <w:spacing w:before="5pt"/>
        <w:rPr>
          <w:color w:val="000000"/>
        </w:rPr>
      </w:pPr>
    </w:p>
    <w:p w14:paraId="5D5054C6" w14:textId="77777777" w:rsidR="00A77B3E" w:rsidRDefault="00B16CCF">
      <w:pPr>
        <w:pStyle w:val="Naslov4"/>
        <w:spacing w:before="5pt" w:after="0pt"/>
        <w:rPr>
          <w:b w:val="0"/>
          <w:color w:val="000000"/>
          <w:sz w:val="24"/>
        </w:rPr>
      </w:pPr>
      <w:bookmarkStart w:id="566" w:name="_Toc256001327"/>
      <w:r>
        <w:rPr>
          <w:b w:val="0"/>
          <w:color w:val="000000"/>
          <w:sz w:val="24"/>
        </w:rPr>
        <w:t>2.1.1.1.2. Kazalniki</w:t>
      </w:r>
      <w:bookmarkEnd w:id="566"/>
    </w:p>
    <w:p w14:paraId="6DD11947" w14:textId="77777777" w:rsidR="00A77B3E" w:rsidRDefault="00A77B3E">
      <w:pPr>
        <w:spacing w:before="5pt"/>
        <w:rPr>
          <w:color w:val="000000"/>
          <w:sz w:val="0"/>
        </w:rPr>
      </w:pPr>
    </w:p>
    <w:p w14:paraId="09C3A179" w14:textId="77777777" w:rsidR="00A77B3E" w:rsidRDefault="00B16CCF">
      <w:pPr>
        <w:spacing w:before="5pt"/>
        <w:rPr>
          <w:color w:val="000000"/>
          <w:sz w:val="0"/>
        </w:rPr>
      </w:pPr>
      <w:r>
        <w:rPr>
          <w:color w:val="000000"/>
        </w:rPr>
        <w:t>Sklic: člen 22(3)(d)(ii) uredbe o skupnih določbah in člen 8 uredbe o ESRR in Kohezijskem skladu</w:t>
      </w:r>
    </w:p>
    <w:p w14:paraId="311648FE" w14:textId="77777777" w:rsidR="00A77B3E" w:rsidRDefault="00B16CCF">
      <w:pPr>
        <w:pStyle w:val="Naslov5"/>
        <w:spacing w:before="5pt" w:after="0pt"/>
        <w:rPr>
          <w:b w:val="0"/>
          <w:i w:val="0"/>
          <w:color w:val="000000"/>
          <w:sz w:val="24"/>
        </w:rPr>
      </w:pPr>
      <w:bookmarkStart w:id="567" w:name="_Toc256001328"/>
      <w:r>
        <w:rPr>
          <w:b w:val="0"/>
          <w:i w:val="0"/>
          <w:color w:val="000000"/>
          <w:sz w:val="24"/>
        </w:rPr>
        <w:t>Tabela 2: Kazalniki učinka</w:t>
      </w:r>
      <w:bookmarkEnd w:id="567"/>
    </w:p>
    <w:p w14:paraId="3EFB0E4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022"/>
        <w:gridCol w:w="1867"/>
        <w:gridCol w:w="1159"/>
        <w:gridCol w:w="1935"/>
        <w:gridCol w:w="2246"/>
        <w:gridCol w:w="1688"/>
        <w:gridCol w:w="1512"/>
        <w:gridCol w:w="1400"/>
        <w:gridCol w:w="1343"/>
      </w:tblGrid>
      <w:tr w:rsidR="00823317" w14:paraId="30CC846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601ACE"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F11638"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EE43D3"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ACDB8E"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6FB1A0"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FE1533"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8029B5"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CCD8F9" w14:textId="77777777" w:rsidR="00A77B3E" w:rsidRDefault="00B16CCF">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ACA897" w14:textId="77777777" w:rsidR="00A77B3E" w:rsidRDefault="00B16CCF">
            <w:pPr>
              <w:spacing w:before="5pt"/>
              <w:jc w:val="center"/>
              <w:rPr>
                <w:color w:val="000000"/>
                <w:sz w:val="20"/>
              </w:rPr>
            </w:pPr>
            <w:r>
              <w:rPr>
                <w:color w:val="000000"/>
                <w:sz w:val="20"/>
              </w:rPr>
              <w:t>Cilj (2029)</w:t>
            </w:r>
          </w:p>
        </w:tc>
      </w:tr>
      <w:tr w:rsidR="00823317" w14:paraId="6EAD60C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00D55D"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06181F" w14:textId="77777777" w:rsidR="00A77B3E" w:rsidRDefault="00B16CCF">
            <w:pPr>
              <w:spacing w:before="5pt"/>
              <w:rPr>
                <w:color w:val="000000"/>
                <w:sz w:val="20"/>
              </w:rPr>
            </w:pPr>
            <w:r>
              <w:rPr>
                <w:color w:val="000000"/>
                <w:sz w:val="20"/>
              </w:rPr>
              <w:t>ESO4.11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D80DBD"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93F982"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D7AECB" w14:textId="77777777" w:rsidR="00A77B3E" w:rsidRDefault="00B16CCF">
            <w:pPr>
              <w:spacing w:before="5pt"/>
              <w:rPr>
                <w:color w:val="000000"/>
                <w:sz w:val="20"/>
              </w:rPr>
            </w:pPr>
            <w:r>
              <w:rPr>
                <w:color w:val="000000"/>
                <w:sz w:val="20"/>
              </w:rPr>
              <w:t>EECO18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596EEC" w14:textId="77777777" w:rsidR="00A77B3E" w:rsidRDefault="00B16CCF">
            <w:pPr>
              <w:spacing w:before="5pt"/>
              <w:rPr>
                <w:color w:val="000000"/>
                <w:sz w:val="20"/>
              </w:rPr>
            </w:pPr>
            <w:r>
              <w:rPr>
                <w:color w:val="000000"/>
                <w:sz w:val="20"/>
              </w:rPr>
              <w:t>Število javnih uprav ali javnih služb, ki so prejele podporo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013105" w14:textId="77777777" w:rsidR="00A77B3E" w:rsidRDefault="00B16CCF">
            <w:pPr>
              <w:spacing w:before="5pt"/>
              <w:rPr>
                <w:color w:val="000000"/>
                <w:sz w:val="20"/>
              </w:rPr>
            </w:pPr>
            <w:r>
              <w:rPr>
                <w:color w:val="000000"/>
                <w:sz w:val="20"/>
              </w:rPr>
              <w:t>subjekti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C26C20" w14:textId="77777777" w:rsidR="00A77B3E" w:rsidRDefault="00B16CCF">
            <w:pPr>
              <w:spacing w:before="5pt"/>
              <w:jc w:val="end"/>
              <w:rPr>
                <w:color w:val="000000"/>
                <w:sz w:val="20"/>
              </w:rPr>
            </w:pPr>
            <w:r>
              <w:rPr>
                <w:color w:val="000000"/>
                <w:sz w:val="20"/>
              </w:rPr>
              <w:t>6,00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BAE342" w14:textId="77777777" w:rsidR="00A77B3E" w:rsidRDefault="00B16CCF">
            <w:pPr>
              <w:spacing w:before="5pt"/>
              <w:jc w:val="end"/>
              <w:rPr>
                <w:color w:val="000000"/>
                <w:sz w:val="20"/>
              </w:rPr>
            </w:pPr>
            <w:r>
              <w:rPr>
                <w:color w:val="000000"/>
                <w:sz w:val="20"/>
              </w:rPr>
              <w:t>64,00</w:t>
            </w:r>
          </w:p>
        </w:tc>
      </w:tr>
      <w:tr w:rsidR="00823317" w14:paraId="34251BF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675BD6"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3ADF9B" w14:textId="77777777" w:rsidR="00A77B3E" w:rsidRDefault="00B16CCF">
            <w:pPr>
              <w:spacing w:before="5pt"/>
              <w:rPr>
                <w:color w:val="000000"/>
                <w:sz w:val="20"/>
              </w:rPr>
            </w:pPr>
            <w:r>
              <w:rPr>
                <w:color w:val="000000"/>
                <w:sz w:val="20"/>
              </w:rPr>
              <w:t>ESO4.11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A1265C"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49645F"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9C7F42" w14:textId="77777777" w:rsidR="00A77B3E" w:rsidRDefault="00B16CCF">
            <w:pPr>
              <w:spacing w:before="5pt"/>
              <w:rPr>
                <w:color w:val="000000"/>
                <w:sz w:val="20"/>
              </w:rPr>
            </w:pPr>
            <w:r>
              <w:rPr>
                <w:color w:val="000000"/>
                <w:sz w:val="20"/>
              </w:rPr>
              <w:t>EECO18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CACC6F" w14:textId="77777777" w:rsidR="00A77B3E" w:rsidRDefault="00B16CCF">
            <w:pPr>
              <w:spacing w:before="5pt"/>
              <w:rPr>
                <w:color w:val="000000"/>
                <w:sz w:val="20"/>
              </w:rPr>
            </w:pPr>
            <w:r>
              <w:rPr>
                <w:color w:val="000000"/>
                <w:sz w:val="20"/>
              </w:rPr>
              <w:t>Število javnih uprav ali javnih služb, ki so prejele podporo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11A6C7" w14:textId="77777777" w:rsidR="00A77B3E" w:rsidRDefault="00B16CCF">
            <w:pPr>
              <w:spacing w:before="5pt"/>
              <w:rPr>
                <w:color w:val="000000"/>
                <w:sz w:val="20"/>
              </w:rPr>
            </w:pPr>
            <w:r>
              <w:rPr>
                <w:color w:val="000000"/>
                <w:sz w:val="20"/>
              </w:rPr>
              <w:t>subjekti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37DBB6" w14:textId="77777777" w:rsidR="00A77B3E" w:rsidRDefault="00B16CCF">
            <w:pPr>
              <w:spacing w:before="5pt"/>
              <w:jc w:val="end"/>
              <w:rPr>
                <w:color w:val="000000"/>
                <w:sz w:val="20"/>
              </w:rPr>
            </w:pPr>
            <w:r>
              <w:rPr>
                <w:color w:val="000000"/>
                <w:sz w:val="20"/>
              </w:rPr>
              <w:t>11,00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F4B088" w14:textId="77777777" w:rsidR="00A77B3E" w:rsidRDefault="00B16CCF">
            <w:pPr>
              <w:spacing w:before="5pt"/>
              <w:jc w:val="end"/>
              <w:rPr>
                <w:color w:val="000000"/>
                <w:sz w:val="20"/>
              </w:rPr>
            </w:pPr>
            <w:r>
              <w:rPr>
                <w:color w:val="000000"/>
                <w:sz w:val="20"/>
              </w:rPr>
              <w:t>107,00</w:t>
            </w:r>
          </w:p>
        </w:tc>
      </w:tr>
    </w:tbl>
    <w:p w14:paraId="0EAE7BF2" w14:textId="77777777" w:rsidR="00A77B3E" w:rsidRDefault="00A77B3E">
      <w:pPr>
        <w:spacing w:before="5pt"/>
        <w:rPr>
          <w:color w:val="000000"/>
          <w:sz w:val="20"/>
        </w:rPr>
      </w:pPr>
    </w:p>
    <w:p w14:paraId="56D5A2A4" w14:textId="77777777" w:rsidR="00A77B3E" w:rsidRDefault="00B16CCF">
      <w:pPr>
        <w:spacing w:before="5pt"/>
        <w:rPr>
          <w:color w:val="000000"/>
          <w:sz w:val="0"/>
        </w:rPr>
      </w:pPr>
      <w:r>
        <w:rPr>
          <w:color w:val="000000"/>
        </w:rPr>
        <w:t>Sklic: člen 22(3)(d)(ii) uredbe o skupnih določbah</w:t>
      </w:r>
    </w:p>
    <w:p w14:paraId="5CCD6277" w14:textId="77777777" w:rsidR="00A77B3E" w:rsidRDefault="00B16CCF">
      <w:pPr>
        <w:pStyle w:val="Naslov5"/>
        <w:spacing w:before="5pt" w:after="0pt"/>
        <w:rPr>
          <w:b w:val="0"/>
          <w:i w:val="0"/>
          <w:color w:val="000000"/>
          <w:sz w:val="24"/>
        </w:rPr>
      </w:pPr>
      <w:bookmarkStart w:id="568" w:name="_Toc256001329"/>
      <w:r>
        <w:rPr>
          <w:b w:val="0"/>
          <w:i w:val="0"/>
          <w:color w:val="000000"/>
          <w:sz w:val="24"/>
        </w:rPr>
        <w:t>Tabela 3: Kazalniki rezultatov</w:t>
      </w:r>
      <w:bookmarkEnd w:id="568"/>
    </w:p>
    <w:p w14:paraId="4E4756D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43"/>
        <w:gridCol w:w="1239"/>
        <w:gridCol w:w="770"/>
        <w:gridCol w:w="1285"/>
        <w:gridCol w:w="1491"/>
        <w:gridCol w:w="1641"/>
        <w:gridCol w:w="959"/>
        <w:gridCol w:w="1314"/>
        <w:gridCol w:w="1388"/>
        <w:gridCol w:w="1092"/>
        <w:gridCol w:w="1573"/>
        <w:gridCol w:w="1077"/>
      </w:tblGrid>
      <w:tr w:rsidR="00823317" w14:paraId="7398DFB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DBF16B" w14:textId="77777777" w:rsidR="00A77B3E" w:rsidRDefault="00B16CCF">
            <w:pPr>
              <w:spacing w:before="5pt"/>
              <w:jc w:val="center"/>
              <w:rPr>
                <w:color w:val="000000"/>
                <w:sz w:val="20"/>
              </w:rPr>
            </w:pPr>
            <w:r>
              <w:rPr>
                <w:color w:val="000000"/>
                <w:sz w:val="20"/>
              </w:rPr>
              <w:lastRenderedPageBreak/>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DC951E4"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575E42"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C8004A"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4BFE987"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6EC74C"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1E06DC7"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E0237D" w14:textId="77777777" w:rsidR="00A77B3E" w:rsidRDefault="00B16CCF">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BE6097" w14:textId="77777777" w:rsidR="00A77B3E" w:rsidRDefault="00B16CCF">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8C71D8" w14:textId="77777777" w:rsidR="00A77B3E" w:rsidRDefault="00B16CCF">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6F86861" w14:textId="77777777" w:rsidR="00A77B3E" w:rsidRDefault="00B16CCF">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C8FCDA" w14:textId="77777777" w:rsidR="00A77B3E" w:rsidRDefault="00B16CCF">
            <w:pPr>
              <w:spacing w:before="5pt"/>
              <w:jc w:val="center"/>
              <w:rPr>
                <w:color w:val="000000"/>
                <w:sz w:val="20"/>
              </w:rPr>
            </w:pPr>
            <w:r>
              <w:rPr>
                <w:color w:val="000000"/>
                <w:sz w:val="20"/>
              </w:rPr>
              <w:t>Opombe</w:t>
            </w:r>
          </w:p>
        </w:tc>
      </w:tr>
      <w:tr w:rsidR="00823317" w14:paraId="63B1C81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CBED0A"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517CF7" w14:textId="77777777" w:rsidR="00A77B3E" w:rsidRDefault="00B16CCF">
            <w:pPr>
              <w:spacing w:before="5pt"/>
              <w:rPr>
                <w:color w:val="000000"/>
                <w:sz w:val="20"/>
              </w:rPr>
            </w:pPr>
            <w:r>
              <w:rPr>
                <w:color w:val="000000"/>
                <w:sz w:val="20"/>
              </w:rPr>
              <w:t>ESO4.11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33CB86"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13AB92"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A9DC5B" w14:textId="77777777" w:rsidR="00A77B3E" w:rsidRDefault="00B16CCF">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773A24" w14:textId="77777777" w:rsidR="00A77B3E" w:rsidRDefault="00B16CCF">
            <w:pPr>
              <w:spacing w:before="5pt"/>
              <w:rPr>
                <w:color w:val="000000"/>
                <w:sz w:val="20"/>
              </w:rPr>
            </w:pPr>
            <w:r>
              <w:rPr>
                <w:color w:val="000000"/>
                <w:sz w:val="20"/>
              </w:rPr>
              <w:t>Število usposobljenih strokovnih delavcev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FE61ED" w14:textId="77777777" w:rsidR="00A77B3E" w:rsidRDefault="00B16CCF">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FF9BD6" w14:textId="77777777" w:rsidR="00A77B3E" w:rsidRDefault="00B16CCF">
            <w:pPr>
              <w:spacing w:before="5pt"/>
              <w:jc w:val="end"/>
              <w:rPr>
                <w:color w:val="000000"/>
                <w:sz w:val="20"/>
              </w:rPr>
            </w:pPr>
            <w:r>
              <w:rPr>
                <w:color w:val="000000"/>
                <w:sz w:val="20"/>
              </w:rPr>
              <w:t>15,00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0A394F" w14:textId="77777777" w:rsidR="00A77B3E" w:rsidRDefault="00B16CCF">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455A01" w14:textId="77777777" w:rsidR="00A77B3E" w:rsidRDefault="00B16CCF">
            <w:pPr>
              <w:spacing w:before="5pt"/>
              <w:jc w:val="end"/>
              <w:rPr>
                <w:color w:val="000000"/>
                <w:sz w:val="20"/>
              </w:rPr>
            </w:pPr>
            <w:r>
              <w:rPr>
                <w:color w:val="000000"/>
                <w:sz w:val="20"/>
              </w:rPr>
              <w:t>320,00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9A84B8" w14:textId="77777777" w:rsidR="00A77B3E" w:rsidRDefault="00B16CCF">
            <w:pPr>
              <w:spacing w:before="5pt"/>
              <w:rPr>
                <w:color w:val="000000"/>
                <w:sz w:val="20"/>
              </w:rPr>
            </w:pPr>
            <w:r>
              <w:rPr>
                <w:color w:val="000000"/>
                <w:sz w:val="20"/>
              </w:rPr>
              <w:t>Upravičenec in eMA2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E27511" w14:textId="77777777" w:rsidR="00A77B3E" w:rsidRDefault="00A77B3E">
            <w:pPr>
              <w:spacing w:before="5pt"/>
              <w:rPr>
                <w:color w:val="000000"/>
                <w:sz w:val="20"/>
              </w:rPr>
            </w:pPr>
          </w:p>
        </w:tc>
      </w:tr>
      <w:tr w:rsidR="00823317" w14:paraId="4205075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552B8A"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740E2B" w14:textId="77777777" w:rsidR="00A77B3E" w:rsidRDefault="00B16CCF">
            <w:pPr>
              <w:spacing w:before="5pt"/>
              <w:rPr>
                <w:color w:val="000000"/>
                <w:sz w:val="20"/>
              </w:rPr>
            </w:pPr>
            <w:r>
              <w:rPr>
                <w:color w:val="000000"/>
                <w:sz w:val="20"/>
              </w:rPr>
              <w:t>ESO4.11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507AF0"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8911A5"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76B339" w14:textId="77777777" w:rsidR="00A77B3E" w:rsidRDefault="00B16CCF">
            <w:pPr>
              <w:spacing w:before="5pt"/>
              <w:rPr>
                <w:color w:val="000000"/>
                <w:sz w:val="20"/>
              </w:rPr>
            </w:pPr>
            <w:r>
              <w:rPr>
                <w:color w:val="000000"/>
                <w:sz w:val="20"/>
              </w:rPr>
              <w:t>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C641BD" w14:textId="77777777" w:rsidR="00A77B3E" w:rsidRDefault="00B16CCF">
            <w:pPr>
              <w:spacing w:before="5pt"/>
              <w:rPr>
                <w:color w:val="000000"/>
                <w:sz w:val="20"/>
              </w:rPr>
            </w:pPr>
            <w:r>
              <w:rPr>
                <w:color w:val="000000"/>
                <w:sz w:val="20"/>
              </w:rPr>
              <w:t>Število usposobljenih uporabnikov v zdravstvu</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D4B3B1" w14:textId="77777777" w:rsidR="00A77B3E" w:rsidRDefault="00B16CCF">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FE8ACE"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1FE445" w14:textId="77777777" w:rsidR="00A77B3E" w:rsidRDefault="00B16CCF">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84DFF7" w14:textId="77777777" w:rsidR="00A77B3E" w:rsidRDefault="00B16CCF">
            <w:pPr>
              <w:spacing w:before="5pt"/>
              <w:jc w:val="end"/>
              <w:rPr>
                <w:color w:val="000000"/>
                <w:sz w:val="20"/>
              </w:rPr>
            </w:pPr>
            <w:r>
              <w:rPr>
                <w:color w:val="000000"/>
                <w:sz w:val="20"/>
              </w:rPr>
              <w:t>1.820,00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90E9B7" w14:textId="77777777" w:rsidR="00A77B3E" w:rsidRDefault="00B16CCF">
            <w:pPr>
              <w:spacing w:before="5pt"/>
              <w:rPr>
                <w:color w:val="000000"/>
                <w:sz w:val="20"/>
              </w:rPr>
            </w:pPr>
            <w:r>
              <w:rPr>
                <w:color w:val="000000"/>
                <w:sz w:val="20"/>
              </w:rPr>
              <w:t>Upravičenec, MZ in eMA2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62D152" w14:textId="77777777" w:rsidR="00A77B3E" w:rsidRDefault="00A77B3E">
            <w:pPr>
              <w:spacing w:before="5pt"/>
              <w:rPr>
                <w:color w:val="000000"/>
                <w:sz w:val="20"/>
              </w:rPr>
            </w:pPr>
          </w:p>
        </w:tc>
      </w:tr>
      <w:tr w:rsidR="00823317" w14:paraId="65F4709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F75232"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192DD8" w14:textId="77777777" w:rsidR="00A77B3E" w:rsidRDefault="00B16CCF">
            <w:pPr>
              <w:spacing w:before="5pt"/>
              <w:rPr>
                <w:color w:val="000000"/>
                <w:sz w:val="20"/>
              </w:rPr>
            </w:pPr>
            <w:r>
              <w:rPr>
                <w:color w:val="000000"/>
                <w:sz w:val="20"/>
              </w:rPr>
              <w:t>ESO4.11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007D9A"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DF5762"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282DA8" w14:textId="77777777" w:rsidR="00A77B3E" w:rsidRDefault="00B16CCF">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6C64D2" w14:textId="77777777" w:rsidR="00A77B3E" w:rsidRDefault="00B16CCF">
            <w:pPr>
              <w:spacing w:before="5pt"/>
              <w:rPr>
                <w:color w:val="000000"/>
                <w:sz w:val="20"/>
              </w:rPr>
            </w:pPr>
            <w:r>
              <w:rPr>
                <w:color w:val="000000"/>
                <w:sz w:val="20"/>
              </w:rPr>
              <w:t>Število usposobljenih strokovnih delavcev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647727" w14:textId="77777777" w:rsidR="00A77B3E" w:rsidRDefault="00B16CCF">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3BC2C0" w14:textId="77777777" w:rsidR="00A77B3E" w:rsidRDefault="00B16CCF">
            <w:pPr>
              <w:spacing w:before="5pt"/>
              <w:jc w:val="end"/>
              <w:rPr>
                <w:color w:val="000000"/>
                <w:sz w:val="20"/>
              </w:rPr>
            </w:pPr>
            <w:r>
              <w:rPr>
                <w:color w:val="000000"/>
                <w:sz w:val="20"/>
              </w:rPr>
              <w:t>33,00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AB0057" w14:textId="77777777" w:rsidR="00A77B3E" w:rsidRDefault="00B16CCF">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38D31C" w14:textId="77777777" w:rsidR="00A77B3E" w:rsidRDefault="00B16CCF">
            <w:pPr>
              <w:spacing w:before="5pt"/>
              <w:jc w:val="end"/>
              <w:rPr>
                <w:color w:val="000000"/>
                <w:sz w:val="20"/>
              </w:rPr>
            </w:pPr>
            <w:r>
              <w:rPr>
                <w:color w:val="000000"/>
                <w:sz w:val="20"/>
              </w:rPr>
              <w:t>570,00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07BA47" w14:textId="77777777" w:rsidR="00A77B3E" w:rsidRDefault="00B16CCF">
            <w:pPr>
              <w:spacing w:before="5pt"/>
              <w:rPr>
                <w:color w:val="000000"/>
                <w:sz w:val="20"/>
              </w:rPr>
            </w:pPr>
            <w:r>
              <w:rPr>
                <w:color w:val="000000"/>
                <w:sz w:val="20"/>
              </w:rPr>
              <w:t>Upravičenec in eMA2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821F38" w14:textId="77777777" w:rsidR="00A77B3E" w:rsidRDefault="00A77B3E">
            <w:pPr>
              <w:spacing w:before="5pt"/>
              <w:rPr>
                <w:color w:val="000000"/>
                <w:sz w:val="20"/>
              </w:rPr>
            </w:pPr>
          </w:p>
        </w:tc>
      </w:tr>
      <w:tr w:rsidR="00823317" w14:paraId="5D061A5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917653"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7543F2" w14:textId="77777777" w:rsidR="00A77B3E" w:rsidRDefault="00B16CCF">
            <w:pPr>
              <w:spacing w:before="5pt"/>
              <w:rPr>
                <w:color w:val="000000"/>
                <w:sz w:val="20"/>
              </w:rPr>
            </w:pPr>
            <w:r>
              <w:rPr>
                <w:color w:val="000000"/>
                <w:sz w:val="20"/>
              </w:rPr>
              <w:t>ESO4.11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BC3CB5"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71C286"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405AB3" w14:textId="77777777" w:rsidR="00A77B3E" w:rsidRDefault="00B16CCF">
            <w:pPr>
              <w:spacing w:before="5pt"/>
              <w:rPr>
                <w:color w:val="000000"/>
                <w:sz w:val="20"/>
              </w:rPr>
            </w:pPr>
            <w:r>
              <w:rPr>
                <w:color w:val="000000"/>
                <w:sz w:val="20"/>
              </w:rPr>
              <w:t>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E42FDA" w14:textId="77777777" w:rsidR="00A77B3E" w:rsidRDefault="00B16CCF">
            <w:pPr>
              <w:spacing w:before="5pt"/>
              <w:rPr>
                <w:color w:val="000000"/>
                <w:sz w:val="20"/>
              </w:rPr>
            </w:pPr>
            <w:r>
              <w:rPr>
                <w:color w:val="000000"/>
                <w:sz w:val="20"/>
              </w:rPr>
              <w:t>Število usposobljenih uporabnikov v zdravstvu</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0C7D7A" w14:textId="77777777" w:rsidR="00A77B3E" w:rsidRDefault="00B16CCF">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3660CA"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2BEEB4" w14:textId="77777777" w:rsidR="00A77B3E" w:rsidRDefault="00B16CCF">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712BE6" w14:textId="77777777" w:rsidR="00A77B3E" w:rsidRDefault="00B16CCF">
            <w:pPr>
              <w:spacing w:before="5pt"/>
              <w:jc w:val="end"/>
              <w:rPr>
                <w:color w:val="000000"/>
                <w:sz w:val="20"/>
              </w:rPr>
            </w:pPr>
            <w:r>
              <w:rPr>
                <w:color w:val="000000"/>
                <w:sz w:val="20"/>
              </w:rPr>
              <w:t>2.730,00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ADD0BD" w14:textId="77777777" w:rsidR="00A77B3E" w:rsidRDefault="00B16CCF">
            <w:pPr>
              <w:spacing w:before="5pt"/>
              <w:rPr>
                <w:color w:val="000000"/>
                <w:sz w:val="20"/>
              </w:rPr>
            </w:pPr>
            <w:r>
              <w:rPr>
                <w:color w:val="000000"/>
                <w:sz w:val="20"/>
              </w:rPr>
              <w:t>Upravičenec, MZ in eMA2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2DAB00" w14:textId="77777777" w:rsidR="00A77B3E" w:rsidRDefault="00A77B3E">
            <w:pPr>
              <w:spacing w:before="5pt"/>
              <w:rPr>
                <w:color w:val="000000"/>
                <w:sz w:val="20"/>
              </w:rPr>
            </w:pPr>
          </w:p>
        </w:tc>
      </w:tr>
    </w:tbl>
    <w:p w14:paraId="4E2D081E" w14:textId="77777777" w:rsidR="00A77B3E" w:rsidRDefault="00A77B3E">
      <w:pPr>
        <w:spacing w:before="5pt"/>
        <w:rPr>
          <w:color w:val="000000"/>
          <w:sz w:val="20"/>
        </w:rPr>
      </w:pPr>
    </w:p>
    <w:p w14:paraId="309D4D8D" w14:textId="77777777" w:rsidR="00A77B3E" w:rsidRDefault="00B16CCF">
      <w:pPr>
        <w:pStyle w:val="Naslov4"/>
        <w:spacing w:before="5pt" w:after="0pt"/>
        <w:rPr>
          <w:b w:val="0"/>
          <w:color w:val="000000"/>
          <w:sz w:val="24"/>
        </w:rPr>
      </w:pPr>
      <w:bookmarkStart w:id="569" w:name="_Toc256001330"/>
      <w:r>
        <w:rPr>
          <w:b w:val="0"/>
          <w:color w:val="000000"/>
          <w:sz w:val="24"/>
        </w:rPr>
        <w:t>2.1.1.1.3. Okvirna razčlenitev načrtovanih sredstev (EU) glede na vrsto ukrepa</w:t>
      </w:r>
      <w:bookmarkEnd w:id="569"/>
    </w:p>
    <w:p w14:paraId="1DB4EE38" w14:textId="77777777" w:rsidR="00A77B3E" w:rsidRDefault="00A77B3E">
      <w:pPr>
        <w:spacing w:before="5pt"/>
        <w:rPr>
          <w:color w:val="000000"/>
          <w:sz w:val="0"/>
        </w:rPr>
      </w:pPr>
    </w:p>
    <w:p w14:paraId="4123A592" w14:textId="77777777" w:rsidR="00A77B3E" w:rsidRDefault="00B16CCF">
      <w:pPr>
        <w:spacing w:before="5pt"/>
        <w:rPr>
          <w:color w:val="000000"/>
          <w:sz w:val="0"/>
        </w:rPr>
      </w:pPr>
      <w:r>
        <w:rPr>
          <w:color w:val="000000"/>
        </w:rPr>
        <w:t>Sklic: člen 22(3)(d)(viii) uredbe o skupnih določbah</w:t>
      </w:r>
    </w:p>
    <w:p w14:paraId="0F93B9F8" w14:textId="77777777" w:rsidR="00A77B3E" w:rsidRDefault="00B16CCF">
      <w:pPr>
        <w:pStyle w:val="Naslov5"/>
        <w:spacing w:before="5pt" w:after="0pt"/>
        <w:rPr>
          <w:b w:val="0"/>
          <w:i w:val="0"/>
          <w:color w:val="000000"/>
          <w:sz w:val="24"/>
        </w:rPr>
      </w:pPr>
      <w:bookmarkStart w:id="570" w:name="_Toc256001331"/>
      <w:r>
        <w:rPr>
          <w:b w:val="0"/>
          <w:i w:val="0"/>
          <w:color w:val="000000"/>
          <w:sz w:val="24"/>
        </w:rPr>
        <w:t>Tabela 4: Razsežnost 1 – področje ukrepanja</w:t>
      </w:r>
      <w:bookmarkEnd w:id="570"/>
    </w:p>
    <w:p w14:paraId="3152101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98"/>
        <w:gridCol w:w="2305"/>
        <w:gridCol w:w="1674"/>
        <w:gridCol w:w="2390"/>
        <w:gridCol w:w="3160"/>
        <w:gridCol w:w="3145"/>
      </w:tblGrid>
      <w:tr w:rsidR="00823317" w14:paraId="376176E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4060FB"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D5451E"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C951C3"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5272B7"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07BE42"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C1AB368" w14:textId="77777777" w:rsidR="00A77B3E" w:rsidRDefault="00B16CCF">
            <w:pPr>
              <w:spacing w:before="5pt"/>
              <w:jc w:val="center"/>
              <w:rPr>
                <w:color w:val="000000"/>
                <w:sz w:val="20"/>
              </w:rPr>
            </w:pPr>
            <w:r>
              <w:rPr>
                <w:color w:val="000000"/>
                <w:sz w:val="20"/>
              </w:rPr>
              <w:t>Znesek (v EUR)</w:t>
            </w:r>
          </w:p>
        </w:tc>
      </w:tr>
      <w:tr w:rsidR="00823317" w14:paraId="6B48AD2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1C02EB"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A8BA47" w14:textId="77777777" w:rsidR="00A77B3E" w:rsidRDefault="00B16CCF">
            <w:pPr>
              <w:spacing w:before="5pt"/>
              <w:rPr>
                <w:color w:val="000000"/>
                <w:sz w:val="20"/>
              </w:rPr>
            </w:pPr>
            <w:r>
              <w:rPr>
                <w:color w:val="000000"/>
                <w:sz w:val="20"/>
              </w:rPr>
              <w:t>ESO4.11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FF0584"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837CFC"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5E95D4" w14:textId="77777777" w:rsidR="00A77B3E" w:rsidRDefault="00B16CCF">
            <w:pPr>
              <w:spacing w:before="5pt"/>
              <w:rPr>
                <w:color w:val="000000"/>
                <w:sz w:val="20"/>
              </w:rPr>
            </w:pPr>
            <w:r>
              <w:rPr>
                <w:color w:val="000000"/>
                <w:sz w:val="20"/>
              </w:rPr>
              <w:t>158. Ukrepi za izboljšanje enakega in pravočasnega dostopa do kakovostnih, trajnostnih in cenovno dostopnih storitev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A6CE65" w14:textId="77777777" w:rsidR="00A77B3E" w:rsidRDefault="00B16CCF">
            <w:pPr>
              <w:spacing w:before="5pt"/>
              <w:jc w:val="end"/>
              <w:rPr>
                <w:color w:val="000000"/>
                <w:sz w:val="20"/>
              </w:rPr>
            </w:pPr>
            <w:r>
              <w:rPr>
                <w:color w:val="000000"/>
                <w:sz w:val="20"/>
              </w:rPr>
              <w:t>9.044.518,00</w:t>
            </w:r>
          </w:p>
        </w:tc>
      </w:tr>
      <w:tr w:rsidR="00823317" w14:paraId="24B99CD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271D9C"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A7DA4B" w14:textId="77777777" w:rsidR="00A77B3E" w:rsidRDefault="00B16CCF">
            <w:pPr>
              <w:spacing w:before="5pt"/>
              <w:rPr>
                <w:color w:val="000000"/>
                <w:sz w:val="20"/>
              </w:rPr>
            </w:pPr>
            <w:r>
              <w:rPr>
                <w:color w:val="000000"/>
                <w:sz w:val="20"/>
              </w:rPr>
              <w:t>ESO4.11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6E22F2"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3F847D"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CAA2CD" w14:textId="77777777" w:rsidR="00A77B3E" w:rsidRDefault="00B16CCF">
            <w:pPr>
              <w:spacing w:before="5pt"/>
              <w:rPr>
                <w:color w:val="000000"/>
                <w:sz w:val="20"/>
              </w:rPr>
            </w:pPr>
            <w:r>
              <w:rPr>
                <w:color w:val="000000"/>
                <w:sz w:val="20"/>
              </w:rPr>
              <w:t>160. Ukrepi za večjo dostopnost, učinkovitost in vzdržljivost zdravstvenih sistemov (razen infrastrukture)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D461D3" w14:textId="77777777" w:rsidR="00A77B3E" w:rsidRDefault="00B16CCF">
            <w:pPr>
              <w:spacing w:before="5pt"/>
              <w:jc w:val="end"/>
              <w:rPr>
                <w:color w:val="000000"/>
                <w:sz w:val="20"/>
              </w:rPr>
            </w:pPr>
            <w:r>
              <w:rPr>
                <w:color w:val="000000"/>
                <w:sz w:val="20"/>
              </w:rPr>
              <w:t>7.789.125,00</w:t>
            </w:r>
          </w:p>
        </w:tc>
      </w:tr>
      <w:tr w:rsidR="00823317" w14:paraId="2555073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C2BEFD" w14:textId="77777777" w:rsidR="00A77B3E" w:rsidRDefault="00B16CCF">
            <w:pPr>
              <w:spacing w:before="5pt"/>
              <w:rPr>
                <w:color w:val="000000"/>
                <w:sz w:val="20"/>
              </w:rPr>
            </w:pPr>
            <w:r>
              <w:rPr>
                <w:color w:val="000000"/>
                <w:sz w:val="20"/>
              </w:rPr>
              <w:lastRenderedPageBreak/>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25FCC6" w14:textId="77777777" w:rsidR="00A77B3E" w:rsidRDefault="00B16CCF">
            <w:pPr>
              <w:spacing w:before="5pt"/>
              <w:rPr>
                <w:color w:val="000000"/>
                <w:sz w:val="20"/>
              </w:rPr>
            </w:pPr>
            <w:r>
              <w:rPr>
                <w:color w:val="000000"/>
                <w:sz w:val="20"/>
              </w:rPr>
              <w:t>ESO4.11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5F2459"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02643E"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CC664F" w14:textId="77777777" w:rsidR="00A77B3E" w:rsidRDefault="00B16CCF">
            <w:pPr>
              <w:spacing w:before="5pt"/>
              <w:rPr>
                <w:color w:val="000000"/>
                <w:sz w:val="20"/>
              </w:rPr>
            </w:pPr>
            <w:r>
              <w:rPr>
                <w:color w:val="000000"/>
                <w:sz w:val="20"/>
              </w:rPr>
              <w:t>161. Ukrepi za izboljšanje dostopa do dolgotrajne oskrbe (razen infrastrukture)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7D98A1" w14:textId="77777777" w:rsidR="00A77B3E" w:rsidRDefault="00B16CCF">
            <w:pPr>
              <w:spacing w:before="5pt"/>
              <w:jc w:val="end"/>
              <w:rPr>
                <w:color w:val="000000"/>
                <w:sz w:val="20"/>
              </w:rPr>
            </w:pPr>
            <w:r>
              <w:rPr>
                <w:color w:val="000000"/>
                <w:sz w:val="20"/>
              </w:rPr>
              <w:t>2.707.929,00</w:t>
            </w:r>
          </w:p>
        </w:tc>
      </w:tr>
      <w:tr w:rsidR="00823317" w14:paraId="3A3FD38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03BC8D"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653DB3" w14:textId="77777777" w:rsidR="00A77B3E" w:rsidRDefault="00B16CCF">
            <w:pPr>
              <w:spacing w:before="5pt"/>
              <w:rPr>
                <w:color w:val="000000"/>
                <w:sz w:val="20"/>
              </w:rPr>
            </w:pPr>
            <w:r>
              <w:rPr>
                <w:color w:val="000000"/>
                <w:sz w:val="20"/>
              </w:rPr>
              <w:t>ESO4.11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FCB2A7"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5E741A"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98F591" w14:textId="77777777" w:rsidR="00A77B3E" w:rsidRDefault="00B16CCF">
            <w:pPr>
              <w:spacing w:before="5pt"/>
              <w:rPr>
                <w:color w:val="000000"/>
                <w:sz w:val="20"/>
              </w:rPr>
            </w:pPr>
            <w:r>
              <w:rPr>
                <w:color w:val="000000"/>
                <w:sz w:val="20"/>
              </w:rPr>
              <w:t>158. Ukrepi za izboljšanje enakega in pravočasnega dostopa do kakovostnih, trajnostnih in cenovno dostopnih storitev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1199A3" w14:textId="77777777" w:rsidR="00A77B3E" w:rsidRDefault="00B16CCF">
            <w:pPr>
              <w:spacing w:before="5pt"/>
              <w:jc w:val="end"/>
              <w:rPr>
                <w:color w:val="000000"/>
                <w:sz w:val="20"/>
              </w:rPr>
            </w:pPr>
            <w:r>
              <w:rPr>
                <w:color w:val="000000"/>
                <w:sz w:val="20"/>
              </w:rPr>
              <w:t>40.478.001,00</w:t>
            </w:r>
          </w:p>
        </w:tc>
      </w:tr>
      <w:tr w:rsidR="00823317" w14:paraId="1C60F53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A22580"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858255" w14:textId="77777777" w:rsidR="00A77B3E" w:rsidRDefault="00B16CCF">
            <w:pPr>
              <w:spacing w:before="5pt"/>
              <w:rPr>
                <w:color w:val="000000"/>
                <w:sz w:val="20"/>
              </w:rPr>
            </w:pPr>
            <w:r>
              <w:rPr>
                <w:color w:val="000000"/>
                <w:sz w:val="20"/>
              </w:rPr>
              <w:t>ESO4.11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E5C0C1"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20B010"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0F2AB6" w14:textId="77777777" w:rsidR="00A77B3E" w:rsidRDefault="00B16CCF">
            <w:pPr>
              <w:spacing w:before="5pt"/>
              <w:rPr>
                <w:color w:val="000000"/>
                <w:sz w:val="20"/>
              </w:rPr>
            </w:pPr>
            <w:r>
              <w:rPr>
                <w:color w:val="000000"/>
                <w:sz w:val="20"/>
              </w:rPr>
              <w:t>160. Ukrepi za večjo dostopnost, učinkovitost in vzdržljivost zdravstvenih sistemov (razen infrastrukture)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E633DF" w14:textId="77777777" w:rsidR="00A77B3E" w:rsidRDefault="00B16CCF">
            <w:pPr>
              <w:spacing w:before="5pt"/>
              <w:jc w:val="end"/>
              <w:rPr>
                <w:color w:val="000000"/>
                <w:sz w:val="20"/>
              </w:rPr>
            </w:pPr>
            <w:r>
              <w:rPr>
                <w:color w:val="000000"/>
                <w:sz w:val="20"/>
              </w:rPr>
              <w:t>15.422.050,00</w:t>
            </w:r>
          </w:p>
        </w:tc>
      </w:tr>
      <w:tr w:rsidR="00823317" w14:paraId="38AAC9F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ABF48E"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D1C08E" w14:textId="77777777" w:rsidR="00A77B3E" w:rsidRDefault="00B16CCF">
            <w:pPr>
              <w:spacing w:before="5pt"/>
              <w:rPr>
                <w:color w:val="000000"/>
                <w:sz w:val="20"/>
              </w:rPr>
            </w:pPr>
            <w:r>
              <w:rPr>
                <w:color w:val="000000"/>
                <w:sz w:val="20"/>
              </w:rPr>
              <w:t>ESO4.11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D4E0AD"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BC2590"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F9E18D" w14:textId="77777777" w:rsidR="00A77B3E" w:rsidRDefault="00B16CCF">
            <w:pPr>
              <w:spacing w:before="5pt"/>
              <w:rPr>
                <w:color w:val="000000"/>
                <w:sz w:val="20"/>
              </w:rPr>
            </w:pPr>
            <w:r>
              <w:rPr>
                <w:color w:val="000000"/>
                <w:sz w:val="20"/>
              </w:rPr>
              <w:t>161. Ukrepi za izboljšanje dostopa do dolgotrajne oskrbe (razen infrastrukture)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4EA8B3" w14:textId="77777777" w:rsidR="00A77B3E" w:rsidRDefault="00B16CCF">
            <w:pPr>
              <w:spacing w:before="5pt"/>
              <w:jc w:val="end"/>
              <w:rPr>
                <w:color w:val="000000"/>
                <w:sz w:val="20"/>
              </w:rPr>
            </w:pPr>
            <w:r>
              <w:rPr>
                <w:color w:val="000000"/>
                <w:sz w:val="20"/>
              </w:rPr>
              <w:t>6.548.255,00</w:t>
            </w:r>
          </w:p>
        </w:tc>
      </w:tr>
      <w:tr w:rsidR="00823317" w14:paraId="484C6BD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1415DB"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971A59" w14:textId="77777777" w:rsidR="00A77B3E" w:rsidRDefault="00B16CCF">
            <w:pPr>
              <w:spacing w:before="5pt"/>
              <w:rPr>
                <w:color w:val="000000"/>
                <w:sz w:val="20"/>
              </w:rPr>
            </w:pPr>
            <w:r>
              <w:rPr>
                <w:color w:val="000000"/>
                <w:sz w:val="20"/>
              </w:rPr>
              <w:t>ESO4.11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DA8D1D"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6487FF"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C2223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A79D5A" w14:textId="77777777" w:rsidR="00A77B3E" w:rsidRDefault="00B16CCF">
            <w:pPr>
              <w:spacing w:before="5pt"/>
              <w:jc w:val="end"/>
              <w:rPr>
                <w:color w:val="000000"/>
                <w:sz w:val="20"/>
              </w:rPr>
            </w:pPr>
            <w:r>
              <w:rPr>
                <w:color w:val="000000"/>
                <w:sz w:val="20"/>
              </w:rPr>
              <w:t>81.989.878,00</w:t>
            </w:r>
          </w:p>
        </w:tc>
      </w:tr>
    </w:tbl>
    <w:p w14:paraId="36D1473C" w14:textId="77777777" w:rsidR="00A77B3E" w:rsidRDefault="00A77B3E">
      <w:pPr>
        <w:spacing w:before="5pt"/>
        <w:rPr>
          <w:color w:val="000000"/>
          <w:sz w:val="20"/>
        </w:rPr>
      </w:pPr>
    </w:p>
    <w:p w14:paraId="15A68A83" w14:textId="77777777" w:rsidR="00A77B3E" w:rsidRDefault="00B16CCF">
      <w:pPr>
        <w:pStyle w:val="Naslov5"/>
        <w:spacing w:before="5pt" w:after="0pt"/>
        <w:rPr>
          <w:b w:val="0"/>
          <w:i w:val="0"/>
          <w:color w:val="000000"/>
          <w:sz w:val="24"/>
        </w:rPr>
      </w:pPr>
      <w:bookmarkStart w:id="571" w:name="_Toc256001332"/>
      <w:r>
        <w:rPr>
          <w:b w:val="0"/>
          <w:i w:val="0"/>
          <w:color w:val="000000"/>
          <w:sz w:val="24"/>
        </w:rPr>
        <w:t>Tabela 5: Razsežnost 2 – oblika financiranja</w:t>
      </w:r>
      <w:bookmarkEnd w:id="571"/>
    </w:p>
    <w:p w14:paraId="311C828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93"/>
        <w:gridCol w:w="2392"/>
        <w:gridCol w:w="1737"/>
        <w:gridCol w:w="2480"/>
        <w:gridCol w:w="2706"/>
        <w:gridCol w:w="3264"/>
      </w:tblGrid>
      <w:tr w:rsidR="00823317" w14:paraId="3975442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C86510"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D9DF7D"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5FC5F4"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3A121C"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D58860"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DD9A4C" w14:textId="77777777" w:rsidR="00A77B3E" w:rsidRDefault="00B16CCF">
            <w:pPr>
              <w:spacing w:before="5pt"/>
              <w:jc w:val="center"/>
              <w:rPr>
                <w:color w:val="000000"/>
                <w:sz w:val="20"/>
              </w:rPr>
            </w:pPr>
            <w:r>
              <w:rPr>
                <w:color w:val="000000"/>
                <w:sz w:val="20"/>
              </w:rPr>
              <w:t>Znesek (v EUR)</w:t>
            </w:r>
          </w:p>
        </w:tc>
      </w:tr>
      <w:tr w:rsidR="00823317" w14:paraId="1D0870E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C37CD4"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98BEDD" w14:textId="77777777" w:rsidR="00A77B3E" w:rsidRDefault="00B16CCF">
            <w:pPr>
              <w:spacing w:before="5pt"/>
              <w:rPr>
                <w:color w:val="000000"/>
                <w:sz w:val="20"/>
              </w:rPr>
            </w:pPr>
            <w:r>
              <w:rPr>
                <w:color w:val="000000"/>
                <w:sz w:val="20"/>
              </w:rPr>
              <w:t>ESO4.11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DEE2B2"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ABD2A2"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BC5B8F" w14:textId="77777777" w:rsidR="00A77B3E" w:rsidRDefault="00B16CCF">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113419" w14:textId="77777777" w:rsidR="00A77B3E" w:rsidRDefault="00B16CCF">
            <w:pPr>
              <w:spacing w:before="5pt"/>
              <w:jc w:val="end"/>
              <w:rPr>
                <w:color w:val="000000"/>
                <w:sz w:val="20"/>
              </w:rPr>
            </w:pPr>
            <w:r>
              <w:rPr>
                <w:color w:val="000000"/>
                <w:sz w:val="20"/>
              </w:rPr>
              <w:t>19.541.572,00</w:t>
            </w:r>
          </w:p>
        </w:tc>
      </w:tr>
      <w:tr w:rsidR="00823317" w14:paraId="20A996F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E15019"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CAAFAA" w14:textId="77777777" w:rsidR="00A77B3E" w:rsidRDefault="00B16CCF">
            <w:pPr>
              <w:spacing w:before="5pt"/>
              <w:rPr>
                <w:color w:val="000000"/>
                <w:sz w:val="20"/>
              </w:rPr>
            </w:pPr>
            <w:r>
              <w:rPr>
                <w:color w:val="000000"/>
                <w:sz w:val="20"/>
              </w:rPr>
              <w:t>ESO4.11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C1EBC3"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7EA454"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731A89" w14:textId="77777777" w:rsidR="00A77B3E" w:rsidRDefault="00B16CCF">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CDC273" w14:textId="77777777" w:rsidR="00A77B3E" w:rsidRDefault="00B16CCF">
            <w:pPr>
              <w:spacing w:before="5pt"/>
              <w:jc w:val="end"/>
              <w:rPr>
                <w:color w:val="000000"/>
                <w:sz w:val="20"/>
              </w:rPr>
            </w:pPr>
            <w:r>
              <w:rPr>
                <w:color w:val="000000"/>
                <w:sz w:val="20"/>
              </w:rPr>
              <w:t>62.448.306,00</w:t>
            </w:r>
          </w:p>
        </w:tc>
      </w:tr>
      <w:tr w:rsidR="00823317" w14:paraId="2F3FA9F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112579"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D75F16" w14:textId="77777777" w:rsidR="00A77B3E" w:rsidRDefault="00B16CCF">
            <w:pPr>
              <w:spacing w:before="5pt"/>
              <w:rPr>
                <w:color w:val="000000"/>
                <w:sz w:val="20"/>
              </w:rPr>
            </w:pPr>
            <w:r>
              <w:rPr>
                <w:color w:val="000000"/>
                <w:sz w:val="20"/>
              </w:rPr>
              <w:t>ESO4.11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679772"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29E30E"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F8667B"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8040B9" w14:textId="77777777" w:rsidR="00A77B3E" w:rsidRDefault="00B16CCF">
            <w:pPr>
              <w:spacing w:before="5pt"/>
              <w:jc w:val="end"/>
              <w:rPr>
                <w:color w:val="000000"/>
                <w:sz w:val="20"/>
              </w:rPr>
            </w:pPr>
            <w:r>
              <w:rPr>
                <w:color w:val="000000"/>
                <w:sz w:val="20"/>
              </w:rPr>
              <w:t>81.989.878,00</w:t>
            </w:r>
          </w:p>
        </w:tc>
      </w:tr>
    </w:tbl>
    <w:p w14:paraId="38690BE7" w14:textId="77777777" w:rsidR="00A77B3E" w:rsidRDefault="00A77B3E">
      <w:pPr>
        <w:spacing w:before="5pt"/>
        <w:rPr>
          <w:color w:val="000000"/>
          <w:sz w:val="20"/>
        </w:rPr>
      </w:pPr>
    </w:p>
    <w:p w14:paraId="30FA7137" w14:textId="77777777" w:rsidR="00A77B3E" w:rsidRDefault="00B16CCF">
      <w:pPr>
        <w:pStyle w:val="Naslov5"/>
        <w:spacing w:before="5pt" w:after="0pt"/>
        <w:rPr>
          <w:b w:val="0"/>
          <w:i w:val="0"/>
          <w:color w:val="000000"/>
          <w:sz w:val="24"/>
        </w:rPr>
      </w:pPr>
      <w:bookmarkStart w:id="572" w:name="_Toc256001333"/>
      <w:r>
        <w:rPr>
          <w:b w:val="0"/>
          <w:i w:val="0"/>
          <w:color w:val="000000"/>
          <w:sz w:val="24"/>
        </w:rPr>
        <w:t>Tabela 6: Razsežnost 3 – mehanizem za ozemeljsko izvrševanje in ozemeljski pristop</w:t>
      </w:r>
      <w:bookmarkEnd w:id="572"/>
    </w:p>
    <w:p w14:paraId="12D60BB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26"/>
        <w:gridCol w:w="2331"/>
        <w:gridCol w:w="1692"/>
        <w:gridCol w:w="2416"/>
        <w:gridCol w:w="3027"/>
        <w:gridCol w:w="3180"/>
      </w:tblGrid>
      <w:tr w:rsidR="00823317" w14:paraId="4FA7079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8C6949"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AFEE62"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590FC6"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BF079B"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9395A2"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E036E6" w14:textId="77777777" w:rsidR="00A77B3E" w:rsidRDefault="00B16CCF">
            <w:pPr>
              <w:spacing w:before="5pt"/>
              <w:jc w:val="center"/>
              <w:rPr>
                <w:color w:val="000000"/>
                <w:sz w:val="20"/>
              </w:rPr>
            </w:pPr>
            <w:r>
              <w:rPr>
                <w:color w:val="000000"/>
                <w:sz w:val="20"/>
              </w:rPr>
              <w:t>Znesek (v EUR)</w:t>
            </w:r>
          </w:p>
        </w:tc>
      </w:tr>
      <w:tr w:rsidR="00823317" w14:paraId="7AC929D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DB3D97"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D6AEDC" w14:textId="77777777" w:rsidR="00A77B3E" w:rsidRDefault="00B16CCF">
            <w:pPr>
              <w:spacing w:before="5pt"/>
              <w:rPr>
                <w:color w:val="000000"/>
                <w:sz w:val="20"/>
              </w:rPr>
            </w:pPr>
            <w:r>
              <w:rPr>
                <w:color w:val="000000"/>
                <w:sz w:val="20"/>
              </w:rPr>
              <w:t>ESO4.11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FF0212"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FF1F57"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622C49" w14:textId="77777777" w:rsidR="00A77B3E" w:rsidRDefault="00B16CCF">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49EB00" w14:textId="77777777" w:rsidR="00A77B3E" w:rsidRDefault="00B16CCF">
            <w:pPr>
              <w:spacing w:before="5pt"/>
              <w:jc w:val="end"/>
              <w:rPr>
                <w:color w:val="000000"/>
                <w:sz w:val="20"/>
              </w:rPr>
            </w:pPr>
            <w:r>
              <w:rPr>
                <w:color w:val="000000"/>
                <w:sz w:val="20"/>
              </w:rPr>
              <w:t>19.541.572,00</w:t>
            </w:r>
          </w:p>
        </w:tc>
      </w:tr>
      <w:tr w:rsidR="00823317" w14:paraId="4C099D4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577BA5"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2F2EB3" w14:textId="77777777" w:rsidR="00A77B3E" w:rsidRDefault="00B16CCF">
            <w:pPr>
              <w:spacing w:before="5pt"/>
              <w:rPr>
                <w:color w:val="000000"/>
                <w:sz w:val="20"/>
              </w:rPr>
            </w:pPr>
            <w:r>
              <w:rPr>
                <w:color w:val="000000"/>
                <w:sz w:val="20"/>
              </w:rPr>
              <w:t>ESO4.11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1F66FD"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BEC935"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39D329" w14:textId="77777777" w:rsidR="00A77B3E" w:rsidRDefault="00B16CCF">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66D516" w14:textId="77777777" w:rsidR="00A77B3E" w:rsidRDefault="00B16CCF">
            <w:pPr>
              <w:spacing w:before="5pt"/>
              <w:jc w:val="end"/>
              <w:rPr>
                <w:color w:val="000000"/>
                <w:sz w:val="20"/>
              </w:rPr>
            </w:pPr>
            <w:r>
              <w:rPr>
                <w:color w:val="000000"/>
                <w:sz w:val="20"/>
              </w:rPr>
              <w:t>62.448.306,00</w:t>
            </w:r>
          </w:p>
        </w:tc>
      </w:tr>
      <w:tr w:rsidR="00823317" w14:paraId="05329CD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E4C441"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49C250" w14:textId="77777777" w:rsidR="00A77B3E" w:rsidRDefault="00B16CCF">
            <w:pPr>
              <w:spacing w:before="5pt"/>
              <w:rPr>
                <w:color w:val="000000"/>
                <w:sz w:val="20"/>
              </w:rPr>
            </w:pPr>
            <w:r>
              <w:rPr>
                <w:color w:val="000000"/>
                <w:sz w:val="20"/>
              </w:rPr>
              <w:t>ESO4.11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B04297"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F7784B"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CE9C2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487162" w14:textId="77777777" w:rsidR="00A77B3E" w:rsidRDefault="00B16CCF">
            <w:pPr>
              <w:spacing w:before="5pt"/>
              <w:jc w:val="end"/>
              <w:rPr>
                <w:color w:val="000000"/>
                <w:sz w:val="20"/>
              </w:rPr>
            </w:pPr>
            <w:r>
              <w:rPr>
                <w:color w:val="000000"/>
                <w:sz w:val="20"/>
              </w:rPr>
              <w:t>81.989.878,00</w:t>
            </w:r>
          </w:p>
        </w:tc>
      </w:tr>
    </w:tbl>
    <w:p w14:paraId="01B693BC" w14:textId="77777777" w:rsidR="00A77B3E" w:rsidRDefault="00A77B3E">
      <w:pPr>
        <w:spacing w:before="5pt"/>
        <w:rPr>
          <w:color w:val="000000"/>
          <w:sz w:val="20"/>
        </w:rPr>
      </w:pPr>
    </w:p>
    <w:p w14:paraId="544E414D" w14:textId="77777777" w:rsidR="00A77B3E" w:rsidRDefault="00B16CCF">
      <w:pPr>
        <w:pStyle w:val="Naslov5"/>
        <w:spacing w:before="5pt" w:after="0pt"/>
        <w:rPr>
          <w:b w:val="0"/>
          <w:i w:val="0"/>
          <w:color w:val="000000"/>
          <w:sz w:val="24"/>
        </w:rPr>
      </w:pPr>
      <w:bookmarkStart w:id="573" w:name="_Toc256001334"/>
      <w:r>
        <w:rPr>
          <w:b w:val="0"/>
          <w:i w:val="0"/>
          <w:color w:val="000000"/>
          <w:sz w:val="24"/>
        </w:rPr>
        <w:lastRenderedPageBreak/>
        <w:t>Tabela 7: Razsežnost 6 – sekundarna področja ESS+</w:t>
      </w:r>
      <w:bookmarkEnd w:id="573"/>
    </w:p>
    <w:p w14:paraId="592C150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13"/>
        <w:gridCol w:w="2318"/>
        <w:gridCol w:w="1683"/>
        <w:gridCol w:w="2403"/>
        <w:gridCol w:w="3093"/>
        <w:gridCol w:w="3162"/>
      </w:tblGrid>
      <w:tr w:rsidR="00823317" w14:paraId="3B373F2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303153"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E0E6F6"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0952D9"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BBFC64"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CE4C96"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5D0289" w14:textId="77777777" w:rsidR="00A77B3E" w:rsidRDefault="00B16CCF">
            <w:pPr>
              <w:spacing w:before="5pt"/>
              <w:jc w:val="center"/>
              <w:rPr>
                <w:color w:val="000000"/>
                <w:sz w:val="20"/>
              </w:rPr>
            </w:pPr>
            <w:r>
              <w:rPr>
                <w:color w:val="000000"/>
                <w:sz w:val="20"/>
              </w:rPr>
              <w:t>Znesek (v EUR)</w:t>
            </w:r>
          </w:p>
        </w:tc>
      </w:tr>
      <w:tr w:rsidR="00823317" w14:paraId="771582E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7D841E"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425667" w14:textId="77777777" w:rsidR="00A77B3E" w:rsidRDefault="00B16CCF">
            <w:pPr>
              <w:spacing w:before="5pt"/>
              <w:rPr>
                <w:color w:val="000000"/>
                <w:sz w:val="20"/>
              </w:rPr>
            </w:pPr>
            <w:r>
              <w:rPr>
                <w:color w:val="000000"/>
                <w:sz w:val="20"/>
              </w:rPr>
              <w:t>ESO4.11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F98FA7"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08B22A"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A7CD73" w14:textId="77777777" w:rsidR="00A77B3E" w:rsidRDefault="00B16CCF">
            <w:pPr>
              <w:spacing w:before="5pt"/>
              <w:rPr>
                <w:color w:val="000000"/>
                <w:sz w:val="20"/>
              </w:rPr>
            </w:pPr>
            <w:r>
              <w:rPr>
                <w:color w:val="000000"/>
                <w:sz w:val="20"/>
              </w:rPr>
              <w:t>08. Krepitev zmogljivosti organizacij civilne družbe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81869A" w14:textId="77777777" w:rsidR="00A77B3E" w:rsidRDefault="00B16CCF">
            <w:pPr>
              <w:spacing w:before="5pt"/>
              <w:jc w:val="end"/>
              <w:rPr>
                <w:color w:val="000000"/>
                <w:sz w:val="20"/>
              </w:rPr>
            </w:pPr>
            <w:r>
              <w:rPr>
                <w:color w:val="000000"/>
                <w:sz w:val="20"/>
              </w:rPr>
              <w:t>950.400,00</w:t>
            </w:r>
          </w:p>
        </w:tc>
      </w:tr>
      <w:tr w:rsidR="00823317" w14:paraId="1E59DFA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4BEAA2"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74EF23" w14:textId="77777777" w:rsidR="00A77B3E" w:rsidRDefault="00B16CCF">
            <w:pPr>
              <w:spacing w:before="5pt"/>
              <w:rPr>
                <w:color w:val="000000"/>
                <w:sz w:val="20"/>
              </w:rPr>
            </w:pPr>
            <w:r>
              <w:rPr>
                <w:color w:val="000000"/>
                <w:sz w:val="20"/>
              </w:rPr>
              <w:t>ESO4.11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070AF4"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3BE239"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62654D" w14:textId="77777777" w:rsidR="00A77B3E" w:rsidRDefault="00B16CCF">
            <w:pPr>
              <w:spacing w:before="5pt"/>
              <w:rPr>
                <w:color w:val="000000"/>
                <w:sz w:val="20"/>
              </w:rPr>
            </w:pPr>
            <w:r>
              <w:rPr>
                <w:color w:val="000000"/>
                <w:sz w:val="20"/>
              </w:rPr>
              <w:t>09. Ni relevantno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D4DE1D" w14:textId="77777777" w:rsidR="00A77B3E" w:rsidRDefault="00B16CCF">
            <w:pPr>
              <w:spacing w:before="5pt"/>
              <w:jc w:val="end"/>
              <w:rPr>
                <w:color w:val="000000"/>
                <w:sz w:val="20"/>
              </w:rPr>
            </w:pPr>
            <w:r>
              <w:rPr>
                <w:color w:val="000000"/>
                <w:sz w:val="20"/>
              </w:rPr>
              <w:t>14.091.172,00</w:t>
            </w:r>
          </w:p>
        </w:tc>
      </w:tr>
      <w:tr w:rsidR="00823317" w14:paraId="1F46C19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E58000"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6C6FA5" w14:textId="77777777" w:rsidR="00A77B3E" w:rsidRDefault="00B16CCF">
            <w:pPr>
              <w:spacing w:before="5pt"/>
              <w:rPr>
                <w:color w:val="000000"/>
                <w:sz w:val="20"/>
              </w:rPr>
            </w:pPr>
            <w:r>
              <w:rPr>
                <w:color w:val="000000"/>
                <w:sz w:val="20"/>
              </w:rPr>
              <w:t>ESO4.11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03D94B"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B3EF9B"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FBF396" w14:textId="77777777" w:rsidR="00A77B3E" w:rsidRDefault="00B16CCF">
            <w:pPr>
              <w:spacing w:before="5pt"/>
              <w:rPr>
                <w:color w:val="000000"/>
                <w:sz w:val="20"/>
              </w:rPr>
            </w:pPr>
            <w:r>
              <w:rPr>
                <w:color w:val="000000"/>
                <w:sz w:val="20"/>
              </w:rPr>
              <w:t>10. Obravnavanje izzivov, opredeljenih v evropskem semestru</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BC9902" w14:textId="77777777" w:rsidR="00A77B3E" w:rsidRDefault="00B16CCF">
            <w:pPr>
              <w:spacing w:before="5pt"/>
              <w:jc w:val="end"/>
              <w:rPr>
                <w:color w:val="000000"/>
                <w:sz w:val="20"/>
              </w:rPr>
            </w:pPr>
            <w:r>
              <w:rPr>
                <w:color w:val="000000"/>
                <w:sz w:val="20"/>
              </w:rPr>
              <w:t>4.500.000,00</w:t>
            </w:r>
          </w:p>
        </w:tc>
      </w:tr>
      <w:tr w:rsidR="00823317" w14:paraId="3BA6308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7C7100"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07F5F9" w14:textId="77777777" w:rsidR="00A77B3E" w:rsidRDefault="00B16CCF">
            <w:pPr>
              <w:spacing w:before="5pt"/>
              <w:rPr>
                <w:color w:val="000000"/>
                <w:sz w:val="20"/>
              </w:rPr>
            </w:pPr>
            <w:r>
              <w:rPr>
                <w:color w:val="000000"/>
                <w:sz w:val="20"/>
              </w:rPr>
              <w:t>ESO4.11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743DBB"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70F479"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5F68A7" w14:textId="77777777" w:rsidR="00A77B3E" w:rsidRDefault="00B16CCF">
            <w:pPr>
              <w:spacing w:before="5pt"/>
              <w:rPr>
                <w:color w:val="000000"/>
                <w:sz w:val="20"/>
              </w:rPr>
            </w:pPr>
            <w:r>
              <w:rPr>
                <w:color w:val="000000"/>
                <w:sz w:val="20"/>
              </w:rPr>
              <w:t>08. Krepitev zmogljivosti organizacij civilne družbe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3E85F7" w14:textId="77777777" w:rsidR="00A77B3E" w:rsidRDefault="00B16CCF">
            <w:pPr>
              <w:spacing w:before="5pt"/>
              <w:jc w:val="end"/>
              <w:rPr>
                <w:color w:val="000000"/>
                <w:sz w:val="20"/>
              </w:rPr>
            </w:pPr>
            <w:r>
              <w:rPr>
                <w:color w:val="000000"/>
                <w:sz w:val="20"/>
              </w:rPr>
              <w:t>1.028.001,00</w:t>
            </w:r>
          </w:p>
        </w:tc>
      </w:tr>
      <w:tr w:rsidR="00823317" w14:paraId="582974C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A02559"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C5A8AA" w14:textId="77777777" w:rsidR="00A77B3E" w:rsidRDefault="00B16CCF">
            <w:pPr>
              <w:spacing w:before="5pt"/>
              <w:rPr>
                <w:color w:val="000000"/>
                <w:sz w:val="20"/>
              </w:rPr>
            </w:pPr>
            <w:r>
              <w:rPr>
                <w:color w:val="000000"/>
                <w:sz w:val="20"/>
              </w:rPr>
              <w:t>ESO4.11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E459CC"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55D15C"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4D7FA1" w14:textId="77777777" w:rsidR="00A77B3E" w:rsidRDefault="00B16CCF">
            <w:pPr>
              <w:spacing w:before="5pt"/>
              <w:rPr>
                <w:color w:val="000000"/>
                <w:sz w:val="20"/>
              </w:rPr>
            </w:pPr>
            <w:r>
              <w:rPr>
                <w:color w:val="000000"/>
                <w:sz w:val="20"/>
              </w:rPr>
              <w:t>09. Ni relevantno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2608BA" w14:textId="77777777" w:rsidR="00A77B3E" w:rsidRDefault="00B16CCF">
            <w:pPr>
              <w:spacing w:before="5pt"/>
              <w:jc w:val="end"/>
              <w:rPr>
                <w:color w:val="000000"/>
                <w:sz w:val="20"/>
              </w:rPr>
            </w:pPr>
            <w:r>
              <w:rPr>
                <w:color w:val="000000"/>
                <w:sz w:val="20"/>
              </w:rPr>
              <w:t>50.920.305,00</w:t>
            </w:r>
          </w:p>
        </w:tc>
      </w:tr>
      <w:tr w:rsidR="00823317" w14:paraId="332B3BD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70D7E5"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17467C" w14:textId="77777777" w:rsidR="00A77B3E" w:rsidRDefault="00B16CCF">
            <w:pPr>
              <w:spacing w:before="5pt"/>
              <w:rPr>
                <w:color w:val="000000"/>
                <w:sz w:val="20"/>
              </w:rPr>
            </w:pPr>
            <w:r>
              <w:rPr>
                <w:color w:val="000000"/>
                <w:sz w:val="20"/>
              </w:rPr>
              <w:t>ESO4.11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F7B1CD"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6CEC80"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B9BAF9" w14:textId="77777777" w:rsidR="00A77B3E" w:rsidRDefault="00B16CCF">
            <w:pPr>
              <w:spacing w:before="5pt"/>
              <w:rPr>
                <w:color w:val="000000"/>
                <w:sz w:val="20"/>
              </w:rPr>
            </w:pPr>
            <w:r>
              <w:rPr>
                <w:color w:val="000000"/>
                <w:sz w:val="20"/>
              </w:rPr>
              <w:t>10. Obravnavanje izzivov, opredeljenih v evropskem semestru</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46BF72" w14:textId="77777777" w:rsidR="00A77B3E" w:rsidRDefault="00B16CCF">
            <w:pPr>
              <w:spacing w:before="5pt"/>
              <w:jc w:val="end"/>
              <w:rPr>
                <w:color w:val="000000"/>
                <w:sz w:val="20"/>
              </w:rPr>
            </w:pPr>
            <w:r>
              <w:rPr>
                <w:color w:val="000000"/>
                <w:sz w:val="20"/>
              </w:rPr>
              <w:t>10.500.000,00</w:t>
            </w:r>
          </w:p>
        </w:tc>
      </w:tr>
      <w:tr w:rsidR="00823317" w14:paraId="491103B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A3DFF5"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D3719A" w14:textId="77777777" w:rsidR="00A77B3E" w:rsidRDefault="00B16CCF">
            <w:pPr>
              <w:spacing w:before="5pt"/>
              <w:rPr>
                <w:color w:val="000000"/>
                <w:sz w:val="20"/>
              </w:rPr>
            </w:pPr>
            <w:r>
              <w:rPr>
                <w:color w:val="000000"/>
                <w:sz w:val="20"/>
              </w:rPr>
              <w:t>ESO4.11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B9F23E"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8F1170"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9CB227"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6B726A" w14:textId="77777777" w:rsidR="00A77B3E" w:rsidRDefault="00B16CCF">
            <w:pPr>
              <w:spacing w:before="5pt"/>
              <w:jc w:val="end"/>
              <w:rPr>
                <w:color w:val="000000"/>
                <w:sz w:val="20"/>
              </w:rPr>
            </w:pPr>
            <w:r>
              <w:rPr>
                <w:color w:val="000000"/>
                <w:sz w:val="20"/>
              </w:rPr>
              <w:t>81.989.878,00</w:t>
            </w:r>
          </w:p>
        </w:tc>
      </w:tr>
    </w:tbl>
    <w:p w14:paraId="2CC8F1C1" w14:textId="77777777" w:rsidR="00A77B3E" w:rsidRDefault="00A77B3E">
      <w:pPr>
        <w:spacing w:before="5pt"/>
        <w:rPr>
          <w:color w:val="000000"/>
          <w:sz w:val="20"/>
        </w:rPr>
      </w:pPr>
    </w:p>
    <w:p w14:paraId="33EF4444" w14:textId="77777777" w:rsidR="00A77B3E" w:rsidRDefault="00B16CCF">
      <w:pPr>
        <w:pStyle w:val="Naslov5"/>
        <w:spacing w:before="5pt" w:after="0pt"/>
        <w:rPr>
          <w:b w:val="0"/>
          <w:i w:val="0"/>
          <w:color w:val="000000"/>
          <w:sz w:val="24"/>
        </w:rPr>
      </w:pPr>
      <w:bookmarkStart w:id="574" w:name="_Toc256001335"/>
      <w:r>
        <w:rPr>
          <w:b w:val="0"/>
          <w:i w:val="0"/>
          <w:color w:val="000000"/>
          <w:sz w:val="24"/>
        </w:rPr>
        <w:t>Tabela 8: Razsežnost 7 – razsežnost enakosti spolov v okviru ESS+*, ESRR, Kohezijskega sklada in SPP</w:t>
      </w:r>
      <w:bookmarkEnd w:id="574"/>
    </w:p>
    <w:p w14:paraId="7D1AC5A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35"/>
        <w:gridCol w:w="2339"/>
        <w:gridCol w:w="1699"/>
        <w:gridCol w:w="2425"/>
        <w:gridCol w:w="2983"/>
        <w:gridCol w:w="3191"/>
      </w:tblGrid>
      <w:tr w:rsidR="00823317" w14:paraId="77EC8C4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1DBFE3"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5712B3"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752F72"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8AA2121"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C59415"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3CE99BC" w14:textId="77777777" w:rsidR="00A77B3E" w:rsidRDefault="00B16CCF">
            <w:pPr>
              <w:spacing w:before="5pt"/>
              <w:jc w:val="center"/>
              <w:rPr>
                <w:color w:val="000000"/>
                <w:sz w:val="20"/>
              </w:rPr>
            </w:pPr>
            <w:r>
              <w:rPr>
                <w:color w:val="000000"/>
                <w:sz w:val="20"/>
              </w:rPr>
              <w:t>Znesek (v EUR)</w:t>
            </w:r>
          </w:p>
        </w:tc>
      </w:tr>
      <w:tr w:rsidR="00823317" w14:paraId="34E1A7E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CF4FFF"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3CC460" w14:textId="77777777" w:rsidR="00A77B3E" w:rsidRDefault="00B16CCF">
            <w:pPr>
              <w:spacing w:before="5pt"/>
              <w:rPr>
                <w:color w:val="000000"/>
                <w:sz w:val="20"/>
              </w:rPr>
            </w:pPr>
            <w:r>
              <w:rPr>
                <w:color w:val="000000"/>
                <w:sz w:val="20"/>
              </w:rPr>
              <w:t>ESO4.11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466F71"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2E105A"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361F6A" w14:textId="77777777" w:rsidR="00A77B3E" w:rsidRDefault="00B16CCF">
            <w:pPr>
              <w:spacing w:before="5pt"/>
              <w:rPr>
                <w:color w:val="000000"/>
                <w:sz w:val="20"/>
              </w:rPr>
            </w:pPr>
            <w:r>
              <w:rPr>
                <w:color w:val="000000"/>
                <w:sz w:val="20"/>
              </w:rPr>
              <w:t>02. Vključevanje vidika spola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6013BA" w14:textId="77777777" w:rsidR="00A77B3E" w:rsidRDefault="00B16CCF">
            <w:pPr>
              <w:spacing w:before="5pt"/>
              <w:jc w:val="end"/>
              <w:rPr>
                <w:color w:val="000000"/>
                <w:sz w:val="20"/>
              </w:rPr>
            </w:pPr>
            <w:r>
              <w:rPr>
                <w:color w:val="000000"/>
                <w:sz w:val="20"/>
              </w:rPr>
              <w:t>19.541.572,00</w:t>
            </w:r>
          </w:p>
        </w:tc>
      </w:tr>
      <w:tr w:rsidR="00823317" w14:paraId="2892496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F320E2"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416162" w14:textId="77777777" w:rsidR="00A77B3E" w:rsidRDefault="00B16CCF">
            <w:pPr>
              <w:spacing w:before="5pt"/>
              <w:rPr>
                <w:color w:val="000000"/>
                <w:sz w:val="20"/>
              </w:rPr>
            </w:pPr>
            <w:r>
              <w:rPr>
                <w:color w:val="000000"/>
                <w:sz w:val="20"/>
              </w:rPr>
              <w:t>ESO4.11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41B9EE"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86A452"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5AB4DA" w14:textId="77777777" w:rsidR="00A77B3E" w:rsidRDefault="00B16CCF">
            <w:pPr>
              <w:spacing w:before="5pt"/>
              <w:rPr>
                <w:color w:val="000000"/>
                <w:sz w:val="20"/>
              </w:rPr>
            </w:pPr>
            <w:r>
              <w:rPr>
                <w:color w:val="000000"/>
                <w:sz w:val="20"/>
              </w:rPr>
              <w:t>02. Vključevanje vidika spola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D911F2" w14:textId="77777777" w:rsidR="00A77B3E" w:rsidRDefault="00B16CCF">
            <w:pPr>
              <w:spacing w:before="5pt"/>
              <w:jc w:val="end"/>
              <w:rPr>
                <w:color w:val="000000"/>
                <w:sz w:val="20"/>
              </w:rPr>
            </w:pPr>
            <w:r>
              <w:rPr>
                <w:color w:val="000000"/>
                <w:sz w:val="20"/>
              </w:rPr>
              <w:t>62.448.306,00</w:t>
            </w:r>
          </w:p>
        </w:tc>
      </w:tr>
      <w:tr w:rsidR="00823317" w14:paraId="5C0615C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16E21E"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ED4960" w14:textId="77777777" w:rsidR="00A77B3E" w:rsidRDefault="00B16CCF">
            <w:pPr>
              <w:spacing w:before="5pt"/>
              <w:rPr>
                <w:color w:val="000000"/>
                <w:sz w:val="20"/>
              </w:rPr>
            </w:pPr>
            <w:r>
              <w:rPr>
                <w:color w:val="000000"/>
                <w:sz w:val="20"/>
              </w:rPr>
              <w:t>ESO4.11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24D5B8"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27D8C5"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B3F11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35763E" w14:textId="77777777" w:rsidR="00A77B3E" w:rsidRDefault="00B16CCF">
            <w:pPr>
              <w:spacing w:before="5pt"/>
              <w:jc w:val="end"/>
              <w:rPr>
                <w:color w:val="000000"/>
                <w:sz w:val="20"/>
              </w:rPr>
            </w:pPr>
            <w:r>
              <w:rPr>
                <w:color w:val="000000"/>
                <w:sz w:val="20"/>
              </w:rPr>
              <w:t>81.989.878,00</w:t>
            </w:r>
          </w:p>
        </w:tc>
      </w:tr>
    </w:tbl>
    <w:p w14:paraId="707DF9F5" w14:textId="77777777" w:rsidR="00A77B3E" w:rsidRDefault="00B16CCF">
      <w:pPr>
        <w:spacing w:before="5pt"/>
        <w:rPr>
          <w:color w:val="000000"/>
          <w:sz w:val="20"/>
        </w:rPr>
      </w:pPr>
      <w:r>
        <w:rPr>
          <w:color w:val="000000"/>
          <w:sz w:val="20"/>
        </w:rPr>
        <w:t>* Načeloma 40 % za ESS+ prispeva k spremljanju enakosti spolov. 100 % se uporabi, kadar se država članica odloči za uporabo člena 6 uredbe o ESS+.</w:t>
      </w:r>
    </w:p>
    <w:p w14:paraId="2BEB3294" w14:textId="77777777" w:rsidR="00A77B3E" w:rsidRDefault="00B16CCF">
      <w:pPr>
        <w:pStyle w:val="Naslov4"/>
        <w:spacing w:before="5pt" w:after="0pt"/>
        <w:rPr>
          <w:b w:val="0"/>
          <w:color w:val="000000"/>
          <w:sz w:val="24"/>
        </w:rPr>
      </w:pPr>
      <w:r>
        <w:rPr>
          <w:b w:val="0"/>
          <w:color w:val="000000"/>
          <w:sz w:val="24"/>
        </w:rPr>
        <w:br w:type="page"/>
      </w:r>
      <w:bookmarkStart w:id="575" w:name="_Toc256001336"/>
      <w:r>
        <w:rPr>
          <w:b w:val="0"/>
          <w:color w:val="000000"/>
          <w:sz w:val="24"/>
        </w:rPr>
        <w:lastRenderedPageBreak/>
        <w:t>2.1.1.1. Specifični cilj: ESO4.12. Spodbujanje socialnega vključevanja oseb, izpostavljenih tveganju revščine ali socialni izključenosti, vključno z najbolj ogroženimi osebami in otroki (ESS+)</w:t>
      </w:r>
      <w:bookmarkEnd w:id="575"/>
    </w:p>
    <w:p w14:paraId="790013EE" w14:textId="77777777" w:rsidR="00A77B3E" w:rsidRDefault="00A77B3E">
      <w:pPr>
        <w:spacing w:before="5pt"/>
        <w:rPr>
          <w:color w:val="000000"/>
          <w:sz w:val="0"/>
        </w:rPr>
      </w:pPr>
    </w:p>
    <w:p w14:paraId="13098C32" w14:textId="77777777" w:rsidR="00A77B3E" w:rsidRDefault="00B16CCF">
      <w:pPr>
        <w:pStyle w:val="Naslov4"/>
        <w:spacing w:before="5pt" w:after="0pt"/>
        <w:rPr>
          <w:b w:val="0"/>
          <w:color w:val="000000"/>
          <w:sz w:val="24"/>
        </w:rPr>
      </w:pPr>
      <w:bookmarkStart w:id="576" w:name="_Toc256001337"/>
      <w:r>
        <w:rPr>
          <w:b w:val="0"/>
          <w:color w:val="000000"/>
          <w:sz w:val="24"/>
        </w:rPr>
        <w:t>2.1.1.1.1. Ukrepi skladov</w:t>
      </w:r>
      <w:bookmarkEnd w:id="576"/>
    </w:p>
    <w:p w14:paraId="70542205" w14:textId="77777777" w:rsidR="00A77B3E" w:rsidRDefault="00A77B3E">
      <w:pPr>
        <w:spacing w:before="5pt"/>
        <w:rPr>
          <w:color w:val="000000"/>
          <w:sz w:val="0"/>
        </w:rPr>
      </w:pPr>
    </w:p>
    <w:p w14:paraId="66A9FB12" w14:textId="77777777" w:rsidR="00A77B3E" w:rsidRDefault="00B16CCF">
      <w:pPr>
        <w:spacing w:before="5pt"/>
        <w:rPr>
          <w:color w:val="000000"/>
          <w:sz w:val="0"/>
        </w:rPr>
      </w:pPr>
      <w:r>
        <w:rPr>
          <w:color w:val="000000"/>
        </w:rPr>
        <w:t>Sklic: člen 22(3)(d)(i), (iii), (iv), (v), (vi) in (vii) uredbe o skupnih določbah</w:t>
      </w:r>
    </w:p>
    <w:p w14:paraId="2211D90D" w14:textId="77777777" w:rsidR="00A77B3E" w:rsidRDefault="00B16CCF">
      <w:pPr>
        <w:pStyle w:val="Naslov5"/>
        <w:spacing w:before="5pt" w:after="0pt"/>
        <w:rPr>
          <w:b w:val="0"/>
          <w:i w:val="0"/>
          <w:color w:val="000000"/>
          <w:sz w:val="24"/>
        </w:rPr>
      </w:pPr>
      <w:bookmarkStart w:id="577" w:name="_Toc256001338"/>
      <w:r>
        <w:rPr>
          <w:b w:val="0"/>
          <w:i w:val="0"/>
          <w:color w:val="000000"/>
          <w:sz w:val="24"/>
        </w:rPr>
        <w:t>Povezane vrste ukrepov – člen 22(3)(d)(i) uredbe o skupnih določbah in člen 6 uredbe o ESS+:</w:t>
      </w:r>
      <w:bookmarkEnd w:id="577"/>
    </w:p>
    <w:p w14:paraId="21C096B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5ED633E1"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6215BC" w14:textId="77777777" w:rsidR="00A77B3E" w:rsidRDefault="00A77B3E">
            <w:pPr>
              <w:spacing w:before="5pt"/>
              <w:rPr>
                <w:color w:val="000000"/>
                <w:sz w:val="0"/>
              </w:rPr>
            </w:pPr>
          </w:p>
          <w:p w14:paraId="71E8BCCA" w14:textId="77777777" w:rsidR="00A77B3E" w:rsidRDefault="00B16CCF">
            <w:pPr>
              <w:spacing w:before="5pt"/>
              <w:rPr>
                <w:color w:val="000000"/>
              </w:rPr>
            </w:pPr>
            <w:r>
              <w:rPr>
                <w:color w:val="000000"/>
              </w:rPr>
              <w:t>Namen sistema socialnega varstva v Sloveniji je posameznikom in družinam omogočiti socialno varnost in socialno vključenost. Dolgotrajna socialna izključenost in revščina lahko namreč pustita trajne posledice, tako posamezniku in družini kot tudi družbi, in se medgeneracijsko prenašata. Naloga države je, da skrbi za socialno varnost, zaščito in vključenost družin, posebej otrok in starostnikov ter z različnimi mehanizmi preprečuje oz. zmanjšuje tveganje revščine. Posebej pomembne so različne oblike pomoči (storitve, programi, socialni transferji), ki morajo biti kakovostne, široko dostopne in raznovrstne.</w:t>
            </w:r>
          </w:p>
          <w:p w14:paraId="089F7604" w14:textId="77777777" w:rsidR="00A77B3E" w:rsidRDefault="00B16CCF">
            <w:pPr>
              <w:spacing w:before="5pt"/>
              <w:rPr>
                <w:color w:val="000000"/>
              </w:rPr>
            </w:pPr>
            <w:r>
              <w:rPr>
                <w:color w:val="000000"/>
              </w:rPr>
              <w:t>Zato bodo podprti ukrepi, ki bodo osredotočeni na:</w:t>
            </w:r>
          </w:p>
          <w:p w14:paraId="687F28D4" w14:textId="77777777" w:rsidR="00A77B3E" w:rsidRDefault="00B16CCF">
            <w:pPr>
              <w:spacing w:before="5pt"/>
              <w:rPr>
                <w:color w:val="000000"/>
              </w:rPr>
            </w:pPr>
            <w:r>
              <w:rPr>
                <w:color w:val="000000"/>
              </w:rPr>
              <w:t>•programe socialnega vključevanja za spreminjanje navad posameznikov v smeri razvoja socialnih kompetenc, krepitve socialnih in funkcionalnih znanj za reševanje življenjskih situacij, krepitve socialnega vključevanja v družbeno okolje in zagotavljanje strokovne podpore najbolj ranljivim (Najprej stanovanje!), informiranje o možnostih vključevanja v druge programe. Nekateri programi bodo podpora izvajanju in nadgradnja že obstoječih socialno varstvenih programov nevladnih organizacij za bolj konkretno aktivacijo ciljnih skupin, hkrati pa se bo vzpostavilo mrežo socialno varstvenih programov, ki bo omogočila izvajanje tudi na območjih, ki danes ostajajo nepokrita;</w:t>
            </w:r>
          </w:p>
          <w:p w14:paraId="714E41C0" w14:textId="77777777" w:rsidR="00A77B3E" w:rsidRDefault="00A77B3E">
            <w:pPr>
              <w:spacing w:before="5pt"/>
              <w:rPr>
                <w:color w:val="000000"/>
              </w:rPr>
            </w:pPr>
          </w:p>
          <w:p w14:paraId="623D62CD" w14:textId="77777777" w:rsidR="00A77B3E" w:rsidRDefault="00B16CCF">
            <w:pPr>
              <w:spacing w:before="5pt"/>
              <w:rPr>
                <w:color w:val="000000"/>
              </w:rPr>
            </w:pPr>
            <w:r>
              <w:rPr>
                <w:color w:val="000000"/>
              </w:rPr>
              <w:t>•ukrepe socialnega vključevanja oseb s posebnimi potrebami, in sicer:</w:t>
            </w:r>
          </w:p>
          <w:p w14:paraId="68043CA5" w14:textId="77777777" w:rsidR="00A77B3E" w:rsidRDefault="00B16CCF">
            <w:pPr>
              <w:spacing w:before="5pt"/>
              <w:rPr>
                <w:color w:val="000000"/>
              </w:rPr>
            </w:pPr>
            <w:r>
              <w:rPr>
                <w:color w:val="000000"/>
              </w:rPr>
              <w:t>o vzpostavitev in širitev ustreznih programov gibanja in rekreacije za invalidne osebe z namenom spodbujanja socialnega vključevanja, integracijo v družbo in preprečevanja zdrsa v revščino ranljivih ciljnih skupin (vključevanja športnikov invalidov za različne stopnje invalidnosti). Del ukrepa bo namenjen širjenju mreže izvajalcev gibalnih dejavnosti, ki so prilagojene invalidom. Drugi del pa bo namenjen ustreznemu usposabljanju strokovnega kadra, ki bo lahko kakovostno izvajal prilagojene gibalne programe, ter vzpostavitvi kakovostne baze ponudnikov športnih dejavnosti za vso populacijo invalidov ter omogočitev invalidom športnikom kakovostno vadbo, ki jim bo omogočila tudi udeležbo na najvišjih tekmovanjih športa invalidov.</w:t>
            </w:r>
          </w:p>
          <w:p w14:paraId="05976E8C" w14:textId="77777777" w:rsidR="00A77B3E" w:rsidRDefault="00B16CCF">
            <w:pPr>
              <w:spacing w:before="5pt"/>
              <w:rPr>
                <w:color w:val="000000"/>
              </w:rPr>
            </w:pPr>
            <w:r>
              <w:rPr>
                <w:color w:val="000000"/>
              </w:rPr>
              <w:t>o Nadgradnja ukrepov na področju socialne vključenosti otrok s posebnimi potrebami. Načrtuje se nadgradnja sistema izposoje didaktičnih in drugih pripomočkov in opreme za delo z otroki s posebnimi potrebami, razvoj prilagojenih pripomočkov in orodij za pridobitev spretnosti in znanj za kakovostno samostojno oz. neodvisno življenje (tudi delo) posameznikov s posebnimi potrebami. V skladu z Akcijskim načrtom pripravo predloga umestitve slovenskega znakovnega jezika v sistem predšolske vzgoje ter osnovnošolskega in srednješolskega izobraževanja 2021-2024 bodo izvedene aktivnosti, s katerimi se bo celovito naslovilo identificirane vidike vzgoje in izobraževanja gluhih in naglušnih – tako vsebino vzgojno-izobraževalnih programov kot tudi mehanizme, ki so nujni in podpirajo njihovo izvajanje. Ukrep je komplementaren ukrepom za podporo izvajanju lažjega prehoda mladih s posebnimi potrebami na trg dela v okviru SC ESO4.8;</w:t>
            </w:r>
          </w:p>
          <w:p w14:paraId="1D7893DA" w14:textId="77777777" w:rsidR="00A77B3E" w:rsidRDefault="00A77B3E">
            <w:pPr>
              <w:spacing w:before="5pt"/>
              <w:rPr>
                <w:color w:val="000000"/>
              </w:rPr>
            </w:pPr>
          </w:p>
          <w:p w14:paraId="35CCE55E" w14:textId="77777777" w:rsidR="00A77B3E" w:rsidRDefault="00B16CCF">
            <w:pPr>
              <w:spacing w:before="5pt"/>
              <w:rPr>
                <w:color w:val="000000"/>
              </w:rPr>
            </w:pPr>
            <w:r>
              <w:rPr>
                <w:color w:val="000000"/>
              </w:rPr>
              <w:t>•izvajanje ukrepov mreže večgeneracijskih centrov ter večnamenskih romskih centrov:</w:t>
            </w:r>
          </w:p>
          <w:p w14:paraId="10881274" w14:textId="77777777" w:rsidR="00A77B3E" w:rsidRDefault="00B16CCF">
            <w:pPr>
              <w:spacing w:before="5pt"/>
              <w:rPr>
                <w:color w:val="000000"/>
              </w:rPr>
            </w:pPr>
            <w:r>
              <w:rPr>
                <w:color w:val="000000"/>
              </w:rPr>
              <w:lastRenderedPageBreak/>
              <w:t>ovzpostavljena bo mreža večgeneracijskih centrov, ki bodo v lokalnem okolju izvajali različne programe za vse družbene skupine, zlasti pa za tiste z visokim tveganjem za socialno izključenost in zdrs v revščino, in sicer: družine – še posebej z nizkim socialno-ekonomskim statusom, enostarševske družine, starejši, zlasti tisti iz socialno ogroženih okolij, otroci in mladi s posebnimi potrebami, migranti, Romi in invalidi. Vključevali bodo vse generacije in krepili povezovanje javnih institucij, nevladnih organizacij, kulturnih ustanov, socialnih podjetij ter občin v posamezni geografski enoti, zlasti v manjših in oddaljenih lokalnih skupnostih, v katerih ni zagotovljenih brezplačnih, preventivnih programov s strani lokalnih skupnosti in države. Programi, ki se bodo izvajali, bodo namenjeni vsem ranljivim ciljnih skupinam, ki so socialno izključene iz tvegajo izključenost, ne glede na starost, spol narodnost, ipd.</w:t>
            </w:r>
          </w:p>
          <w:p w14:paraId="4F38B4AC" w14:textId="77777777" w:rsidR="00A77B3E" w:rsidRDefault="00B16CCF">
            <w:pPr>
              <w:spacing w:before="5pt"/>
              <w:rPr>
                <w:color w:val="000000"/>
              </w:rPr>
            </w:pPr>
            <w:r>
              <w:rPr>
                <w:color w:val="000000"/>
              </w:rPr>
              <w:t>ov skladu z Nacionalnim programom ukrepov Vlade Republike Slovenije za Rome za obdobje 2021-2030 se bodo izvajali dodatni ukrepi za izboljšanje integracije romske skupnosti: v okviru okrepitve mreže večnamenskih romskih centrov bodo vzpostavljeni novi in nadgrajeni že razviti večnamenski romski centri, v katerih se bodo izvajale aktivnosti za pridobivanje novih znanj in kompetenc, ki bodo omogočile uspešnejše vključevanje Romov na trg dela, za dvig kakovosti življenja, za spodbujanje in krepitev njihove integracije v širšo skupnost in za vzpostavitev zaupanja z lokalnim prebivalstvom; večnamenski romski centri se bodo povezovali z lokalno skupnostjo in strokovnimi organizacijami, kot so zavod za zaposlovanje, centri za socialno delo, zdravstvene organizacije, izobraževalne organizacije. Aktivnosti in programi, ki se bodo izvajali v večnamenskih romskih centrih bodo prilagojeni specifičnim potrebam romske populacije in bodo locirani v lokalnih sredinah, kjer je izkazana večja koncentracija te populacije.</w:t>
            </w:r>
          </w:p>
          <w:p w14:paraId="4D77FDBB" w14:textId="77777777" w:rsidR="00A77B3E" w:rsidRDefault="00B16CCF">
            <w:pPr>
              <w:spacing w:before="5pt"/>
              <w:rPr>
                <w:color w:val="000000"/>
              </w:rPr>
            </w:pPr>
            <w:r>
              <w:rPr>
                <w:color w:val="000000"/>
              </w:rPr>
              <w:t>Ukrep bo smiselno povezan z aktivnostmi, namenjenimi izboljšanju integracije otrok romske skupnosti v izobraževalni sistem z namenom večje socialne vključenosti in lažjega dostopa na trg dela. Cilj ukrepa bo dosežen z nadaljnjim delom na področju izobraževanja in socialnega vključevanja Romov, in sicer z dopolnjevanjem že obstoječih sistemskih ukrepov kot to izhaja iz koncepta vzgojno-izobraževalnega dela v romskih naseljih, ki je nastal kot končni rezultat projekta Skupaj za znanje, povečanjem socialnega in kulturnega kapitala v romskem naselju, izobraževanjem in usposabljanjem pedagoških delavcev za delo v večkulturnem okolju, spodbujanjem učenja jezika (tako romščine kot slovenščine) za romske otroke in njihove starše.</w:t>
            </w:r>
          </w:p>
          <w:p w14:paraId="0F4DC135" w14:textId="77777777" w:rsidR="00A77B3E" w:rsidRDefault="00B16CCF">
            <w:pPr>
              <w:spacing w:before="5pt"/>
              <w:rPr>
                <w:color w:val="000000"/>
              </w:rPr>
            </w:pPr>
            <w:r>
              <w:rPr>
                <w:color w:val="000000"/>
              </w:rPr>
              <w:t>Vsi ukrepi, namenjeni ciljni skupini Romov, so načrtovani v skladu z Nacionalnim programom ukrepov Vlade RS za Rome za obdobje 2021-2030;</w:t>
            </w:r>
          </w:p>
          <w:p w14:paraId="34F9D2AA" w14:textId="77777777" w:rsidR="00A77B3E" w:rsidRDefault="00B16CCF">
            <w:pPr>
              <w:numPr>
                <w:ilvl w:val="0"/>
                <w:numId w:val="33"/>
              </w:numPr>
              <w:spacing w:before="5pt"/>
              <w:rPr>
                <w:color w:val="000000"/>
              </w:rPr>
            </w:pPr>
            <w:r>
              <w:rPr>
                <w:color w:val="000000"/>
              </w:rPr>
              <w:t>izvajanje različnih aktivnosti na področju zaprtih oseb in oseb v probaciji ter mladoletnikov (vzgojni ukrep) ter mladoletnikov in otrok, ki so obravnavani pred drž. organom zaradi prepovedanih ravnanj</w:t>
            </w:r>
          </w:p>
          <w:p w14:paraId="6F139760" w14:textId="77777777" w:rsidR="00A77B3E" w:rsidRDefault="00B16CCF">
            <w:pPr>
              <w:spacing w:before="5pt"/>
              <w:rPr>
                <w:color w:val="000000"/>
              </w:rPr>
            </w:pPr>
            <w:r>
              <w:rPr>
                <w:color w:val="000000"/>
              </w:rPr>
              <w:t xml:space="preserve">oV okviru zavodov za prestajanje kazni zapora se bo vzpostavila pilotna </w:t>
            </w:r>
            <w:r>
              <w:rPr>
                <w:i/>
                <w:iCs/>
                <w:color w:val="000000"/>
                <w:u w:val="single"/>
              </w:rPr>
              <w:t>t.i. terapevtska skupnost</w:t>
            </w:r>
            <w:r>
              <w:rPr>
                <w:i/>
                <w:iCs/>
                <w:color w:val="000000"/>
              </w:rPr>
              <w:t xml:space="preserve"> </w:t>
            </w:r>
            <w:r>
              <w:rPr>
                <w:color w:val="000000"/>
              </w:rPr>
              <w:t xml:space="preserve">v okviru celostne obravnave odvisnosti z namenom vzpostavitve in vzdrževanje abstinence ter preventive recidive, vzpostavitve kritičnega odnosa do uživanja psihoaktivnih snovi, prepoznavanja vzorcev vedenja in učenja reševanja problemov na socialno sprejemljiv način, utrjevanje delovnih navad, odgovornosti, vzpostavljanje stika z družinskimi člani – krepitev socialne mreže in načrtovanje vključitve v programe pomoči (terapevtske skupnosti itd.) po prestani kazni zapora. Zagotovilo se bo ustrezne prostorske (ločeni prostori) in kadrovske pogoje ter razvoj in implementacija posebnih programov pomoči obsojencem odvisnim od prepovedanih drog. </w:t>
            </w:r>
            <w:r>
              <w:rPr>
                <w:i/>
                <w:iCs/>
                <w:color w:val="000000"/>
                <w:u w:val="single"/>
              </w:rPr>
              <w:t>V terapevtski skupnosti</w:t>
            </w:r>
            <w:r>
              <w:rPr>
                <w:color w:val="000000"/>
              </w:rPr>
              <w:t xml:space="preserve"> se bodo odvijale dnevne aktivnosti (terapevtske, delovne, izobraževalne, športne itd.), pomembne za vzdrževanje abstinence. </w:t>
            </w:r>
          </w:p>
          <w:p w14:paraId="5DA332FD" w14:textId="77777777" w:rsidR="00A77B3E" w:rsidRDefault="00B16CCF">
            <w:pPr>
              <w:spacing w:before="5pt"/>
              <w:rPr>
                <w:color w:val="000000"/>
              </w:rPr>
            </w:pPr>
            <w:r>
              <w:rPr>
                <w:color w:val="000000"/>
              </w:rPr>
              <w:t xml:space="preserve">oRazvoj delovnih kompetenc in razvoj specialnih programov za zaprte osebe, mladoletnike v prevzgojnem domu in osebe, vključene v probaciji, s ciljem večje socialne vključenosti: aktivnosti zajemajo razvoj in implementacijo modela za vključevanje zaprtih oseb z omejitvami za aktivno vključevanje v družbo, z nadgradnjo modela delovne terapije, s katerim se bo zaprtim osebam omogočilo postopno, ciljno usmerjeno, individualno prilagajanje delovnemu okolju, delovnim pogojem ter razvoj delovnih veščin, spretnosti, vzdržljivosti, kompetenc in resocializacijo ter vključevanje zaprtih oseb v delo med prestajanjem kazni zapora. Izboljšalo se bo komunikacijo s tujimi zaporniki, z namenom zmanjševanja osamitve in spodbujanja resocializacije in vključenosti državljanov tretjih držav. V okviru specialnih programov se bodo izvajale aktivnosti razvoja in izvajanja programov obravnave odvisnosti, obvladovanja jeze, nenasilne komunikacije, trening socialnih veščin, razvoj programov za povzročitelje nasilja v družini, povzročitelje spolnih deliktov in </w:t>
            </w:r>
            <w:r>
              <w:rPr>
                <w:color w:val="000000"/>
              </w:rPr>
              <w:lastRenderedPageBreak/>
              <w:t>druge ozko specializirane obravnave za reševanje osebnostnih težav, zaradi katerih so osebe povzročile kazniva dejanja. Pilotno se bo vzpostavil Center za mladoletnike s celovitim programom obravnave določenih kategorij mladoletnikov in otrok, ki so obravnavani pred državnim organom zaradi prepovedanih ravnanj;</w:t>
            </w:r>
          </w:p>
          <w:p w14:paraId="58E7EA27" w14:textId="77777777" w:rsidR="00A77B3E" w:rsidRDefault="00A77B3E">
            <w:pPr>
              <w:spacing w:before="5pt"/>
              <w:rPr>
                <w:color w:val="000000"/>
              </w:rPr>
            </w:pPr>
          </w:p>
          <w:p w14:paraId="540EB6A1" w14:textId="77777777" w:rsidR="00A77B3E" w:rsidRDefault="00B16CCF">
            <w:pPr>
              <w:spacing w:before="5pt"/>
              <w:rPr>
                <w:color w:val="000000"/>
              </w:rPr>
            </w:pPr>
            <w:r>
              <w:rPr>
                <w:color w:val="000000"/>
              </w:rPr>
              <w:t>•ukrepe za izboljšanje integracije priseljencev v izobraževalni sistem: v okviru integracije priseljencev bo zagotovljena podpora nadaljnjemu razvoju znanja slovenščine kot drugega jezika z razvojem metod, didaktičnih pripomočkov ter učnih gradiv in z iskanjem inovativnih načinov, s posebnim poudarkom na usposabljanju strokovnih delavcev za delo z otroki priseljenci ter vzpostavitvijo spodbudnega okolja za njihove starše.</w:t>
            </w:r>
          </w:p>
          <w:p w14:paraId="53811DDF" w14:textId="77777777" w:rsidR="00A77B3E" w:rsidRDefault="00A77B3E">
            <w:pPr>
              <w:spacing w:before="5pt"/>
              <w:rPr>
                <w:color w:val="000000"/>
              </w:rPr>
            </w:pPr>
          </w:p>
          <w:p w14:paraId="1B63D69F" w14:textId="77777777" w:rsidR="00A77B3E" w:rsidRDefault="00B16CCF">
            <w:pPr>
              <w:spacing w:before="5pt"/>
              <w:rPr>
                <w:color w:val="000000"/>
              </w:rPr>
            </w:pPr>
            <w:r>
              <w:rPr>
                <w:color w:val="000000"/>
              </w:rPr>
              <w:t>Pri programih podpore se bo povezovalo z lokalnimi splošnimi knjižnicami in drugimi kulturnimi ustanovami.</w:t>
            </w:r>
          </w:p>
          <w:p w14:paraId="602D46BC" w14:textId="77777777" w:rsidR="00A77B3E" w:rsidRDefault="00A77B3E">
            <w:pPr>
              <w:spacing w:before="5pt"/>
              <w:rPr>
                <w:color w:val="000000"/>
              </w:rPr>
            </w:pPr>
          </w:p>
          <w:p w14:paraId="43FF843F" w14:textId="77777777" w:rsidR="00A77B3E" w:rsidRDefault="00B16CCF">
            <w:pPr>
              <w:spacing w:before="5pt"/>
              <w:rPr>
                <w:color w:val="000000"/>
              </w:rPr>
            </w:pPr>
            <w:r>
              <w:rPr>
                <w:color w:val="000000"/>
              </w:rPr>
              <w:t>Gre za ukrepe, ki po svoji naravi nimajo predvidljivega negativnega vpliva na okoljske cilje, ki bi bil povezan z neposrednimi in primarnimi posrednimi učinki ukrepa v življenjskem ciklu oz. je ta vpliv nepomemben, zato so skladni z načelom DNSH.</w:t>
            </w:r>
          </w:p>
          <w:p w14:paraId="3C813895" w14:textId="77777777" w:rsidR="00A77B3E" w:rsidRDefault="00A77B3E">
            <w:pPr>
              <w:spacing w:before="5pt"/>
              <w:rPr>
                <w:color w:val="000000"/>
                <w:sz w:val="6"/>
              </w:rPr>
            </w:pPr>
          </w:p>
          <w:p w14:paraId="446481D9" w14:textId="77777777" w:rsidR="00A77B3E" w:rsidRDefault="00A77B3E">
            <w:pPr>
              <w:spacing w:before="5pt"/>
              <w:rPr>
                <w:color w:val="000000"/>
                <w:sz w:val="6"/>
              </w:rPr>
            </w:pPr>
          </w:p>
        </w:tc>
      </w:tr>
    </w:tbl>
    <w:p w14:paraId="5A91149B" w14:textId="77777777" w:rsidR="00A77B3E" w:rsidRDefault="00A77B3E">
      <w:pPr>
        <w:spacing w:before="5pt"/>
        <w:rPr>
          <w:color w:val="000000"/>
        </w:rPr>
      </w:pPr>
    </w:p>
    <w:p w14:paraId="0AD05E4C" w14:textId="77777777" w:rsidR="00A77B3E" w:rsidRDefault="00B16CCF">
      <w:pPr>
        <w:pStyle w:val="Naslov5"/>
        <w:spacing w:before="5pt" w:after="0pt"/>
        <w:rPr>
          <w:b w:val="0"/>
          <w:i w:val="0"/>
          <w:color w:val="000000"/>
          <w:sz w:val="24"/>
        </w:rPr>
      </w:pPr>
      <w:bookmarkStart w:id="578" w:name="_Toc256001339"/>
      <w:r>
        <w:rPr>
          <w:b w:val="0"/>
          <w:i w:val="0"/>
          <w:color w:val="000000"/>
          <w:sz w:val="24"/>
        </w:rPr>
        <w:t>Glavne ciljne skupine – člen 22(3)(d)(iii) uredbe o skupnih določbah:</w:t>
      </w:r>
      <w:bookmarkEnd w:id="578"/>
    </w:p>
    <w:p w14:paraId="76BE30D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1171219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65BBBE" w14:textId="77777777" w:rsidR="00A77B3E" w:rsidRDefault="00A77B3E">
            <w:pPr>
              <w:spacing w:before="5pt"/>
              <w:rPr>
                <w:color w:val="000000"/>
                <w:sz w:val="0"/>
              </w:rPr>
            </w:pPr>
          </w:p>
          <w:p w14:paraId="4EE0550B" w14:textId="77777777" w:rsidR="00A77B3E" w:rsidRDefault="00B16CCF">
            <w:pPr>
              <w:spacing w:before="5pt"/>
              <w:rPr>
                <w:color w:val="000000"/>
              </w:rPr>
            </w:pPr>
            <w:r>
              <w:rPr>
                <w:color w:val="000000"/>
              </w:rPr>
              <w:t>Ciljne skupine so:</w:t>
            </w:r>
          </w:p>
          <w:p w14:paraId="0F2B6BEE" w14:textId="77777777" w:rsidR="00A77B3E" w:rsidRDefault="00B16CCF">
            <w:pPr>
              <w:spacing w:before="5pt"/>
              <w:rPr>
                <w:color w:val="000000"/>
              </w:rPr>
            </w:pPr>
            <w:r>
              <w:rPr>
                <w:color w:val="000000"/>
              </w:rPr>
              <w:t>•družine, osebe z nizko delovno intenzivnostjo; osebe, zlasti otroci in mladi, ki tvegajo socialno izključenost; starejši, zlasti tisti iz socialno ogroženih okolij; družine, v katerih so bile zaznane slabe starševske kompetence; otroci in mladi s posebnimi potrebami; migranti in begunci, vključno s svojimi družinami, še zlasti otroci in mladi ter ženske iz teh družin; romske družine, zlasti otroci in mladi ter ženske iz teh družin; enostarševske družine; invalidi;</w:t>
            </w:r>
          </w:p>
          <w:p w14:paraId="0FD83047" w14:textId="77777777" w:rsidR="00A77B3E" w:rsidRDefault="00B16CCF">
            <w:pPr>
              <w:spacing w:before="5pt"/>
              <w:rPr>
                <w:color w:val="000000"/>
              </w:rPr>
            </w:pPr>
            <w:r>
              <w:rPr>
                <w:color w:val="000000"/>
              </w:rPr>
              <w:t>•polnoletne ženske iz drugih kulturnih okolij z jezikovnimi ovirami;</w:t>
            </w:r>
          </w:p>
          <w:p w14:paraId="73C0CAB6" w14:textId="77777777" w:rsidR="00A77B3E" w:rsidRDefault="00B16CCF">
            <w:pPr>
              <w:spacing w:before="5pt"/>
              <w:rPr>
                <w:color w:val="000000"/>
              </w:rPr>
            </w:pPr>
            <w:r>
              <w:rPr>
                <w:color w:val="000000"/>
              </w:rPr>
              <w:t>•VIZ, strokovni in vodstveni delavci v organizacijah s področja vzgoje in izobraževanja;</w:t>
            </w:r>
          </w:p>
          <w:p w14:paraId="462DADCA" w14:textId="77777777" w:rsidR="00A77B3E" w:rsidRDefault="00B16CCF">
            <w:pPr>
              <w:spacing w:before="5pt"/>
              <w:rPr>
                <w:color w:val="000000"/>
              </w:rPr>
            </w:pPr>
            <w:r>
              <w:rPr>
                <w:color w:val="000000"/>
              </w:rPr>
              <w:t>•zaprte osebe, ranljiva skupina mladoletnikov (vzgojni ukrep), ter mladoletnikov in otrok, ki so obravnavani pred drž. organom zaradi prepovedanih ravnjanj in osebe v probaciji.</w:t>
            </w:r>
          </w:p>
          <w:p w14:paraId="6170FA05" w14:textId="77777777" w:rsidR="00A77B3E" w:rsidRDefault="00B16CCF">
            <w:pPr>
              <w:spacing w:before="5pt"/>
              <w:rPr>
                <w:color w:val="000000"/>
              </w:rPr>
            </w:pPr>
            <w:r>
              <w:rPr>
                <w:color w:val="000000"/>
              </w:rPr>
              <w:t>Upravičenci: VIZ, javni zavodi, nevladne organizacije, institucije na področju socialnega varstva, URSIKS, UPRO, CSD, krovne športne organizacije ter drugi, tudi organi drž. uprave, ki lahko s svojim delom in udejstvovanjem prispevajo k izboljšanju položaja posameznika (javni in zasebni izvajalci).</w:t>
            </w:r>
          </w:p>
          <w:p w14:paraId="46347146" w14:textId="77777777" w:rsidR="00A77B3E" w:rsidRDefault="00A77B3E">
            <w:pPr>
              <w:spacing w:before="5pt"/>
              <w:rPr>
                <w:color w:val="000000"/>
                <w:sz w:val="6"/>
              </w:rPr>
            </w:pPr>
          </w:p>
          <w:p w14:paraId="64EA7400" w14:textId="77777777" w:rsidR="00A77B3E" w:rsidRDefault="00A77B3E">
            <w:pPr>
              <w:spacing w:before="5pt"/>
              <w:rPr>
                <w:color w:val="000000"/>
                <w:sz w:val="6"/>
              </w:rPr>
            </w:pPr>
          </w:p>
        </w:tc>
      </w:tr>
    </w:tbl>
    <w:p w14:paraId="3C221517" w14:textId="77777777" w:rsidR="00A77B3E" w:rsidRDefault="00A77B3E">
      <w:pPr>
        <w:spacing w:before="5pt"/>
        <w:rPr>
          <w:color w:val="000000"/>
        </w:rPr>
      </w:pPr>
    </w:p>
    <w:p w14:paraId="028FE388" w14:textId="77777777" w:rsidR="00A77B3E" w:rsidRDefault="00B16CCF">
      <w:pPr>
        <w:pStyle w:val="Naslov5"/>
        <w:spacing w:before="5pt" w:after="0pt"/>
        <w:rPr>
          <w:b w:val="0"/>
          <w:i w:val="0"/>
          <w:color w:val="000000"/>
          <w:sz w:val="24"/>
        </w:rPr>
      </w:pPr>
      <w:bookmarkStart w:id="579" w:name="_Toc256001340"/>
      <w:r>
        <w:rPr>
          <w:b w:val="0"/>
          <w:i w:val="0"/>
          <w:color w:val="000000"/>
          <w:sz w:val="24"/>
        </w:rPr>
        <w:t>Ukrepi za zaščito enakosti, vključenosti in nediskriminacije – člen 22(3)(d)(iv) uredbe o skupnih določbah in člen 6 uredbe o ESS+</w:t>
      </w:r>
      <w:bookmarkEnd w:id="579"/>
    </w:p>
    <w:p w14:paraId="6518998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56983C6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C6573C" w14:textId="77777777" w:rsidR="00A77B3E" w:rsidRDefault="00A77B3E">
            <w:pPr>
              <w:spacing w:before="5pt"/>
              <w:rPr>
                <w:color w:val="000000"/>
                <w:sz w:val="0"/>
              </w:rPr>
            </w:pPr>
          </w:p>
          <w:p w14:paraId="030D9A6D" w14:textId="77777777" w:rsidR="00A77B3E" w:rsidRDefault="00B16CCF">
            <w:pPr>
              <w:spacing w:before="5pt"/>
              <w:rPr>
                <w:color w:val="000000"/>
              </w:rPr>
            </w:pPr>
            <w:r>
              <w:rPr>
                <w:color w:val="000000"/>
              </w:rPr>
              <w:lastRenderedPageBreak/>
              <w:t xml:space="preserve">Spoštovanje načel enakosti spolov in enakih možnostih za vse bo zagotovljeno na vseh ravneh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Načelo se bo upoštevalo tudi v okviru sistema upravljanja in nadzora. </w:t>
            </w:r>
          </w:p>
          <w:p w14:paraId="3BEA045D" w14:textId="77777777" w:rsidR="00A77B3E" w:rsidRDefault="00A77B3E">
            <w:pPr>
              <w:spacing w:before="5pt"/>
              <w:rPr>
                <w:color w:val="000000"/>
              </w:rPr>
            </w:pPr>
          </w:p>
          <w:p w14:paraId="1BB6498B" w14:textId="77777777" w:rsidR="00A77B3E" w:rsidRDefault="00B16CCF">
            <w:pPr>
              <w:spacing w:before="5pt"/>
              <w:rPr>
                <w:color w:val="000000"/>
              </w:rPr>
            </w:pPr>
            <w:r>
              <w:rPr>
                <w:color w:val="000000"/>
              </w:rPr>
              <w:t xml:space="preserve">Ukrepi so skladni s ciljem Strategije za trajnostni razvoj »Socialna enakost in kohezija« saj spodbujajo razvoj demokratične, socialno vključujoče, kohezivne, zdrave, varne in pravične družbe, ki spoštuje temeljne pravice in kulturno raznolikost, ustvarja enake možnosti ter se bori proti vsem oblikam diskriminacije. V aktivnostih se bodo upoštevala načela nediskriminacije ter vključevanje ne glede na spol, raso ali etično poreklo, vero ali prepričanje, invalidnost ali spolno usmerjenost Projekti bodo pripravljeni posebej za specifične potrebe ranljivih skupin, še zlasti starejših samskih žensk, invalidov, Romov, migrantov ter žensk iz teh družin, z namenom preprečevanja večplastne diskriminacije in zmanjšanja neenakosti. Izvajale se bodo aktivnosti za njihovo opolnomočenje in informiranost. Določene aktivnosti bodo prilagojene ciljnim skupinam z namenom čim lažje dostopnosti do storitev. Ukrepi bodo prispevali k vsem trem glavnim ciljem akcijskega načrta ESSP: zaposlovanje, usposabljanje odraslih ter zmanjševanje revščine in socialne izključenosti. Ukrepi so na področju socialnega varstva v RS ena od dveh ključnih aktivnosti za uresničevanje Priporočila Sveta o vzpostavitvi evropskega jamstva za otroke. </w:t>
            </w:r>
          </w:p>
          <w:p w14:paraId="3B30173D" w14:textId="77777777" w:rsidR="00A77B3E" w:rsidRDefault="00A77B3E">
            <w:pPr>
              <w:spacing w:before="5pt"/>
              <w:rPr>
                <w:color w:val="000000"/>
                <w:sz w:val="6"/>
              </w:rPr>
            </w:pPr>
          </w:p>
          <w:p w14:paraId="3EF84C69" w14:textId="77777777" w:rsidR="00A77B3E" w:rsidRDefault="00A77B3E">
            <w:pPr>
              <w:spacing w:before="5pt"/>
              <w:rPr>
                <w:color w:val="000000"/>
                <w:sz w:val="6"/>
              </w:rPr>
            </w:pPr>
          </w:p>
        </w:tc>
      </w:tr>
    </w:tbl>
    <w:p w14:paraId="2951F03E" w14:textId="77777777" w:rsidR="00A77B3E" w:rsidRDefault="00A77B3E">
      <w:pPr>
        <w:spacing w:before="5pt"/>
        <w:rPr>
          <w:color w:val="000000"/>
        </w:rPr>
      </w:pPr>
    </w:p>
    <w:p w14:paraId="477A5689" w14:textId="77777777" w:rsidR="00A77B3E" w:rsidRDefault="00B16CCF">
      <w:pPr>
        <w:pStyle w:val="Naslov5"/>
        <w:spacing w:before="5pt" w:after="0pt"/>
        <w:rPr>
          <w:b w:val="0"/>
          <w:i w:val="0"/>
          <w:color w:val="000000"/>
          <w:sz w:val="24"/>
        </w:rPr>
      </w:pPr>
      <w:bookmarkStart w:id="580" w:name="_Toc256001341"/>
      <w:r>
        <w:rPr>
          <w:b w:val="0"/>
          <w:i w:val="0"/>
          <w:color w:val="000000"/>
          <w:sz w:val="24"/>
        </w:rPr>
        <w:t>Navedba specifičnih ciljnih ozemelj, vključno z načrtovano uporabo teritorialnih orodij – člen 22(3)(d)(v) uredbe o skupnih določbah</w:t>
      </w:r>
      <w:bookmarkEnd w:id="580"/>
    </w:p>
    <w:p w14:paraId="3B56A1B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6CFB99CE"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8671BA" w14:textId="77777777" w:rsidR="00A77B3E" w:rsidRDefault="00A77B3E">
            <w:pPr>
              <w:spacing w:before="5pt"/>
              <w:rPr>
                <w:color w:val="000000"/>
                <w:sz w:val="0"/>
              </w:rPr>
            </w:pPr>
          </w:p>
          <w:p w14:paraId="11C59F4D" w14:textId="77777777" w:rsidR="00A77B3E" w:rsidRDefault="00B16CCF">
            <w:pPr>
              <w:spacing w:before="5pt"/>
              <w:rPr>
                <w:color w:val="000000"/>
              </w:rPr>
            </w:pPr>
            <w:r>
              <w:rPr>
                <w:color w:val="000000"/>
              </w:rPr>
              <w:t>V okviru navedenega specifičnega cilja ni predvidena uporaba teritorialnih orodij.</w:t>
            </w:r>
          </w:p>
          <w:p w14:paraId="657CFF53" w14:textId="77777777" w:rsidR="00A77B3E" w:rsidRDefault="00A77B3E">
            <w:pPr>
              <w:spacing w:before="5pt"/>
              <w:rPr>
                <w:color w:val="000000"/>
                <w:sz w:val="6"/>
              </w:rPr>
            </w:pPr>
          </w:p>
          <w:p w14:paraId="075BEF65" w14:textId="77777777" w:rsidR="00A77B3E" w:rsidRDefault="00A77B3E">
            <w:pPr>
              <w:spacing w:before="5pt"/>
              <w:rPr>
                <w:color w:val="000000"/>
                <w:sz w:val="6"/>
              </w:rPr>
            </w:pPr>
          </w:p>
        </w:tc>
      </w:tr>
    </w:tbl>
    <w:p w14:paraId="0B4862CF" w14:textId="77777777" w:rsidR="00A77B3E" w:rsidRDefault="00A77B3E">
      <w:pPr>
        <w:spacing w:before="5pt"/>
        <w:rPr>
          <w:color w:val="000000"/>
        </w:rPr>
      </w:pPr>
    </w:p>
    <w:p w14:paraId="7303531F" w14:textId="77777777" w:rsidR="00A77B3E" w:rsidRDefault="00B16CCF">
      <w:pPr>
        <w:pStyle w:val="Naslov5"/>
        <w:spacing w:before="5pt" w:after="0pt"/>
        <w:rPr>
          <w:b w:val="0"/>
          <w:i w:val="0"/>
          <w:color w:val="000000"/>
          <w:sz w:val="24"/>
        </w:rPr>
      </w:pPr>
      <w:bookmarkStart w:id="581" w:name="_Toc256001342"/>
      <w:r>
        <w:rPr>
          <w:b w:val="0"/>
          <w:i w:val="0"/>
          <w:color w:val="000000"/>
          <w:sz w:val="24"/>
        </w:rPr>
        <w:t>Medregionalni, čezmejni in transnacionalni ukrepi – člen 22(3)(d)(vi) uredbe o skupnih določbah</w:t>
      </w:r>
      <w:bookmarkEnd w:id="581"/>
    </w:p>
    <w:p w14:paraId="6198C7B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4CB04312"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33AB0D" w14:textId="77777777" w:rsidR="00A77B3E" w:rsidRDefault="00A77B3E">
            <w:pPr>
              <w:spacing w:before="5pt"/>
              <w:rPr>
                <w:color w:val="000000"/>
                <w:sz w:val="0"/>
              </w:rPr>
            </w:pPr>
          </w:p>
          <w:p w14:paraId="0235E233" w14:textId="77777777" w:rsidR="00A77B3E" w:rsidRDefault="00B16CCF">
            <w:pPr>
              <w:spacing w:before="5pt"/>
              <w:rPr>
                <w:color w:val="000000"/>
              </w:rPr>
            </w:pPr>
            <w:r>
              <w:rPr>
                <w:color w:val="000000"/>
              </w:rPr>
              <w:t>V okviru navedenega specifičnega cilja medregionalni, čezmejni in transnacionalni ukrepi niso predvideni, saj gre za naslavljanje potreb ranljivih skupin, s katerimi se soočamo v Sloveniji.</w:t>
            </w:r>
          </w:p>
          <w:p w14:paraId="68337526" w14:textId="77777777" w:rsidR="00A77B3E" w:rsidRDefault="00A77B3E">
            <w:pPr>
              <w:spacing w:before="5pt"/>
              <w:rPr>
                <w:color w:val="000000"/>
                <w:sz w:val="6"/>
              </w:rPr>
            </w:pPr>
          </w:p>
          <w:p w14:paraId="19221C9C" w14:textId="77777777" w:rsidR="00A77B3E" w:rsidRDefault="00A77B3E">
            <w:pPr>
              <w:spacing w:before="5pt"/>
              <w:rPr>
                <w:color w:val="000000"/>
                <w:sz w:val="6"/>
              </w:rPr>
            </w:pPr>
          </w:p>
        </w:tc>
      </w:tr>
    </w:tbl>
    <w:p w14:paraId="2109DE6F" w14:textId="77777777" w:rsidR="00A77B3E" w:rsidRDefault="00A77B3E">
      <w:pPr>
        <w:spacing w:before="5pt"/>
        <w:rPr>
          <w:color w:val="000000"/>
        </w:rPr>
      </w:pPr>
    </w:p>
    <w:p w14:paraId="12A71A73" w14:textId="77777777" w:rsidR="00A77B3E" w:rsidRDefault="00B16CCF">
      <w:pPr>
        <w:pStyle w:val="Naslov5"/>
        <w:spacing w:before="5pt" w:after="0pt"/>
        <w:rPr>
          <w:b w:val="0"/>
          <w:i w:val="0"/>
          <w:color w:val="000000"/>
          <w:sz w:val="24"/>
        </w:rPr>
      </w:pPr>
      <w:bookmarkStart w:id="582" w:name="_Toc256001343"/>
      <w:r>
        <w:rPr>
          <w:b w:val="0"/>
          <w:i w:val="0"/>
          <w:color w:val="000000"/>
          <w:sz w:val="24"/>
        </w:rPr>
        <w:t>Načrtovana uporaba finančnih instrumentov – člen 22(3)(d)(vii) uredbe o skupnih določbah</w:t>
      </w:r>
      <w:bookmarkEnd w:id="582"/>
    </w:p>
    <w:p w14:paraId="2FAE644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7C602E6F"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48C71D" w14:textId="77777777" w:rsidR="00A77B3E" w:rsidRDefault="00A77B3E">
            <w:pPr>
              <w:spacing w:before="5pt"/>
              <w:rPr>
                <w:color w:val="000000"/>
                <w:sz w:val="0"/>
              </w:rPr>
            </w:pPr>
          </w:p>
          <w:p w14:paraId="130B718A" w14:textId="77777777" w:rsidR="00A77B3E" w:rsidRDefault="00B16CCF">
            <w:pPr>
              <w:spacing w:before="5pt"/>
              <w:rPr>
                <w:color w:val="000000"/>
              </w:rPr>
            </w:pPr>
            <w:r>
              <w:rPr>
                <w:color w:val="000000"/>
              </w:rPr>
              <w:t>Predvidena je uporaba nepovratnih virov. V okviru predmetnega specifičnega cilja uporaba finančnih instrumentov v skladu z izsledki analize Predhodnih ocen potreb trga in vrzeli financiranja na trgu za izvajanje finančnih instrumentov v programskem obdobju 2021-2027 (julij 2022) ni predvidena. Predlagani ukrepi ne ustvarjajo prihodkov oziroma prihrankov, zaradi česar uporaba finančnih instrumentov ni smiselna oziroma ustrezna.</w:t>
            </w:r>
          </w:p>
          <w:p w14:paraId="390F71FB" w14:textId="77777777" w:rsidR="00A77B3E" w:rsidRDefault="00A77B3E">
            <w:pPr>
              <w:spacing w:before="5pt"/>
              <w:rPr>
                <w:color w:val="000000"/>
                <w:sz w:val="6"/>
              </w:rPr>
            </w:pPr>
          </w:p>
          <w:p w14:paraId="20948287" w14:textId="77777777" w:rsidR="00A77B3E" w:rsidRDefault="00A77B3E">
            <w:pPr>
              <w:spacing w:before="5pt"/>
              <w:rPr>
                <w:color w:val="000000"/>
                <w:sz w:val="6"/>
              </w:rPr>
            </w:pPr>
          </w:p>
        </w:tc>
      </w:tr>
    </w:tbl>
    <w:p w14:paraId="10E25DC6" w14:textId="77777777" w:rsidR="00A77B3E" w:rsidRDefault="00A77B3E">
      <w:pPr>
        <w:spacing w:before="5pt"/>
        <w:rPr>
          <w:color w:val="000000"/>
        </w:rPr>
      </w:pPr>
    </w:p>
    <w:p w14:paraId="57343BBC" w14:textId="77777777" w:rsidR="00A77B3E" w:rsidRDefault="00B16CCF">
      <w:pPr>
        <w:pStyle w:val="Naslov4"/>
        <w:spacing w:before="5pt" w:after="0pt"/>
        <w:rPr>
          <w:b w:val="0"/>
          <w:color w:val="000000"/>
          <w:sz w:val="24"/>
        </w:rPr>
      </w:pPr>
      <w:bookmarkStart w:id="583" w:name="_Toc256001344"/>
      <w:r>
        <w:rPr>
          <w:b w:val="0"/>
          <w:color w:val="000000"/>
          <w:sz w:val="24"/>
        </w:rPr>
        <w:t>2.1.1.1.2. Kazalniki</w:t>
      </w:r>
      <w:bookmarkEnd w:id="583"/>
    </w:p>
    <w:p w14:paraId="09E48E17" w14:textId="77777777" w:rsidR="00A77B3E" w:rsidRDefault="00A77B3E">
      <w:pPr>
        <w:spacing w:before="5pt"/>
        <w:rPr>
          <w:color w:val="000000"/>
          <w:sz w:val="0"/>
        </w:rPr>
      </w:pPr>
    </w:p>
    <w:p w14:paraId="202BC653" w14:textId="77777777" w:rsidR="00A77B3E" w:rsidRDefault="00B16CCF">
      <w:pPr>
        <w:spacing w:before="5pt"/>
        <w:rPr>
          <w:color w:val="000000"/>
          <w:sz w:val="0"/>
        </w:rPr>
      </w:pPr>
      <w:r>
        <w:rPr>
          <w:color w:val="000000"/>
        </w:rPr>
        <w:t>Sklic: člen 22(3)(d)(ii) uredbe o skupnih določbah in člen 8 uredbe o ESRR in Kohezijskem skladu</w:t>
      </w:r>
    </w:p>
    <w:p w14:paraId="4A6419F2" w14:textId="77777777" w:rsidR="00A77B3E" w:rsidRDefault="00B16CCF">
      <w:pPr>
        <w:pStyle w:val="Naslov5"/>
        <w:spacing w:before="5pt" w:after="0pt"/>
        <w:rPr>
          <w:b w:val="0"/>
          <w:i w:val="0"/>
          <w:color w:val="000000"/>
          <w:sz w:val="24"/>
        </w:rPr>
      </w:pPr>
      <w:bookmarkStart w:id="584" w:name="_Toc256001345"/>
      <w:r>
        <w:rPr>
          <w:b w:val="0"/>
          <w:i w:val="0"/>
          <w:color w:val="000000"/>
          <w:sz w:val="24"/>
        </w:rPr>
        <w:t>Tabela 2: Kazalniki učinka</w:t>
      </w:r>
      <w:bookmarkEnd w:id="584"/>
    </w:p>
    <w:p w14:paraId="7D4430C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18"/>
        <w:gridCol w:w="1676"/>
        <w:gridCol w:w="1041"/>
        <w:gridCol w:w="1737"/>
        <w:gridCol w:w="2016"/>
        <w:gridCol w:w="2636"/>
        <w:gridCol w:w="1296"/>
        <w:gridCol w:w="1476"/>
        <w:gridCol w:w="1476"/>
      </w:tblGrid>
      <w:tr w:rsidR="00823317" w14:paraId="1B9573E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112B26"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B12240"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7BDC1A"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B785D1"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95A1DC"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6F1D02"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B8B662"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39B394" w14:textId="77777777" w:rsidR="00A77B3E" w:rsidRDefault="00B16CCF">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AB16C7" w14:textId="77777777" w:rsidR="00A77B3E" w:rsidRDefault="00B16CCF">
            <w:pPr>
              <w:spacing w:before="5pt"/>
              <w:jc w:val="center"/>
              <w:rPr>
                <w:color w:val="000000"/>
                <w:sz w:val="20"/>
              </w:rPr>
            </w:pPr>
            <w:r>
              <w:rPr>
                <w:color w:val="000000"/>
                <w:sz w:val="20"/>
              </w:rPr>
              <w:t>Cilj (2029)</w:t>
            </w:r>
          </w:p>
        </w:tc>
      </w:tr>
      <w:tr w:rsidR="00823317" w14:paraId="69E4344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8B89A8"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2CD9BC" w14:textId="77777777" w:rsidR="00A77B3E" w:rsidRDefault="00B16CCF">
            <w:pPr>
              <w:spacing w:before="5pt"/>
              <w:rPr>
                <w:color w:val="000000"/>
                <w:sz w:val="20"/>
              </w:rPr>
            </w:pPr>
            <w:r>
              <w:rPr>
                <w:color w:val="000000"/>
                <w:sz w:val="20"/>
              </w:rPr>
              <w:t>ESO4.12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A9C3C2"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C7C7BC"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466478" w14:textId="77777777" w:rsidR="00A77B3E" w:rsidRDefault="00B16CCF">
            <w:pPr>
              <w:spacing w:before="5pt"/>
              <w:rPr>
                <w:color w:val="000000"/>
                <w:sz w:val="20"/>
              </w:rPr>
            </w:pPr>
            <w:r>
              <w:rPr>
                <w:color w:val="000000"/>
                <w:sz w:val="20"/>
              </w:rPr>
              <w:t>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891C05" w14:textId="77777777" w:rsidR="00A77B3E" w:rsidRDefault="00B16CCF">
            <w:pPr>
              <w:spacing w:before="5pt"/>
              <w:rPr>
                <w:color w:val="000000"/>
                <w:sz w:val="20"/>
              </w:rPr>
            </w:pPr>
            <w:r>
              <w:rPr>
                <w:color w:val="000000"/>
                <w:sz w:val="20"/>
              </w:rPr>
              <w:t>Število podprtih večgeneracijskih centrov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04D025" w14:textId="77777777" w:rsidR="00A77B3E" w:rsidRDefault="00B16CCF">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B1FD9A" w14:textId="77777777" w:rsidR="00A77B3E" w:rsidRDefault="00B16CCF">
            <w:pPr>
              <w:spacing w:before="5pt"/>
              <w:jc w:val="end"/>
              <w:rPr>
                <w:color w:val="000000"/>
                <w:sz w:val="20"/>
              </w:rPr>
            </w:pPr>
            <w:r>
              <w:rPr>
                <w:color w:val="000000"/>
                <w:sz w:val="20"/>
              </w:rPr>
              <w:t>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5AAE7A" w14:textId="77777777" w:rsidR="00A77B3E" w:rsidRDefault="00B16CCF">
            <w:pPr>
              <w:spacing w:before="5pt"/>
              <w:jc w:val="end"/>
              <w:rPr>
                <w:color w:val="000000"/>
                <w:sz w:val="20"/>
              </w:rPr>
            </w:pPr>
            <w:r>
              <w:rPr>
                <w:color w:val="000000"/>
                <w:sz w:val="20"/>
              </w:rPr>
              <w:t>5,00</w:t>
            </w:r>
          </w:p>
        </w:tc>
      </w:tr>
      <w:tr w:rsidR="00823317" w14:paraId="75FF05E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B60C83"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0AE870" w14:textId="77777777" w:rsidR="00A77B3E" w:rsidRDefault="00B16CCF">
            <w:pPr>
              <w:spacing w:before="5pt"/>
              <w:rPr>
                <w:color w:val="000000"/>
                <w:sz w:val="20"/>
              </w:rPr>
            </w:pPr>
            <w:r>
              <w:rPr>
                <w:color w:val="000000"/>
                <w:sz w:val="20"/>
              </w:rPr>
              <w:t>ESO4.12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83EB6D"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EB8D29"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93528F" w14:textId="77777777" w:rsidR="00A77B3E" w:rsidRDefault="00B16CCF">
            <w:pPr>
              <w:spacing w:before="5pt"/>
              <w:rPr>
                <w:color w:val="000000"/>
                <w:sz w:val="20"/>
              </w:rPr>
            </w:pPr>
            <w:r>
              <w:rPr>
                <w:color w:val="000000"/>
                <w:sz w:val="20"/>
              </w:rPr>
              <w:t>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D30ABF" w14:textId="77777777" w:rsidR="00A77B3E" w:rsidRDefault="00B16CCF">
            <w:pPr>
              <w:spacing w:before="5pt"/>
              <w:rPr>
                <w:color w:val="000000"/>
                <w:sz w:val="20"/>
              </w:rPr>
            </w:pPr>
            <w:r>
              <w:rPr>
                <w:color w:val="000000"/>
                <w:sz w:val="20"/>
              </w:rPr>
              <w:t>Število posameznikov, vključenih v projekte spodbujanja socialnega vključevanja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501036" w14:textId="77777777" w:rsidR="00A77B3E" w:rsidRDefault="00B16CCF">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8AC4C1" w14:textId="77777777" w:rsidR="00A77B3E" w:rsidRDefault="00B16CCF">
            <w:pPr>
              <w:spacing w:before="5pt"/>
              <w:jc w:val="end"/>
              <w:rPr>
                <w:color w:val="000000"/>
                <w:sz w:val="20"/>
              </w:rPr>
            </w:pPr>
            <w:r>
              <w:rPr>
                <w:color w:val="000000"/>
                <w:sz w:val="20"/>
              </w:rPr>
              <w:t>758,00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AAF17C" w14:textId="77777777" w:rsidR="00A77B3E" w:rsidRDefault="00B16CCF">
            <w:pPr>
              <w:spacing w:before="5pt"/>
              <w:jc w:val="end"/>
              <w:rPr>
                <w:color w:val="000000"/>
                <w:sz w:val="20"/>
              </w:rPr>
            </w:pPr>
            <w:r>
              <w:rPr>
                <w:color w:val="000000"/>
                <w:sz w:val="20"/>
              </w:rPr>
              <w:t>2.820,00</w:t>
            </w:r>
          </w:p>
        </w:tc>
      </w:tr>
      <w:tr w:rsidR="00823317" w14:paraId="23F9AAC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9333CE"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375674" w14:textId="77777777" w:rsidR="00A77B3E" w:rsidRDefault="00B16CCF">
            <w:pPr>
              <w:spacing w:before="5pt"/>
              <w:rPr>
                <w:color w:val="000000"/>
                <w:sz w:val="20"/>
              </w:rPr>
            </w:pPr>
            <w:r>
              <w:rPr>
                <w:color w:val="000000"/>
                <w:sz w:val="20"/>
              </w:rPr>
              <w:t>ESO4.12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FC7A34"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E90378"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36DF9F" w14:textId="77777777" w:rsidR="00A77B3E" w:rsidRDefault="00B16CCF">
            <w:pPr>
              <w:spacing w:before="5pt"/>
              <w:rPr>
                <w:color w:val="000000"/>
                <w:sz w:val="20"/>
              </w:rPr>
            </w:pPr>
            <w:r>
              <w:rPr>
                <w:color w:val="000000"/>
                <w:sz w:val="20"/>
              </w:rPr>
              <w:t>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2DA61D" w14:textId="77777777" w:rsidR="00A77B3E" w:rsidRDefault="00B16CCF">
            <w:pPr>
              <w:spacing w:before="5pt"/>
              <w:rPr>
                <w:color w:val="000000"/>
                <w:sz w:val="20"/>
              </w:rPr>
            </w:pPr>
            <w:r>
              <w:rPr>
                <w:color w:val="000000"/>
                <w:sz w:val="20"/>
              </w:rPr>
              <w:t>Število podprtih večgeneracijskih centrov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4A67B9" w14:textId="77777777" w:rsidR="00A77B3E" w:rsidRDefault="00B16CCF">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79FF19" w14:textId="77777777" w:rsidR="00A77B3E" w:rsidRDefault="00B16CCF">
            <w:pPr>
              <w:spacing w:before="5pt"/>
              <w:jc w:val="end"/>
              <w:rPr>
                <w:color w:val="000000"/>
                <w:sz w:val="20"/>
              </w:rPr>
            </w:pPr>
            <w:r>
              <w:rPr>
                <w:color w:val="000000"/>
                <w:sz w:val="20"/>
              </w:rPr>
              <w:t>11,00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3C2239" w14:textId="77777777" w:rsidR="00A77B3E" w:rsidRDefault="00B16CCF">
            <w:pPr>
              <w:spacing w:before="5pt"/>
              <w:jc w:val="end"/>
              <w:rPr>
                <w:color w:val="000000"/>
                <w:sz w:val="20"/>
              </w:rPr>
            </w:pPr>
            <w:r>
              <w:rPr>
                <w:color w:val="000000"/>
                <w:sz w:val="20"/>
              </w:rPr>
              <w:t>11,00</w:t>
            </w:r>
          </w:p>
        </w:tc>
      </w:tr>
      <w:tr w:rsidR="00823317" w14:paraId="7B69DCD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18F4AC"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6F51AA" w14:textId="77777777" w:rsidR="00A77B3E" w:rsidRDefault="00B16CCF">
            <w:pPr>
              <w:spacing w:before="5pt"/>
              <w:rPr>
                <w:color w:val="000000"/>
                <w:sz w:val="20"/>
              </w:rPr>
            </w:pPr>
            <w:r>
              <w:rPr>
                <w:color w:val="000000"/>
                <w:sz w:val="20"/>
              </w:rPr>
              <w:t>ESO4.12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9C9ECD"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851994"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332D4F" w14:textId="77777777" w:rsidR="00A77B3E" w:rsidRDefault="00B16CCF">
            <w:pPr>
              <w:spacing w:before="5pt"/>
              <w:rPr>
                <w:color w:val="000000"/>
                <w:sz w:val="20"/>
              </w:rPr>
            </w:pPr>
            <w:r>
              <w:rPr>
                <w:color w:val="000000"/>
                <w:sz w:val="20"/>
              </w:rPr>
              <w:t>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5E3B24" w14:textId="77777777" w:rsidR="00A77B3E" w:rsidRDefault="00B16CCF">
            <w:pPr>
              <w:spacing w:before="5pt"/>
              <w:rPr>
                <w:color w:val="000000"/>
                <w:sz w:val="20"/>
              </w:rPr>
            </w:pPr>
            <w:r>
              <w:rPr>
                <w:color w:val="000000"/>
                <w:sz w:val="20"/>
              </w:rPr>
              <w:t>Število posameznikov, vključenih v projekte spodbujanja socialnega vključevanja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0FAF45" w14:textId="77777777" w:rsidR="00A77B3E" w:rsidRDefault="00B16CCF">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C39FB7" w14:textId="77777777" w:rsidR="00A77B3E" w:rsidRDefault="00B16CCF">
            <w:pPr>
              <w:spacing w:before="5pt"/>
              <w:jc w:val="end"/>
              <w:rPr>
                <w:color w:val="000000"/>
                <w:sz w:val="20"/>
              </w:rPr>
            </w:pPr>
            <w:r>
              <w:rPr>
                <w:color w:val="000000"/>
                <w:sz w:val="20"/>
              </w:rPr>
              <w:t>1.090,00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D30B6B" w14:textId="77777777" w:rsidR="00A77B3E" w:rsidRDefault="00B16CCF">
            <w:pPr>
              <w:spacing w:before="5pt"/>
              <w:jc w:val="end"/>
              <w:rPr>
                <w:color w:val="000000"/>
                <w:sz w:val="20"/>
              </w:rPr>
            </w:pPr>
            <w:r>
              <w:rPr>
                <w:color w:val="000000"/>
                <w:sz w:val="20"/>
              </w:rPr>
              <w:t>4.330,00</w:t>
            </w:r>
          </w:p>
        </w:tc>
      </w:tr>
    </w:tbl>
    <w:p w14:paraId="2749FD32" w14:textId="77777777" w:rsidR="00A77B3E" w:rsidRDefault="00A77B3E">
      <w:pPr>
        <w:spacing w:before="5pt"/>
        <w:rPr>
          <w:color w:val="000000"/>
          <w:sz w:val="20"/>
        </w:rPr>
      </w:pPr>
    </w:p>
    <w:p w14:paraId="5C833FF4" w14:textId="77777777" w:rsidR="00A77B3E" w:rsidRDefault="00B16CCF">
      <w:pPr>
        <w:spacing w:before="5pt"/>
        <w:rPr>
          <w:color w:val="000000"/>
          <w:sz w:val="0"/>
        </w:rPr>
      </w:pPr>
      <w:r>
        <w:rPr>
          <w:color w:val="000000"/>
        </w:rPr>
        <w:t>Sklic: člen 22(3)(d)(ii) uredbe o skupnih določbah</w:t>
      </w:r>
    </w:p>
    <w:p w14:paraId="323956D9" w14:textId="77777777" w:rsidR="00A77B3E" w:rsidRDefault="00B16CCF">
      <w:pPr>
        <w:pStyle w:val="Naslov5"/>
        <w:spacing w:before="5pt" w:after="0pt"/>
        <w:rPr>
          <w:b w:val="0"/>
          <w:i w:val="0"/>
          <w:color w:val="000000"/>
          <w:sz w:val="24"/>
        </w:rPr>
      </w:pPr>
      <w:bookmarkStart w:id="585" w:name="_Toc256001346"/>
      <w:r>
        <w:rPr>
          <w:b w:val="0"/>
          <w:i w:val="0"/>
          <w:color w:val="000000"/>
          <w:sz w:val="24"/>
        </w:rPr>
        <w:t>Tabela 3: Kazalniki rezultatov</w:t>
      </w:r>
      <w:bookmarkEnd w:id="585"/>
    </w:p>
    <w:p w14:paraId="5CC5893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06"/>
        <w:gridCol w:w="1204"/>
        <w:gridCol w:w="747"/>
        <w:gridCol w:w="1248"/>
        <w:gridCol w:w="1448"/>
        <w:gridCol w:w="1893"/>
        <w:gridCol w:w="931"/>
        <w:gridCol w:w="1276"/>
        <w:gridCol w:w="1348"/>
        <w:gridCol w:w="1190"/>
        <w:gridCol w:w="1420"/>
        <w:gridCol w:w="1161"/>
      </w:tblGrid>
      <w:tr w:rsidR="00823317" w14:paraId="59CA924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2CE5C8"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780059"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B2363D"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D7AF2F"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685C92"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B3ECE2"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937B83"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F6178D" w14:textId="77777777" w:rsidR="00A77B3E" w:rsidRDefault="00B16CCF">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F23038" w14:textId="77777777" w:rsidR="00A77B3E" w:rsidRDefault="00B16CCF">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30D6CB" w14:textId="77777777" w:rsidR="00A77B3E" w:rsidRDefault="00B16CCF">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AD0CBA" w14:textId="77777777" w:rsidR="00A77B3E" w:rsidRDefault="00B16CCF">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CE1364" w14:textId="77777777" w:rsidR="00A77B3E" w:rsidRDefault="00B16CCF">
            <w:pPr>
              <w:spacing w:before="5pt"/>
              <w:jc w:val="center"/>
              <w:rPr>
                <w:color w:val="000000"/>
                <w:sz w:val="20"/>
              </w:rPr>
            </w:pPr>
            <w:r>
              <w:rPr>
                <w:color w:val="000000"/>
                <w:sz w:val="20"/>
              </w:rPr>
              <w:t>Opombe</w:t>
            </w:r>
          </w:p>
        </w:tc>
      </w:tr>
      <w:tr w:rsidR="00823317" w14:paraId="4415994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5BB645"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6C502F" w14:textId="77777777" w:rsidR="00A77B3E" w:rsidRDefault="00B16CCF">
            <w:pPr>
              <w:spacing w:before="5pt"/>
              <w:rPr>
                <w:color w:val="000000"/>
                <w:sz w:val="20"/>
              </w:rPr>
            </w:pPr>
            <w:r>
              <w:rPr>
                <w:color w:val="000000"/>
                <w:sz w:val="20"/>
              </w:rPr>
              <w:t>ESO4.12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4CC9C2"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E4D12C"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395995" w14:textId="77777777" w:rsidR="00A77B3E" w:rsidRDefault="00B16CCF">
            <w:pPr>
              <w:spacing w:before="5pt"/>
              <w:rPr>
                <w:color w:val="000000"/>
                <w:sz w:val="20"/>
              </w:rPr>
            </w:pPr>
            <w:r>
              <w:rPr>
                <w:color w:val="000000"/>
                <w:sz w:val="20"/>
              </w:rPr>
              <w:t>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2E5F61" w14:textId="77777777" w:rsidR="00A77B3E" w:rsidRDefault="00B16CCF">
            <w:pPr>
              <w:spacing w:before="5pt"/>
              <w:rPr>
                <w:color w:val="000000"/>
                <w:sz w:val="20"/>
              </w:rPr>
            </w:pPr>
            <w:r>
              <w:rPr>
                <w:color w:val="000000"/>
                <w:sz w:val="20"/>
              </w:rPr>
              <w:t xml:space="preserve">Število izvedenih ur aktivnosti v večgeneracijskih </w:t>
            </w:r>
            <w:r>
              <w:rPr>
                <w:color w:val="000000"/>
                <w:sz w:val="20"/>
              </w:rPr>
              <w:lastRenderedPageBreak/>
              <w:t>centrih po zaključku izvajanja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0DD332" w14:textId="77777777" w:rsidR="00A77B3E" w:rsidRDefault="00B16CCF">
            <w:pPr>
              <w:spacing w:before="5pt"/>
              <w:rPr>
                <w:color w:val="000000"/>
                <w:sz w:val="20"/>
              </w:rPr>
            </w:pPr>
            <w:r>
              <w:rPr>
                <w:color w:val="000000"/>
                <w:sz w:val="20"/>
              </w:rPr>
              <w:lastRenderedPageBreak/>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6BFF88" w14:textId="77777777" w:rsidR="00A77B3E" w:rsidRDefault="00B16CCF">
            <w:pPr>
              <w:spacing w:before="5pt"/>
              <w:jc w:val="end"/>
              <w:rPr>
                <w:color w:val="000000"/>
                <w:sz w:val="20"/>
              </w:rPr>
            </w:pPr>
            <w:r>
              <w:rPr>
                <w:color w:val="000000"/>
                <w:sz w:val="20"/>
              </w:rPr>
              <w:t>24.000,00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36BA21" w14:textId="77777777" w:rsidR="00A77B3E" w:rsidRDefault="00B16CCF">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8F66E5" w14:textId="77777777" w:rsidR="00A77B3E" w:rsidRDefault="00B16CCF">
            <w:pPr>
              <w:spacing w:before="5pt"/>
              <w:jc w:val="end"/>
              <w:rPr>
                <w:color w:val="000000"/>
                <w:sz w:val="20"/>
              </w:rPr>
            </w:pPr>
            <w:r>
              <w:rPr>
                <w:color w:val="000000"/>
                <w:sz w:val="20"/>
              </w:rPr>
              <w:t>42.000,00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6B300B" w14:textId="77777777" w:rsidR="00A77B3E" w:rsidRDefault="00B16CCF">
            <w:pPr>
              <w:spacing w:before="5pt"/>
              <w:rPr>
                <w:color w:val="000000"/>
                <w:sz w:val="20"/>
              </w:rPr>
            </w:pPr>
            <w:r>
              <w:rPr>
                <w:color w:val="000000"/>
                <w:sz w:val="20"/>
              </w:rPr>
              <w:t>Upravičenci in eMA2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1EC918" w14:textId="77777777" w:rsidR="00A77B3E" w:rsidRDefault="00B16CCF">
            <w:pPr>
              <w:spacing w:before="5pt"/>
              <w:rPr>
                <w:color w:val="000000"/>
                <w:sz w:val="20"/>
              </w:rPr>
            </w:pPr>
            <w:r>
              <w:rPr>
                <w:color w:val="000000"/>
                <w:sz w:val="20"/>
              </w:rPr>
              <w:t>MDDSZ po zaključku izvajanja</w:t>
            </w:r>
          </w:p>
        </w:tc>
      </w:tr>
      <w:tr w:rsidR="00823317" w14:paraId="068876C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A60081"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6E01D1" w14:textId="77777777" w:rsidR="00A77B3E" w:rsidRDefault="00B16CCF">
            <w:pPr>
              <w:spacing w:before="5pt"/>
              <w:rPr>
                <w:color w:val="000000"/>
                <w:sz w:val="20"/>
              </w:rPr>
            </w:pPr>
            <w:r>
              <w:rPr>
                <w:color w:val="000000"/>
                <w:sz w:val="20"/>
              </w:rPr>
              <w:t>ESO4.12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48AE87"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5C57C6"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9FFB89" w14:textId="77777777" w:rsidR="00A77B3E" w:rsidRDefault="00B16CCF">
            <w:pPr>
              <w:spacing w:before="5pt"/>
              <w:rPr>
                <w:color w:val="000000"/>
                <w:sz w:val="20"/>
              </w:rPr>
            </w:pPr>
            <w:r>
              <w:rPr>
                <w:color w:val="000000"/>
                <w:sz w:val="20"/>
              </w:rPr>
              <w:t>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815783" w14:textId="77777777" w:rsidR="00A77B3E" w:rsidRDefault="00B16CCF">
            <w:pPr>
              <w:spacing w:before="5pt"/>
              <w:rPr>
                <w:color w:val="000000"/>
                <w:sz w:val="20"/>
              </w:rPr>
            </w:pPr>
            <w:r>
              <w:rPr>
                <w:color w:val="000000"/>
                <w:sz w:val="20"/>
              </w:rPr>
              <w:t>Število izvedenih ur aktivnosti v večgeneracijskih centrih po zaključku izvajanja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0724E4" w14:textId="77777777" w:rsidR="00A77B3E" w:rsidRDefault="00B16CCF">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1F12AC" w14:textId="77777777" w:rsidR="00A77B3E" w:rsidRDefault="00B16CCF">
            <w:pPr>
              <w:spacing w:before="5pt"/>
              <w:jc w:val="end"/>
              <w:rPr>
                <w:color w:val="000000"/>
                <w:sz w:val="20"/>
              </w:rPr>
            </w:pPr>
            <w:r>
              <w:rPr>
                <w:color w:val="000000"/>
                <w:sz w:val="20"/>
              </w:rPr>
              <w:t>48.000,00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1C3424" w14:textId="77777777" w:rsidR="00A77B3E" w:rsidRDefault="00B16CCF">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0912E1" w14:textId="77777777" w:rsidR="00A77B3E" w:rsidRDefault="00B16CCF">
            <w:pPr>
              <w:spacing w:before="5pt"/>
              <w:jc w:val="end"/>
              <w:rPr>
                <w:color w:val="000000"/>
                <w:sz w:val="20"/>
              </w:rPr>
            </w:pPr>
            <w:r>
              <w:rPr>
                <w:color w:val="000000"/>
                <w:sz w:val="20"/>
              </w:rPr>
              <w:t>92.400,00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263EB8" w14:textId="77777777" w:rsidR="00A77B3E" w:rsidRDefault="00B16CCF">
            <w:pPr>
              <w:spacing w:before="5pt"/>
              <w:rPr>
                <w:color w:val="000000"/>
                <w:sz w:val="20"/>
              </w:rPr>
            </w:pPr>
            <w:r>
              <w:rPr>
                <w:color w:val="000000"/>
                <w:sz w:val="20"/>
              </w:rPr>
              <w:t>Upravičenci in eMA2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40F1C8" w14:textId="77777777" w:rsidR="00A77B3E" w:rsidRDefault="00B16CCF">
            <w:pPr>
              <w:spacing w:before="5pt"/>
              <w:rPr>
                <w:color w:val="000000"/>
                <w:sz w:val="20"/>
              </w:rPr>
            </w:pPr>
            <w:r>
              <w:rPr>
                <w:color w:val="000000"/>
                <w:sz w:val="20"/>
              </w:rPr>
              <w:t>MDDSZ po zaključku izvajanja</w:t>
            </w:r>
          </w:p>
        </w:tc>
      </w:tr>
    </w:tbl>
    <w:p w14:paraId="3C4254BD" w14:textId="77777777" w:rsidR="00A77B3E" w:rsidRDefault="00A77B3E">
      <w:pPr>
        <w:spacing w:before="5pt"/>
        <w:rPr>
          <w:color w:val="000000"/>
          <w:sz w:val="20"/>
        </w:rPr>
      </w:pPr>
    </w:p>
    <w:p w14:paraId="57B9AE53" w14:textId="77777777" w:rsidR="00A77B3E" w:rsidRDefault="00B16CCF">
      <w:pPr>
        <w:pStyle w:val="Naslov4"/>
        <w:spacing w:before="5pt" w:after="0pt"/>
        <w:rPr>
          <w:b w:val="0"/>
          <w:color w:val="000000"/>
          <w:sz w:val="24"/>
        </w:rPr>
      </w:pPr>
      <w:bookmarkStart w:id="586" w:name="_Toc256001347"/>
      <w:r>
        <w:rPr>
          <w:b w:val="0"/>
          <w:color w:val="000000"/>
          <w:sz w:val="24"/>
        </w:rPr>
        <w:t>2.1.1.1.3. Okvirna razčlenitev načrtovanih sredstev (EU) glede na vrsto ukrepa</w:t>
      </w:r>
      <w:bookmarkEnd w:id="586"/>
    </w:p>
    <w:p w14:paraId="096193ED" w14:textId="77777777" w:rsidR="00A77B3E" w:rsidRDefault="00A77B3E">
      <w:pPr>
        <w:spacing w:before="5pt"/>
        <w:rPr>
          <w:color w:val="000000"/>
          <w:sz w:val="0"/>
        </w:rPr>
      </w:pPr>
    </w:p>
    <w:p w14:paraId="7F74A28B" w14:textId="77777777" w:rsidR="00A77B3E" w:rsidRDefault="00B16CCF">
      <w:pPr>
        <w:spacing w:before="5pt"/>
        <w:rPr>
          <w:color w:val="000000"/>
          <w:sz w:val="0"/>
        </w:rPr>
      </w:pPr>
      <w:r>
        <w:rPr>
          <w:color w:val="000000"/>
        </w:rPr>
        <w:t>Sklic: člen 22(3)(d)(viii) uredbe o skupnih določbah</w:t>
      </w:r>
    </w:p>
    <w:p w14:paraId="388C9838" w14:textId="77777777" w:rsidR="00A77B3E" w:rsidRDefault="00B16CCF">
      <w:pPr>
        <w:pStyle w:val="Naslov5"/>
        <w:spacing w:before="5pt" w:after="0pt"/>
        <w:rPr>
          <w:b w:val="0"/>
          <w:i w:val="0"/>
          <w:color w:val="000000"/>
          <w:sz w:val="24"/>
        </w:rPr>
      </w:pPr>
      <w:bookmarkStart w:id="587" w:name="_Toc256001348"/>
      <w:r>
        <w:rPr>
          <w:b w:val="0"/>
          <w:i w:val="0"/>
          <w:color w:val="000000"/>
          <w:sz w:val="24"/>
        </w:rPr>
        <w:t>Tabela 4: Razsežnost 1 – področje ukrepanja</w:t>
      </w:r>
      <w:bookmarkEnd w:id="587"/>
    </w:p>
    <w:p w14:paraId="04B8819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98"/>
        <w:gridCol w:w="2305"/>
        <w:gridCol w:w="1674"/>
        <w:gridCol w:w="2390"/>
        <w:gridCol w:w="3160"/>
        <w:gridCol w:w="3145"/>
      </w:tblGrid>
      <w:tr w:rsidR="00823317" w14:paraId="59590CA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4FA717"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C9EA28"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28E157"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599427"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959C4B"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99DA4F" w14:textId="77777777" w:rsidR="00A77B3E" w:rsidRDefault="00B16CCF">
            <w:pPr>
              <w:spacing w:before="5pt"/>
              <w:jc w:val="center"/>
              <w:rPr>
                <w:color w:val="000000"/>
                <w:sz w:val="20"/>
              </w:rPr>
            </w:pPr>
            <w:r>
              <w:rPr>
                <w:color w:val="000000"/>
                <w:sz w:val="20"/>
              </w:rPr>
              <w:t>Znesek (v EUR)</w:t>
            </w:r>
          </w:p>
        </w:tc>
      </w:tr>
      <w:tr w:rsidR="00823317" w14:paraId="3EA4978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471133"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6BA3A6" w14:textId="77777777" w:rsidR="00A77B3E" w:rsidRDefault="00B16CCF">
            <w:pPr>
              <w:spacing w:before="5pt"/>
              <w:rPr>
                <w:color w:val="000000"/>
                <w:sz w:val="20"/>
              </w:rPr>
            </w:pPr>
            <w:r>
              <w:rPr>
                <w:color w:val="000000"/>
                <w:sz w:val="20"/>
              </w:rPr>
              <w:t>ESO4.12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71F424"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AFE4F0"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EEBF8D" w14:textId="77777777" w:rsidR="00A77B3E" w:rsidRDefault="00B16CCF">
            <w:pPr>
              <w:spacing w:before="5pt"/>
              <w:rPr>
                <w:color w:val="000000"/>
                <w:sz w:val="20"/>
              </w:rPr>
            </w:pPr>
            <w:r>
              <w:rPr>
                <w:color w:val="000000"/>
                <w:sz w:val="20"/>
              </w:rPr>
              <w:t>160. Ukrepi za večjo dostopnost, učinkovitost in vzdržljivost zdravstvenih sistemov (razen infrastrukture)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376182" w14:textId="77777777" w:rsidR="00A77B3E" w:rsidRDefault="00B16CCF">
            <w:pPr>
              <w:spacing w:before="5pt"/>
              <w:jc w:val="end"/>
              <w:rPr>
                <w:color w:val="000000"/>
                <w:sz w:val="20"/>
              </w:rPr>
            </w:pPr>
            <w:r>
              <w:rPr>
                <w:color w:val="000000"/>
                <w:sz w:val="20"/>
              </w:rPr>
              <w:t>950.000,00</w:t>
            </w:r>
          </w:p>
        </w:tc>
      </w:tr>
      <w:tr w:rsidR="00823317" w14:paraId="6F7BB75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563E68"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A4FB3D" w14:textId="77777777" w:rsidR="00A77B3E" w:rsidRDefault="00B16CCF">
            <w:pPr>
              <w:spacing w:before="5pt"/>
              <w:rPr>
                <w:color w:val="000000"/>
                <w:sz w:val="20"/>
              </w:rPr>
            </w:pPr>
            <w:r>
              <w:rPr>
                <w:color w:val="000000"/>
                <w:sz w:val="20"/>
              </w:rPr>
              <w:t>ESO4.12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473CBC"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F1CF83"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B2BEE9" w14:textId="77777777" w:rsidR="00A77B3E" w:rsidRDefault="00B16CCF">
            <w:pPr>
              <w:spacing w:before="5pt"/>
              <w:rPr>
                <w:color w:val="000000"/>
                <w:sz w:val="20"/>
              </w:rPr>
            </w:pPr>
            <w:r>
              <w:rPr>
                <w:color w:val="000000"/>
                <w:sz w:val="20"/>
              </w:rPr>
              <w:t>163. Spodbujanje družbenega vključevanja ljudi, ki jim grozi revščina ali socialna izključenost, vključno z najbolj ogroženimi in otroki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52E72F" w14:textId="77777777" w:rsidR="00A77B3E" w:rsidRDefault="00B16CCF">
            <w:pPr>
              <w:spacing w:before="5pt"/>
              <w:jc w:val="end"/>
              <w:rPr>
                <w:color w:val="000000"/>
                <w:sz w:val="20"/>
              </w:rPr>
            </w:pPr>
            <w:r>
              <w:rPr>
                <w:color w:val="000000"/>
                <w:sz w:val="20"/>
              </w:rPr>
              <w:t>15.397.482,00</w:t>
            </w:r>
          </w:p>
        </w:tc>
      </w:tr>
      <w:tr w:rsidR="00823317" w14:paraId="0E99400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354018"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E8E19D" w14:textId="77777777" w:rsidR="00A77B3E" w:rsidRDefault="00B16CCF">
            <w:pPr>
              <w:spacing w:before="5pt"/>
              <w:rPr>
                <w:color w:val="000000"/>
                <w:sz w:val="20"/>
              </w:rPr>
            </w:pPr>
            <w:r>
              <w:rPr>
                <w:color w:val="000000"/>
                <w:sz w:val="20"/>
              </w:rPr>
              <w:t>ESO4.12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24187A"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CBF55C"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90999E" w14:textId="77777777" w:rsidR="00A77B3E" w:rsidRDefault="00B16CCF">
            <w:pPr>
              <w:spacing w:before="5pt"/>
              <w:rPr>
                <w:color w:val="000000"/>
                <w:sz w:val="20"/>
              </w:rPr>
            </w:pPr>
            <w:r>
              <w:rPr>
                <w:color w:val="000000"/>
                <w:sz w:val="20"/>
              </w:rPr>
              <w:t>160. Ukrepi za večjo dostopnost, učinkovitost in vzdržljivost zdravstvenih sistemov (razen infrastrukture)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624261" w14:textId="77777777" w:rsidR="00A77B3E" w:rsidRDefault="00B16CCF">
            <w:pPr>
              <w:spacing w:before="5pt"/>
              <w:jc w:val="end"/>
              <w:rPr>
                <w:color w:val="000000"/>
                <w:sz w:val="20"/>
              </w:rPr>
            </w:pPr>
            <w:r>
              <w:rPr>
                <w:color w:val="000000"/>
                <w:sz w:val="20"/>
              </w:rPr>
              <w:t>2.010.000,00</w:t>
            </w:r>
          </w:p>
        </w:tc>
      </w:tr>
      <w:tr w:rsidR="00823317" w14:paraId="2D21020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394C1F"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29FF01" w14:textId="77777777" w:rsidR="00A77B3E" w:rsidRDefault="00B16CCF">
            <w:pPr>
              <w:spacing w:before="5pt"/>
              <w:rPr>
                <w:color w:val="000000"/>
                <w:sz w:val="20"/>
              </w:rPr>
            </w:pPr>
            <w:r>
              <w:rPr>
                <w:color w:val="000000"/>
                <w:sz w:val="20"/>
              </w:rPr>
              <w:t>ESO4.12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28969E"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26E949"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D09713" w14:textId="77777777" w:rsidR="00A77B3E" w:rsidRDefault="00B16CCF">
            <w:pPr>
              <w:spacing w:before="5pt"/>
              <w:rPr>
                <w:color w:val="000000"/>
                <w:sz w:val="20"/>
              </w:rPr>
            </w:pPr>
            <w:r>
              <w:rPr>
                <w:color w:val="000000"/>
                <w:sz w:val="20"/>
              </w:rPr>
              <w:t>163. Spodbujanje družbenega vključevanja ljudi, ki jim grozi revščina ali socialna izključenost, vključno z najbolj ogroženimi in otroki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4069A0" w14:textId="77777777" w:rsidR="00A77B3E" w:rsidRDefault="00B16CCF">
            <w:pPr>
              <w:spacing w:before="5pt"/>
              <w:jc w:val="end"/>
              <w:rPr>
                <w:color w:val="000000"/>
                <w:sz w:val="20"/>
              </w:rPr>
            </w:pPr>
            <w:r>
              <w:rPr>
                <w:color w:val="000000"/>
                <w:sz w:val="20"/>
              </w:rPr>
              <w:t>40.942.000,00</w:t>
            </w:r>
          </w:p>
        </w:tc>
      </w:tr>
      <w:tr w:rsidR="00823317" w14:paraId="3F618E5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57BDC0"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176E94" w14:textId="77777777" w:rsidR="00A77B3E" w:rsidRDefault="00B16CCF">
            <w:pPr>
              <w:spacing w:before="5pt"/>
              <w:rPr>
                <w:color w:val="000000"/>
                <w:sz w:val="20"/>
              </w:rPr>
            </w:pPr>
            <w:r>
              <w:rPr>
                <w:color w:val="000000"/>
                <w:sz w:val="20"/>
              </w:rPr>
              <w:t>ESO4.12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F9F8F5"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D0BD00"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EF755B"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75DB0F" w14:textId="77777777" w:rsidR="00A77B3E" w:rsidRDefault="00B16CCF">
            <w:pPr>
              <w:spacing w:before="5pt"/>
              <w:jc w:val="end"/>
              <w:rPr>
                <w:color w:val="000000"/>
                <w:sz w:val="20"/>
              </w:rPr>
            </w:pPr>
            <w:r>
              <w:rPr>
                <w:color w:val="000000"/>
                <w:sz w:val="20"/>
              </w:rPr>
              <w:t>59.299.482,00</w:t>
            </w:r>
          </w:p>
        </w:tc>
      </w:tr>
    </w:tbl>
    <w:p w14:paraId="1C9F744F" w14:textId="77777777" w:rsidR="00A77B3E" w:rsidRDefault="00A77B3E">
      <w:pPr>
        <w:spacing w:before="5pt"/>
        <w:rPr>
          <w:color w:val="000000"/>
          <w:sz w:val="20"/>
        </w:rPr>
      </w:pPr>
    </w:p>
    <w:p w14:paraId="2C3DAB1B" w14:textId="77777777" w:rsidR="00A77B3E" w:rsidRDefault="00B16CCF">
      <w:pPr>
        <w:pStyle w:val="Naslov5"/>
        <w:spacing w:before="5pt" w:after="0pt"/>
        <w:rPr>
          <w:b w:val="0"/>
          <w:i w:val="0"/>
          <w:color w:val="000000"/>
          <w:sz w:val="24"/>
        </w:rPr>
      </w:pPr>
      <w:bookmarkStart w:id="588" w:name="_Toc256001349"/>
      <w:r>
        <w:rPr>
          <w:b w:val="0"/>
          <w:i w:val="0"/>
          <w:color w:val="000000"/>
          <w:sz w:val="24"/>
        </w:rPr>
        <w:t>Tabela 5: Razsežnost 2 – oblika financiranja</w:t>
      </w:r>
      <w:bookmarkEnd w:id="588"/>
    </w:p>
    <w:p w14:paraId="54D9EB5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93"/>
        <w:gridCol w:w="2392"/>
        <w:gridCol w:w="1737"/>
        <w:gridCol w:w="2480"/>
        <w:gridCol w:w="2706"/>
        <w:gridCol w:w="3264"/>
      </w:tblGrid>
      <w:tr w:rsidR="00823317" w14:paraId="658F790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2591B0" w14:textId="77777777" w:rsidR="00A77B3E" w:rsidRDefault="00B16CCF">
            <w:pPr>
              <w:spacing w:before="5pt"/>
              <w:jc w:val="center"/>
              <w:rPr>
                <w:color w:val="000000"/>
                <w:sz w:val="20"/>
              </w:rPr>
            </w:pPr>
            <w:r>
              <w:rPr>
                <w:color w:val="000000"/>
                <w:sz w:val="20"/>
              </w:rPr>
              <w:lastRenderedPageBreak/>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52F22B"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211E4F"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948980"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6BD44F"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BCA840" w14:textId="77777777" w:rsidR="00A77B3E" w:rsidRDefault="00B16CCF">
            <w:pPr>
              <w:spacing w:before="5pt"/>
              <w:jc w:val="center"/>
              <w:rPr>
                <w:color w:val="000000"/>
                <w:sz w:val="20"/>
              </w:rPr>
            </w:pPr>
            <w:r>
              <w:rPr>
                <w:color w:val="000000"/>
                <w:sz w:val="20"/>
              </w:rPr>
              <w:t>Znesek (v EUR)</w:t>
            </w:r>
          </w:p>
        </w:tc>
      </w:tr>
      <w:tr w:rsidR="00823317" w14:paraId="6483885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225928"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C3310A" w14:textId="77777777" w:rsidR="00A77B3E" w:rsidRDefault="00B16CCF">
            <w:pPr>
              <w:spacing w:before="5pt"/>
              <w:rPr>
                <w:color w:val="000000"/>
                <w:sz w:val="20"/>
              </w:rPr>
            </w:pPr>
            <w:r>
              <w:rPr>
                <w:color w:val="000000"/>
                <w:sz w:val="20"/>
              </w:rPr>
              <w:t>ESO4.12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3D40D9"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ED941C"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57B065" w14:textId="77777777" w:rsidR="00A77B3E" w:rsidRDefault="00B16CCF">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16CB56" w14:textId="77777777" w:rsidR="00A77B3E" w:rsidRDefault="00B16CCF">
            <w:pPr>
              <w:spacing w:before="5pt"/>
              <w:jc w:val="end"/>
              <w:rPr>
                <w:color w:val="000000"/>
                <w:sz w:val="20"/>
              </w:rPr>
            </w:pPr>
            <w:r>
              <w:rPr>
                <w:color w:val="000000"/>
                <w:sz w:val="20"/>
              </w:rPr>
              <w:t>16.347.482,00</w:t>
            </w:r>
          </w:p>
        </w:tc>
      </w:tr>
      <w:tr w:rsidR="00823317" w14:paraId="27EFADE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136E2B"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76304C" w14:textId="77777777" w:rsidR="00A77B3E" w:rsidRDefault="00B16CCF">
            <w:pPr>
              <w:spacing w:before="5pt"/>
              <w:rPr>
                <w:color w:val="000000"/>
                <w:sz w:val="20"/>
              </w:rPr>
            </w:pPr>
            <w:r>
              <w:rPr>
                <w:color w:val="000000"/>
                <w:sz w:val="20"/>
              </w:rPr>
              <w:t>ESO4.12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27DB27"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0F57A2"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A1D458" w14:textId="77777777" w:rsidR="00A77B3E" w:rsidRDefault="00B16CCF">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5BFC6D" w14:textId="77777777" w:rsidR="00A77B3E" w:rsidRDefault="00B16CCF">
            <w:pPr>
              <w:spacing w:before="5pt"/>
              <w:jc w:val="end"/>
              <w:rPr>
                <w:color w:val="000000"/>
                <w:sz w:val="20"/>
              </w:rPr>
            </w:pPr>
            <w:r>
              <w:rPr>
                <w:color w:val="000000"/>
                <w:sz w:val="20"/>
              </w:rPr>
              <w:t>42.952.000,00</w:t>
            </w:r>
          </w:p>
        </w:tc>
      </w:tr>
      <w:tr w:rsidR="00823317" w14:paraId="315CDA8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EE40C5"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37899A" w14:textId="77777777" w:rsidR="00A77B3E" w:rsidRDefault="00B16CCF">
            <w:pPr>
              <w:spacing w:before="5pt"/>
              <w:rPr>
                <w:color w:val="000000"/>
                <w:sz w:val="20"/>
              </w:rPr>
            </w:pPr>
            <w:r>
              <w:rPr>
                <w:color w:val="000000"/>
                <w:sz w:val="20"/>
              </w:rPr>
              <w:t>ESO4.12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A6B016"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BE1F59"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C56DA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0B7A39" w14:textId="77777777" w:rsidR="00A77B3E" w:rsidRDefault="00B16CCF">
            <w:pPr>
              <w:spacing w:before="5pt"/>
              <w:jc w:val="end"/>
              <w:rPr>
                <w:color w:val="000000"/>
                <w:sz w:val="20"/>
              </w:rPr>
            </w:pPr>
            <w:r>
              <w:rPr>
                <w:color w:val="000000"/>
                <w:sz w:val="20"/>
              </w:rPr>
              <w:t>59.299.482,00</w:t>
            </w:r>
          </w:p>
        </w:tc>
      </w:tr>
    </w:tbl>
    <w:p w14:paraId="5237AC87" w14:textId="77777777" w:rsidR="00A77B3E" w:rsidRDefault="00A77B3E">
      <w:pPr>
        <w:spacing w:before="5pt"/>
        <w:rPr>
          <w:color w:val="000000"/>
          <w:sz w:val="20"/>
        </w:rPr>
      </w:pPr>
    </w:p>
    <w:p w14:paraId="3CE2A82F" w14:textId="77777777" w:rsidR="00A77B3E" w:rsidRDefault="00B16CCF">
      <w:pPr>
        <w:pStyle w:val="Naslov5"/>
        <w:spacing w:before="5pt" w:after="0pt"/>
        <w:rPr>
          <w:b w:val="0"/>
          <w:i w:val="0"/>
          <w:color w:val="000000"/>
          <w:sz w:val="24"/>
        </w:rPr>
      </w:pPr>
      <w:bookmarkStart w:id="589" w:name="_Toc256001350"/>
      <w:r>
        <w:rPr>
          <w:b w:val="0"/>
          <w:i w:val="0"/>
          <w:color w:val="000000"/>
          <w:sz w:val="24"/>
        </w:rPr>
        <w:t>Tabela 6: Razsežnost 3 – mehanizem za ozemeljsko izvrševanje in ozemeljski pristop</w:t>
      </w:r>
      <w:bookmarkEnd w:id="589"/>
    </w:p>
    <w:p w14:paraId="5E5AF78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26"/>
        <w:gridCol w:w="2331"/>
        <w:gridCol w:w="1692"/>
        <w:gridCol w:w="2416"/>
        <w:gridCol w:w="3027"/>
        <w:gridCol w:w="3180"/>
      </w:tblGrid>
      <w:tr w:rsidR="00823317" w14:paraId="3833BDA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D7CC50"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C60F14"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3D28F7"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595622"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4A3E5B"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46E108" w14:textId="77777777" w:rsidR="00A77B3E" w:rsidRDefault="00B16CCF">
            <w:pPr>
              <w:spacing w:before="5pt"/>
              <w:jc w:val="center"/>
              <w:rPr>
                <w:color w:val="000000"/>
                <w:sz w:val="20"/>
              </w:rPr>
            </w:pPr>
            <w:r>
              <w:rPr>
                <w:color w:val="000000"/>
                <w:sz w:val="20"/>
              </w:rPr>
              <w:t>Znesek (v EUR)</w:t>
            </w:r>
          </w:p>
        </w:tc>
      </w:tr>
      <w:tr w:rsidR="00823317" w14:paraId="3315EA7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00AAE2"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A85E72" w14:textId="77777777" w:rsidR="00A77B3E" w:rsidRDefault="00B16CCF">
            <w:pPr>
              <w:spacing w:before="5pt"/>
              <w:rPr>
                <w:color w:val="000000"/>
                <w:sz w:val="20"/>
              </w:rPr>
            </w:pPr>
            <w:r>
              <w:rPr>
                <w:color w:val="000000"/>
                <w:sz w:val="20"/>
              </w:rPr>
              <w:t>ESO4.12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3BF3B0"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006A39"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F7EAE5" w14:textId="77777777" w:rsidR="00A77B3E" w:rsidRDefault="00B16CCF">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FB1307" w14:textId="77777777" w:rsidR="00A77B3E" w:rsidRDefault="00B16CCF">
            <w:pPr>
              <w:spacing w:before="5pt"/>
              <w:jc w:val="end"/>
              <w:rPr>
                <w:color w:val="000000"/>
                <w:sz w:val="20"/>
              </w:rPr>
            </w:pPr>
            <w:r>
              <w:rPr>
                <w:color w:val="000000"/>
                <w:sz w:val="20"/>
              </w:rPr>
              <w:t>16.347.482,00</w:t>
            </w:r>
          </w:p>
        </w:tc>
      </w:tr>
      <w:tr w:rsidR="00823317" w14:paraId="727E31F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D04818"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6AA665" w14:textId="77777777" w:rsidR="00A77B3E" w:rsidRDefault="00B16CCF">
            <w:pPr>
              <w:spacing w:before="5pt"/>
              <w:rPr>
                <w:color w:val="000000"/>
                <w:sz w:val="20"/>
              </w:rPr>
            </w:pPr>
            <w:r>
              <w:rPr>
                <w:color w:val="000000"/>
                <w:sz w:val="20"/>
              </w:rPr>
              <w:t>ESO4.12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7E5D43"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CCB4BF"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3EE252" w14:textId="77777777" w:rsidR="00A77B3E" w:rsidRDefault="00B16CCF">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7D42F3" w14:textId="77777777" w:rsidR="00A77B3E" w:rsidRDefault="00B16CCF">
            <w:pPr>
              <w:spacing w:before="5pt"/>
              <w:jc w:val="end"/>
              <w:rPr>
                <w:color w:val="000000"/>
                <w:sz w:val="20"/>
              </w:rPr>
            </w:pPr>
            <w:r>
              <w:rPr>
                <w:color w:val="000000"/>
                <w:sz w:val="20"/>
              </w:rPr>
              <w:t>42.952.000,00</w:t>
            </w:r>
          </w:p>
        </w:tc>
      </w:tr>
      <w:tr w:rsidR="00823317" w14:paraId="172BF1B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502B85"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A27625" w14:textId="77777777" w:rsidR="00A77B3E" w:rsidRDefault="00B16CCF">
            <w:pPr>
              <w:spacing w:before="5pt"/>
              <w:rPr>
                <w:color w:val="000000"/>
                <w:sz w:val="20"/>
              </w:rPr>
            </w:pPr>
            <w:r>
              <w:rPr>
                <w:color w:val="000000"/>
                <w:sz w:val="20"/>
              </w:rPr>
              <w:t>ESO4.12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9B216A"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5DAD4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CD91D4"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60305B" w14:textId="77777777" w:rsidR="00A77B3E" w:rsidRDefault="00B16CCF">
            <w:pPr>
              <w:spacing w:before="5pt"/>
              <w:jc w:val="end"/>
              <w:rPr>
                <w:color w:val="000000"/>
                <w:sz w:val="20"/>
              </w:rPr>
            </w:pPr>
            <w:r>
              <w:rPr>
                <w:color w:val="000000"/>
                <w:sz w:val="20"/>
              </w:rPr>
              <w:t>59.299.482,00</w:t>
            </w:r>
          </w:p>
        </w:tc>
      </w:tr>
    </w:tbl>
    <w:p w14:paraId="0BE3FCF4" w14:textId="77777777" w:rsidR="00A77B3E" w:rsidRDefault="00A77B3E">
      <w:pPr>
        <w:spacing w:before="5pt"/>
        <w:rPr>
          <w:color w:val="000000"/>
          <w:sz w:val="20"/>
        </w:rPr>
      </w:pPr>
    </w:p>
    <w:p w14:paraId="446BD476" w14:textId="77777777" w:rsidR="00A77B3E" w:rsidRDefault="00B16CCF">
      <w:pPr>
        <w:pStyle w:val="Naslov5"/>
        <w:spacing w:before="5pt" w:after="0pt"/>
        <w:rPr>
          <w:b w:val="0"/>
          <w:i w:val="0"/>
          <w:color w:val="000000"/>
          <w:sz w:val="24"/>
        </w:rPr>
      </w:pPr>
      <w:bookmarkStart w:id="590" w:name="_Toc256001351"/>
      <w:r>
        <w:rPr>
          <w:b w:val="0"/>
          <w:i w:val="0"/>
          <w:color w:val="000000"/>
          <w:sz w:val="24"/>
        </w:rPr>
        <w:t>Tabela 7: Razsežnost 6 – sekundarna področja ESS+</w:t>
      </w:r>
      <w:bookmarkEnd w:id="590"/>
    </w:p>
    <w:p w14:paraId="77C2991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33"/>
        <w:gridCol w:w="2429"/>
        <w:gridCol w:w="1763"/>
        <w:gridCol w:w="2517"/>
        <w:gridCol w:w="2517"/>
        <w:gridCol w:w="3313"/>
      </w:tblGrid>
      <w:tr w:rsidR="00823317" w14:paraId="3DF321D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771815"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E3E806"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48F48A"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DA1B1D"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4EFE3A"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7BD6FB" w14:textId="77777777" w:rsidR="00A77B3E" w:rsidRDefault="00B16CCF">
            <w:pPr>
              <w:spacing w:before="5pt"/>
              <w:jc w:val="center"/>
              <w:rPr>
                <w:color w:val="000000"/>
                <w:sz w:val="20"/>
              </w:rPr>
            </w:pPr>
            <w:r>
              <w:rPr>
                <w:color w:val="000000"/>
                <w:sz w:val="20"/>
              </w:rPr>
              <w:t>Znesek (v EUR)</w:t>
            </w:r>
          </w:p>
        </w:tc>
      </w:tr>
      <w:tr w:rsidR="00823317" w14:paraId="659374A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6619F6"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FEB893" w14:textId="77777777" w:rsidR="00A77B3E" w:rsidRDefault="00B16CCF">
            <w:pPr>
              <w:spacing w:before="5pt"/>
              <w:rPr>
                <w:color w:val="000000"/>
                <w:sz w:val="20"/>
              </w:rPr>
            </w:pPr>
            <w:r>
              <w:rPr>
                <w:color w:val="000000"/>
                <w:sz w:val="20"/>
              </w:rPr>
              <w:t>ESO4.12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FBC0CF"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20A423"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458B82" w14:textId="77777777" w:rsidR="00A77B3E" w:rsidRDefault="00B16CCF">
            <w:pPr>
              <w:spacing w:before="5pt"/>
              <w:rPr>
                <w:color w:val="000000"/>
                <w:sz w:val="20"/>
              </w:rPr>
            </w:pPr>
            <w:r>
              <w:rPr>
                <w:color w:val="000000"/>
                <w:sz w:val="20"/>
              </w:rPr>
              <w:t>09. Ni relevantno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05EE4B" w14:textId="77777777" w:rsidR="00A77B3E" w:rsidRDefault="00B16CCF">
            <w:pPr>
              <w:spacing w:before="5pt"/>
              <w:jc w:val="end"/>
              <w:rPr>
                <w:color w:val="000000"/>
                <w:sz w:val="20"/>
              </w:rPr>
            </w:pPr>
            <w:r>
              <w:rPr>
                <w:color w:val="000000"/>
                <w:sz w:val="20"/>
              </w:rPr>
              <w:t>16.347.482,00</w:t>
            </w:r>
          </w:p>
        </w:tc>
      </w:tr>
      <w:tr w:rsidR="00823317" w14:paraId="329E554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EF40D3"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96B8CA" w14:textId="77777777" w:rsidR="00A77B3E" w:rsidRDefault="00B16CCF">
            <w:pPr>
              <w:spacing w:before="5pt"/>
              <w:rPr>
                <w:color w:val="000000"/>
                <w:sz w:val="20"/>
              </w:rPr>
            </w:pPr>
            <w:r>
              <w:rPr>
                <w:color w:val="000000"/>
                <w:sz w:val="20"/>
              </w:rPr>
              <w:t>ESO4.12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3C0AEE"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7C155E"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4C86E0" w14:textId="77777777" w:rsidR="00A77B3E" w:rsidRDefault="00B16CCF">
            <w:pPr>
              <w:spacing w:before="5pt"/>
              <w:rPr>
                <w:color w:val="000000"/>
                <w:sz w:val="20"/>
              </w:rPr>
            </w:pPr>
            <w:r>
              <w:rPr>
                <w:color w:val="000000"/>
                <w:sz w:val="20"/>
              </w:rPr>
              <w:t>09. Ni relevantno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DEFD0B" w14:textId="77777777" w:rsidR="00A77B3E" w:rsidRDefault="00B16CCF">
            <w:pPr>
              <w:spacing w:before="5pt"/>
              <w:jc w:val="end"/>
              <w:rPr>
                <w:color w:val="000000"/>
                <w:sz w:val="20"/>
              </w:rPr>
            </w:pPr>
            <w:r>
              <w:rPr>
                <w:color w:val="000000"/>
                <w:sz w:val="20"/>
              </w:rPr>
              <w:t>42.952.000,00</w:t>
            </w:r>
          </w:p>
        </w:tc>
      </w:tr>
      <w:tr w:rsidR="00823317" w14:paraId="1099D43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3A6D2A"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7AE56E" w14:textId="77777777" w:rsidR="00A77B3E" w:rsidRDefault="00B16CCF">
            <w:pPr>
              <w:spacing w:before="5pt"/>
              <w:rPr>
                <w:color w:val="000000"/>
                <w:sz w:val="20"/>
              </w:rPr>
            </w:pPr>
            <w:r>
              <w:rPr>
                <w:color w:val="000000"/>
                <w:sz w:val="20"/>
              </w:rPr>
              <w:t>ESO4.12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C0B2DC"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9A6C2E"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34D469"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C5A6B9" w14:textId="77777777" w:rsidR="00A77B3E" w:rsidRDefault="00B16CCF">
            <w:pPr>
              <w:spacing w:before="5pt"/>
              <w:jc w:val="end"/>
              <w:rPr>
                <w:color w:val="000000"/>
                <w:sz w:val="20"/>
              </w:rPr>
            </w:pPr>
            <w:r>
              <w:rPr>
                <w:color w:val="000000"/>
                <w:sz w:val="20"/>
              </w:rPr>
              <w:t>59.299.482,00</w:t>
            </w:r>
          </w:p>
        </w:tc>
      </w:tr>
    </w:tbl>
    <w:p w14:paraId="786FD125" w14:textId="77777777" w:rsidR="00A77B3E" w:rsidRDefault="00A77B3E">
      <w:pPr>
        <w:spacing w:before="5pt"/>
        <w:rPr>
          <w:color w:val="000000"/>
          <w:sz w:val="20"/>
        </w:rPr>
      </w:pPr>
    </w:p>
    <w:p w14:paraId="74B75FFD" w14:textId="77777777" w:rsidR="00A77B3E" w:rsidRDefault="00B16CCF">
      <w:pPr>
        <w:pStyle w:val="Naslov5"/>
        <w:spacing w:before="5pt" w:after="0pt"/>
        <w:rPr>
          <w:b w:val="0"/>
          <w:i w:val="0"/>
          <w:color w:val="000000"/>
          <w:sz w:val="24"/>
        </w:rPr>
      </w:pPr>
      <w:bookmarkStart w:id="591" w:name="_Toc256001352"/>
      <w:r>
        <w:rPr>
          <w:b w:val="0"/>
          <w:i w:val="0"/>
          <w:color w:val="000000"/>
          <w:sz w:val="24"/>
        </w:rPr>
        <w:t>Tabela 8: Razsežnost 7 – razsežnost enakosti spolov v okviru ESS+*, ESRR, Kohezijskega sklada in SPP</w:t>
      </w:r>
      <w:bookmarkEnd w:id="591"/>
    </w:p>
    <w:p w14:paraId="39EA6E5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35"/>
        <w:gridCol w:w="2339"/>
        <w:gridCol w:w="1699"/>
        <w:gridCol w:w="2425"/>
        <w:gridCol w:w="2983"/>
        <w:gridCol w:w="3191"/>
      </w:tblGrid>
      <w:tr w:rsidR="00823317" w14:paraId="5EA8517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96C136"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7F1FC4"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F27274"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1D943A"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3CC1E82"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BB25DD" w14:textId="77777777" w:rsidR="00A77B3E" w:rsidRDefault="00B16CCF">
            <w:pPr>
              <w:spacing w:before="5pt"/>
              <w:jc w:val="center"/>
              <w:rPr>
                <w:color w:val="000000"/>
                <w:sz w:val="20"/>
              </w:rPr>
            </w:pPr>
            <w:r>
              <w:rPr>
                <w:color w:val="000000"/>
                <w:sz w:val="20"/>
              </w:rPr>
              <w:t>Znesek (v EUR)</w:t>
            </w:r>
          </w:p>
        </w:tc>
      </w:tr>
      <w:tr w:rsidR="00823317" w14:paraId="28C560E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496B29"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A1018C" w14:textId="77777777" w:rsidR="00A77B3E" w:rsidRDefault="00B16CCF">
            <w:pPr>
              <w:spacing w:before="5pt"/>
              <w:rPr>
                <w:color w:val="000000"/>
                <w:sz w:val="20"/>
              </w:rPr>
            </w:pPr>
            <w:r>
              <w:rPr>
                <w:color w:val="000000"/>
                <w:sz w:val="20"/>
              </w:rPr>
              <w:t>ESO4.12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C5493A"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97092B"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477AF4" w14:textId="77777777" w:rsidR="00A77B3E" w:rsidRDefault="00B16CCF">
            <w:pPr>
              <w:spacing w:before="5pt"/>
              <w:rPr>
                <w:color w:val="000000"/>
                <w:sz w:val="20"/>
              </w:rPr>
            </w:pPr>
            <w:r>
              <w:rPr>
                <w:color w:val="000000"/>
                <w:sz w:val="20"/>
              </w:rPr>
              <w:t>02. Vključevanje vidika spola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44D5A7" w14:textId="77777777" w:rsidR="00A77B3E" w:rsidRDefault="00B16CCF">
            <w:pPr>
              <w:spacing w:before="5pt"/>
              <w:jc w:val="end"/>
              <w:rPr>
                <w:color w:val="000000"/>
                <w:sz w:val="20"/>
              </w:rPr>
            </w:pPr>
            <w:r>
              <w:rPr>
                <w:color w:val="000000"/>
                <w:sz w:val="20"/>
              </w:rPr>
              <w:t>16.347.482,00</w:t>
            </w:r>
          </w:p>
        </w:tc>
      </w:tr>
      <w:tr w:rsidR="00823317" w14:paraId="7EFDB1D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2353B6"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4F4621" w14:textId="77777777" w:rsidR="00A77B3E" w:rsidRDefault="00B16CCF">
            <w:pPr>
              <w:spacing w:before="5pt"/>
              <w:rPr>
                <w:color w:val="000000"/>
                <w:sz w:val="20"/>
              </w:rPr>
            </w:pPr>
            <w:r>
              <w:rPr>
                <w:color w:val="000000"/>
                <w:sz w:val="20"/>
              </w:rPr>
              <w:t>ESO4.12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425819" w14:textId="77777777" w:rsidR="00A77B3E" w:rsidRDefault="00B16CCF">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3A9771"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D09427" w14:textId="77777777" w:rsidR="00A77B3E" w:rsidRDefault="00B16CCF">
            <w:pPr>
              <w:spacing w:before="5pt"/>
              <w:rPr>
                <w:color w:val="000000"/>
                <w:sz w:val="20"/>
              </w:rPr>
            </w:pPr>
            <w:r>
              <w:rPr>
                <w:color w:val="000000"/>
                <w:sz w:val="20"/>
              </w:rPr>
              <w:t>02. Vključevanje vidika spola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D08EA8" w14:textId="77777777" w:rsidR="00A77B3E" w:rsidRDefault="00B16CCF">
            <w:pPr>
              <w:spacing w:before="5pt"/>
              <w:jc w:val="end"/>
              <w:rPr>
                <w:color w:val="000000"/>
                <w:sz w:val="20"/>
              </w:rPr>
            </w:pPr>
            <w:r>
              <w:rPr>
                <w:color w:val="000000"/>
                <w:sz w:val="20"/>
              </w:rPr>
              <w:t>42.952.000,00</w:t>
            </w:r>
          </w:p>
        </w:tc>
      </w:tr>
      <w:tr w:rsidR="00823317" w14:paraId="0B47023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9CC48C" w14:textId="77777777" w:rsidR="00A77B3E" w:rsidRDefault="00B16CCF">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2D0C4B" w14:textId="77777777" w:rsidR="00A77B3E" w:rsidRDefault="00B16CCF">
            <w:pPr>
              <w:spacing w:before="5pt"/>
              <w:rPr>
                <w:color w:val="000000"/>
                <w:sz w:val="20"/>
              </w:rPr>
            </w:pPr>
            <w:r>
              <w:rPr>
                <w:color w:val="000000"/>
                <w:sz w:val="20"/>
              </w:rPr>
              <w:t>ESO4.12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3D867E"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5D632A"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B248D5"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A0CF8C" w14:textId="77777777" w:rsidR="00A77B3E" w:rsidRDefault="00B16CCF">
            <w:pPr>
              <w:spacing w:before="5pt"/>
              <w:jc w:val="end"/>
              <w:rPr>
                <w:color w:val="000000"/>
                <w:sz w:val="20"/>
              </w:rPr>
            </w:pPr>
            <w:r>
              <w:rPr>
                <w:color w:val="000000"/>
                <w:sz w:val="20"/>
              </w:rPr>
              <w:t>59.299.482,00</w:t>
            </w:r>
          </w:p>
        </w:tc>
      </w:tr>
    </w:tbl>
    <w:p w14:paraId="3E2D5924" w14:textId="77777777" w:rsidR="00A77B3E" w:rsidRDefault="00B16CCF">
      <w:pPr>
        <w:spacing w:before="5pt"/>
        <w:rPr>
          <w:color w:val="000000"/>
          <w:sz w:val="20"/>
        </w:rPr>
      </w:pPr>
      <w:r>
        <w:rPr>
          <w:color w:val="000000"/>
          <w:sz w:val="20"/>
        </w:rPr>
        <w:t>* Načeloma 40 % za ESS+ prispeva k spremljanju enakosti spolov. 100 % se uporabi, kadar se država članica odloči za uporabo člena 6 uredbe o ESS+.</w:t>
      </w:r>
    </w:p>
    <w:p w14:paraId="6CC18D65" w14:textId="77777777" w:rsidR="00A77B3E" w:rsidRDefault="00B16CCF">
      <w:pPr>
        <w:pStyle w:val="Naslov3"/>
        <w:spacing w:before="5pt" w:after="0pt"/>
        <w:rPr>
          <w:rFonts w:ascii="Times New Roman" w:hAnsi="Times New Roman" w:cs="Times New Roman"/>
          <w:b w:val="0"/>
          <w:color w:val="000000"/>
          <w:sz w:val="24"/>
        </w:rPr>
      </w:pPr>
      <w:r>
        <w:rPr>
          <w:rFonts w:ascii="Times New Roman" w:hAnsi="Times New Roman" w:cs="Times New Roman"/>
          <w:b w:val="0"/>
          <w:color w:val="000000"/>
          <w:sz w:val="24"/>
        </w:rPr>
        <w:br w:type="page"/>
      </w:r>
      <w:bookmarkStart w:id="592" w:name="_Toc256001353"/>
      <w:r>
        <w:rPr>
          <w:rFonts w:ascii="Times New Roman" w:hAnsi="Times New Roman" w:cs="Times New Roman"/>
          <w:b w:val="0"/>
          <w:color w:val="000000"/>
          <w:sz w:val="24"/>
        </w:rPr>
        <w:lastRenderedPageBreak/>
        <w:t>2.1.1. Prednostna naloga: 8. Trajnostna turizem in kultura</w:t>
      </w:r>
      <w:bookmarkEnd w:id="592"/>
    </w:p>
    <w:p w14:paraId="585A5B4B" w14:textId="77777777" w:rsidR="00A77B3E" w:rsidRDefault="00A77B3E">
      <w:pPr>
        <w:spacing w:before="5pt"/>
        <w:rPr>
          <w:color w:val="000000"/>
          <w:sz w:val="0"/>
        </w:rPr>
      </w:pPr>
    </w:p>
    <w:p w14:paraId="1D6D32FA" w14:textId="77777777" w:rsidR="00A77B3E" w:rsidRDefault="00B16CCF">
      <w:pPr>
        <w:pStyle w:val="Naslov4"/>
        <w:spacing w:before="5pt" w:after="0pt"/>
        <w:rPr>
          <w:b w:val="0"/>
          <w:color w:val="000000"/>
          <w:sz w:val="24"/>
        </w:rPr>
      </w:pPr>
      <w:bookmarkStart w:id="593" w:name="_Toc256001354"/>
      <w:r>
        <w:rPr>
          <w:b w:val="0"/>
          <w:color w:val="000000"/>
          <w:sz w:val="24"/>
        </w:rPr>
        <w:t>2.1.1.1. Specifični cilj: RSO4.6. Krepitev vloge kulture in trajnostnega turizma pri gospodarskem razvoju, socialni vključenosti in socialnih inovacijah (ESRR)</w:t>
      </w:r>
      <w:bookmarkEnd w:id="593"/>
    </w:p>
    <w:p w14:paraId="0149556D" w14:textId="77777777" w:rsidR="00A77B3E" w:rsidRDefault="00A77B3E">
      <w:pPr>
        <w:spacing w:before="5pt"/>
        <w:rPr>
          <w:color w:val="000000"/>
          <w:sz w:val="0"/>
        </w:rPr>
      </w:pPr>
    </w:p>
    <w:p w14:paraId="755ED757" w14:textId="77777777" w:rsidR="00A77B3E" w:rsidRDefault="00B16CCF">
      <w:pPr>
        <w:pStyle w:val="Naslov4"/>
        <w:spacing w:before="5pt" w:after="0pt"/>
        <w:rPr>
          <w:b w:val="0"/>
          <w:color w:val="000000"/>
          <w:sz w:val="24"/>
        </w:rPr>
      </w:pPr>
      <w:bookmarkStart w:id="594" w:name="_Toc256001355"/>
      <w:r>
        <w:rPr>
          <w:b w:val="0"/>
          <w:color w:val="000000"/>
          <w:sz w:val="24"/>
        </w:rPr>
        <w:t>2.1.1.1.1. Ukrepi skladov</w:t>
      </w:r>
      <w:bookmarkEnd w:id="594"/>
    </w:p>
    <w:p w14:paraId="52780CE8" w14:textId="77777777" w:rsidR="00A77B3E" w:rsidRDefault="00A77B3E">
      <w:pPr>
        <w:spacing w:before="5pt"/>
        <w:rPr>
          <w:color w:val="000000"/>
          <w:sz w:val="0"/>
        </w:rPr>
      </w:pPr>
    </w:p>
    <w:p w14:paraId="6293FFAA" w14:textId="77777777" w:rsidR="00A77B3E" w:rsidRDefault="00B16CCF">
      <w:pPr>
        <w:spacing w:before="5pt"/>
        <w:rPr>
          <w:color w:val="000000"/>
          <w:sz w:val="0"/>
        </w:rPr>
      </w:pPr>
      <w:r>
        <w:rPr>
          <w:color w:val="000000"/>
        </w:rPr>
        <w:t>Sklic: člen 22(3)(d)(i), (iii), (iv), (v), (vi) in (vii) uredbe o skupnih določbah</w:t>
      </w:r>
    </w:p>
    <w:p w14:paraId="62C3FF5D" w14:textId="77777777" w:rsidR="00A77B3E" w:rsidRDefault="00B16CCF">
      <w:pPr>
        <w:pStyle w:val="Naslov5"/>
        <w:spacing w:before="5pt" w:after="0pt"/>
        <w:rPr>
          <w:b w:val="0"/>
          <w:i w:val="0"/>
          <w:color w:val="000000"/>
          <w:sz w:val="24"/>
        </w:rPr>
      </w:pPr>
      <w:bookmarkStart w:id="595" w:name="_Toc256001356"/>
      <w:r>
        <w:rPr>
          <w:b w:val="0"/>
          <w:i w:val="0"/>
          <w:color w:val="000000"/>
          <w:sz w:val="24"/>
        </w:rPr>
        <w:t>Povezane vrste ukrepov – člen 22(3)(d)(i) uredbe o skupnih določbah in člen 6 uredbe o ESS+:</w:t>
      </w:r>
      <w:bookmarkEnd w:id="595"/>
    </w:p>
    <w:p w14:paraId="14286E2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12A5196C"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158535" w14:textId="77777777" w:rsidR="00A77B3E" w:rsidRDefault="00A77B3E">
            <w:pPr>
              <w:spacing w:before="5pt"/>
              <w:rPr>
                <w:color w:val="000000"/>
                <w:sz w:val="0"/>
              </w:rPr>
            </w:pPr>
          </w:p>
          <w:p w14:paraId="4AA43C50" w14:textId="77777777" w:rsidR="00A77B3E" w:rsidRDefault="00B16CCF">
            <w:pPr>
              <w:spacing w:before="5pt"/>
              <w:rPr>
                <w:color w:val="000000"/>
              </w:rPr>
            </w:pPr>
            <w:r>
              <w:rPr>
                <w:color w:val="000000"/>
              </w:rPr>
              <w:t>Ukrep je namenjen naložbam v oživljanje kulturne dediščine in njenim vključevanjem v turistično ponudbo. Kultura in kulturna identiteta, valorizirana v podobi in celostni ponudbi slovenskega turizma, je tisti inovativni dejavnik, ki lahko ključno prispeva k izpopolnitvi verige vrednosti in znatnemu povečanju dodane vrednosti in trajnosti v slovenskem turizmu. Tovrstni ukrepi predstavljajo pomemben del med strukturnimi spremembami, ki so nujno potrebne za produktivnejši in stabilnejši turistični ekosistem, ki bo sposoben prilagoditve tudi v nepričakovanih kriznih razmerah. Podprti ukrepi bodo krepili socialno kohezijo skozi večjo dostopnost do kulturne dediščine in prispevali k večji dodani vrednosti turističnega sektorja z bogatenjem kulturne ponudbe in izboljšavami življenjskega okolja v manj razviti regiji Vzhodna Slovenija. V okviru predmetnega specifičnega cilja želimo doseči ohranitev, varstvo in oživitev kulturne dediščine za bodoče generacije, zagotavljanje dostopnosti dediščine za vse ter odpiranje novih delovnih mest, ki bodo privlačna predvsem mladim. S turističnimi vsebinami pa bomo obogatili kulturno dediščino, kar bo vplivalo na pospešeni razvoj turizma v manj razviti regiji, kar bo imelo multiplikativne učinke na gospodarski razvoj.</w:t>
            </w:r>
          </w:p>
          <w:p w14:paraId="19AA9EDC" w14:textId="77777777" w:rsidR="00A77B3E" w:rsidRDefault="00A77B3E">
            <w:pPr>
              <w:spacing w:before="5pt"/>
              <w:rPr>
                <w:color w:val="000000"/>
              </w:rPr>
            </w:pPr>
          </w:p>
          <w:p w14:paraId="419D1093" w14:textId="77777777" w:rsidR="00A77B3E" w:rsidRDefault="00B16CCF">
            <w:pPr>
              <w:spacing w:before="5pt"/>
              <w:rPr>
                <w:color w:val="000000"/>
              </w:rPr>
            </w:pPr>
            <w:r>
              <w:rPr>
                <w:color w:val="000000"/>
              </w:rPr>
              <w:t>Ukrep naslavlja naslednje izzive, ugotovljene v evalvaciji preteklega strateškega obdobja turizma in kulture, v analizi stanja slovenskega turizma in kulturne dediščine ter s pogledom v prihodnost, in sicer:</w:t>
            </w:r>
          </w:p>
          <w:p w14:paraId="4191A926" w14:textId="77777777" w:rsidR="00A77B3E" w:rsidRDefault="00B16CCF">
            <w:pPr>
              <w:numPr>
                <w:ilvl w:val="0"/>
                <w:numId w:val="34"/>
              </w:numPr>
              <w:spacing w:before="5pt"/>
              <w:rPr>
                <w:color w:val="000000"/>
              </w:rPr>
            </w:pPr>
            <w:r>
              <w:rPr>
                <w:color w:val="000000"/>
              </w:rPr>
              <w:t>v slovenskem turističnem gospodarstvu in celostni turistični ponudbi se dosega prenizka dodana vrednost.</w:t>
            </w:r>
          </w:p>
          <w:p w14:paraId="0C12F72A" w14:textId="77777777" w:rsidR="00A77B3E" w:rsidRDefault="00B16CCF">
            <w:pPr>
              <w:numPr>
                <w:ilvl w:val="0"/>
                <w:numId w:val="34"/>
              </w:numPr>
              <w:spacing w:before="5pt"/>
              <w:rPr>
                <w:color w:val="000000"/>
              </w:rPr>
            </w:pPr>
            <w:r>
              <w:rPr>
                <w:color w:val="000000"/>
              </w:rPr>
              <w:t>Turistična ponudba in turistični produkti dosegajo prenizko kakovost storitev in doživetij.</w:t>
            </w:r>
          </w:p>
          <w:p w14:paraId="4EA0D05C" w14:textId="77777777" w:rsidR="00A77B3E" w:rsidRDefault="00B16CCF">
            <w:pPr>
              <w:numPr>
                <w:ilvl w:val="0"/>
                <w:numId w:val="34"/>
              </w:numPr>
              <w:spacing w:before="5pt"/>
              <w:rPr>
                <w:color w:val="000000"/>
              </w:rPr>
            </w:pPr>
            <w:r>
              <w:rPr>
                <w:color w:val="000000"/>
              </w:rPr>
              <w:t>Sezonskost turističnega prometa se povečuje in že presega EU povprečje.</w:t>
            </w:r>
          </w:p>
          <w:p w14:paraId="0A664BEA" w14:textId="77777777" w:rsidR="00A77B3E" w:rsidRDefault="00B16CCF">
            <w:pPr>
              <w:numPr>
                <w:ilvl w:val="0"/>
                <w:numId w:val="34"/>
              </w:numPr>
              <w:spacing w:before="5pt"/>
              <w:rPr>
                <w:color w:val="000000"/>
              </w:rPr>
            </w:pPr>
            <w:r>
              <w:rPr>
                <w:color w:val="000000"/>
              </w:rPr>
              <w:t>Obseg in kakovost kadrov ne sledita razvojnim in tržnim potrebam turistične dejavnosti.</w:t>
            </w:r>
          </w:p>
          <w:p w14:paraId="117B1877" w14:textId="77777777" w:rsidR="00A77B3E" w:rsidRDefault="00B16CCF">
            <w:pPr>
              <w:numPr>
                <w:ilvl w:val="0"/>
                <w:numId w:val="34"/>
              </w:numPr>
              <w:spacing w:before="5pt"/>
              <w:rPr>
                <w:color w:val="000000"/>
              </w:rPr>
            </w:pPr>
            <w:r>
              <w:rPr>
                <w:color w:val="000000"/>
              </w:rPr>
              <w:t>V turistični ponudbi in podobi turističnih destinacij je opazno pomanjkanje avtentičnih kulturnih elementov.</w:t>
            </w:r>
          </w:p>
          <w:p w14:paraId="3A665982" w14:textId="77777777" w:rsidR="00A77B3E" w:rsidRDefault="00B16CCF">
            <w:pPr>
              <w:numPr>
                <w:ilvl w:val="0"/>
                <w:numId w:val="34"/>
              </w:numPr>
              <w:spacing w:before="5pt"/>
              <w:rPr>
                <w:color w:val="000000"/>
              </w:rPr>
            </w:pPr>
            <w:r>
              <w:rPr>
                <w:color w:val="000000"/>
              </w:rPr>
              <w:t>Slovenski turizem zaostaja v mednarodni konkurenčnosti.</w:t>
            </w:r>
          </w:p>
          <w:p w14:paraId="0384A69F" w14:textId="77777777" w:rsidR="00A77B3E" w:rsidRDefault="00B16CCF">
            <w:pPr>
              <w:numPr>
                <w:ilvl w:val="0"/>
                <w:numId w:val="34"/>
              </w:numPr>
              <w:spacing w:before="5pt"/>
              <w:rPr>
                <w:color w:val="000000"/>
              </w:rPr>
            </w:pPr>
            <w:r>
              <w:rPr>
                <w:color w:val="000000"/>
              </w:rPr>
              <w:t>Turizem je odvisen od mnogih drugih dejavnosti in okolja na ravni zagotavljanja celovitih in kakovostnih doživetij in doseganja rezultatov, ki v slovenskem turizmu niso v zadostni meri vključene v turistični sistem in ne sledijo zahtev po rasti in konkurenčnosti slovenskega turizma.</w:t>
            </w:r>
          </w:p>
          <w:p w14:paraId="12F8E5CD" w14:textId="77777777" w:rsidR="00A77B3E" w:rsidRDefault="00B16CCF">
            <w:pPr>
              <w:numPr>
                <w:ilvl w:val="0"/>
                <w:numId w:val="34"/>
              </w:numPr>
              <w:spacing w:before="5pt"/>
              <w:rPr>
                <w:color w:val="000000"/>
              </w:rPr>
            </w:pPr>
            <w:r>
              <w:rPr>
                <w:color w:val="000000"/>
              </w:rPr>
              <w:t xml:space="preserve">Kulturna dediščina, tako snovna kot nesnovna, predstavlja za Slovenijo izjemen razvojni potencial in dragocen vir za gospodarsko rast, zaposlovanje in socialno kohezijo. Investicije v obnovo objektov slovenske kulturne dediščine vplivajo na prihodek slovenskega gospodarstva z multiplikatorjem v višini 2,945. Vpliv na dodano vrednost je 1,236. Aktiviranje potenciala kulturne dediščine kot strateškega vira temelji na sodobnem konceptu </w:t>
            </w:r>
            <w:r>
              <w:rPr>
                <w:color w:val="000000"/>
              </w:rPr>
              <w:lastRenderedPageBreak/>
              <w:t>kulturne dediščine, ki prepoznava materialno in nematerialno zapuščino prednikov in jo spoštljivo nadgrajuje ter umešča v sodobno življenje, s tem valorizira in interpretira ter jim daje nove kontekste.</w:t>
            </w:r>
          </w:p>
          <w:p w14:paraId="71949A40" w14:textId="77777777" w:rsidR="00A77B3E" w:rsidRDefault="00B16CCF">
            <w:pPr>
              <w:numPr>
                <w:ilvl w:val="0"/>
                <w:numId w:val="34"/>
              </w:numPr>
              <w:spacing w:before="5pt"/>
              <w:rPr>
                <w:color w:val="000000"/>
              </w:rPr>
            </w:pPr>
            <w:r>
              <w:rPr>
                <w:color w:val="000000"/>
              </w:rPr>
              <w:t>Dediščina ima močno socialno komponento, je pomemben element socialne vključenosti, je skupno dobro in vrednota življenjskega okolja. Zato je pomembna sestavina javnega prostora. Z njenim oživljanjem povečujemo vrednost skupnih prostorov, namenjenih vsem državljanom in obiskovalcem. Skupnosti, ki živijo z dediščino, tudi zmorejo prepoznati tiste izvirne in tržno zanimive načine ukvarjanja z njo, ki presegajo pomen lokalnih in regionalnih okolij ter prispevajo h kulturni raznolikosti in bogastvu Evrope in sveta. Objekti in območja kulturne dediščine proizvajajo okoljski in socialni kapital, ter se tako spreminjajo v gonilno silo gospodarske dejavnosti, centre znanja, osrednje točke ustvarjalnosti, prostore sodelovanja med skupnostmi in kraje socialne vključenosti. Skrbno negovana dediščina ustvarja prijazno okolje za vse vrste dejavnosti. Hkrati je njena pestrost vir za novo ustvarjalnost.</w:t>
            </w:r>
          </w:p>
          <w:p w14:paraId="6CEE6C9A" w14:textId="77777777" w:rsidR="00A77B3E" w:rsidRDefault="00A77B3E">
            <w:pPr>
              <w:spacing w:before="5pt"/>
              <w:rPr>
                <w:color w:val="000000"/>
              </w:rPr>
            </w:pPr>
          </w:p>
          <w:p w14:paraId="11C94AC2" w14:textId="77777777" w:rsidR="00A77B3E" w:rsidRDefault="00B16CCF">
            <w:pPr>
              <w:spacing w:before="5pt"/>
              <w:rPr>
                <w:color w:val="000000"/>
              </w:rPr>
            </w:pPr>
            <w:r>
              <w:rPr>
                <w:color w:val="000000"/>
              </w:rPr>
              <w:t xml:space="preserve">Na področju kulturne dediščine sodijo torej med ključne izzive ohranitev in varstvo kulturne dediščine za bodoče generacije (vključno z ohranjanjem znanja in veščin potrebnih za ohranjanje kulturne dediščine), zagotavljanje dostopnosti dediščine za vse državljane in obiskovalce (vključno z ranljivimi skupinami) ter aktiviranje potenciala kulturne dediščine za trajnostni razvoj in povečanje dodane vrednosti v slovenskem turizmu. </w:t>
            </w:r>
          </w:p>
          <w:p w14:paraId="72459CDC" w14:textId="77777777" w:rsidR="00A77B3E" w:rsidRDefault="00A77B3E">
            <w:pPr>
              <w:spacing w:before="5pt"/>
              <w:rPr>
                <w:color w:val="000000"/>
              </w:rPr>
            </w:pPr>
          </w:p>
          <w:p w14:paraId="739FA073" w14:textId="77777777" w:rsidR="00A77B3E" w:rsidRDefault="00B16CCF">
            <w:pPr>
              <w:spacing w:before="5pt"/>
              <w:rPr>
                <w:color w:val="000000"/>
              </w:rPr>
            </w:pPr>
            <w:r>
              <w:rPr>
                <w:color w:val="000000"/>
              </w:rPr>
              <w:t>Ukrepi se bodo izvajali na naslednjih področjih:</w:t>
            </w:r>
          </w:p>
          <w:p w14:paraId="4DDB57C8" w14:textId="77777777" w:rsidR="00A77B3E" w:rsidRDefault="00B16CCF">
            <w:pPr>
              <w:spacing w:before="5pt"/>
              <w:rPr>
                <w:color w:val="000000"/>
              </w:rPr>
            </w:pPr>
            <w:r>
              <w:rPr>
                <w:color w:val="000000"/>
              </w:rPr>
              <w:t>-</w:t>
            </w:r>
            <w:r>
              <w:rPr>
                <w:i/>
                <w:iCs/>
                <w:color w:val="000000"/>
              </w:rPr>
              <w:t xml:space="preserve">revitalizacija in obnova kulturne dediščine: </w:t>
            </w:r>
            <w:r>
              <w:rPr>
                <w:color w:val="000000"/>
              </w:rPr>
              <w:t>obnova, ohranjanje in oživljanje kulturne dediščine in spodbujanje dejavnosti za boljši dostop do dediščine. Podprti bodo projekti, ki bodo vključevali: investicije manjšega obsega v prenovo, obnovo, celostno revitalizacijo kulturnih spomenikov v lasti države in kulturnih spomenikov v lasti lokalnih skupnosti z izdelanim programom dela oz. načrtom upravljanja; projekti bodo vključevali tudi aktivnosti za spodbujanje in oplemenitenje (kulturnega) turizma ter aktivnosti za spodbujanje boljše (fizične, informacijske) dostopnosti do dediščine za vse državljane in obiskovalce, tudi za osebe z različnimi nezmožnostmi. Projekti bodo skladni z usmeritvami Evropskega okvirja ukrepanja na področju kulturne dediščine in ICOMOS Evropskimi načeli kakovosti, obenem bodo zasledovali cilje Strategije kulturne dediščine 2020-2023[1] ter bodo prispevali h ključnim razvojnim politikam in ukrepom Strategije slovenskega turizma 2022-2028[2].  </w:t>
            </w:r>
          </w:p>
          <w:p w14:paraId="72C3852B" w14:textId="77777777" w:rsidR="00A77B3E" w:rsidRDefault="00B16CCF">
            <w:pPr>
              <w:spacing w:before="5pt"/>
              <w:rPr>
                <w:color w:val="000000"/>
              </w:rPr>
            </w:pPr>
            <w:r>
              <w:rPr>
                <w:color w:val="000000"/>
              </w:rPr>
              <w:t>Pri javnem razpisu za lokalne skupnosti se bo upoštevala razmejitev med NOO in Programom, in sicer se v NOO financirajo projekti večje vrednosti (nad 1 mio EUR brez DDV), v Programu pa projekti manjše vrednosti (do 1 mio EUR brez DDV). Pričakovani rezultat je kulturna dediščina, obnovljena in revitalizirana ter dostopna javnosti;</w:t>
            </w:r>
          </w:p>
          <w:p w14:paraId="51D8C9F1" w14:textId="77777777" w:rsidR="00A77B3E" w:rsidRDefault="00A77B3E">
            <w:pPr>
              <w:spacing w:before="5pt"/>
              <w:rPr>
                <w:color w:val="000000"/>
              </w:rPr>
            </w:pPr>
          </w:p>
          <w:p w14:paraId="04C7FE31" w14:textId="77777777" w:rsidR="00A77B3E" w:rsidRDefault="00B16CCF">
            <w:pPr>
              <w:spacing w:before="5pt"/>
              <w:rPr>
                <w:color w:val="000000"/>
              </w:rPr>
            </w:pPr>
            <w:r>
              <w:rPr>
                <w:color w:val="000000"/>
              </w:rPr>
              <w:t>-</w:t>
            </w:r>
            <w:r>
              <w:rPr>
                <w:i/>
                <w:iCs/>
                <w:color w:val="000000"/>
              </w:rPr>
              <w:t>vlaganja v razvoj celovitih turističnih produktov v obliki avtentičnih turističnih doživetij</w:t>
            </w:r>
            <w:r>
              <w:rPr>
                <w:color w:val="000000"/>
              </w:rPr>
              <w:t>[3]:</w:t>
            </w:r>
          </w:p>
          <w:p w14:paraId="076F56E6" w14:textId="77777777" w:rsidR="00A77B3E" w:rsidRDefault="00B16CCF">
            <w:pPr>
              <w:numPr>
                <w:ilvl w:val="0"/>
                <w:numId w:val="35"/>
              </w:numPr>
              <w:spacing w:before="5pt"/>
              <w:rPr>
                <w:color w:val="000000"/>
              </w:rPr>
            </w:pPr>
            <w:r>
              <w:rPr>
                <w:color w:val="000000"/>
              </w:rPr>
              <w:t xml:space="preserve">v obdobju 2022–2028 se bo slovenski turizem razvijal in deloval s strategijo »Nekaj več in veliko bolje«, ki vodi v zmerno rast obsega kapacitet in znatno izboljšanje kakovosti in dodane vrednosti slovenskega turizma ob upoštevanju trajnostnih vidikov, valorizacije kulturne identitete, učinkovite digitalne preobrazbe in vseh omejitvenih dejavnikov. </w:t>
            </w:r>
          </w:p>
          <w:p w14:paraId="556578C4" w14:textId="77777777" w:rsidR="00A77B3E" w:rsidRDefault="00B16CCF">
            <w:pPr>
              <w:numPr>
                <w:ilvl w:val="0"/>
                <w:numId w:val="35"/>
              </w:numPr>
              <w:spacing w:before="5pt"/>
              <w:rPr>
                <w:color w:val="000000"/>
              </w:rPr>
            </w:pPr>
            <w:r>
              <w:rPr>
                <w:color w:val="000000"/>
              </w:rPr>
              <w:t xml:space="preserve">Podprli bomo vlaganja v razvoj celovitih turističnih produktov v obliki avtentičnih turističnih doživetij s ciljem dviga ugleda in kakovosti turističnih destinacij Vzhodne Slovenije. Z naložbami v oblikovanje turističnih vsebin v obstoječo kulturno dediščino in njihovim vključevanjem v turistično </w:t>
            </w:r>
            <w:r>
              <w:rPr>
                <w:color w:val="000000"/>
              </w:rPr>
              <w:lastRenderedPageBreak/>
              <w:t>ponudbo bomo ustvarjali nova privlačnejša delovna mesta in trajnostno dosegali višjo dodano vrednost ter dvig kakovosti storitev in doživetij. Razvoj celoletnih turističnih produktov bo prispeval k zmanjšanju sezonskosti turističnega prometa. Z zagotavljanjem trajnostnega razvoja destinacij bomo prispevali k izboljšanju kakovosti bivanja domačega prebivalstva in sprejemljivosti turizma za lokalno okolje na način da bomo sledili usmeritvam iz predloga Evropske komisije Turistična tranzicijska pot (TTP). Vzporedno s tem bomo v okviru CP 1 krepili znanja in spretnosti s področja digitalizacije, zelenega turizma, trajnostnega razvoja in destinacijskega upravljanja izhajajoč iz EU Pakta za znanje in spretnosti na področju turizma ter v NOO podprli investicije v javno turistično infrastrukturo.</w:t>
            </w:r>
          </w:p>
          <w:p w14:paraId="30D6CE6C" w14:textId="77777777" w:rsidR="00A77B3E" w:rsidRDefault="00B16CCF">
            <w:pPr>
              <w:numPr>
                <w:ilvl w:val="0"/>
                <w:numId w:val="35"/>
              </w:numPr>
              <w:spacing w:before="5pt"/>
              <w:rPr>
                <w:color w:val="000000"/>
              </w:rPr>
            </w:pPr>
            <w:r>
              <w:rPr>
                <w:color w:val="000000"/>
              </w:rPr>
              <w:t>Za doseganje kakovostne uporabniške izkušnje turistov in trajnostno doseganje višje dodane vrednosti je potrebno permanentno vlaganje v ohranjanje in valorizacijo naravne in kulturne dediščine v turizmu, zagotavljanje učinkovitega upravljanja in trženja le-te, skozi to pa tudi zagotavljanje ustreznih virov financiranja, kar predstavlja enega najpomembnejših izzivov, vezanih na doseganje strateških ciljev turizma do leta 2028.</w:t>
            </w:r>
          </w:p>
          <w:p w14:paraId="3BB9C932" w14:textId="77777777" w:rsidR="00A77B3E" w:rsidRDefault="00A77B3E">
            <w:pPr>
              <w:spacing w:before="5pt"/>
              <w:rPr>
                <w:color w:val="000000"/>
              </w:rPr>
            </w:pPr>
          </w:p>
          <w:p w14:paraId="61685356" w14:textId="77777777" w:rsidR="00A77B3E" w:rsidRDefault="00B16CCF">
            <w:pPr>
              <w:spacing w:before="5pt"/>
              <w:rPr>
                <w:color w:val="000000"/>
              </w:rPr>
            </w:pPr>
            <w:r>
              <w:rPr>
                <w:color w:val="000000"/>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še posebej pa, kjer bo primerno, usmeritve Novega evropskega Bauhausa za razvoj privlačnejših, trajnostnih in vključujočih oblik rešitev za podnebne izzive. V skladu s Tehničnimi smernicami za uporabo »načela, da se ne škoduje bistveno« smo na podlagi odgovorov na vprašanja iz kontrolnega seznama ugotovili, da noben izmed predvidenih ukrepov v okviru predmetnega specifičnega cilja nima bistvenega škodljivega vpliva na katerega koli od šestih okoljskih ciljev ob upoštevanju tehničnih meril, navedenih v Prilogi: DNSH.</w:t>
            </w:r>
          </w:p>
          <w:p w14:paraId="7A51F1B7" w14:textId="77777777" w:rsidR="00A77B3E" w:rsidRDefault="00B16CCF">
            <w:pPr>
              <w:spacing w:before="5pt"/>
              <w:rPr>
                <w:color w:val="000000"/>
              </w:rPr>
            </w:pPr>
            <w:r>
              <w:rPr>
                <w:color w:val="000000"/>
              </w:rPr>
              <w:t xml:space="preserve">[1] Ministrstvo za kulturo, Strategija kulturne dediščine 2020-2023, november 2019. Dostopno na: https://www.gov.si/assets/ministrstva/MK/DEDISCINA/STRAT_KD_2019.pdf. </w:t>
            </w:r>
          </w:p>
          <w:p w14:paraId="34B2F3C4" w14:textId="77777777" w:rsidR="00A77B3E" w:rsidRDefault="00B16CCF">
            <w:pPr>
              <w:spacing w:before="5pt"/>
              <w:rPr>
                <w:color w:val="000000"/>
              </w:rPr>
            </w:pPr>
            <w:r>
              <w:rPr>
                <w:color w:val="000000"/>
              </w:rPr>
              <w:t xml:space="preserve">[2] Ministrstvo za gospodarski razvoj in tehnologijo, Strategija slovenskega turizma 2022-2028: Zelena butičnost. Manjši odtis. Večja vrednost za vse, maj 2022. Dostopno na: https://www.gov.si/assets/ministrstva/MGRT/Dokumenti/DTUR/Nova-strategija-2022-2028/Strategija-slovenskega-turizma-2022-2028-dokument.pdf. </w:t>
            </w:r>
          </w:p>
          <w:p w14:paraId="503E6A76" w14:textId="77777777" w:rsidR="00A77B3E" w:rsidRDefault="00B16CCF">
            <w:pPr>
              <w:spacing w:before="5pt"/>
              <w:rPr>
                <w:color w:val="000000"/>
              </w:rPr>
            </w:pPr>
            <w:r>
              <w:rPr>
                <w:color w:val="000000"/>
              </w:rPr>
              <w:t>[3] Slovenian Tourism Strategy 2022-2028. Dostopno na: https://www.gov.si/assets/ministrstva/MGRT/Dokumenti/DTUR/Nova-strategija-2022-2028/Strategija-slovenskega-turizma-2022-2028-dokument.pdf.</w:t>
            </w:r>
          </w:p>
          <w:p w14:paraId="05871CEB" w14:textId="77777777" w:rsidR="00A77B3E" w:rsidRDefault="00A77B3E">
            <w:pPr>
              <w:spacing w:before="5pt"/>
              <w:rPr>
                <w:color w:val="000000"/>
                <w:sz w:val="6"/>
              </w:rPr>
            </w:pPr>
          </w:p>
          <w:p w14:paraId="2B6D1400" w14:textId="77777777" w:rsidR="00A77B3E" w:rsidRDefault="00A77B3E">
            <w:pPr>
              <w:spacing w:before="5pt"/>
              <w:rPr>
                <w:color w:val="000000"/>
                <w:sz w:val="6"/>
              </w:rPr>
            </w:pPr>
          </w:p>
        </w:tc>
      </w:tr>
    </w:tbl>
    <w:p w14:paraId="62CCFA68" w14:textId="77777777" w:rsidR="00A77B3E" w:rsidRDefault="00A77B3E">
      <w:pPr>
        <w:spacing w:before="5pt"/>
        <w:rPr>
          <w:color w:val="000000"/>
        </w:rPr>
      </w:pPr>
    </w:p>
    <w:p w14:paraId="6CAF4E22" w14:textId="77777777" w:rsidR="00A77B3E" w:rsidRDefault="00B16CCF">
      <w:pPr>
        <w:pStyle w:val="Naslov5"/>
        <w:spacing w:before="5pt" w:after="0pt"/>
        <w:rPr>
          <w:b w:val="0"/>
          <w:i w:val="0"/>
          <w:color w:val="000000"/>
          <w:sz w:val="24"/>
        </w:rPr>
      </w:pPr>
      <w:bookmarkStart w:id="596" w:name="_Toc256001357"/>
      <w:r>
        <w:rPr>
          <w:b w:val="0"/>
          <w:i w:val="0"/>
          <w:color w:val="000000"/>
          <w:sz w:val="24"/>
        </w:rPr>
        <w:t>Glavne ciljne skupine – člen 22(3)(d)(iii) uredbe o skupnih določbah:</w:t>
      </w:r>
      <w:bookmarkEnd w:id="596"/>
    </w:p>
    <w:p w14:paraId="1C554CD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1896D9D1"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718988" w14:textId="77777777" w:rsidR="00A77B3E" w:rsidRDefault="00A77B3E">
            <w:pPr>
              <w:spacing w:before="5pt"/>
              <w:rPr>
                <w:color w:val="000000"/>
                <w:sz w:val="0"/>
              </w:rPr>
            </w:pPr>
          </w:p>
          <w:p w14:paraId="11B5ED71" w14:textId="77777777" w:rsidR="00A77B3E" w:rsidRDefault="00B16CCF">
            <w:pPr>
              <w:spacing w:before="5pt"/>
              <w:rPr>
                <w:color w:val="000000"/>
              </w:rPr>
            </w:pPr>
            <w:r>
              <w:rPr>
                <w:color w:val="000000"/>
              </w:rPr>
              <w:t>Ciljne skupine: lokalne skupnosti, turisti in obiskovalci (domači in tuji), državljani, nevladne organizacije (zasebni zavodi, zasebne ustanove, društva in zveze društev), javni zavodi, gospodarski subjekti, ostali deležniki s področja kulture in turizma.</w:t>
            </w:r>
          </w:p>
          <w:p w14:paraId="0B62C306" w14:textId="77777777" w:rsidR="00A77B3E" w:rsidRDefault="00A77B3E">
            <w:pPr>
              <w:spacing w:before="5pt"/>
              <w:rPr>
                <w:color w:val="000000"/>
              </w:rPr>
            </w:pPr>
          </w:p>
          <w:p w14:paraId="66E06EC8" w14:textId="77777777" w:rsidR="00A77B3E" w:rsidRDefault="00B16CCF">
            <w:pPr>
              <w:spacing w:before="5pt"/>
              <w:rPr>
                <w:color w:val="000000"/>
              </w:rPr>
            </w:pPr>
            <w:r>
              <w:rPr>
                <w:color w:val="000000"/>
              </w:rPr>
              <w:lastRenderedPageBreak/>
              <w:t>Upravičenci: ministrstva, lokalne skupnosti, javni zavodi, upravljavci kulturnih spomenikov, NVO, lokalne skupnosti, ki delujejo na območju vodilnih turističnih destinacij ali javni zavodi, ki delujejo na področju turizma in so ustanovljeni s strani lokalnih skupnosti; zveze društev, javno zasebna partnerstva med lokalnimi skupnostmi in gospodarskimi subjekti s področja turizma ali/in civilno družbenimi organizacijami.</w:t>
            </w:r>
          </w:p>
          <w:p w14:paraId="4B06D1F0" w14:textId="77777777" w:rsidR="00A77B3E" w:rsidRDefault="00A77B3E">
            <w:pPr>
              <w:spacing w:before="5pt"/>
              <w:rPr>
                <w:color w:val="000000"/>
                <w:sz w:val="6"/>
              </w:rPr>
            </w:pPr>
          </w:p>
          <w:p w14:paraId="5FB0B183" w14:textId="77777777" w:rsidR="00A77B3E" w:rsidRDefault="00A77B3E">
            <w:pPr>
              <w:spacing w:before="5pt"/>
              <w:rPr>
                <w:color w:val="000000"/>
                <w:sz w:val="6"/>
              </w:rPr>
            </w:pPr>
          </w:p>
        </w:tc>
      </w:tr>
    </w:tbl>
    <w:p w14:paraId="6E2ED7A0" w14:textId="77777777" w:rsidR="00A77B3E" w:rsidRDefault="00A77B3E">
      <w:pPr>
        <w:spacing w:before="5pt"/>
        <w:rPr>
          <w:color w:val="000000"/>
        </w:rPr>
      </w:pPr>
    </w:p>
    <w:p w14:paraId="161317E1" w14:textId="77777777" w:rsidR="00A77B3E" w:rsidRDefault="00B16CCF">
      <w:pPr>
        <w:pStyle w:val="Naslov5"/>
        <w:spacing w:before="5pt" w:after="0pt"/>
        <w:rPr>
          <w:b w:val="0"/>
          <w:i w:val="0"/>
          <w:color w:val="000000"/>
          <w:sz w:val="24"/>
        </w:rPr>
      </w:pPr>
      <w:bookmarkStart w:id="597" w:name="_Toc256001358"/>
      <w:r>
        <w:rPr>
          <w:b w:val="0"/>
          <w:i w:val="0"/>
          <w:color w:val="000000"/>
          <w:sz w:val="24"/>
        </w:rPr>
        <w:t>Ukrepi za zaščito enakosti, vključenosti in nediskriminacije – člen 22(3)(d)(iv) uredbe o skupnih določbah in člen 6 uredbe o ESS+</w:t>
      </w:r>
      <w:bookmarkEnd w:id="597"/>
    </w:p>
    <w:p w14:paraId="7587C4D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69168FA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983FFA" w14:textId="77777777" w:rsidR="00A77B3E" w:rsidRDefault="00A77B3E">
            <w:pPr>
              <w:spacing w:before="5pt"/>
              <w:rPr>
                <w:color w:val="000000"/>
                <w:sz w:val="0"/>
              </w:rPr>
            </w:pPr>
          </w:p>
          <w:p w14:paraId="0FDB5707" w14:textId="77777777" w:rsidR="00A77B3E" w:rsidRDefault="00B16CCF">
            <w:pPr>
              <w:spacing w:before="5pt"/>
              <w:rPr>
                <w:color w:val="000000"/>
              </w:rPr>
            </w:pPr>
            <w:r>
              <w:rPr>
                <w:color w:val="000000"/>
              </w:rPr>
              <w:t>Slovenija se zavezuje, da bo spoštovala načela enakosti spolov, enakih možnosti in nediskriminacije, pri izvajanju vseh aktivnosti na vseh ravneh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saj je enakost spolov temeljna vrednota EU in temeljna pravica ter ključno načelo evropskega stebra socialnih pravic. Skladno z 12. členom Zakona o enakih možnostih žensk in moških (Uradni list RS, št. 59/02, 61/07 – ZUNEO-A, 33/16 – ZVarD in 59/19) bomo na vseh predvidenih področjih zagotovili enako obravnavanje obeh spolov. Pri oblikovanju in izvedbi razpisov in javnega naročanja bo z uporabo jasnih, objektivnih in nediskriminatornih pogojev in meril za izbor vlog v celoti zagotovljena transparentnost in spoštovanje pravnega reda EU in RS. Upoštevana bosta tudi Postopkovnik za zagotavljanje horizontalnega omogočitvenega pogoja »Učinkovita uporaba in izvajanje Listine o temeljnih pravicah« in Akcijski program za invalide 2022-2030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w:t>
            </w:r>
          </w:p>
          <w:p w14:paraId="6CA66F19" w14:textId="77777777" w:rsidR="00A77B3E" w:rsidRDefault="00A77B3E">
            <w:pPr>
              <w:spacing w:before="5pt"/>
              <w:rPr>
                <w:color w:val="000000"/>
                <w:sz w:val="6"/>
              </w:rPr>
            </w:pPr>
          </w:p>
          <w:p w14:paraId="4800FDD4" w14:textId="77777777" w:rsidR="00A77B3E" w:rsidRDefault="00A77B3E">
            <w:pPr>
              <w:spacing w:before="5pt"/>
              <w:rPr>
                <w:color w:val="000000"/>
                <w:sz w:val="6"/>
              </w:rPr>
            </w:pPr>
          </w:p>
        </w:tc>
      </w:tr>
    </w:tbl>
    <w:p w14:paraId="2191A0C8" w14:textId="77777777" w:rsidR="00A77B3E" w:rsidRDefault="00A77B3E">
      <w:pPr>
        <w:spacing w:before="5pt"/>
        <w:rPr>
          <w:color w:val="000000"/>
        </w:rPr>
      </w:pPr>
    </w:p>
    <w:p w14:paraId="6AD1EB73" w14:textId="77777777" w:rsidR="00A77B3E" w:rsidRDefault="00B16CCF">
      <w:pPr>
        <w:pStyle w:val="Naslov5"/>
        <w:spacing w:before="5pt" w:after="0pt"/>
        <w:rPr>
          <w:b w:val="0"/>
          <w:i w:val="0"/>
          <w:color w:val="000000"/>
          <w:sz w:val="24"/>
        </w:rPr>
      </w:pPr>
      <w:bookmarkStart w:id="598" w:name="_Toc256001359"/>
      <w:r>
        <w:rPr>
          <w:b w:val="0"/>
          <w:i w:val="0"/>
          <w:color w:val="000000"/>
          <w:sz w:val="24"/>
        </w:rPr>
        <w:t>Navedba specifičnih ciljnih ozemelj, vključno z načrtovano uporabo teritorialnih orodij – člen 22(3)(d)(v) uredbe o skupnih določbah</w:t>
      </w:r>
      <w:bookmarkEnd w:id="598"/>
    </w:p>
    <w:p w14:paraId="12428FF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6DBCC420"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99D3DE" w14:textId="77777777" w:rsidR="00A77B3E" w:rsidRDefault="00A77B3E">
            <w:pPr>
              <w:spacing w:before="5pt"/>
              <w:rPr>
                <w:color w:val="000000"/>
                <w:sz w:val="0"/>
              </w:rPr>
            </w:pPr>
          </w:p>
          <w:p w14:paraId="0E61BD06" w14:textId="77777777" w:rsidR="00A77B3E" w:rsidRDefault="00B16CCF">
            <w:pPr>
              <w:spacing w:before="5pt"/>
              <w:rPr>
                <w:color w:val="000000"/>
              </w:rPr>
            </w:pPr>
            <w:r>
              <w:rPr>
                <w:color w:val="000000"/>
              </w:rPr>
              <w:t>Ukrepi se bodo izvajali zgolj v KRVS, ker je razvojni zaostanek te regije večji kot pa v KRZS. Turizem namreč ni enakomerno razvit v obeh kohezijskih regijah, saj je več prihodkov iz naslova turizma ustvarjenih v KRZS, kjer so razviti tudi privlačni turistični produkti. V KRVS imamo bogato kulturno dediščino, ki pa še ni uspešno vključena v turistično ponudbo, zato bodo ukrepi namenjeni predvsem krepitvi sodelovanja kulture in turizma v KRVS z namenom odpravljanja navedenih neenakosti med kohezijskima regijama.</w:t>
            </w:r>
          </w:p>
          <w:p w14:paraId="569D4CB2" w14:textId="77777777" w:rsidR="00A77B3E" w:rsidRDefault="00B16CCF">
            <w:pPr>
              <w:spacing w:before="5pt"/>
              <w:rPr>
                <w:color w:val="000000"/>
              </w:rPr>
            </w:pPr>
            <w:r>
              <w:rPr>
                <w:color w:val="000000"/>
              </w:rPr>
              <w:t>Uporaba teritorialnih pristopov na tem specifičnem cilju ni predvidena.</w:t>
            </w:r>
          </w:p>
          <w:p w14:paraId="6B94275F" w14:textId="77777777" w:rsidR="00A77B3E" w:rsidRDefault="00A77B3E">
            <w:pPr>
              <w:spacing w:before="5pt"/>
              <w:rPr>
                <w:color w:val="000000"/>
                <w:sz w:val="6"/>
              </w:rPr>
            </w:pPr>
          </w:p>
          <w:p w14:paraId="2DB75821" w14:textId="77777777" w:rsidR="00A77B3E" w:rsidRDefault="00A77B3E">
            <w:pPr>
              <w:spacing w:before="5pt"/>
              <w:rPr>
                <w:color w:val="000000"/>
                <w:sz w:val="6"/>
              </w:rPr>
            </w:pPr>
          </w:p>
        </w:tc>
      </w:tr>
    </w:tbl>
    <w:p w14:paraId="7DBCED2B" w14:textId="77777777" w:rsidR="00A77B3E" w:rsidRDefault="00A77B3E">
      <w:pPr>
        <w:spacing w:before="5pt"/>
        <w:rPr>
          <w:color w:val="000000"/>
        </w:rPr>
      </w:pPr>
    </w:p>
    <w:p w14:paraId="53E37A0A" w14:textId="77777777" w:rsidR="00A77B3E" w:rsidRDefault="00B16CCF">
      <w:pPr>
        <w:pStyle w:val="Naslov5"/>
        <w:spacing w:before="5pt" w:after="0pt"/>
        <w:rPr>
          <w:b w:val="0"/>
          <w:i w:val="0"/>
          <w:color w:val="000000"/>
          <w:sz w:val="24"/>
        </w:rPr>
      </w:pPr>
      <w:bookmarkStart w:id="599" w:name="_Toc256001360"/>
      <w:r>
        <w:rPr>
          <w:b w:val="0"/>
          <w:i w:val="0"/>
          <w:color w:val="000000"/>
          <w:sz w:val="24"/>
        </w:rPr>
        <w:t>Medregionalni, čezmejni in transnacionalni ukrepi – člen 22(3)(d)(vi) uredbe o skupnih določbah</w:t>
      </w:r>
      <w:bookmarkEnd w:id="599"/>
    </w:p>
    <w:p w14:paraId="58CDAF5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17B4273D"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CD8BE7" w14:textId="77777777" w:rsidR="00A77B3E" w:rsidRDefault="00A77B3E">
            <w:pPr>
              <w:spacing w:before="5pt"/>
              <w:rPr>
                <w:color w:val="000000"/>
                <w:sz w:val="0"/>
              </w:rPr>
            </w:pPr>
          </w:p>
          <w:p w14:paraId="197D0632" w14:textId="77777777" w:rsidR="00A77B3E" w:rsidRDefault="00B16CCF">
            <w:pPr>
              <w:spacing w:before="5pt"/>
              <w:rPr>
                <w:color w:val="000000"/>
              </w:rPr>
            </w:pPr>
            <w:r>
              <w:rPr>
                <w:color w:val="000000"/>
              </w:rPr>
              <w:lastRenderedPageBreak/>
              <w:t>Z namenom spodbujanja raznolike turistične ponudbe ter trajnostnega in odgovornega turizma je v okviru makroregionalne strategije (MRS) (EUSAIR ) podprt FLAGSHIP 5: “Razvoj trajnostnih in tematskih kulturnih poti/povezovanje kulturnih poti v EUSAIR (AIR KULTURNE POTI)". MRS v sodelovanju z Evropskim inštitutom za kulturne poti nudita izvedbeno strukturo za snovanje projektov, s strokovno preverjenimi vsebinami in deležniki s področja kulture in turizma vseh držav, katerih cilj bodo certificirani kulturno turistični produkti. Na ta način projekti prerastejo iz nacionalnih v mednarodne projekte in hkrati pridobijo na še večji kakovosti in prepoznavnosti. Ukrepi v okviru RSO 4.6 imajo sorodno vsebinsko podlago v načrtovanih ukrepih v vseh štirih čezmejnih in transnacionalnih programih (npr. TP Srednja Evropa, Interreg IPA, Adrion in Evro-MED). V okviru čezmejnih programov sodelovanja je namen podpreti projekte obnove kulturne dediščine manjšega obsega (v lasti občin lokalnega pomena), ki se vsebinsko nadgradijo in povežejo v skupne čezmejne turistične produkte ali destinacije. Medtem, ko je namen revitalizacije in obnove kulturne dediščine v RSO 4.6 podpreti projekte prenove, obnove in celostne revitalizacije kulturne dediščine v lasti občin lokalnega in državnega pomena (z izdelanim programom dela oz. načrtom upravljanja) v KRVZ. Načrtovani ukrepi transnacionalnih programov zagotavljajo dobro osnovo za spodbujanje kulturnih kreativnih industrij v funkciji revitalizacije kulturne dediščine na inovativen način tako v čezmejnih programih, MRS kot RSO 4.6 preko izdelav strategij, akcijskih načrtov, ki naslavljajo rešitve s področja ustvarjalnega turizma na širšem geografskem programskem območju. Spodbujanje sinergij med programi Interreg in RSO 4.6 se bo izvajalo tudi v okviru dveh mehanizmov koordinacije, in sicer v okviru mrež organov upravljanja na makroregionalni ravni in v okviru Odbora za spremljanje Programa, katerega član bo tudi predstavnik programov Interreg, v katerih sodelujejo institucije iz Slovenije.</w:t>
            </w:r>
          </w:p>
          <w:p w14:paraId="6C636781" w14:textId="77777777" w:rsidR="00A77B3E" w:rsidRDefault="00A77B3E">
            <w:pPr>
              <w:spacing w:before="5pt"/>
              <w:rPr>
                <w:color w:val="000000"/>
                <w:sz w:val="6"/>
              </w:rPr>
            </w:pPr>
          </w:p>
          <w:p w14:paraId="3C86BAAC" w14:textId="77777777" w:rsidR="00A77B3E" w:rsidRDefault="00A77B3E">
            <w:pPr>
              <w:spacing w:before="5pt"/>
              <w:rPr>
                <w:color w:val="000000"/>
                <w:sz w:val="6"/>
              </w:rPr>
            </w:pPr>
          </w:p>
        </w:tc>
      </w:tr>
    </w:tbl>
    <w:p w14:paraId="7551FEF6" w14:textId="77777777" w:rsidR="00A77B3E" w:rsidRDefault="00A77B3E">
      <w:pPr>
        <w:spacing w:before="5pt"/>
        <w:rPr>
          <w:color w:val="000000"/>
        </w:rPr>
      </w:pPr>
    </w:p>
    <w:p w14:paraId="65AF1F39" w14:textId="77777777" w:rsidR="00A77B3E" w:rsidRDefault="00B16CCF">
      <w:pPr>
        <w:pStyle w:val="Naslov5"/>
        <w:spacing w:before="5pt" w:after="0pt"/>
        <w:rPr>
          <w:b w:val="0"/>
          <w:i w:val="0"/>
          <w:color w:val="000000"/>
          <w:sz w:val="24"/>
        </w:rPr>
      </w:pPr>
      <w:bookmarkStart w:id="600" w:name="_Toc256001361"/>
      <w:r>
        <w:rPr>
          <w:b w:val="0"/>
          <w:i w:val="0"/>
          <w:color w:val="000000"/>
          <w:sz w:val="24"/>
        </w:rPr>
        <w:t>Načrtovana uporaba finančnih instrumentov – člen 22(3)(d)(vii) uredbe o skupnih določbah</w:t>
      </w:r>
      <w:bookmarkEnd w:id="600"/>
    </w:p>
    <w:p w14:paraId="0A4DB14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1F669B32"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9726B8" w14:textId="77777777" w:rsidR="00A77B3E" w:rsidRDefault="00A77B3E">
            <w:pPr>
              <w:spacing w:before="5pt"/>
              <w:rPr>
                <w:color w:val="000000"/>
                <w:sz w:val="0"/>
              </w:rPr>
            </w:pPr>
          </w:p>
          <w:p w14:paraId="7EB53B94" w14:textId="77777777" w:rsidR="00A77B3E" w:rsidRDefault="00B16CCF">
            <w:pPr>
              <w:spacing w:before="5pt"/>
              <w:rPr>
                <w:color w:val="000000"/>
              </w:rPr>
            </w:pPr>
            <w:r>
              <w:rPr>
                <w:color w:val="000000"/>
              </w:rPr>
              <w:t>Predvidena je uporaba nepovratnih virov. V okviru navedenega specifičnega cilja uporaba finančnih instrumentov v skladu z izsledki analize Predhodnih ocen potreb trga in vrzeli financiranja na trgu za izvajanje finančnih instrumentov v programskem obdobju 2021-2027 (julij 2022) ni predvidena. Predlagani ukrepi ne ustvarjajo prihodkov oziroma prihrankov, zaradi česar uporaba finančnih instrumentov ni smiselna oziroma ustrezna.</w:t>
            </w:r>
          </w:p>
          <w:p w14:paraId="09BB9BB3" w14:textId="77777777" w:rsidR="00A77B3E" w:rsidRDefault="00A77B3E">
            <w:pPr>
              <w:spacing w:before="5pt"/>
              <w:rPr>
                <w:color w:val="000000"/>
                <w:sz w:val="6"/>
              </w:rPr>
            </w:pPr>
          </w:p>
          <w:p w14:paraId="7D50CA1C" w14:textId="77777777" w:rsidR="00A77B3E" w:rsidRDefault="00A77B3E">
            <w:pPr>
              <w:spacing w:before="5pt"/>
              <w:rPr>
                <w:color w:val="000000"/>
                <w:sz w:val="6"/>
              </w:rPr>
            </w:pPr>
          </w:p>
        </w:tc>
      </w:tr>
    </w:tbl>
    <w:p w14:paraId="3E5C8CEE" w14:textId="77777777" w:rsidR="00A77B3E" w:rsidRDefault="00A77B3E">
      <w:pPr>
        <w:spacing w:before="5pt"/>
        <w:rPr>
          <w:color w:val="000000"/>
        </w:rPr>
      </w:pPr>
    </w:p>
    <w:p w14:paraId="7F975009" w14:textId="77777777" w:rsidR="00A77B3E" w:rsidRDefault="00B16CCF">
      <w:pPr>
        <w:pStyle w:val="Naslov4"/>
        <w:spacing w:before="5pt" w:after="0pt"/>
        <w:rPr>
          <w:b w:val="0"/>
          <w:color w:val="000000"/>
          <w:sz w:val="24"/>
        </w:rPr>
      </w:pPr>
      <w:bookmarkStart w:id="601" w:name="_Toc256001362"/>
      <w:r>
        <w:rPr>
          <w:b w:val="0"/>
          <w:color w:val="000000"/>
          <w:sz w:val="24"/>
        </w:rPr>
        <w:t>2.1.1.1.2. Kazalniki</w:t>
      </w:r>
      <w:bookmarkEnd w:id="601"/>
    </w:p>
    <w:p w14:paraId="6AE677B5" w14:textId="77777777" w:rsidR="00A77B3E" w:rsidRDefault="00A77B3E">
      <w:pPr>
        <w:spacing w:before="5pt"/>
        <w:rPr>
          <w:color w:val="000000"/>
          <w:sz w:val="0"/>
        </w:rPr>
      </w:pPr>
    </w:p>
    <w:p w14:paraId="268B4022" w14:textId="77777777" w:rsidR="00A77B3E" w:rsidRDefault="00B16CCF">
      <w:pPr>
        <w:spacing w:before="5pt"/>
        <w:rPr>
          <w:color w:val="000000"/>
          <w:sz w:val="0"/>
        </w:rPr>
      </w:pPr>
      <w:r>
        <w:rPr>
          <w:color w:val="000000"/>
        </w:rPr>
        <w:t>Sklic: člen 22(3)(d)(ii) uredbe o skupnih določbah in člen 8 uredbe o ESRR in Kohezijskem skladu</w:t>
      </w:r>
    </w:p>
    <w:p w14:paraId="4728290D" w14:textId="77777777" w:rsidR="00A77B3E" w:rsidRDefault="00B16CCF">
      <w:pPr>
        <w:pStyle w:val="Naslov5"/>
        <w:spacing w:before="5pt" w:after="0pt"/>
        <w:rPr>
          <w:b w:val="0"/>
          <w:i w:val="0"/>
          <w:color w:val="000000"/>
          <w:sz w:val="24"/>
        </w:rPr>
      </w:pPr>
      <w:bookmarkStart w:id="602" w:name="_Toc256001363"/>
      <w:r>
        <w:rPr>
          <w:b w:val="0"/>
          <w:i w:val="0"/>
          <w:color w:val="000000"/>
          <w:sz w:val="24"/>
        </w:rPr>
        <w:t>Tabela 2: Kazalniki učinka</w:t>
      </w:r>
      <w:bookmarkEnd w:id="602"/>
    </w:p>
    <w:p w14:paraId="6ABBA34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97"/>
        <w:gridCol w:w="1750"/>
        <w:gridCol w:w="1167"/>
        <w:gridCol w:w="1814"/>
        <w:gridCol w:w="2105"/>
        <w:gridCol w:w="1752"/>
        <w:gridCol w:w="2146"/>
        <w:gridCol w:w="1312"/>
        <w:gridCol w:w="1229"/>
      </w:tblGrid>
      <w:tr w:rsidR="00823317" w14:paraId="6B5B66B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72ABB0"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3145D2"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2505CAF"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0085C8"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192C30"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C101CF"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6F29E7"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A77C99" w14:textId="77777777" w:rsidR="00A77B3E" w:rsidRDefault="00B16CCF">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63F92F" w14:textId="77777777" w:rsidR="00A77B3E" w:rsidRDefault="00B16CCF">
            <w:pPr>
              <w:spacing w:before="5pt"/>
              <w:jc w:val="center"/>
              <w:rPr>
                <w:color w:val="000000"/>
                <w:sz w:val="20"/>
              </w:rPr>
            </w:pPr>
            <w:r>
              <w:rPr>
                <w:color w:val="000000"/>
                <w:sz w:val="20"/>
              </w:rPr>
              <w:t>Cilj (2029)</w:t>
            </w:r>
          </w:p>
        </w:tc>
      </w:tr>
      <w:tr w:rsidR="00823317" w14:paraId="0C0DA3A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80C191" w14:textId="77777777" w:rsidR="00A77B3E" w:rsidRDefault="00B16CCF">
            <w:pPr>
              <w:spacing w:before="5pt"/>
              <w:rPr>
                <w:color w:val="000000"/>
                <w:sz w:val="20"/>
              </w:rPr>
            </w:pPr>
            <w:r>
              <w:rPr>
                <w:color w:val="000000"/>
                <w:sz w:val="20"/>
              </w:rPr>
              <w:t>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8EA2FA" w14:textId="77777777" w:rsidR="00A77B3E" w:rsidRDefault="00B16CCF">
            <w:pPr>
              <w:spacing w:before="5pt"/>
              <w:rPr>
                <w:color w:val="000000"/>
                <w:sz w:val="20"/>
              </w:rPr>
            </w:pPr>
            <w:r>
              <w:rPr>
                <w:color w:val="000000"/>
                <w:sz w:val="20"/>
              </w:rPr>
              <w:t>RSO4.6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0F3FB8"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0C22BB"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9D0BD8" w14:textId="77777777" w:rsidR="00A77B3E" w:rsidRDefault="00B16CCF">
            <w:pPr>
              <w:spacing w:before="5pt"/>
              <w:rPr>
                <w:color w:val="000000"/>
                <w:sz w:val="20"/>
              </w:rPr>
            </w:pPr>
            <w:r>
              <w:rPr>
                <w:color w:val="000000"/>
                <w:sz w:val="20"/>
              </w:rPr>
              <w:t>RCO77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DC21E1" w14:textId="77777777" w:rsidR="00A77B3E" w:rsidRDefault="00B16CCF">
            <w:pPr>
              <w:spacing w:before="5pt"/>
              <w:rPr>
                <w:color w:val="000000"/>
                <w:sz w:val="20"/>
              </w:rPr>
            </w:pPr>
            <w:r>
              <w:rPr>
                <w:color w:val="000000"/>
                <w:sz w:val="20"/>
              </w:rPr>
              <w:t>Število kulturnih in turističnih krajev, ki so prejeli podporo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0C885C" w14:textId="77777777" w:rsidR="00A77B3E" w:rsidRDefault="00B16CCF">
            <w:pPr>
              <w:spacing w:before="5pt"/>
              <w:rPr>
                <w:color w:val="000000"/>
                <w:sz w:val="20"/>
              </w:rPr>
            </w:pPr>
            <w:r>
              <w:rPr>
                <w:color w:val="000000"/>
                <w:sz w:val="20"/>
              </w:rPr>
              <w:t>kulturne in turistične znamenitosti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D8002B"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8B6E26" w14:textId="77777777" w:rsidR="00A77B3E" w:rsidRDefault="00B16CCF">
            <w:pPr>
              <w:spacing w:before="5pt"/>
              <w:jc w:val="end"/>
              <w:rPr>
                <w:color w:val="000000"/>
                <w:sz w:val="20"/>
              </w:rPr>
            </w:pPr>
            <w:r>
              <w:rPr>
                <w:color w:val="000000"/>
                <w:sz w:val="20"/>
              </w:rPr>
              <w:t>16,00</w:t>
            </w:r>
          </w:p>
        </w:tc>
      </w:tr>
    </w:tbl>
    <w:p w14:paraId="024C6DFA" w14:textId="77777777" w:rsidR="00A77B3E" w:rsidRDefault="00A77B3E">
      <w:pPr>
        <w:spacing w:before="5pt"/>
        <w:rPr>
          <w:color w:val="000000"/>
          <w:sz w:val="20"/>
        </w:rPr>
      </w:pPr>
    </w:p>
    <w:p w14:paraId="4923D2A8" w14:textId="77777777" w:rsidR="00A77B3E" w:rsidRDefault="00B16CCF">
      <w:pPr>
        <w:spacing w:before="5pt"/>
        <w:rPr>
          <w:color w:val="000000"/>
          <w:sz w:val="0"/>
        </w:rPr>
      </w:pPr>
      <w:r>
        <w:rPr>
          <w:color w:val="000000"/>
        </w:rPr>
        <w:lastRenderedPageBreak/>
        <w:t>Sklic: člen 22(3)(d)(ii) uredbe o skupnih določbah</w:t>
      </w:r>
    </w:p>
    <w:p w14:paraId="7E5551C5" w14:textId="77777777" w:rsidR="00A77B3E" w:rsidRDefault="00B16CCF">
      <w:pPr>
        <w:pStyle w:val="Naslov5"/>
        <w:spacing w:before="5pt" w:after="0pt"/>
        <w:rPr>
          <w:b w:val="0"/>
          <w:i w:val="0"/>
          <w:color w:val="000000"/>
          <w:sz w:val="24"/>
        </w:rPr>
      </w:pPr>
      <w:bookmarkStart w:id="603" w:name="_Toc256001364"/>
      <w:r>
        <w:rPr>
          <w:b w:val="0"/>
          <w:i w:val="0"/>
          <w:color w:val="000000"/>
          <w:sz w:val="24"/>
        </w:rPr>
        <w:t>Tabela 3: Kazalniki rezultatov</w:t>
      </w:r>
      <w:bookmarkEnd w:id="603"/>
    </w:p>
    <w:p w14:paraId="2A2EE22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57"/>
        <w:gridCol w:w="1159"/>
        <w:gridCol w:w="773"/>
        <w:gridCol w:w="1201"/>
        <w:gridCol w:w="1394"/>
        <w:gridCol w:w="1353"/>
        <w:gridCol w:w="1740"/>
        <w:gridCol w:w="1457"/>
        <w:gridCol w:w="1297"/>
        <w:gridCol w:w="1457"/>
        <w:gridCol w:w="1077"/>
        <w:gridCol w:w="1007"/>
      </w:tblGrid>
      <w:tr w:rsidR="00823317" w14:paraId="2846235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A61E06"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DAA6B1"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D39BE53"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4750E3"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9F71365"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6AFD825"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03BDBD"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92BB46" w14:textId="77777777" w:rsidR="00A77B3E" w:rsidRDefault="00B16CCF">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274E6F" w14:textId="77777777" w:rsidR="00A77B3E" w:rsidRDefault="00B16CCF">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F8E8A4" w14:textId="77777777" w:rsidR="00A77B3E" w:rsidRDefault="00B16CCF">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01C021" w14:textId="77777777" w:rsidR="00A77B3E" w:rsidRDefault="00B16CCF">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D34A90D" w14:textId="77777777" w:rsidR="00A77B3E" w:rsidRDefault="00B16CCF">
            <w:pPr>
              <w:spacing w:before="5pt"/>
              <w:jc w:val="center"/>
              <w:rPr>
                <w:color w:val="000000"/>
                <w:sz w:val="20"/>
              </w:rPr>
            </w:pPr>
            <w:r>
              <w:rPr>
                <w:color w:val="000000"/>
                <w:sz w:val="20"/>
              </w:rPr>
              <w:t>Opombe</w:t>
            </w:r>
          </w:p>
        </w:tc>
      </w:tr>
      <w:tr w:rsidR="00823317" w14:paraId="7A296E5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C60B8F" w14:textId="77777777" w:rsidR="00A77B3E" w:rsidRDefault="00B16CCF">
            <w:pPr>
              <w:spacing w:before="5pt"/>
              <w:rPr>
                <w:color w:val="000000"/>
                <w:sz w:val="20"/>
              </w:rPr>
            </w:pPr>
            <w:r>
              <w:rPr>
                <w:color w:val="000000"/>
                <w:sz w:val="20"/>
              </w:rPr>
              <w:t>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B62FB6" w14:textId="77777777" w:rsidR="00A77B3E" w:rsidRDefault="00B16CCF">
            <w:pPr>
              <w:spacing w:before="5pt"/>
              <w:rPr>
                <w:color w:val="000000"/>
                <w:sz w:val="20"/>
              </w:rPr>
            </w:pPr>
            <w:r>
              <w:rPr>
                <w:color w:val="000000"/>
                <w:sz w:val="20"/>
              </w:rPr>
              <w:t>RSO4.6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512CE4"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33DD27"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B7EF18" w14:textId="77777777" w:rsidR="00A77B3E" w:rsidRDefault="00B16CCF">
            <w:pPr>
              <w:spacing w:before="5pt"/>
              <w:rPr>
                <w:color w:val="000000"/>
                <w:sz w:val="20"/>
              </w:rPr>
            </w:pPr>
            <w:r>
              <w:rPr>
                <w:color w:val="000000"/>
                <w:sz w:val="20"/>
              </w:rPr>
              <w:t>RCR77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5C41F6" w14:textId="77777777" w:rsidR="00A77B3E" w:rsidRDefault="00B16CCF">
            <w:pPr>
              <w:spacing w:before="5pt"/>
              <w:rPr>
                <w:color w:val="000000"/>
                <w:sz w:val="20"/>
              </w:rPr>
            </w:pPr>
            <w:r>
              <w:rPr>
                <w:color w:val="000000"/>
                <w:sz w:val="20"/>
              </w:rPr>
              <w:t>Obiskovalci kulturnih in turističnih krajev, ki so prejeli podporo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5B56D3" w14:textId="77777777" w:rsidR="00A77B3E" w:rsidRDefault="00B16CCF">
            <w:pPr>
              <w:spacing w:before="5pt"/>
              <w:rPr>
                <w:color w:val="000000"/>
                <w:sz w:val="20"/>
              </w:rPr>
            </w:pPr>
            <w:r>
              <w:rPr>
                <w:color w:val="000000"/>
                <w:sz w:val="20"/>
              </w:rPr>
              <w:t>obiskovalci/leto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1EE267" w14:textId="77777777" w:rsidR="00A77B3E" w:rsidRDefault="00B16CCF">
            <w:pPr>
              <w:spacing w:before="5pt"/>
              <w:jc w:val="end"/>
              <w:rPr>
                <w:color w:val="000000"/>
                <w:sz w:val="20"/>
              </w:rPr>
            </w:pPr>
            <w:r>
              <w:rPr>
                <w:color w:val="000000"/>
                <w:sz w:val="20"/>
              </w:rPr>
              <w:t>1.836.769,00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E045BC" w14:textId="77777777" w:rsidR="00A77B3E" w:rsidRDefault="00B16CCF">
            <w:pPr>
              <w:spacing w:before="5pt"/>
              <w:jc w:val="center"/>
              <w:rPr>
                <w:color w:val="000000"/>
                <w:sz w:val="20"/>
              </w:rPr>
            </w:pPr>
            <w:r>
              <w:rPr>
                <w:color w:val="000000"/>
                <w:sz w:val="20"/>
              </w:rPr>
              <w:t>2023-2029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E01F9A" w14:textId="77777777" w:rsidR="00A77B3E" w:rsidRDefault="00B16CCF">
            <w:pPr>
              <w:spacing w:before="5pt"/>
              <w:jc w:val="end"/>
              <w:rPr>
                <w:color w:val="000000"/>
                <w:sz w:val="20"/>
              </w:rPr>
            </w:pPr>
            <w:r>
              <w:rPr>
                <w:color w:val="000000"/>
                <w:sz w:val="20"/>
              </w:rPr>
              <w:t>1.928.607,00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293CC5" w14:textId="77777777" w:rsidR="00A77B3E" w:rsidRDefault="00B16CCF">
            <w:pPr>
              <w:spacing w:before="5pt"/>
              <w:rPr>
                <w:color w:val="000000"/>
                <w:sz w:val="20"/>
              </w:rPr>
            </w:pPr>
            <w:r>
              <w:rPr>
                <w:color w:val="000000"/>
                <w:sz w:val="20"/>
              </w:rPr>
              <w:t>SURS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0D4C00" w14:textId="77777777" w:rsidR="00A77B3E" w:rsidRDefault="00A77B3E">
            <w:pPr>
              <w:spacing w:before="5pt"/>
              <w:rPr>
                <w:color w:val="000000"/>
                <w:sz w:val="20"/>
              </w:rPr>
            </w:pPr>
          </w:p>
        </w:tc>
      </w:tr>
    </w:tbl>
    <w:p w14:paraId="227B17B6" w14:textId="77777777" w:rsidR="00A77B3E" w:rsidRDefault="00A77B3E">
      <w:pPr>
        <w:spacing w:before="5pt"/>
        <w:rPr>
          <w:color w:val="000000"/>
          <w:sz w:val="20"/>
        </w:rPr>
      </w:pPr>
    </w:p>
    <w:p w14:paraId="674970C4" w14:textId="77777777" w:rsidR="00A77B3E" w:rsidRDefault="00B16CCF">
      <w:pPr>
        <w:pStyle w:val="Naslov4"/>
        <w:spacing w:before="5pt" w:after="0pt"/>
        <w:rPr>
          <w:b w:val="0"/>
          <w:color w:val="000000"/>
          <w:sz w:val="24"/>
        </w:rPr>
      </w:pPr>
      <w:bookmarkStart w:id="604" w:name="_Toc256001365"/>
      <w:r>
        <w:rPr>
          <w:b w:val="0"/>
          <w:color w:val="000000"/>
          <w:sz w:val="24"/>
        </w:rPr>
        <w:t>2.1.1.1.3. Okvirna razčlenitev načrtovanih sredstev (EU) glede na vrsto ukrepa</w:t>
      </w:r>
      <w:bookmarkEnd w:id="604"/>
    </w:p>
    <w:p w14:paraId="0777EC45" w14:textId="77777777" w:rsidR="00A77B3E" w:rsidRDefault="00A77B3E">
      <w:pPr>
        <w:spacing w:before="5pt"/>
        <w:rPr>
          <w:color w:val="000000"/>
          <w:sz w:val="0"/>
        </w:rPr>
      </w:pPr>
    </w:p>
    <w:p w14:paraId="1EAFB71C" w14:textId="77777777" w:rsidR="00A77B3E" w:rsidRDefault="00B16CCF">
      <w:pPr>
        <w:spacing w:before="5pt"/>
        <w:rPr>
          <w:color w:val="000000"/>
          <w:sz w:val="0"/>
        </w:rPr>
      </w:pPr>
      <w:r>
        <w:rPr>
          <w:color w:val="000000"/>
        </w:rPr>
        <w:t>Sklic: člen 22(3)(d)(viii) uredbe o skupnih določbah</w:t>
      </w:r>
    </w:p>
    <w:p w14:paraId="56106ECF" w14:textId="77777777" w:rsidR="00A77B3E" w:rsidRDefault="00B16CCF">
      <w:pPr>
        <w:pStyle w:val="Naslov5"/>
        <w:spacing w:before="5pt" w:after="0pt"/>
        <w:rPr>
          <w:b w:val="0"/>
          <w:i w:val="0"/>
          <w:color w:val="000000"/>
          <w:sz w:val="24"/>
        </w:rPr>
      </w:pPr>
      <w:bookmarkStart w:id="605" w:name="_Toc256001366"/>
      <w:r>
        <w:rPr>
          <w:b w:val="0"/>
          <w:i w:val="0"/>
          <w:color w:val="000000"/>
          <w:sz w:val="24"/>
        </w:rPr>
        <w:t>Tabela 4: Razsežnost 1 – področje ukrepanja</w:t>
      </w:r>
      <w:bookmarkEnd w:id="605"/>
    </w:p>
    <w:p w14:paraId="4F77D98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78"/>
        <w:gridCol w:w="2379"/>
        <w:gridCol w:w="1727"/>
        <w:gridCol w:w="2466"/>
        <w:gridCol w:w="2777"/>
        <w:gridCol w:w="3245"/>
      </w:tblGrid>
      <w:tr w:rsidR="00823317" w14:paraId="102F449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E12A8C"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2A052B"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1500F6"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D2BC00"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8335A6"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AADFF7D" w14:textId="77777777" w:rsidR="00A77B3E" w:rsidRDefault="00B16CCF">
            <w:pPr>
              <w:spacing w:before="5pt"/>
              <w:jc w:val="center"/>
              <w:rPr>
                <w:color w:val="000000"/>
                <w:sz w:val="20"/>
              </w:rPr>
            </w:pPr>
            <w:r>
              <w:rPr>
                <w:color w:val="000000"/>
                <w:sz w:val="20"/>
              </w:rPr>
              <w:t>Znesek (v EUR)</w:t>
            </w:r>
          </w:p>
        </w:tc>
      </w:tr>
      <w:tr w:rsidR="00823317" w14:paraId="7A8225E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680B96" w14:textId="77777777" w:rsidR="00A77B3E" w:rsidRDefault="00B16CCF">
            <w:pPr>
              <w:spacing w:before="5pt"/>
              <w:rPr>
                <w:color w:val="000000"/>
                <w:sz w:val="20"/>
              </w:rPr>
            </w:pPr>
            <w:r>
              <w:rPr>
                <w:color w:val="000000"/>
                <w:sz w:val="20"/>
              </w:rPr>
              <w:t>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913716" w14:textId="77777777" w:rsidR="00A77B3E" w:rsidRDefault="00B16CCF">
            <w:pPr>
              <w:spacing w:before="5pt"/>
              <w:rPr>
                <w:color w:val="000000"/>
                <w:sz w:val="20"/>
              </w:rPr>
            </w:pPr>
            <w:r>
              <w:rPr>
                <w:color w:val="000000"/>
                <w:sz w:val="20"/>
              </w:rPr>
              <w:t>RSO4.6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FB0650"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2DD938"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F30EFD" w14:textId="77777777" w:rsidR="00A77B3E" w:rsidRDefault="00B16CCF">
            <w:pPr>
              <w:spacing w:before="5pt"/>
              <w:rPr>
                <w:color w:val="000000"/>
                <w:sz w:val="20"/>
              </w:rPr>
            </w:pPr>
            <w:r>
              <w:rPr>
                <w:color w:val="000000"/>
                <w:sz w:val="20"/>
              </w:rPr>
              <w:t>165. Varstvo, razvoj in spodbujanje javnih sredstev na področju turizma in turističnih storitev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92CAFD" w14:textId="77777777" w:rsidR="00A77B3E" w:rsidRDefault="00B16CCF">
            <w:pPr>
              <w:spacing w:before="5pt"/>
              <w:jc w:val="end"/>
              <w:rPr>
                <w:color w:val="000000"/>
                <w:sz w:val="20"/>
              </w:rPr>
            </w:pPr>
            <w:r>
              <w:rPr>
                <w:color w:val="000000"/>
                <w:sz w:val="20"/>
              </w:rPr>
              <w:t>5.857.100,00</w:t>
            </w:r>
          </w:p>
        </w:tc>
      </w:tr>
      <w:tr w:rsidR="00823317" w14:paraId="4D03B75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F4C829" w14:textId="77777777" w:rsidR="00A77B3E" w:rsidRDefault="00B16CCF">
            <w:pPr>
              <w:spacing w:before="5pt"/>
              <w:rPr>
                <w:color w:val="000000"/>
                <w:sz w:val="20"/>
              </w:rPr>
            </w:pPr>
            <w:r>
              <w:rPr>
                <w:color w:val="000000"/>
                <w:sz w:val="20"/>
              </w:rPr>
              <w:t>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AFC467" w14:textId="77777777" w:rsidR="00A77B3E" w:rsidRDefault="00B16CCF">
            <w:pPr>
              <w:spacing w:before="5pt"/>
              <w:rPr>
                <w:color w:val="000000"/>
                <w:sz w:val="20"/>
              </w:rPr>
            </w:pPr>
            <w:r>
              <w:rPr>
                <w:color w:val="000000"/>
                <w:sz w:val="20"/>
              </w:rPr>
              <w:t>RSO4.6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0E98D6"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09EF0F"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24D775" w14:textId="77777777" w:rsidR="00A77B3E" w:rsidRDefault="00B16CCF">
            <w:pPr>
              <w:spacing w:before="5pt"/>
              <w:rPr>
                <w:color w:val="000000"/>
                <w:sz w:val="20"/>
              </w:rPr>
            </w:pPr>
            <w:r>
              <w:rPr>
                <w:color w:val="000000"/>
                <w:sz w:val="20"/>
              </w:rPr>
              <w:t>166. Varstvo, razvoj in spodbujanje kulturne dediščine in kulturnih storitev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6A8881" w14:textId="77777777" w:rsidR="00A77B3E" w:rsidRDefault="00B16CCF">
            <w:pPr>
              <w:spacing w:before="5pt"/>
              <w:jc w:val="end"/>
              <w:rPr>
                <w:color w:val="000000"/>
                <w:sz w:val="20"/>
              </w:rPr>
            </w:pPr>
            <w:r>
              <w:rPr>
                <w:color w:val="000000"/>
                <w:sz w:val="20"/>
              </w:rPr>
              <w:t>13.804.652,00</w:t>
            </w:r>
          </w:p>
        </w:tc>
      </w:tr>
      <w:tr w:rsidR="00823317" w14:paraId="468458C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9E90C1" w14:textId="77777777" w:rsidR="00A77B3E" w:rsidRDefault="00B16CCF">
            <w:pPr>
              <w:spacing w:before="5pt"/>
              <w:rPr>
                <w:color w:val="000000"/>
                <w:sz w:val="20"/>
              </w:rPr>
            </w:pPr>
            <w:r>
              <w:rPr>
                <w:color w:val="000000"/>
                <w:sz w:val="20"/>
              </w:rPr>
              <w:t>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23FC67" w14:textId="77777777" w:rsidR="00A77B3E" w:rsidRDefault="00B16CCF">
            <w:pPr>
              <w:spacing w:before="5pt"/>
              <w:rPr>
                <w:color w:val="000000"/>
                <w:sz w:val="20"/>
              </w:rPr>
            </w:pPr>
            <w:r>
              <w:rPr>
                <w:color w:val="000000"/>
                <w:sz w:val="20"/>
              </w:rPr>
              <w:t>RSO4.6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96CF69"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9FE0B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7D7439"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E08613" w14:textId="77777777" w:rsidR="00A77B3E" w:rsidRDefault="00B16CCF">
            <w:pPr>
              <w:spacing w:before="5pt"/>
              <w:jc w:val="end"/>
              <w:rPr>
                <w:color w:val="000000"/>
                <w:sz w:val="20"/>
              </w:rPr>
            </w:pPr>
            <w:r>
              <w:rPr>
                <w:color w:val="000000"/>
                <w:sz w:val="20"/>
              </w:rPr>
              <w:t>19.661.752,00</w:t>
            </w:r>
          </w:p>
        </w:tc>
      </w:tr>
    </w:tbl>
    <w:p w14:paraId="5E4F7867" w14:textId="77777777" w:rsidR="00A77B3E" w:rsidRDefault="00A77B3E">
      <w:pPr>
        <w:spacing w:before="5pt"/>
        <w:rPr>
          <w:color w:val="000000"/>
          <w:sz w:val="20"/>
        </w:rPr>
      </w:pPr>
    </w:p>
    <w:p w14:paraId="29CAEFA5" w14:textId="77777777" w:rsidR="00A77B3E" w:rsidRDefault="00B16CCF">
      <w:pPr>
        <w:pStyle w:val="Naslov5"/>
        <w:spacing w:before="5pt" w:after="0pt"/>
        <w:rPr>
          <w:b w:val="0"/>
          <w:i w:val="0"/>
          <w:color w:val="000000"/>
          <w:sz w:val="24"/>
        </w:rPr>
      </w:pPr>
      <w:bookmarkStart w:id="606" w:name="_Toc256001367"/>
      <w:r>
        <w:rPr>
          <w:b w:val="0"/>
          <w:i w:val="0"/>
          <w:color w:val="000000"/>
          <w:sz w:val="24"/>
        </w:rPr>
        <w:t>Tabela 5: Razsežnost 2 – oblika financiranja</w:t>
      </w:r>
      <w:bookmarkEnd w:id="606"/>
    </w:p>
    <w:p w14:paraId="695859D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93"/>
        <w:gridCol w:w="2392"/>
        <w:gridCol w:w="1737"/>
        <w:gridCol w:w="2480"/>
        <w:gridCol w:w="2706"/>
        <w:gridCol w:w="3264"/>
      </w:tblGrid>
      <w:tr w:rsidR="00823317" w14:paraId="7850781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7A8EB3"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C158D2"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794A6D"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292525"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682C55A"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D9B70E" w14:textId="77777777" w:rsidR="00A77B3E" w:rsidRDefault="00B16CCF">
            <w:pPr>
              <w:spacing w:before="5pt"/>
              <w:jc w:val="center"/>
              <w:rPr>
                <w:color w:val="000000"/>
                <w:sz w:val="20"/>
              </w:rPr>
            </w:pPr>
            <w:r>
              <w:rPr>
                <w:color w:val="000000"/>
                <w:sz w:val="20"/>
              </w:rPr>
              <w:t>Znesek (v EUR)</w:t>
            </w:r>
          </w:p>
        </w:tc>
      </w:tr>
      <w:tr w:rsidR="00823317" w14:paraId="555C221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1CDD2E" w14:textId="77777777" w:rsidR="00A77B3E" w:rsidRDefault="00B16CCF">
            <w:pPr>
              <w:spacing w:before="5pt"/>
              <w:rPr>
                <w:color w:val="000000"/>
                <w:sz w:val="20"/>
              </w:rPr>
            </w:pPr>
            <w:r>
              <w:rPr>
                <w:color w:val="000000"/>
                <w:sz w:val="20"/>
              </w:rPr>
              <w:t>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5E163C" w14:textId="77777777" w:rsidR="00A77B3E" w:rsidRDefault="00B16CCF">
            <w:pPr>
              <w:spacing w:before="5pt"/>
              <w:rPr>
                <w:color w:val="000000"/>
                <w:sz w:val="20"/>
              </w:rPr>
            </w:pPr>
            <w:r>
              <w:rPr>
                <w:color w:val="000000"/>
                <w:sz w:val="20"/>
              </w:rPr>
              <w:t>RSO4.6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87E48B"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57A628"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8DF12C" w14:textId="77777777" w:rsidR="00A77B3E" w:rsidRDefault="00B16CCF">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69F802" w14:textId="77777777" w:rsidR="00A77B3E" w:rsidRDefault="00B16CCF">
            <w:pPr>
              <w:spacing w:before="5pt"/>
              <w:jc w:val="end"/>
              <w:rPr>
                <w:color w:val="000000"/>
                <w:sz w:val="20"/>
              </w:rPr>
            </w:pPr>
            <w:r>
              <w:rPr>
                <w:color w:val="000000"/>
                <w:sz w:val="20"/>
              </w:rPr>
              <w:t>19.661.752,00</w:t>
            </w:r>
          </w:p>
        </w:tc>
      </w:tr>
      <w:tr w:rsidR="00823317" w14:paraId="680B5F8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94C37E" w14:textId="77777777" w:rsidR="00A77B3E" w:rsidRDefault="00B16CCF">
            <w:pPr>
              <w:spacing w:before="5pt"/>
              <w:rPr>
                <w:color w:val="000000"/>
                <w:sz w:val="20"/>
              </w:rPr>
            </w:pPr>
            <w:r>
              <w:rPr>
                <w:color w:val="000000"/>
                <w:sz w:val="20"/>
              </w:rPr>
              <w:t>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1C8B45" w14:textId="77777777" w:rsidR="00A77B3E" w:rsidRDefault="00B16CCF">
            <w:pPr>
              <w:spacing w:before="5pt"/>
              <w:rPr>
                <w:color w:val="000000"/>
                <w:sz w:val="20"/>
              </w:rPr>
            </w:pPr>
            <w:r>
              <w:rPr>
                <w:color w:val="000000"/>
                <w:sz w:val="20"/>
              </w:rPr>
              <w:t>RSO4.6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17AF62"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B009D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770CC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32B9B6" w14:textId="77777777" w:rsidR="00A77B3E" w:rsidRDefault="00B16CCF">
            <w:pPr>
              <w:spacing w:before="5pt"/>
              <w:jc w:val="end"/>
              <w:rPr>
                <w:color w:val="000000"/>
                <w:sz w:val="20"/>
              </w:rPr>
            </w:pPr>
            <w:r>
              <w:rPr>
                <w:color w:val="000000"/>
                <w:sz w:val="20"/>
              </w:rPr>
              <w:t>19.661.752,00</w:t>
            </w:r>
          </w:p>
        </w:tc>
      </w:tr>
    </w:tbl>
    <w:p w14:paraId="175C65E8" w14:textId="77777777" w:rsidR="00A77B3E" w:rsidRDefault="00A77B3E">
      <w:pPr>
        <w:spacing w:before="5pt"/>
        <w:rPr>
          <w:color w:val="000000"/>
          <w:sz w:val="20"/>
        </w:rPr>
      </w:pPr>
    </w:p>
    <w:p w14:paraId="4EBE4108" w14:textId="77777777" w:rsidR="00A77B3E" w:rsidRDefault="00B16CCF">
      <w:pPr>
        <w:pStyle w:val="Naslov5"/>
        <w:spacing w:before="5pt" w:after="0pt"/>
        <w:rPr>
          <w:b w:val="0"/>
          <w:i w:val="0"/>
          <w:color w:val="000000"/>
          <w:sz w:val="24"/>
        </w:rPr>
      </w:pPr>
      <w:bookmarkStart w:id="607" w:name="_Toc256001368"/>
      <w:r>
        <w:rPr>
          <w:b w:val="0"/>
          <w:i w:val="0"/>
          <w:color w:val="000000"/>
          <w:sz w:val="24"/>
        </w:rPr>
        <w:t>Tabela 6: Razsežnost 3 – mehanizem za ozemeljsko izvrševanje in ozemeljski pristop</w:t>
      </w:r>
      <w:bookmarkEnd w:id="607"/>
    </w:p>
    <w:p w14:paraId="73D1C23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26"/>
        <w:gridCol w:w="2331"/>
        <w:gridCol w:w="1692"/>
        <w:gridCol w:w="2416"/>
        <w:gridCol w:w="3027"/>
        <w:gridCol w:w="3180"/>
      </w:tblGrid>
      <w:tr w:rsidR="00823317" w14:paraId="1BBA79A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15CBC5"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C371929"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CD1681"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E5402E"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DC2583"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97F5B8" w14:textId="77777777" w:rsidR="00A77B3E" w:rsidRDefault="00B16CCF">
            <w:pPr>
              <w:spacing w:before="5pt"/>
              <w:jc w:val="center"/>
              <w:rPr>
                <w:color w:val="000000"/>
                <w:sz w:val="20"/>
              </w:rPr>
            </w:pPr>
            <w:r>
              <w:rPr>
                <w:color w:val="000000"/>
                <w:sz w:val="20"/>
              </w:rPr>
              <w:t>Znesek (v EUR)</w:t>
            </w:r>
          </w:p>
        </w:tc>
      </w:tr>
      <w:tr w:rsidR="00823317" w14:paraId="6EC151D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DA8FA1" w14:textId="77777777" w:rsidR="00A77B3E" w:rsidRDefault="00B16CCF">
            <w:pPr>
              <w:spacing w:before="5pt"/>
              <w:rPr>
                <w:color w:val="000000"/>
                <w:sz w:val="20"/>
              </w:rPr>
            </w:pPr>
            <w:r>
              <w:rPr>
                <w:color w:val="000000"/>
                <w:sz w:val="20"/>
              </w:rPr>
              <w:t>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C4ECA7" w14:textId="77777777" w:rsidR="00A77B3E" w:rsidRDefault="00B16CCF">
            <w:pPr>
              <w:spacing w:before="5pt"/>
              <w:rPr>
                <w:color w:val="000000"/>
                <w:sz w:val="20"/>
              </w:rPr>
            </w:pPr>
            <w:r>
              <w:rPr>
                <w:color w:val="000000"/>
                <w:sz w:val="20"/>
              </w:rPr>
              <w:t>RSO4.6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B7A25B"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DC2EE2"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FF8C4A" w14:textId="77777777" w:rsidR="00A77B3E" w:rsidRDefault="00B16CCF">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B5B3D8" w14:textId="77777777" w:rsidR="00A77B3E" w:rsidRDefault="00B16CCF">
            <w:pPr>
              <w:spacing w:before="5pt"/>
              <w:jc w:val="end"/>
              <w:rPr>
                <w:color w:val="000000"/>
                <w:sz w:val="20"/>
              </w:rPr>
            </w:pPr>
            <w:r>
              <w:rPr>
                <w:color w:val="000000"/>
                <w:sz w:val="20"/>
              </w:rPr>
              <w:t>19.661.752,00</w:t>
            </w:r>
          </w:p>
        </w:tc>
      </w:tr>
      <w:tr w:rsidR="00823317" w14:paraId="0B835B1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6C8B95" w14:textId="77777777" w:rsidR="00A77B3E" w:rsidRDefault="00B16CCF">
            <w:pPr>
              <w:spacing w:before="5pt"/>
              <w:rPr>
                <w:color w:val="000000"/>
                <w:sz w:val="20"/>
              </w:rPr>
            </w:pPr>
            <w:r>
              <w:rPr>
                <w:color w:val="000000"/>
                <w:sz w:val="20"/>
              </w:rPr>
              <w:t>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337FB7" w14:textId="77777777" w:rsidR="00A77B3E" w:rsidRDefault="00B16CCF">
            <w:pPr>
              <w:spacing w:before="5pt"/>
              <w:rPr>
                <w:color w:val="000000"/>
                <w:sz w:val="20"/>
              </w:rPr>
            </w:pPr>
            <w:r>
              <w:rPr>
                <w:color w:val="000000"/>
                <w:sz w:val="20"/>
              </w:rPr>
              <w:t>RSO4.6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B745E0"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009DA2"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AC21F9"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A02A4B" w14:textId="77777777" w:rsidR="00A77B3E" w:rsidRDefault="00B16CCF">
            <w:pPr>
              <w:spacing w:before="5pt"/>
              <w:jc w:val="end"/>
              <w:rPr>
                <w:color w:val="000000"/>
                <w:sz w:val="20"/>
              </w:rPr>
            </w:pPr>
            <w:r>
              <w:rPr>
                <w:color w:val="000000"/>
                <w:sz w:val="20"/>
              </w:rPr>
              <w:t>19.661.752,00</w:t>
            </w:r>
          </w:p>
        </w:tc>
      </w:tr>
    </w:tbl>
    <w:p w14:paraId="494B0F2C" w14:textId="77777777" w:rsidR="00A77B3E" w:rsidRDefault="00A77B3E">
      <w:pPr>
        <w:spacing w:before="5pt"/>
        <w:rPr>
          <w:color w:val="000000"/>
          <w:sz w:val="20"/>
        </w:rPr>
      </w:pPr>
    </w:p>
    <w:p w14:paraId="5F91E832" w14:textId="77777777" w:rsidR="00A77B3E" w:rsidRDefault="00B16CCF">
      <w:pPr>
        <w:pStyle w:val="Naslov5"/>
        <w:spacing w:before="5pt" w:after="0pt"/>
        <w:rPr>
          <w:b w:val="0"/>
          <w:i w:val="0"/>
          <w:color w:val="000000"/>
          <w:sz w:val="24"/>
        </w:rPr>
      </w:pPr>
      <w:bookmarkStart w:id="608" w:name="_Toc256001369"/>
      <w:r>
        <w:rPr>
          <w:b w:val="0"/>
          <w:i w:val="0"/>
          <w:color w:val="000000"/>
          <w:sz w:val="24"/>
        </w:rPr>
        <w:t>Tabela 7: Razsežnost 6 – sekundarna področja ESS+</w:t>
      </w:r>
      <w:bookmarkEnd w:id="608"/>
    </w:p>
    <w:p w14:paraId="7B859E8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117"/>
        <w:gridCol w:w="2877"/>
        <w:gridCol w:w="1780"/>
        <w:gridCol w:w="2982"/>
        <w:gridCol w:w="2259"/>
        <w:gridCol w:w="2157"/>
      </w:tblGrid>
      <w:tr w:rsidR="00823317" w14:paraId="15599FD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1E9A9F"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1EA4FF"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AC9F4E"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6856EB"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DB3835"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A0823FE" w14:textId="77777777" w:rsidR="00A77B3E" w:rsidRDefault="00B16CCF">
            <w:pPr>
              <w:spacing w:before="5pt"/>
              <w:jc w:val="center"/>
              <w:rPr>
                <w:color w:val="000000"/>
                <w:sz w:val="20"/>
              </w:rPr>
            </w:pPr>
            <w:r>
              <w:rPr>
                <w:color w:val="000000"/>
                <w:sz w:val="20"/>
              </w:rPr>
              <w:t>Znesek (v EUR)</w:t>
            </w:r>
          </w:p>
        </w:tc>
      </w:tr>
    </w:tbl>
    <w:p w14:paraId="2A55C968" w14:textId="77777777" w:rsidR="00A77B3E" w:rsidRDefault="00A77B3E">
      <w:pPr>
        <w:spacing w:before="5pt"/>
        <w:rPr>
          <w:color w:val="000000"/>
          <w:sz w:val="20"/>
        </w:rPr>
      </w:pPr>
    </w:p>
    <w:p w14:paraId="381C6D81" w14:textId="77777777" w:rsidR="00A77B3E" w:rsidRDefault="00B16CCF">
      <w:pPr>
        <w:pStyle w:val="Naslov5"/>
        <w:spacing w:before="5pt" w:after="0pt"/>
        <w:rPr>
          <w:b w:val="0"/>
          <w:i w:val="0"/>
          <w:color w:val="000000"/>
          <w:sz w:val="24"/>
        </w:rPr>
      </w:pPr>
      <w:bookmarkStart w:id="609" w:name="_Toc256001370"/>
      <w:r>
        <w:rPr>
          <w:b w:val="0"/>
          <w:i w:val="0"/>
          <w:color w:val="000000"/>
          <w:sz w:val="24"/>
        </w:rPr>
        <w:t>Tabela 8: Razsežnost 7 – razsežnost enakosti spolov v okviru ESS+*, ESRR, Kohezijskega sklada in SPP</w:t>
      </w:r>
      <w:bookmarkEnd w:id="609"/>
    </w:p>
    <w:p w14:paraId="35A1B5B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13"/>
        <w:gridCol w:w="2411"/>
        <w:gridCol w:w="1750"/>
        <w:gridCol w:w="2498"/>
        <w:gridCol w:w="2612"/>
        <w:gridCol w:w="3288"/>
      </w:tblGrid>
      <w:tr w:rsidR="00823317" w14:paraId="7C29BD5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C5351A"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92F772"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2B9174"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77DC17"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434D19"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F1A3E8" w14:textId="77777777" w:rsidR="00A77B3E" w:rsidRDefault="00B16CCF">
            <w:pPr>
              <w:spacing w:before="5pt"/>
              <w:jc w:val="center"/>
              <w:rPr>
                <w:color w:val="000000"/>
                <w:sz w:val="20"/>
              </w:rPr>
            </w:pPr>
            <w:r>
              <w:rPr>
                <w:color w:val="000000"/>
                <w:sz w:val="20"/>
              </w:rPr>
              <w:t>Znesek (v EUR)</w:t>
            </w:r>
          </w:p>
        </w:tc>
      </w:tr>
      <w:tr w:rsidR="00823317" w14:paraId="3CE6C61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52A0ED" w14:textId="77777777" w:rsidR="00A77B3E" w:rsidRDefault="00B16CCF">
            <w:pPr>
              <w:spacing w:before="5pt"/>
              <w:rPr>
                <w:color w:val="000000"/>
                <w:sz w:val="20"/>
              </w:rPr>
            </w:pPr>
            <w:r>
              <w:rPr>
                <w:color w:val="000000"/>
                <w:sz w:val="20"/>
              </w:rPr>
              <w:t>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F4A5F3" w14:textId="77777777" w:rsidR="00A77B3E" w:rsidRDefault="00B16CCF">
            <w:pPr>
              <w:spacing w:before="5pt"/>
              <w:rPr>
                <w:color w:val="000000"/>
                <w:sz w:val="20"/>
              </w:rPr>
            </w:pPr>
            <w:r>
              <w:rPr>
                <w:color w:val="000000"/>
                <w:sz w:val="20"/>
              </w:rPr>
              <w:t>RSO4.6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8F2CCC"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B67FED"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567DA4" w14:textId="77777777" w:rsidR="00A77B3E" w:rsidRDefault="00B16CCF">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1ECE8C" w14:textId="77777777" w:rsidR="00A77B3E" w:rsidRDefault="00B16CCF">
            <w:pPr>
              <w:spacing w:before="5pt"/>
              <w:jc w:val="end"/>
              <w:rPr>
                <w:color w:val="000000"/>
                <w:sz w:val="20"/>
              </w:rPr>
            </w:pPr>
            <w:r>
              <w:rPr>
                <w:color w:val="000000"/>
                <w:sz w:val="20"/>
              </w:rPr>
              <w:t>19.661.752,00</w:t>
            </w:r>
          </w:p>
        </w:tc>
      </w:tr>
      <w:tr w:rsidR="00823317" w14:paraId="665FCC8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4B775D" w14:textId="77777777" w:rsidR="00A77B3E" w:rsidRDefault="00B16CCF">
            <w:pPr>
              <w:spacing w:before="5pt"/>
              <w:rPr>
                <w:color w:val="000000"/>
                <w:sz w:val="20"/>
              </w:rPr>
            </w:pPr>
            <w:r>
              <w:rPr>
                <w:color w:val="000000"/>
                <w:sz w:val="20"/>
              </w:rPr>
              <w:t>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2F1E66" w14:textId="77777777" w:rsidR="00A77B3E" w:rsidRDefault="00B16CCF">
            <w:pPr>
              <w:spacing w:before="5pt"/>
              <w:rPr>
                <w:color w:val="000000"/>
                <w:sz w:val="20"/>
              </w:rPr>
            </w:pPr>
            <w:r>
              <w:rPr>
                <w:color w:val="000000"/>
                <w:sz w:val="20"/>
              </w:rPr>
              <w:t>RSO4.6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AE1363"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2A78D6"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6A623E"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47965A" w14:textId="77777777" w:rsidR="00A77B3E" w:rsidRDefault="00B16CCF">
            <w:pPr>
              <w:spacing w:before="5pt"/>
              <w:jc w:val="end"/>
              <w:rPr>
                <w:color w:val="000000"/>
                <w:sz w:val="20"/>
              </w:rPr>
            </w:pPr>
            <w:r>
              <w:rPr>
                <w:color w:val="000000"/>
                <w:sz w:val="20"/>
              </w:rPr>
              <w:t>19.661.752,00</w:t>
            </w:r>
          </w:p>
        </w:tc>
      </w:tr>
    </w:tbl>
    <w:p w14:paraId="0435CB49" w14:textId="77777777" w:rsidR="00A77B3E" w:rsidRDefault="00B16CCF">
      <w:pPr>
        <w:spacing w:before="5pt"/>
        <w:rPr>
          <w:color w:val="000000"/>
          <w:sz w:val="20"/>
        </w:rPr>
      </w:pPr>
      <w:r>
        <w:rPr>
          <w:color w:val="000000"/>
          <w:sz w:val="20"/>
        </w:rPr>
        <w:t>* Načeloma 40 % za ESS+ prispeva k spremljanju enakosti spolov. 100 % se uporabi, kadar se država članica odloči za uporabo člena 6 uredbe o ESS+.</w:t>
      </w:r>
    </w:p>
    <w:p w14:paraId="1EC44F24" w14:textId="77777777" w:rsidR="00A77B3E" w:rsidRDefault="00B16CCF">
      <w:pPr>
        <w:pStyle w:val="Naslov3"/>
        <w:spacing w:before="5pt" w:after="0pt"/>
        <w:rPr>
          <w:rFonts w:ascii="Times New Roman" w:hAnsi="Times New Roman" w:cs="Times New Roman"/>
          <w:b w:val="0"/>
          <w:color w:val="000000"/>
          <w:sz w:val="24"/>
        </w:rPr>
      </w:pPr>
      <w:r>
        <w:rPr>
          <w:rFonts w:ascii="Times New Roman" w:hAnsi="Times New Roman" w:cs="Times New Roman"/>
          <w:b w:val="0"/>
          <w:color w:val="000000"/>
          <w:sz w:val="24"/>
        </w:rPr>
        <w:br w:type="page"/>
      </w:r>
      <w:bookmarkStart w:id="610" w:name="_Toc256001371"/>
      <w:r>
        <w:rPr>
          <w:rFonts w:ascii="Times New Roman" w:hAnsi="Times New Roman" w:cs="Times New Roman"/>
          <w:b w:val="0"/>
          <w:color w:val="000000"/>
          <w:sz w:val="24"/>
        </w:rPr>
        <w:lastRenderedPageBreak/>
        <w:t>2.1.1. Prednostna naloga: 14. Dostopna stanovanja</w:t>
      </w:r>
      <w:bookmarkEnd w:id="610"/>
    </w:p>
    <w:p w14:paraId="6C1CE494" w14:textId="77777777" w:rsidR="00A77B3E" w:rsidRDefault="00A77B3E">
      <w:pPr>
        <w:spacing w:before="5pt"/>
        <w:rPr>
          <w:color w:val="000000"/>
          <w:sz w:val="0"/>
        </w:rPr>
      </w:pPr>
    </w:p>
    <w:p w14:paraId="2B79ED11" w14:textId="77777777" w:rsidR="00A77B3E" w:rsidRDefault="00B16CCF">
      <w:pPr>
        <w:pStyle w:val="Naslov4"/>
        <w:spacing w:before="5pt" w:after="0pt"/>
        <w:rPr>
          <w:b w:val="0"/>
          <w:color w:val="000000"/>
          <w:sz w:val="24"/>
        </w:rPr>
      </w:pPr>
      <w:bookmarkStart w:id="611" w:name="_Toc256001372"/>
      <w:r>
        <w:rPr>
          <w:b w:val="0"/>
          <w:color w:val="000000"/>
          <w:sz w:val="24"/>
        </w:rPr>
        <w:t>2.1.1.1. Specifični cilj: RSO4.7. Spodbujanje dostopa do cenovno dostopnih in trajnostnih stanovanj (ESRR)</w:t>
      </w:r>
      <w:bookmarkEnd w:id="611"/>
    </w:p>
    <w:p w14:paraId="7F885CD8" w14:textId="77777777" w:rsidR="00A77B3E" w:rsidRDefault="00A77B3E">
      <w:pPr>
        <w:spacing w:before="5pt"/>
        <w:rPr>
          <w:color w:val="000000"/>
          <w:sz w:val="0"/>
        </w:rPr>
      </w:pPr>
    </w:p>
    <w:p w14:paraId="2D5EC919" w14:textId="77777777" w:rsidR="00A77B3E" w:rsidRDefault="00B16CCF">
      <w:pPr>
        <w:pStyle w:val="Naslov4"/>
        <w:spacing w:before="5pt" w:after="0pt"/>
        <w:rPr>
          <w:b w:val="0"/>
          <w:color w:val="000000"/>
          <w:sz w:val="24"/>
        </w:rPr>
      </w:pPr>
      <w:bookmarkStart w:id="612" w:name="_Toc256001373"/>
      <w:r>
        <w:rPr>
          <w:b w:val="0"/>
          <w:color w:val="000000"/>
          <w:sz w:val="24"/>
        </w:rPr>
        <w:t>2.1.1.1.1. Ukrepi skladov</w:t>
      </w:r>
      <w:bookmarkEnd w:id="612"/>
    </w:p>
    <w:p w14:paraId="28559D06" w14:textId="77777777" w:rsidR="00A77B3E" w:rsidRDefault="00A77B3E">
      <w:pPr>
        <w:spacing w:before="5pt"/>
        <w:rPr>
          <w:color w:val="000000"/>
          <w:sz w:val="0"/>
        </w:rPr>
      </w:pPr>
    </w:p>
    <w:p w14:paraId="7775B9F4" w14:textId="77777777" w:rsidR="00A77B3E" w:rsidRDefault="00B16CCF">
      <w:pPr>
        <w:spacing w:before="5pt"/>
        <w:rPr>
          <w:color w:val="000000"/>
          <w:sz w:val="0"/>
        </w:rPr>
      </w:pPr>
      <w:r>
        <w:rPr>
          <w:color w:val="000000"/>
        </w:rPr>
        <w:t>Sklic: člen 22(3)(d)(i), (iii), (iv), (v), (vi) in (vii) uredbe o skupnih določbah</w:t>
      </w:r>
    </w:p>
    <w:p w14:paraId="7A6BD07B" w14:textId="77777777" w:rsidR="00A77B3E" w:rsidRDefault="00B16CCF">
      <w:pPr>
        <w:pStyle w:val="Naslov5"/>
        <w:spacing w:before="5pt" w:after="0pt"/>
        <w:rPr>
          <w:b w:val="0"/>
          <w:i w:val="0"/>
          <w:color w:val="000000"/>
          <w:sz w:val="24"/>
        </w:rPr>
      </w:pPr>
      <w:bookmarkStart w:id="613" w:name="_Toc256001374"/>
      <w:r>
        <w:rPr>
          <w:b w:val="0"/>
          <w:i w:val="0"/>
          <w:color w:val="000000"/>
          <w:sz w:val="24"/>
        </w:rPr>
        <w:t>Povezane vrste ukrepov – člen 22(3)(d)(i) uredbe o skupnih določbah in člen 6 uredbe o ESS+:</w:t>
      </w:r>
      <w:bookmarkEnd w:id="613"/>
    </w:p>
    <w:p w14:paraId="1529EED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4055CA0A"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BCF7E4" w14:textId="77777777" w:rsidR="00A77B3E" w:rsidRDefault="00A77B3E">
            <w:pPr>
              <w:spacing w:before="5pt"/>
              <w:rPr>
                <w:color w:val="000000"/>
                <w:sz w:val="0"/>
              </w:rPr>
            </w:pPr>
          </w:p>
          <w:p w14:paraId="607E9F5F" w14:textId="77777777" w:rsidR="00A77B3E" w:rsidRDefault="00B16CCF">
            <w:pPr>
              <w:spacing w:before="5pt"/>
              <w:rPr>
                <w:color w:val="000000"/>
              </w:rPr>
            </w:pPr>
            <w:r>
              <w:rPr>
                <w:color w:val="000000"/>
              </w:rPr>
              <w:t>V okviru specifičnega cilja RSO4.7 se bo sofinanciralo zagotavljanje cenovno dostopnih in trajnostnih javnih najemnih stanovanj in javnih najemnih oskrbovanih stanovanj. S sofinanciranjem izgradnje in nakupa, želimo prispevati k večji dostopnosti za ciljne skupine in omogočiti upravičencem cenejše zagotavljanje dodatnih tovrstnih stanovanj.</w:t>
            </w:r>
          </w:p>
          <w:p w14:paraId="74B4EC88" w14:textId="77777777" w:rsidR="00A77B3E" w:rsidRDefault="00B16CCF">
            <w:pPr>
              <w:spacing w:before="5pt"/>
              <w:rPr>
                <w:color w:val="000000"/>
              </w:rPr>
            </w:pPr>
            <w:r>
              <w:rPr>
                <w:color w:val="000000"/>
              </w:rPr>
              <w:t xml:space="preserve">Ministrstvo za solidarno prihodnost je na podlagi izvedene raziskave o potrebah po stanovanjih in načrtovanih stanovanjskih projektih ugotavlja, da se Slovenija sooča z več izzivi na področju dostopnosti stanovanj, predvsem zaradi izrazitega pomanjkanja dostopnih stanovanj, k čemur pripomorejo še kreditna sposobnost prebivalstva, visoke najemnine tržnih stanovanj in neravnovesje med ponudbo in povpraševanjem. Na podlagi Ankete o ugotavljanju potreb po vrstah stanovanjskega fonda(1) v občinah ter o načrtovanih stanovanjskih projektih v 2025 je bilo ugotovljeno, da je v Sloveniji 30.650 javnih najemnih stanovanj, kar predstavlja 3,65 % vseh stanovanj v Sloveniji in smo krepko pod evropskim povprečjem, ki je 8 %. Ta isti podatek tudi pove, da je na 1.000 prebivalcev v Sloveniji le 14,86 javnih najemnih stanovanj. Na podlagi zbranih podatkov ankete je ocenjeno, da je potrebnih še dodatnih 20.407 javnih najemnih stanovanj, medtem ko je načrtovanih projektov za manj kot polovico potrebnih dodatnih stanovanj. Dodatno pridobljeni podatki kažejo, da si v Sloveniji približno 20 % enočlanskih gospodinjstev ne more privoščiti nakupa stanovanja s srednjo ceno, ne da bi preseglo prag stroškovne obremenitve in minimalne zahteve glede kreditne sposobnosti in enak odstotek zaradi minimalnih zahtev glede kreditne sposobnosti ne more pridobiti kredita. Približno 30 % gospodinjstev „par z 2 otroki“ si ne more privoščiti nakupa stanovanja s srednjo ceno. Hkrati minimalna zahteva glede kreditne sposobnosti preprečuje približno 40 % teh gospodinjstev, da bi pridobili kredit. Približno 10 % gospodinjstev „par z 2 otroki“ si ne more privoščiti nakupa stanovanja s 25-odstotno ceno, ne da bi preseglo prag stroškovne obremenitve. Hkrati minimalne zahteve glede kreditne sposobnosti omejijo približno 40 % teh gospodinjstev, da ne morejo pridobiti hipotekarnega kredita. </w:t>
            </w:r>
          </w:p>
          <w:p w14:paraId="5BE30242" w14:textId="77777777" w:rsidR="00A77B3E" w:rsidRDefault="00B16CCF">
            <w:pPr>
              <w:spacing w:before="5pt"/>
              <w:rPr>
                <w:color w:val="000000"/>
              </w:rPr>
            </w:pPr>
            <w:r>
              <w:rPr>
                <w:color w:val="000000"/>
              </w:rPr>
              <w:t>S spremembo Stanovanjskega zakona(2)</w:t>
            </w:r>
            <w:r>
              <w:rPr>
                <w:color w:val="000000"/>
                <w:vertAlign w:val="superscript"/>
              </w:rPr>
              <w:t xml:space="preserve"> </w:t>
            </w:r>
            <w:r>
              <w:rPr>
                <w:color w:val="000000"/>
              </w:rPr>
              <w:t>v letu 2025 in sprejetjem Zakona o financiranju in spodbujanju gradnje javnih najemnih stanovanj(3) prav tako v letu 2025, so se v Sloveniji ustvarili pogoji za pospešeno zagotavljanje javnih najemnih in javnih najemnih oskrbovanih stanovanj ter zagotovitev finančno vzdržnega poslovanja akterjev (spremembe na področju zakonsko določene neprofitne najemnine in spremembe pri kritju subvencije najemnin), kar je ključnega pomena za delovanje stanovanjskega sektorja.</w:t>
            </w:r>
          </w:p>
          <w:p w14:paraId="2EDA8AB3" w14:textId="77777777" w:rsidR="00A77B3E" w:rsidRDefault="00B16CCF">
            <w:pPr>
              <w:spacing w:before="5pt"/>
              <w:rPr>
                <w:color w:val="000000"/>
              </w:rPr>
            </w:pPr>
            <w:r>
              <w:rPr>
                <w:color w:val="000000"/>
              </w:rPr>
              <w:t>Javna najemna stanovanja so namenjena osebam, ki izpolnjujejo pogoje 87., 87.a in 87.c člena Stanovanjskega zakona kot so npr. pogoj glede državljanstva, premoženjskega in dohodkovnega cenzusa ter nimajo ustrezno rešenega stanovanjskega vprašanja.</w:t>
            </w:r>
          </w:p>
          <w:p w14:paraId="1107BE03" w14:textId="77777777" w:rsidR="00A77B3E" w:rsidRDefault="00B16CCF">
            <w:pPr>
              <w:spacing w:before="5pt"/>
              <w:rPr>
                <w:color w:val="000000"/>
              </w:rPr>
            </w:pPr>
            <w:r>
              <w:rPr>
                <w:color w:val="000000"/>
              </w:rPr>
              <w:t>Javna najemna oskrbovana stanovanja so namenjena starejšim od 65 let, ki so državljani Republike Slovenije in potrebujejo primerno bivalno okolje brez arhitektonskih ovir in v bližini javnih storitev.</w:t>
            </w:r>
          </w:p>
          <w:p w14:paraId="7111296A" w14:textId="77777777" w:rsidR="00A77B3E" w:rsidRDefault="00B16CCF">
            <w:pPr>
              <w:spacing w:before="5pt"/>
              <w:rPr>
                <w:color w:val="000000"/>
              </w:rPr>
            </w:pPr>
            <w:r>
              <w:rPr>
                <w:color w:val="000000"/>
              </w:rPr>
              <w:t>Upravičeni prejemniki sredstev bodo občine, javni stanovanjski skladi in organizacije, ki imajo status neprofitne stanovanjske organizacije skladno s Stanovanjskim zakonom.</w:t>
            </w:r>
          </w:p>
          <w:p w14:paraId="3A6ECDC8" w14:textId="77777777" w:rsidR="00A77B3E" w:rsidRDefault="00B16CCF">
            <w:pPr>
              <w:spacing w:before="5pt"/>
              <w:rPr>
                <w:color w:val="000000"/>
              </w:rPr>
            </w:pPr>
            <w:r>
              <w:rPr>
                <w:color w:val="000000"/>
              </w:rPr>
              <w:lastRenderedPageBreak/>
              <w:t>V okviru ukrepa se bodo s sredstvi Programa za izvajanje evropske kohezijske politike v obdobju 2021 – 2027 v Sloveniji (PEKP 21–27) podprli stroški projektov:</w:t>
            </w:r>
          </w:p>
          <w:p w14:paraId="47D93850" w14:textId="77777777" w:rsidR="00A77B3E" w:rsidRDefault="00B16CCF">
            <w:pPr>
              <w:numPr>
                <w:ilvl w:val="0"/>
                <w:numId w:val="36"/>
              </w:numPr>
              <w:spacing w:before="5pt"/>
              <w:rPr>
                <w:color w:val="000000"/>
              </w:rPr>
            </w:pPr>
            <w:r>
              <w:rPr>
                <w:color w:val="000000"/>
              </w:rPr>
              <w:t>gradnje stanovanj v »skoraj nič energijskih stavbah«, ki že imajo pridobljeno gradbeno dovoljenje,</w:t>
            </w:r>
          </w:p>
          <w:p w14:paraId="735239EA" w14:textId="77777777" w:rsidR="00A77B3E" w:rsidRDefault="00B16CCF">
            <w:pPr>
              <w:numPr>
                <w:ilvl w:val="0"/>
                <w:numId w:val="36"/>
              </w:numPr>
              <w:spacing w:before="5pt"/>
              <w:rPr>
                <w:color w:val="000000"/>
              </w:rPr>
            </w:pPr>
            <w:r>
              <w:rPr>
                <w:color w:val="000000"/>
              </w:rPr>
              <w:t>nakupa stanovanj v »skoraj nič energijskih stavbah«, ki že imajo pridobljeno gradbeno dovoljenje in ali uporabno dovoljenje.</w:t>
            </w:r>
          </w:p>
          <w:p w14:paraId="3484B294" w14:textId="77777777" w:rsidR="00A77B3E" w:rsidRDefault="00B16CCF">
            <w:pPr>
              <w:spacing w:before="5pt"/>
              <w:rPr>
                <w:color w:val="000000"/>
              </w:rPr>
            </w:pPr>
            <w:r>
              <w:rPr>
                <w:color w:val="000000"/>
              </w:rPr>
              <w:t>Predviden je izbor projektov na podlagi javnega razpisa. Cilj je zagotoviti čim večje število stanovanj in podpreti čim več projektov ter akterjev.</w:t>
            </w:r>
          </w:p>
          <w:p w14:paraId="61C3B93F" w14:textId="77777777" w:rsidR="00A77B3E" w:rsidRDefault="00B16CCF">
            <w:pPr>
              <w:spacing w:before="5pt"/>
              <w:rPr>
                <w:color w:val="000000"/>
              </w:rPr>
            </w:pPr>
            <w:r>
              <w:rPr>
                <w:color w:val="000000"/>
              </w:rPr>
              <w:t>Na ukrepu se predvideva sofinanciranje izgradnje in nakupa stanovanj z določeno stopnjo sofinanciranja v obliki nepovratnih sredstev (dogovorjeno bo sofinanciranje v odstotku od vrednosti investicije).</w:t>
            </w:r>
          </w:p>
          <w:p w14:paraId="2CA68BCA" w14:textId="77777777" w:rsidR="00A77B3E" w:rsidRDefault="00A77B3E">
            <w:pPr>
              <w:spacing w:before="5pt"/>
              <w:rPr>
                <w:color w:val="000000"/>
              </w:rPr>
            </w:pPr>
          </w:p>
          <w:p w14:paraId="0C4D9F6D" w14:textId="77777777" w:rsidR="00A77B3E" w:rsidRDefault="00A77B3E">
            <w:pPr>
              <w:spacing w:before="5pt"/>
              <w:rPr>
                <w:color w:val="000000"/>
              </w:rPr>
            </w:pPr>
          </w:p>
          <w:p w14:paraId="18E9C050" w14:textId="77777777" w:rsidR="00A77B3E" w:rsidRDefault="00A77B3E">
            <w:pPr>
              <w:spacing w:before="5pt"/>
              <w:rPr>
                <w:color w:val="000000"/>
              </w:rPr>
            </w:pPr>
          </w:p>
          <w:p w14:paraId="5A837AE1" w14:textId="77777777" w:rsidR="00A77B3E" w:rsidRDefault="00B16CCF">
            <w:pPr>
              <w:spacing w:before="5pt"/>
              <w:rPr>
                <w:color w:val="000000"/>
              </w:rPr>
            </w:pPr>
            <w:r>
              <w:rPr>
                <w:color w:val="000000"/>
              </w:rPr>
              <w:t>(1) Anketa o ugotavljanju potreb po vrstah stanovanjskega fonda v občinah - https://www.gov.si/assets/ministrstva/MSP/Direktorat-za-stanovanja/Anketa-o-ugotavljanju-potreb-po-vrstah-stanovanjskega-fonda-v-obcinah-ter-o-nacrtovanih-stanovanjskih-projektih_Ministrstvo-za-solidarno-prihodnost_2025.pdf</w:t>
            </w:r>
          </w:p>
          <w:p w14:paraId="010DDDF6" w14:textId="77777777" w:rsidR="00A77B3E" w:rsidRDefault="00B16CCF">
            <w:pPr>
              <w:spacing w:before="5pt"/>
              <w:rPr>
                <w:color w:val="000000"/>
              </w:rPr>
            </w:pPr>
            <w:r>
              <w:rPr>
                <w:color w:val="000000"/>
              </w:rPr>
              <w:t>(2)</w:t>
            </w:r>
            <w:r>
              <w:rPr>
                <w:color w:val="000000"/>
                <w:vertAlign w:val="superscript"/>
              </w:rPr>
              <w:t xml:space="preserve"> </w:t>
            </w:r>
            <w:r>
              <w:rPr>
                <w:color w:val="000000"/>
              </w:rPr>
              <w:t>Stanovanjski zakon (SZ-1) - https://pisrs.si/pregledPredpisa?id=ZAKO2008</w:t>
            </w:r>
          </w:p>
          <w:p w14:paraId="0C08E024" w14:textId="77777777" w:rsidR="00A77B3E" w:rsidRDefault="00B16CCF">
            <w:pPr>
              <w:spacing w:before="5pt"/>
              <w:rPr>
                <w:color w:val="000000"/>
              </w:rPr>
            </w:pPr>
            <w:r>
              <w:rPr>
                <w:color w:val="000000"/>
              </w:rPr>
              <w:t>(3)Zakon o financiranju in spodbujanju gradnje javnih najemnih stanovanj (ZFSGJNS) - https://pisrs.si/pregledPredpisa?id=ZAKO9242</w:t>
            </w:r>
          </w:p>
          <w:p w14:paraId="4B8B7A47" w14:textId="77777777" w:rsidR="00A77B3E" w:rsidRDefault="00A77B3E">
            <w:pPr>
              <w:spacing w:before="5pt"/>
              <w:rPr>
                <w:color w:val="000000"/>
                <w:sz w:val="6"/>
              </w:rPr>
            </w:pPr>
          </w:p>
          <w:p w14:paraId="40DED9C9" w14:textId="77777777" w:rsidR="00A77B3E" w:rsidRDefault="00A77B3E">
            <w:pPr>
              <w:spacing w:before="5pt"/>
              <w:rPr>
                <w:color w:val="000000"/>
                <w:sz w:val="6"/>
              </w:rPr>
            </w:pPr>
          </w:p>
        </w:tc>
      </w:tr>
    </w:tbl>
    <w:p w14:paraId="3634A931" w14:textId="77777777" w:rsidR="00A77B3E" w:rsidRDefault="00A77B3E">
      <w:pPr>
        <w:spacing w:before="5pt"/>
        <w:rPr>
          <w:color w:val="000000"/>
        </w:rPr>
      </w:pPr>
    </w:p>
    <w:p w14:paraId="1D4B8230" w14:textId="77777777" w:rsidR="00A77B3E" w:rsidRDefault="00B16CCF">
      <w:pPr>
        <w:pStyle w:val="Naslov5"/>
        <w:spacing w:before="5pt" w:after="0pt"/>
        <w:rPr>
          <w:b w:val="0"/>
          <w:i w:val="0"/>
          <w:color w:val="000000"/>
          <w:sz w:val="24"/>
        </w:rPr>
      </w:pPr>
      <w:bookmarkStart w:id="614" w:name="_Toc256001375"/>
      <w:r>
        <w:rPr>
          <w:b w:val="0"/>
          <w:i w:val="0"/>
          <w:color w:val="000000"/>
          <w:sz w:val="24"/>
        </w:rPr>
        <w:t>Glavne ciljne skupine – člen 22(3)(d)(iii) uredbe o skupnih določbah:</w:t>
      </w:r>
      <w:bookmarkEnd w:id="614"/>
    </w:p>
    <w:p w14:paraId="74CE268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34700E62"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A9FB7E" w14:textId="77777777" w:rsidR="00A77B3E" w:rsidRDefault="00A77B3E">
            <w:pPr>
              <w:spacing w:before="5pt"/>
              <w:rPr>
                <w:color w:val="000000"/>
                <w:sz w:val="0"/>
              </w:rPr>
            </w:pPr>
          </w:p>
          <w:p w14:paraId="4B21C573" w14:textId="77777777" w:rsidR="00A77B3E" w:rsidRDefault="00B16CCF">
            <w:pPr>
              <w:spacing w:before="5pt"/>
              <w:rPr>
                <w:color w:val="000000"/>
              </w:rPr>
            </w:pPr>
            <w:r>
              <w:rPr>
                <w:color w:val="000000"/>
              </w:rPr>
              <w:t>Ciljne skupine :</w:t>
            </w:r>
          </w:p>
          <w:p w14:paraId="69A09ADA" w14:textId="77777777" w:rsidR="00A77B3E" w:rsidRDefault="00B16CCF">
            <w:pPr>
              <w:numPr>
                <w:ilvl w:val="0"/>
                <w:numId w:val="37"/>
              </w:numPr>
              <w:spacing w:before="5pt"/>
              <w:rPr>
                <w:color w:val="000000"/>
              </w:rPr>
            </w:pPr>
            <w:r>
              <w:rPr>
                <w:color w:val="000000"/>
              </w:rPr>
              <w:t>ciljne skupine za javna najemna stanovanja so najemniki denacionaliziranih stanovanj v skladu z 167. c členom Stanovanjskega zakona(1) in druge prednostne kategorije prosilcev javnega najemnega stanovanja v skladu z 87. b členom Stanovanjskega zakona.</w:t>
            </w:r>
          </w:p>
          <w:p w14:paraId="51618160" w14:textId="77777777" w:rsidR="00A77B3E" w:rsidRDefault="00B16CCF">
            <w:pPr>
              <w:numPr>
                <w:ilvl w:val="0"/>
                <w:numId w:val="37"/>
              </w:numPr>
              <w:spacing w:before="5pt"/>
              <w:rPr>
                <w:color w:val="000000"/>
              </w:rPr>
            </w:pPr>
            <w:r>
              <w:rPr>
                <w:color w:val="000000"/>
              </w:rPr>
              <w:t>ciljne skupine za javna najemna oskrbovana stanovanja so določene v skladu z 90. a členom Stanovanjskega zakona</w:t>
            </w:r>
          </w:p>
          <w:p w14:paraId="24AD1419" w14:textId="77777777" w:rsidR="00A77B3E" w:rsidRDefault="00A77B3E">
            <w:pPr>
              <w:spacing w:before="5pt"/>
              <w:rPr>
                <w:color w:val="000000"/>
              </w:rPr>
            </w:pPr>
          </w:p>
          <w:p w14:paraId="1EE8BCDB" w14:textId="77777777" w:rsidR="00A77B3E" w:rsidRDefault="00B16CCF">
            <w:pPr>
              <w:spacing w:before="5pt"/>
              <w:rPr>
                <w:color w:val="000000"/>
              </w:rPr>
            </w:pPr>
            <w:r>
              <w:rPr>
                <w:color w:val="000000"/>
              </w:rPr>
              <w:t>Upravičenci:</w:t>
            </w:r>
          </w:p>
          <w:p w14:paraId="61A1D2C2" w14:textId="77777777" w:rsidR="00A77B3E" w:rsidRDefault="00B16CCF">
            <w:pPr>
              <w:numPr>
                <w:ilvl w:val="0"/>
                <w:numId w:val="38"/>
              </w:numPr>
              <w:spacing w:before="5pt"/>
              <w:rPr>
                <w:color w:val="000000"/>
              </w:rPr>
            </w:pPr>
            <w:r>
              <w:rPr>
                <w:color w:val="000000"/>
              </w:rPr>
              <w:t>občine</w:t>
            </w:r>
          </w:p>
          <w:p w14:paraId="181F34F8" w14:textId="77777777" w:rsidR="00A77B3E" w:rsidRDefault="00B16CCF">
            <w:pPr>
              <w:numPr>
                <w:ilvl w:val="0"/>
                <w:numId w:val="38"/>
              </w:numPr>
              <w:spacing w:before="5pt"/>
              <w:rPr>
                <w:color w:val="000000"/>
              </w:rPr>
            </w:pPr>
            <w:r>
              <w:rPr>
                <w:color w:val="000000"/>
              </w:rPr>
              <w:t>javni stanovanjski skladi</w:t>
            </w:r>
          </w:p>
          <w:p w14:paraId="003FD56E" w14:textId="77777777" w:rsidR="00A77B3E" w:rsidRDefault="00B16CCF">
            <w:pPr>
              <w:numPr>
                <w:ilvl w:val="0"/>
                <w:numId w:val="38"/>
              </w:numPr>
              <w:spacing w:before="5pt"/>
              <w:rPr>
                <w:color w:val="000000"/>
              </w:rPr>
            </w:pPr>
            <w:r>
              <w:rPr>
                <w:color w:val="000000"/>
              </w:rPr>
              <w:t>organizacije, ki imajo status neprofitne stanovanjske organizacije</w:t>
            </w:r>
          </w:p>
          <w:p w14:paraId="2BEB8D71" w14:textId="77777777" w:rsidR="00A77B3E" w:rsidRDefault="00A77B3E">
            <w:pPr>
              <w:spacing w:before="5pt"/>
              <w:rPr>
                <w:color w:val="000000"/>
              </w:rPr>
            </w:pPr>
          </w:p>
          <w:p w14:paraId="069DEF8A" w14:textId="77777777" w:rsidR="00A77B3E" w:rsidRDefault="00B16CCF">
            <w:pPr>
              <w:spacing w:before="5pt"/>
              <w:rPr>
                <w:color w:val="000000"/>
              </w:rPr>
            </w:pPr>
            <w:r>
              <w:rPr>
                <w:color w:val="000000"/>
              </w:rPr>
              <w:lastRenderedPageBreak/>
              <w:t>(1)</w:t>
            </w:r>
            <w:r>
              <w:rPr>
                <w:color w:val="000000"/>
                <w:vertAlign w:val="superscript"/>
              </w:rPr>
              <w:t xml:space="preserve"> </w:t>
            </w:r>
            <w:r>
              <w:rPr>
                <w:color w:val="000000"/>
              </w:rPr>
              <w:t>Stanovanjski zakon (SZ-1) - https://pisrs.si/pregledPredpisa?id=ZAKO2008</w:t>
            </w:r>
          </w:p>
          <w:p w14:paraId="73FB2791" w14:textId="77777777" w:rsidR="00A77B3E" w:rsidRDefault="00A77B3E">
            <w:pPr>
              <w:spacing w:before="5pt"/>
              <w:rPr>
                <w:color w:val="000000"/>
                <w:sz w:val="6"/>
              </w:rPr>
            </w:pPr>
          </w:p>
          <w:p w14:paraId="0529ECDA" w14:textId="77777777" w:rsidR="00A77B3E" w:rsidRDefault="00A77B3E">
            <w:pPr>
              <w:spacing w:before="5pt"/>
              <w:rPr>
                <w:color w:val="000000"/>
                <w:sz w:val="6"/>
              </w:rPr>
            </w:pPr>
          </w:p>
        </w:tc>
      </w:tr>
    </w:tbl>
    <w:p w14:paraId="49E49F5E" w14:textId="77777777" w:rsidR="00A77B3E" w:rsidRDefault="00A77B3E">
      <w:pPr>
        <w:spacing w:before="5pt"/>
        <w:rPr>
          <w:color w:val="000000"/>
        </w:rPr>
      </w:pPr>
    </w:p>
    <w:p w14:paraId="62C2A3DA" w14:textId="77777777" w:rsidR="00A77B3E" w:rsidRDefault="00B16CCF">
      <w:pPr>
        <w:pStyle w:val="Naslov5"/>
        <w:spacing w:before="5pt" w:after="0pt"/>
        <w:rPr>
          <w:b w:val="0"/>
          <w:i w:val="0"/>
          <w:color w:val="000000"/>
          <w:sz w:val="24"/>
        </w:rPr>
      </w:pPr>
      <w:bookmarkStart w:id="615" w:name="_Toc256001376"/>
      <w:r>
        <w:rPr>
          <w:b w:val="0"/>
          <w:i w:val="0"/>
          <w:color w:val="000000"/>
          <w:sz w:val="24"/>
        </w:rPr>
        <w:t>Ukrepi za zaščito enakosti, vključenosti in nediskriminacije – člen 22(3)(d)(iv) uredbe o skupnih določbah in člen 6 uredbe o ESS+</w:t>
      </w:r>
      <w:bookmarkEnd w:id="615"/>
    </w:p>
    <w:p w14:paraId="6014BFB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52467CB1"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0B509B" w14:textId="77777777" w:rsidR="00A77B3E" w:rsidRDefault="00A77B3E">
            <w:pPr>
              <w:spacing w:before="5pt"/>
              <w:rPr>
                <w:color w:val="000000"/>
                <w:sz w:val="0"/>
              </w:rPr>
            </w:pPr>
          </w:p>
          <w:p w14:paraId="28201996" w14:textId="77777777" w:rsidR="00A77B3E" w:rsidRDefault="00B16CCF">
            <w:pPr>
              <w:spacing w:before="5pt"/>
              <w:rPr>
                <w:color w:val="000000"/>
              </w:rPr>
            </w:pPr>
            <w:r>
              <w:rPr>
                <w:color w:val="000000"/>
              </w:rPr>
              <w:t xml:space="preserve">Spoštovanje načel enakosti, vključenosti in nediskriminacije bo zagotovljeno pri izvajanju vseh aktivnosti na vseh ravneh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w:t>
            </w:r>
          </w:p>
          <w:p w14:paraId="728249B5" w14:textId="77777777" w:rsidR="00A77B3E" w:rsidRDefault="00B16CCF">
            <w:pPr>
              <w:spacing w:before="5pt"/>
              <w:rPr>
                <w:color w:val="000000"/>
              </w:rPr>
            </w:pPr>
            <w:r>
              <w:rPr>
                <w:color w:val="000000"/>
              </w:rPr>
              <w:t>Pri tem bodo upoštevani tudi Postopkovnik za zagotavljanje horizontalnega omogočitvenega pogoja »Učinkovita uporaba in izvajanje Listine o temeljnih pravicah« in Akcijski program za invalide 2022-2030, ter drugi relevantni dokumenti, ki bodo nastali v okviru izvajanja. Po potrebi bodo za njihovo uresničevanje zagotovljena usposabljanja upravne zmogljivosti. Načelo se bo upoštevalo tudi v okviru sistema upravljanja in nadzora.Z morebitnimi ugotovljenimi neskladji bo predvidoma vsaj enkrat letno seznanjen Odbor za spremljanje.</w:t>
            </w:r>
          </w:p>
          <w:p w14:paraId="0B52AA21" w14:textId="77777777" w:rsidR="00A77B3E" w:rsidRDefault="00A77B3E">
            <w:pPr>
              <w:spacing w:before="5pt"/>
              <w:rPr>
                <w:color w:val="000000"/>
                <w:sz w:val="6"/>
              </w:rPr>
            </w:pPr>
          </w:p>
          <w:p w14:paraId="7D5573C0" w14:textId="77777777" w:rsidR="00A77B3E" w:rsidRDefault="00A77B3E">
            <w:pPr>
              <w:spacing w:before="5pt"/>
              <w:rPr>
                <w:color w:val="000000"/>
                <w:sz w:val="6"/>
              </w:rPr>
            </w:pPr>
          </w:p>
        </w:tc>
      </w:tr>
    </w:tbl>
    <w:p w14:paraId="752A7A86" w14:textId="77777777" w:rsidR="00A77B3E" w:rsidRDefault="00A77B3E">
      <w:pPr>
        <w:spacing w:before="5pt"/>
        <w:rPr>
          <w:color w:val="000000"/>
        </w:rPr>
      </w:pPr>
    </w:p>
    <w:p w14:paraId="79AB59EB" w14:textId="77777777" w:rsidR="00A77B3E" w:rsidRDefault="00B16CCF">
      <w:pPr>
        <w:pStyle w:val="Naslov5"/>
        <w:spacing w:before="5pt" w:after="0pt"/>
        <w:rPr>
          <w:b w:val="0"/>
          <w:i w:val="0"/>
          <w:color w:val="000000"/>
          <w:sz w:val="24"/>
        </w:rPr>
      </w:pPr>
      <w:bookmarkStart w:id="616" w:name="_Toc256001377"/>
      <w:r>
        <w:rPr>
          <w:b w:val="0"/>
          <w:i w:val="0"/>
          <w:color w:val="000000"/>
          <w:sz w:val="24"/>
        </w:rPr>
        <w:t>Navedba specifičnih ciljnih ozemelj, vključno z načrtovano uporabo teritorialnih orodij – člen 22(3)(d)(v) uredbe o skupnih določbah</w:t>
      </w:r>
      <w:bookmarkEnd w:id="616"/>
    </w:p>
    <w:p w14:paraId="3DA5744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46F936C7"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6B5F0E" w14:textId="77777777" w:rsidR="00A77B3E" w:rsidRDefault="00A77B3E">
            <w:pPr>
              <w:spacing w:before="5pt"/>
              <w:rPr>
                <w:color w:val="000000"/>
                <w:sz w:val="0"/>
              </w:rPr>
            </w:pPr>
          </w:p>
          <w:p w14:paraId="252A4E97" w14:textId="77777777" w:rsidR="00A77B3E" w:rsidRDefault="00B16CCF">
            <w:pPr>
              <w:spacing w:before="5pt"/>
              <w:rPr>
                <w:color w:val="000000"/>
              </w:rPr>
            </w:pPr>
            <w:r>
              <w:rPr>
                <w:color w:val="000000"/>
              </w:rPr>
              <w:t>V okviru navedenega specifičnega cilja ni predvidena uporaba teritorialnih orodij.</w:t>
            </w:r>
          </w:p>
          <w:p w14:paraId="6315BAAA" w14:textId="77777777" w:rsidR="00A77B3E" w:rsidRDefault="00A77B3E">
            <w:pPr>
              <w:spacing w:before="5pt"/>
              <w:rPr>
                <w:color w:val="000000"/>
                <w:sz w:val="6"/>
              </w:rPr>
            </w:pPr>
          </w:p>
          <w:p w14:paraId="53A6F45B" w14:textId="77777777" w:rsidR="00A77B3E" w:rsidRDefault="00A77B3E">
            <w:pPr>
              <w:spacing w:before="5pt"/>
              <w:rPr>
                <w:color w:val="000000"/>
                <w:sz w:val="6"/>
              </w:rPr>
            </w:pPr>
          </w:p>
        </w:tc>
      </w:tr>
    </w:tbl>
    <w:p w14:paraId="61B74376" w14:textId="77777777" w:rsidR="00A77B3E" w:rsidRDefault="00A77B3E">
      <w:pPr>
        <w:spacing w:before="5pt"/>
        <w:rPr>
          <w:color w:val="000000"/>
        </w:rPr>
      </w:pPr>
    </w:p>
    <w:p w14:paraId="4EA3F788" w14:textId="77777777" w:rsidR="00A77B3E" w:rsidRDefault="00B16CCF">
      <w:pPr>
        <w:pStyle w:val="Naslov5"/>
        <w:spacing w:before="5pt" w:after="0pt"/>
        <w:rPr>
          <w:b w:val="0"/>
          <w:i w:val="0"/>
          <w:color w:val="000000"/>
          <w:sz w:val="24"/>
        </w:rPr>
      </w:pPr>
      <w:bookmarkStart w:id="617" w:name="_Toc256001378"/>
      <w:r>
        <w:rPr>
          <w:b w:val="0"/>
          <w:i w:val="0"/>
          <w:color w:val="000000"/>
          <w:sz w:val="24"/>
        </w:rPr>
        <w:t>Medregionalni, čezmejni in transnacionalni ukrepi – člen 22(3)(d)(vi) uredbe o skupnih določbah</w:t>
      </w:r>
      <w:bookmarkEnd w:id="617"/>
    </w:p>
    <w:p w14:paraId="035C0B4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34F375D2"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2A5C37" w14:textId="77777777" w:rsidR="00A77B3E" w:rsidRDefault="00A77B3E">
            <w:pPr>
              <w:spacing w:before="5pt"/>
              <w:rPr>
                <w:color w:val="000000"/>
                <w:sz w:val="0"/>
              </w:rPr>
            </w:pPr>
          </w:p>
          <w:p w14:paraId="5D20A29D" w14:textId="77777777" w:rsidR="00A77B3E" w:rsidRDefault="00B16CCF">
            <w:pPr>
              <w:spacing w:before="5pt"/>
              <w:rPr>
                <w:color w:val="000000"/>
              </w:rPr>
            </w:pPr>
            <w:r>
              <w:rPr>
                <w:color w:val="000000"/>
              </w:rPr>
              <w:t>V okviru navedenega specifičnega cilja medregionalni, čezmejni in transnacionalni ukrepi niso predvideni, saj gre za ukrepe sofinanciranja izgradnje ali nakupa stanovanj na področju Republike Slovenije.</w:t>
            </w:r>
          </w:p>
          <w:p w14:paraId="480B4BF5" w14:textId="77777777" w:rsidR="00A77B3E" w:rsidRDefault="00A77B3E">
            <w:pPr>
              <w:spacing w:before="5pt"/>
              <w:rPr>
                <w:color w:val="000000"/>
                <w:sz w:val="6"/>
              </w:rPr>
            </w:pPr>
          </w:p>
          <w:p w14:paraId="746DD78F" w14:textId="77777777" w:rsidR="00A77B3E" w:rsidRDefault="00A77B3E">
            <w:pPr>
              <w:spacing w:before="5pt"/>
              <w:rPr>
                <w:color w:val="000000"/>
                <w:sz w:val="6"/>
              </w:rPr>
            </w:pPr>
          </w:p>
        </w:tc>
      </w:tr>
    </w:tbl>
    <w:p w14:paraId="7AFBD047" w14:textId="77777777" w:rsidR="00A77B3E" w:rsidRDefault="00A77B3E">
      <w:pPr>
        <w:spacing w:before="5pt"/>
        <w:rPr>
          <w:color w:val="000000"/>
        </w:rPr>
      </w:pPr>
    </w:p>
    <w:p w14:paraId="29722F94" w14:textId="77777777" w:rsidR="00A77B3E" w:rsidRDefault="00B16CCF">
      <w:pPr>
        <w:pStyle w:val="Naslov5"/>
        <w:spacing w:before="5pt" w:after="0pt"/>
        <w:rPr>
          <w:b w:val="0"/>
          <w:i w:val="0"/>
          <w:color w:val="000000"/>
          <w:sz w:val="24"/>
        </w:rPr>
      </w:pPr>
      <w:bookmarkStart w:id="618" w:name="_Toc256001379"/>
      <w:r>
        <w:rPr>
          <w:b w:val="0"/>
          <w:i w:val="0"/>
          <w:color w:val="000000"/>
          <w:sz w:val="24"/>
        </w:rPr>
        <w:t>Načrtovana uporaba finančnih instrumentov – člen 22(3)(d)(vii) uredbe o skupnih določbah</w:t>
      </w:r>
      <w:bookmarkEnd w:id="618"/>
    </w:p>
    <w:p w14:paraId="1C97F6F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5BEC030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E93B8B" w14:textId="77777777" w:rsidR="00A77B3E" w:rsidRDefault="00A77B3E">
            <w:pPr>
              <w:spacing w:before="5pt"/>
              <w:rPr>
                <w:color w:val="000000"/>
                <w:sz w:val="0"/>
              </w:rPr>
            </w:pPr>
          </w:p>
          <w:p w14:paraId="6A9DFB9D" w14:textId="77777777" w:rsidR="00A77B3E" w:rsidRDefault="00B16CCF">
            <w:pPr>
              <w:spacing w:before="5pt"/>
              <w:rPr>
                <w:color w:val="000000"/>
              </w:rPr>
            </w:pPr>
            <w:r>
              <w:rPr>
                <w:color w:val="000000"/>
              </w:rPr>
              <w:lastRenderedPageBreak/>
              <w:t xml:space="preserve">Predvidena je uporaba nepovratnih virov. Uporaba finančnih instrumentov se s spremembo PEKP v Sloveniji na področju Dostopnih stanovanj s sredstvi kohezijske politike ne načrtuje, saj se za ta namen na nacionalni ravni vzpostavlja finančni instrument sofinanciranja stanovanj iz nacionalnih sredstev. Finančni instrument, oblikovan iz nacionalnih sredstev, bo komplementaren financiranju iz PEKP. </w:t>
            </w:r>
          </w:p>
          <w:p w14:paraId="49CAB81C" w14:textId="77777777" w:rsidR="00A77B3E" w:rsidRDefault="00A77B3E">
            <w:pPr>
              <w:spacing w:before="5pt"/>
              <w:rPr>
                <w:color w:val="000000"/>
                <w:sz w:val="6"/>
              </w:rPr>
            </w:pPr>
          </w:p>
          <w:p w14:paraId="0105F09A" w14:textId="77777777" w:rsidR="00A77B3E" w:rsidRDefault="00A77B3E">
            <w:pPr>
              <w:spacing w:before="5pt"/>
              <w:rPr>
                <w:color w:val="000000"/>
                <w:sz w:val="6"/>
              </w:rPr>
            </w:pPr>
          </w:p>
        </w:tc>
      </w:tr>
    </w:tbl>
    <w:p w14:paraId="083D47DE" w14:textId="77777777" w:rsidR="00A77B3E" w:rsidRDefault="00A77B3E">
      <w:pPr>
        <w:spacing w:before="5pt"/>
        <w:rPr>
          <w:color w:val="000000"/>
        </w:rPr>
      </w:pPr>
    </w:p>
    <w:p w14:paraId="31FAB530" w14:textId="77777777" w:rsidR="00A77B3E" w:rsidRDefault="00B16CCF">
      <w:pPr>
        <w:pStyle w:val="Naslov4"/>
        <w:spacing w:before="5pt" w:after="0pt"/>
        <w:rPr>
          <w:b w:val="0"/>
          <w:color w:val="000000"/>
          <w:sz w:val="24"/>
        </w:rPr>
      </w:pPr>
      <w:bookmarkStart w:id="619" w:name="_Toc256001380"/>
      <w:r>
        <w:rPr>
          <w:b w:val="0"/>
          <w:color w:val="000000"/>
          <w:sz w:val="24"/>
        </w:rPr>
        <w:t>2.1.1.1.2. Kazalniki</w:t>
      </w:r>
      <w:bookmarkEnd w:id="619"/>
    </w:p>
    <w:p w14:paraId="7A05CC59" w14:textId="77777777" w:rsidR="00A77B3E" w:rsidRDefault="00A77B3E">
      <w:pPr>
        <w:spacing w:before="5pt"/>
        <w:rPr>
          <w:color w:val="000000"/>
          <w:sz w:val="0"/>
        </w:rPr>
      </w:pPr>
    </w:p>
    <w:p w14:paraId="4B7D7156" w14:textId="77777777" w:rsidR="00A77B3E" w:rsidRDefault="00B16CCF">
      <w:pPr>
        <w:spacing w:before="5pt"/>
        <w:rPr>
          <w:color w:val="000000"/>
          <w:sz w:val="0"/>
        </w:rPr>
      </w:pPr>
      <w:r>
        <w:rPr>
          <w:color w:val="000000"/>
        </w:rPr>
        <w:t>Sklic: člen 22(3)(d)(ii) uredbe o skupnih določbah in člen 8 uredbe o ESRR in Kohezijskem skladu</w:t>
      </w:r>
    </w:p>
    <w:p w14:paraId="2671C596" w14:textId="77777777" w:rsidR="00A77B3E" w:rsidRDefault="00B16CCF">
      <w:pPr>
        <w:pStyle w:val="Naslov5"/>
        <w:spacing w:before="5pt" w:after="0pt"/>
        <w:rPr>
          <w:b w:val="0"/>
          <w:i w:val="0"/>
          <w:color w:val="000000"/>
          <w:sz w:val="24"/>
        </w:rPr>
      </w:pPr>
      <w:bookmarkStart w:id="620" w:name="_Toc256001381"/>
      <w:r>
        <w:rPr>
          <w:b w:val="0"/>
          <w:i w:val="0"/>
          <w:color w:val="000000"/>
          <w:sz w:val="24"/>
        </w:rPr>
        <w:t>Tabela 2: Kazalniki učinka</w:t>
      </w:r>
      <w:bookmarkEnd w:id="620"/>
    </w:p>
    <w:p w14:paraId="75B5E10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55"/>
        <w:gridCol w:w="1711"/>
        <w:gridCol w:w="1141"/>
        <w:gridCol w:w="1774"/>
        <w:gridCol w:w="2058"/>
        <w:gridCol w:w="2325"/>
        <w:gridCol w:w="1794"/>
        <w:gridCol w:w="1283"/>
        <w:gridCol w:w="1231"/>
      </w:tblGrid>
      <w:tr w:rsidR="00823317" w14:paraId="797CD9C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87E6EC"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B2C9EB"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F92294"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AB031F4"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791B3C"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16A31D"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7C72F8"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534911" w14:textId="77777777" w:rsidR="00A77B3E" w:rsidRDefault="00B16CCF">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26FB20" w14:textId="77777777" w:rsidR="00A77B3E" w:rsidRDefault="00B16CCF">
            <w:pPr>
              <w:spacing w:before="5pt"/>
              <w:jc w:val="center"/>
              <w:rPr>
                <w:color w:val="000000"/>
                <w:sz w:val="20"/>
              </w:rPr>
            </w:pPr>
            <w:r>
              <w:rPr>
                <w:color w:val="000000"/>
                <w:sz w:val="20"/>
              </w:rPr>
              <w:t>Cilj (2029)</w:t>
            </w:r>
          </w:p>
        </w:tc>
      </w:tr>
      <w:tr w:rsidR="00823317" w14:paraId="5DC5F9E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BBC1B8" w14:textId="77777777" w:rsidR="00A77B3E" w:rsidRDefault="00B16CCF">
            <w:pPr>
              <w:spacing w:before="5pt"/>
              <w:rPr>
                <w:color w:val="000000"/>
                <w:sz w:val="20"/>
              </w:rPr>
            </w:pPr>
            <w:r>
              <w:rPr>
                <w:color w:val="000000"/>
                <w:sz w:val="20"/>
              </w:rPr>
              <w:t>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03979E" w14:textId="77777777" w:rsidR="00A77B3E" w:rsidRDefault="00B16CCF">
            <w:pPr>
              <w:spacing w:before="5pt"/>
              <w:rPr>
                <w:color w:val="000000"/>
                <w:sz w:val="20"/>
              </w:rPr>
            </w:pPr>
            <w:r>
              <w:rPr>
                <w:color w:val="000000"/>
                <w:sz w:val="20"/>
              </w:rPr>
              <w:t>RSO4.7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DC7831"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FBC9F1"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7EE9BC" w14:textId="77777777" w:rsidR="00A77B3E" w:rsidRDefault="00B16CCF">
            <w:pPr>
              <w:spacing w:before="5pt"/>
              <w:rPr>
                <w:color w:val="000000"/>
                <w:sz w:val="20"/>
              </w:rPr>
            </w:pPr>
            <w:r>
              <w:rPr>
                <w:color w:val="000000"/>
                <w:sz w:val="20"/>
              </w:rPr>
              <w:t>RCO18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D99A33" w14:textId="77777777" w:rsidR="00A77B3E" w:rsidRDefault="00B16CCF">
            <w:pPr>
              <w:spacing w:before="5pt"/>
              <w:rPr>
                <w:color w:val="000000"/>
                <w:sz w:val="20"/>
              </w:rPr>
            </w:pPr>
            <w:r>
              <w:rPr>
                <w:color w:val="000000"/>
                <w:sz w:val="20"/>
              </w:rPr>
              <w:t>Stanovanja z boljšo energijsko učinkovitostjo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FD8C9D" w14:textId="77777777" w:rsidR="00A77B3E" w:rsidRDefault="00B16CCF">
            <w:pPr>
              <w:spacing w:before="5pt"/>
              <w:rPr>
                <w:color w:val="000000"/>
                <w:sz w:val="20"/>
              </w:rPr>
            </w:pPr>
            <w:r>
              <w:rPr>
                <w:color w:val="000000"/>
                <w:sz w:val="20"/>
              </w:rPr>
              <w:t>stanovanja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084711"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9B1D75" w14:textId="77777777" w:rsidR="00A77B3E" w:rsidRDefault="00B16CCF">
            <w:pPr>
              <w:spacing w:before="5pt"/>
              <w:jc w:val="end"/>
              <w:rPr>
                <w:color w:val="000000"/>
                <w:sz w:val="20"/>
              </w:rPr>
            </w:pPr>
            <w:r>
              <w:rPr>
                <w:color w:val="000000"/>
                <w:sz w:val="20"/>
              </w:rPr>
              <w:t>400,00</w:t>
            </w:r>
          </w:p>
        </w:tc>
      </w:tr>
      <w:tr w:rsidR="00823317" w14:paraId="00884D6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10078E" w14:textId="77777777" w:rsidR="00A77B3E" w:rsidRDefault="00B16CCF">
            <w:pPr>
              <w:spacing w:before="5pt"/>
              <w:rPr>
                <w:color w:val="000000"/>
                <w:sz w:val="20"/>
              </w:rPr>
            </w:pPr>
            <w:r>
              <w:rPr>
                <w:color w:val="000000"/>
                <w:sz w:val="20"/>
              </w:rPr>
              <w:t>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FE8BC1" w14:textId="77777777" w:rsidR="00A77B3E" w:rsidRDefault="00B16CCF">
            <w:pPr>
              <w:spacing w:before="5pt"/>
              <w:rPr>
                <w:color w:val="000000"/>
                <w:sz w:val="20"/>
              </w:rPr>
            </w:pPr>
            <w:r>
              <w:rPr>
                <w:color w:val="000000"/>
                <w:sz w:val="20"/>
              </w:rPr>
              <w:t>RSO4.7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445BA7"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7D0F47"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BFE911" w14:textId="77777777" w:rsidR="00A77B3E" w:rsidRDefault="00B16CCF">
            <w:pPr>
              <w:spacing w:before="5pt"/>
              <w:rPr>
                <w:color w:val="000000"/>
                <w:sz w:val="20"/>
              </w:rPr>
            </w:pPr>
            <w:r>
              <w:rPr>
                <w:color w:val="000000"/>
                <w:sz w:val="20"/>
              </w:rPr>
              <w:t>RCO18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5CF596" w14:textId="77777777" w:rsidR="00A77B3E" w:rsidRDefault="00B16CCF">
            <w:pPr>
              <w:spacing w:before="5pt"/>
              <w:rPr>
                <w:color w:val="000000"/>
                <w:sz w:val="20"/>
              </w:rPr>
            </w:pPr>
            <w:r>
              <w:rPr>
                <w:color w:val="000000"/>
                <w:sz w:val="20"/>
              </w:rPr>
              <w:t>Stanovanja z boljšo energijsko učinkovitostjo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464F1D" w14:textId="77777777" w:rsidR="00A77B3E" w:rsidRDefault="00B16CCF">
            <w:pPr>
              <w:spacing w:before="5pt"/>
              <w:rPr>
                <w:color w:val="000000"/>
                <w:sz w:val="20"/>
              </w:rPr>
            </w:pPr>
            <w:r>
              <w:rPr>
                <w:color w:val="000000"/>
                <w:sz w:val="20"/>
              </w:rPr>
              <w:t>stanovanja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55DA48"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A3F8AF" w14:textId="77777777" w:rsidR="00A77B3E" w:rsidRDefault="00B16CCF">
            <w:pPr>
              <w:spacing w:before="5pt"/>
              <w:jc w:val="end"/>
              <w:rPr>
                <w:color w:val="000000"/>
                <w:sz w:val="20"/>
              </w:rPr>
            </w:pPr>
            <w:r>
              <w:rPr>
                <w:color w:val="000000"/>
                <w:sz w:val="20"/>
              </w:rPr>
              <w:t>580,00</w:t>
            </w:r>
          </w:p>
        </w:tc>
      </w:tr>
    </w:tbl>
    <w:p w14:paraId="080F588B" w14:textId="77777777" w:rsidR="00A77B3E" w:rsidRDefault="00A77B3E">
      <w:pPr>
        <w:spacing w:before="5pt"/>
        <w:rPr>
          <w:color w:val="000000"/>
          <w:sz w:val="20"/>
        </w:rPr>
      </w:pPr>
    </w:p>
    <w:p w14:paraId="4FC48F55" w14:textId="77777777" w:rsidR="00A77B3E" w:rsidRDefault="00B16CCF">
      <w:pPr>
        <w:spacing w:before="5pt"/>
        <w:rPr>
          <w:color w:val="000000"/>
          <w:sz w:val="0"/>
        </w:rPr>
      </w:pPr>
      <w:r>
        <w:rPr>
          <w:color w:val="000000"/>
        </w:rPr>
        <w:t>Sklic: člen 22(3)(d)(ii) uredbe o skupnih določbah</w:t>
      </w:r>
    </w:p>
    <w:p w14:paraId="42BB961E" w14:textId="77777777" w:rsidR="00A77B3E" w:rsidRDefault="00B16CCF">
      <w:pPr>
        <w:pStyle w:val="Naslov5"/>
        <w:spacing w:before="5pt" w:after="0pt"/>
        <w:rPr>
          <w:b w:val="0"/>
          <w:i w:val="0"/>
          <w:color w:val="000000"/>
          <w:sz w:val="24"/>
        </w:rPr>
      </w:pPr>
      <w:bookmarkStart w:id="621" w:name="_Toc256001382"/>
      <w:r>
        <w:rPr>
          <w:b w:val="0"/>
          <w:i w:val="0"/>
          <w:color w:val="000000"/>
          <w:sz w:val="24"/>
        </w:rPr>
        <w:t>Tabela 3: Kazalniki rezultatov</w:t>
      </w:r>
      <w:bookmarkEnd w:id="621"/>
    </w:p>
    <w:p w14:paraId="317AE42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77"/>
        <w:gridCol w:w="1178"/>
        <w:gridCol w:w="786"/>
        <w:gridCol w:w="1221"/>
        <w:gridCol w:w="1418"/>
        <w:gridCol w:w="1587"/>
        <w:gridCol w:w="1699"/>
        <w:gridCol w:w="1249"/>
        <w:gridCol w:w="1319"/>
        <w:gridCol w:w="1038"/>
        <w:gridCol w:w="1376"/>
        <w:gridCol w:w="1024"/>
      </w:tblGrid>
      <w:tr w:rsidR="00823317" w14:paraId="788ADF1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8F6B2F"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0FBAB2"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7A2996"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9A410E"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BE5661"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04AC19"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4AF201"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32EFAC" w14:textId="77777777" w:rsidR="00A77B3E" w:rsidRDefault="00B16CCF">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21751E" w14:textId="77777777" w:rsidR="00A77B3E" w:rsidRDefault="00B16CCF">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9705B8" w14:textId="77777777" w:rsidR="00A77B3E" w:rsidRDefault="00B16CCF">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C34D92" w14:textId="77777777" w:rsidR="00A77B3E" w:rsidRDefault="00B16CCF">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8398D4" w14:textId="77777777" w:rsidR="00A77B3E" w:rsidRDefault="00B16CCF">
            <w:pPr>
              <w:spacing w:before="5pt"/>
              <w:jc w:val="center"/>
              <w:rPr>
                <w:color w:val="000000"/>
                <w:sz w:val="20"/>
              </w:rPr>
            </w:pPr>
            <w:r>
              <w:rPr>
                <w:color w:val="000000"/>
                <w:sz w:val="20"/>
              </w:rPr>
              <w:t>Opombe</w:t>
            </w:r>
          </w:p>
        </w:tc>
      </w:tr>
      <w:tr w:rsidR="00823317" w14:paraId="417778E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9D9302" w14:textId="77777777" w:rsidR="00A77B3E" w:rsidRDefault="00B16CCF">
            <w:pPr>
              <w:spacing w:before="5pt"/>
              <w:rPr>
                <w:color w:val="000000"/>
                <w:sz w:val="20"/>
              </w:rPr>
            </w:pPr>
            <w:r>
              <w:rPr>
                <w:color w:val="000000"/>
                <w:sz w:val="20"/>
              </w:rPr>
              <w:t>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1D6DCB" w14:textId="77777777" w:rsidR="00A77B3E" w:rsidRDefault="00B16CCF">
            <w:pPr>
              <w:spacing w:before="5pt"/>
              <w:rPr>
                <w:color w:val="000000"/>
                <w:sz w:val="20"/>
              </w:rPr>
            </w:pPr>
            <w:r>
              <w:rPr>
                <w:color w:val="000000"/>
                <w:sz w:val="20"/>
              </w:rPr>
              <w:t>RSO4.7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09FC2F"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1C7629"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EDC9B4" w14:textId="77777777" w:rsidR="00A77B3E" w:rsidRDefault="00B16CCF">
            <w:pPr>
              <w:spacing w:before="5pt"/>
              <w:rPr>
                <w:color w:val="000000"/>
                <w:sz w:val="20"/>
              </w:rPr>
            </w:pPr>
            <w:r>
              <w:rPr>
                <w:color w:val="000000"/>
                <w:sz w:val="20"/>
              </w:rPr>
              <w:t>RCR67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5FCAD1" w14:textId="77777777" w:rsidR="00A77B3E" w:rsidRDefault="00B16CCF">
            <w:pPr>
              <w:spacing w:before="5pt"/>
              <w:rPr>
                <w:color w:val="000000"/>
                <w:sz w:val="20"/>
              </w:rPr>
            </w:pPr>
            <w:r>
              <w:rPr>
                <w:color w:val="000000"/>
                <w:sz w:val="20"/>
              </w:rPr>
              <w:t>Letno število uporabnikov novih ali posodobljenih socialnih stanovanj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F49841" w14:textId="77777777" w:rsidR="00A77B3E" w:rsidRDefault="00B16CCF">
            <w:pPr>
              <w:spacing w:before="5pt"/>
              <w:rPr>
                <w:color w:val="000000"/>
                <w:sz w:val="20"/>
              </w:rPr>
            </w:pPr>
            <w:r>
              <w:rPr>
                <w:color w:val="000000"/>
                <w:sz w:val="20"/>
              </w:rPr>
              <w:t>uporabniki/leto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81D7D9"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425854" w14:textId="77777777" w:rsidR="00A77B3E" w:rsidRDefault="00B16CCF">
            <w:pPr>
              <w:spacing w:before="5pt"/>
              <w:jc w:val="center"/>
              <w:rPr>
                <w:color w:val="000000"/>
                <w:sz w:val="20"/>
              </w:rPr>
            </w:pPr>
            <w:r>
              <w:rPr>
                <w:color w:val="000000"/>
                <w:sz w:val="20"/>
              </w:rPr>
              <w:t>2025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4366B4" w14:textId="77777777" w:rsidR="00A77B3E" w:rsidRDefault="00B16CCF">
            <w:pPr>
              <w:spacing w:before="5pt"/>
              <w:jc w:val="end"/>
              <w:rPr>
                <w:color w:val="000000"/>
                <w:sz w:val="20"/>
              </w:rPr>
            </w:pPr>
            <w:r>
              <w:rPr>
                <w:color w:val="000000"/>
                <w:sz w:val="20"/>
              </w:rPr>
              <w:t>800,00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C7FF93" w14:textId="77777777" w:rsidR="00A77B3E" w:rsidRDefault="00B16CCF">
            <w:pPr>
              <w:spacing w:before="5pt"/>
              <w:rPr>
                <w:color w:val="000000"/>
                <w:sz w:val="20"/>
              </w:rPr>
            </w:pPr>
            <w:r>
              <w:rPr>
                <w:color w:val="000000"/>
                <w:sz w:val="20"/>
              </w:rPr>
              <w:t>Poročilo upravičenca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A491BB" w14:textId="77777777" w:rsidR="00A77B3E" w:rsidRDefault="00A77B3E">
            <w:pPr>
              <w:spacing w:before="5pt"/>
              <w:rPr>
                <w:color w:val="000000"/>
                <w:sz w:val="20"/>
              </w:rPr>
            </w:pPr>
          </w:p>
        </w:tc>
      </w:tr>
      <w:tr w:rsidR="00823317" w14:paraId="0E1B310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669BE0" w14:textId="77777777" w:rsidR="00A77B3E" w:rsidRDefault="00B16CCF">
            <w:pPr>
              <w:spacing w:before="5pt"/>
              <w:rPr>
                <w:color w:val="000000"/>
                <w:sz w:val="20"/>
              </w:rPr>
            </w:pPr>
            <w:r>
              <w:rPr>
                <w:color w:val="000000"/>
                <w:sz w:val="20"/>
              </w:rPr>
              <w:t>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76A54F" w14:textId="77777777" w:rsidR="00A77B3E" w:rsidRDefault="00B16CCF">
            <w:pPr>
              <w:spacing w:before="5pt"/>
              <w:rPr>
                <w:color w:val="000000"/>
                <w:sz w:val="20"/>
              </w:rPr>
            </w:pPr>
            <w:r>
              <w:rPr>
                <w:color w:val="000000"/>
                <w:sz w:val="20"/>
              </w:rPr>
              <w:t>RSO4.7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B0A5BB"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D2F590"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236E1A" w14:textId="77777777" w:rsidR="00A77B3E" w:rsidRDefault="00B16CCF">
            <w:pPr>
              <w:spacing w:before="5pt"/>
              <w:rPr>
                <w:color w:val="000000"/>
                <w:sz w:val="20"/>
              </w:rPr>
            </w:pPr>
            <w:r>
              <w:rPr>
                <w:color w:val="000000"/>
                <w:sz w:val="20"/>
              </w:rPr>
              <w:t>RCR67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43BEA7" w14:textId="77777777" w:rsidR="00A77B3E" w:rsidRDefault="00B16CCF">
            <w:pPr>
              <w:spacing w:before="5pt"/>
              <w:rPr>
                <w:color w:val="000000"/>
                <w:sz w:val="20"/>
              </w:rPr>
            </w:pPr>
            <w:r>
              <w:rPr>
                <w:color w:val="000000"/>
                <w:sz w:val="20"/>
              </w:rPr>
              <w:t>Letno število uporabnikov novih ali posodobljenih socialnih stanovanj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F5D308" w14:textId="77777777" w:rsidR="00A77B3E" w:rsidRDefault="00B16CCF">
            <w:pPr>
              <w:spacing w:before="5pt"/>
              <w:rPr>
                <w:color w:val="000000"/>
                <w:sz w:val="20"/>
              </w:rPr>
            </w:pPr>
            <w:r>
              <w:rPr>
                <w:color w:val="000000"/>
                <w:sz w:val="20"/>
              </w:rPr>
              <w:t>uporabniki/leto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AD7C86"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8EF760" w14:textId="77777777" w:rsidR="00A77B3E" w:rsidRDefault="00B16CCF">
            <w:pPr>
              <w:spacing w:before="5pt"/>
              <w:jc w:val="center"/>
              <w:rPr>
                <w:color w:val="000000"/>
                <w:sz w:val="20"/>
              </w:rPr>
            </w:pPr>
            <w:r>
              <w:rPr>
                <w:color w:val="000000"/>
                <w:sz w:val="20"/>
              </w:rPr>
              <w:t>2025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B4EE6C" w14:textId="77777777" w:rsidR="00A77B3E" w:rsidRDefault="00B16CCF">
            <w:pPr>
              <w:spacing w:before="5pt"/>
              <w:jc w:val="end"/>
              <w:rPr>
                <w:color w:val="000000"/>
                <w:sz w:val="20"/>
              </w:rPr>
            </w:pPr>
            <w:r>
              <w:rPr>
                <w:color w:val="000000"/>
                <w:sz w:val="20"/>
              </w:rPr>
              <w:t>1.160,00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2B8931" w14:textId="77777777" w:rsidR="00A77B3E" w:rsidRDefault="00B16CCF">
            <w:pPr>
              <w:spacing w:before="5pt"/>
              <w:rPr>
                <w:color w:val="000000"/>
                <w:sz w:val="20"/>
              </w:rPr>
            </w:pPr>
            <w:r>
              <w:rPr>
                <w:color w:val="000000"/>
                <w:sz w:val="20"/>
              </w:rPr>
              <w:t>Poročilu upravičenca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3ADC1E" w14:textId="77777777" w:rsidR="00A77B3E" w:rsidRDefault="00A77B3E">
            <w:pPr>
              <w:spacing w:before="5pt"/>
              <w:rPr>
                <w:color w:val="000000"/>
                <w:sz w:val="20"/>
              </w:rPr>
            </w:pPr>
          </w:p>
        </w:tc>
      </w:tr>
    </w:tbl>
    <w:p w14:paraId="4434DA58" w14:textId="77777777" w:rsidR="00A77B3E" w:rsidRDefault="00A77B3E">
      <w:pPr>
        <w:spacing w:before="5pt"/>
        <w:rPr>
          <w:color w:val="000000"/>
          <w:sz w:val="20"/>
        </w:rPr>
      </w:pPr>
    </w:p>
    <w:p w14:paraId="3AA94506" w14:textId="77777777" w:rsidR="00A77B3E" w:rsidRDefault="00B16CCF">
      <w:pPr>
        <w:pStyle w:val="Naslov4"/>
        <w:spacing w:before="5pt" w:after="0pt"/>
        <w:rPr>
          <w:b w:val="0"/>
          <w:color w:val="000000"/>
          <w:sz w:val="24"/>
        </w:rPr>
      </w:pPr>
      <w:bookmarkStart w:id="622" w:name="_Toc256001383"/>
      <w:r>
        <w:rPr>
          <w:b w:val="0"/>
          <w:color w:val="000000"/>
          <w:sz w:val="24"/>
        </w:rPr>
        <w:t>2.1.1.1.3. Okvirna razčlenitev načrtovanih sredstev (EU) glede na vrsto ukrepa</w:t>
      </w:r>
      <w:bookmarkEnd w:id="622"/>
    </w:p>
    <w:p w14:paraId="0AC9D5F8" w14:textId="77777777" w:rsidR="00A77B3E" w:rsidRDefault="00A77B3E">
      <w:pPr>
        <w:spacing w:before="5pt"/>
        <w:rPr>
          <w:color w:val="000000"/>
          <w:sz w:val="0"/>
        </w:rPr>
      </w:pPr>
    </w:p>
    <w:p w14:paraId="7C2235F3" w14:textId="77777777" w:rsidR="00A77B3E" w:rsidRDefault="00B16CCF">
      <w:pPr>
        <w:spacing w:before="5pt"/>
        <w:rPr>
          <w:color w:val="000000"/>
          <w:sz w:val="0"/>
        </w:rPr>
      </w:pPr>
      <w:r>
        <w:rPr>
          <w:color w:val="000000"/>
        </w:rPr>
        <w:t>Sklic: člen 22(3)(d)(viii) uredbe o skupnih določbah</w:t>
      </w:r>
    </w:p>
    <w:p w14:paraId="477CA795" w14:textId="77777777" w:rsidR="00A77B3E" w:rsidRDefault="00B16CCF">
      <w:pPr>
        <w:pStyle w:val="Naslov5"/>
        <w:spacing w:before="5pt" w:after="0pt"/>
        <w:rPr>
          <w:b w:val="0"/>
          <w:i w:val="0"/>
          <w:color w:val="000000"/>
          <w:sz w:val="24"/>
        </w:rPr>
      </w:pPr>
      <w:bookmarkStart w:id="623" w:name="_Toc256001384"/>
      <w:r>
        <w:rPr>
          <w:b w:val="0"/>
          <w:i w:val="0"/>
          <w:color w:val="000000"/>
          <w:sz w:val="24"/>
        </w:rPr>
        <w:t>Tabela 4: Razsežnost 1 – področje ukrepanja</w:t>
      </w:r>
      <w:bookmarkEnd w:id="623"/>
    </w:p>
    <w:p w14:paraId="1435E62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26"/>
        <w:gridCol w:w="2331"/>
        <w:gridCol w:w="1692"/>
        <w:gridCol w:w="2416"/>
        <w:gridCol w:w="3027"/>
        <w:gridCol w:w="3180"/>
      </w:tblGrid>
      <w:tr w:rsidR="00823317" w14:paraId="79038BC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CB5D00"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EBBCC59"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9B5C36"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2D2A0E"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B33BE5"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0D8DBE" w14:textId="77777777" w:rsidR="00A77B3E" w:rsidRDefault="00B16CCF">
            <w:pPr>
              <w:spacing w:before="5pt"/>
              <w:jc w:val="center"/>
              <w:rPr>
                <w:color w:val="000000"/>
                <w:sz w:val="20"/>
              </w:rPr>
            </w:pPr>
            <w:r>
              <w:rPr>
                <w:color w:val="000000"/>
                <w:sz w:val="20"/>
              </w:rPr>
              <w:t>Znesek (v EUR)</w:t>
            </w:r>
          </w:p>
        </w:tc>
      </w:tr>
      <w:tr w:rsidR="00823317" w14:paraId="303A6F8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168F17" w14:textId="77777777" w:rsidR="00A77B3E" w:rsidRDefault="00B16CCF">
            <w:pPr>
              <w:spacing w:before="5pt"/>
              <w:rPr>
                <w:color w:val="000000"/>
                <w:sz w:val="20"/>
              </w:rPr>
            </w:pPr>
            <w:r>
              <w:rPr>
                <w:color w:val="000000"/>
                <w:sz w:val="20"/>
              </w:rPr>
              <w:t>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7C1C94" w14:textId="77777777" w:rsidR="00A77B3E" w:rsidRDefault="00B16CCF">
            <w:pPr>
              <w:spacing w:before="5pt"/>
              <w:rPr>
                <w:color w:val="000000"/>
                <w:sz w:val="20"/>
              </w:rPr>
            </w:pPr>
            <w:r>
              <w:rPr>
                <w:color w:val="000000"/>
                <w:sz w:val="20"/>
              </w:rPr>
              <w:t>RSO4.7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612E96"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44FBA5"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76C9E5" w14:textId="77777777" w:rsidR="00A77B3E" w:rsidRDefault="00B16CCF">
            <w:pPr>
              <w:spacing w:before="5pt"/>
              <w:rPr>
                <w:color w:val="000000"/>
                <w:sz w:val="20"/>
              </w:rPr>
            </w:pPr>
            <w:r>
              <w:rPr>
                <w:color w:val="000000"/>
                <w:sz w:val="20"/>
              </w:rPr>
              <w:t>126. Stanovanjska infrastruktura (razen za migrante, begunce in osebe, ki so upravičene do mednarodne zaščite ali so zaprosile zanjo)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2C580B" w14:textId="77777777" w:rsidR="00A77B3E" w:rsidRDefault="00B16CCF">
            <w:pPr>
              <w:spacing w:before="5pt"/>
              <w:jc w:val="end"/>
              <w:rPr>
                <w:color w:val="000000"/>
                <w:sz w:val="20"/>
              </w:rPr>
            </w:pPr>
            <w:r>
              <w:rPr>
                <w:color w:val="000000"/>
                <w:sz w:val="20"/>
              </w:rPr>
              <w:t>12.514.622,00</w:t>
            </w:r>
          </w:p>
        </w:tc>
      </w:tr>
      <w:tr w:rsidR="00823317" w14:paraId="7EEB117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D50CC5" w14:textId="77777777" w:rsidR="00A77B3E" w:rsidRDefault="00B16CCF">
            <w:pPr>
              <w:spacing w:before="5pt"/>
              <w:rPr>
                <w:color w:val="000000"/>
                <w:sz w:val="20"/>
              </w:rPr>
            </w:pPr>
            <w:r>
              <w:rPr>
                <w:color w:val="000000"/>
                <w:sz w:val="20"/>
              </w:rPr>
              <w:t>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57B809" w14:textId="77777777" w:rsidR="00A77B3E" w:rsidRDefault="00B16CCF">
            <w:pPr>
              <w:spacing w:before="5pt"/>
              <w:rPr>
                <w:color w:val="000000"/>
                <w:sz w:val="20"/>
              </w:rPr>
            </w:pPr>
            <w:r>
              <w:rPr>
                <w:color w:val="000000"/>
                <w:sz w:val="20"/>
              </w:rPr>
              <w:t>RSO4.7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3BFC46"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49DC74"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9B0B81" w14:textId="77777777" w:rsidR="00A77B3E" w:rsidRDefault="00B16CCF">
            <w:pPr>
              <w:spacing w:before="5pt"/>
              <w:rPr>
                <w:color w:val="000000"/>
                <w:sz w:val="20"/>
              </w:rPr>
            </w:pPr>
            <w:r>
              <w:rPr>
                <w:color w:val="000000"/>
                <w:sz w:val="20"/>
              </w:rPr>
              <w:t>126. Stanovanjska infrastruktura (razen za migrante, begunce in osebe, ki so upravičene do mednarodne zaščite ali so zaprosile zanjo)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154B00" w14:textId="77777777" w:rsidR="00A77B3E" w:rsidRDefault="00B16CCF">
            <w:pPr>
              <w:spacing w:before="5pt"/>
              <w:jc w:val="end"/>
              <w:rPr>
                <w:color w:val="000000"/>
                <w:sz w:val="20"/>
              </w:rPr>
            </w:pPr>
            <w:r>
              <w:rPr>
                <w:color w:val="000000"/>
                <w:sz w:val="20"/>
              </w:rPr>
              <w:t>29.371.794,00</w:t>
            </w:r>
          </w:p>
        </w:tc>
      </w:tr>
      <w:tr w:rsidR="00823317" w14:paraId="6E635D9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0B0E74" w14:textId="77777777" w:rsidR="00A77B3E" w:rsidRDefault="00B16CCF">
            <w:pPr>
              <w:spacing w:before="5pt"/>
              <w:rPr>
                <w:color w:val="000000"/>
                <w:sz w:val="20"/>
              </w:rPr>
            </w:pPr>
            <w:r>
              <w:rPr>
                <w:color w:val="000000"/>
                <w:sz w:val="20"/>
              </w:rPr>
              <w:t>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363F67" w14:textId="77777777" w:rsidR="00A77B3E" w:rsidRDefault="00B16CCF">
            <w:pPr>
              <w:spacing w:before="5pt"/>
              <w:rPr>
                <w:color w:val="000000"/>
                <w:sz w:val="20"/>
              </w:rPr>
            </w:pPr>
            <w:r>
              <w:rPr>
                <w:color w:val="000000"/>
                <w:sz w:val="20"/>
              </w:rPr>
              <w:t>RSO4.7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2AFBEE"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0FA50F"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3C3B37"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B8961B" w14:textId="77777777" w:rsidR="00A77B3E" w:rsidRDefault="00B16CCF">
            <w:pPr>
              <w:spacing w:before="5pt"/>
              <w:jc w:val="end"/>
              <w:rPr>
                <w:color w:val="000000"/>
                <w:sz w:val="20"/>
              </w:rPr>
            </w:pPr>
            <w:r>
              <w:rPr>
                <w:color w:val="000000"/>
                <w:sz w:val="20"/>
              </w:rPr>
              <w:t>41.886.416,00</w:t>
            </w:r>
          </w:p>
        </w:tc>
      </w:tr>
    </w:tbl>
    <w:p w14:paraId="7509D373" w14:textId="77777777" w:rsidR="00A77B3E" w:rsidRDefault="00A77B3E">
      <w:pPr>
        <w:spacing w:before="5pt"/>
        <w:rPr>
          <w:color w:val="000000"/>
          <w:sz w:val="20"/>
        </w:rPr>
      </w:pPr>
    </w:p>
    <w:p w14:paraId="1501D725" w14:textId="77777777" w:rsidR="00A77B3E" w:rsidRDefault="00B16CCF">
      <w:pPr>
        <w:pStyle w:val="Naslov5"/>
        <w:spacing w:before="5pt" w:after="0pt"/>
        <w:rPr>
          <w:b w:val="0"/>
          <w:i w:val="0"/>
          <w:color w:val="000000"/>
          <w:sz w:val="24"/>
        </w:rPr>
      </w:pPr>
      <w:bookmarkStart w:id="624" w:name="_Toc256001385"/>
      <w:r>
        <w:rPr>
          <w:b w:val="0"/>
          <w:i w:val="0"/>
          <w:color w:val="000000"/>
          <w:sz w:val="24"/>
        </w:rPr>
        <w:t>Tabela 5: Razsežnost 2 – oblika financiranja</w:t>
      </w:r>
      <w:bookmarkEnd w:id="624"/>
    </w:p>
    <w:p w14:paraId="02A75D5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93"/>
        <w:gridCol w:w="2392"/>
        <w:gridCol w:w="1737"/>
        <w:gridCol w:w="2480"/>
        <w:gridCol w:w="2706"/>
        <w:gridCol w:w="3264"/>
      </w:tblGrid>
      <w:tr w:rsidR="00823317" w14:paraId="41E9BBA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B59817"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98AC5B"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191585"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5B6FE7"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E0A990"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D5DF70" w14:textId="77777777" w:rsidR="00A77B3E" w:rsidRDefault="00B16CCF">
            <w:pPr>
              <w:spacing w:before="5pt"/>
              <w:jc w:val="center"/>
              <w:rPr>
                <w:color w:val="000000"/>
                <w:sz w:val="20"/>
              </w:rPr>
            </w:pPr>
            <w:r>
              <w:rPr>
                <w:color w:val="000000"/>
                <w:sz w:val="20"/>
              </w:rPr>
              <w:t>Znesek (v EUR)</w:t>
            </w:r>
          </w:p>
        </w:tc>
      </w:tr>
      <w:tr w:rsidR="00823317" w14:paraId="3DBFAEC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CFF790" w14:textId="77777777" w:rsidR="00A77B3E" w:rsidRDefault="00B16CCF">
            <w:pPr>
              <w:spacing w:before="5pt"/>
              <w:rPr>
                <w:color w:val="000000"/>
                <w:sz w:val="20"/>
              </w:rPr>
            </w:pPr>
            <w:r>
              <w:rPr>
                <w:color w:val="000000"/>
                <w:sz w:val="20"/>
              </w:rPr>
              <w:t>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59349D" w14:textId="77777777" w:rsidR="00A77B3E" w:rsidRDefault="00B16CCF">
            <w:pPr>
              <w:spacing w:before="5pt"/>
              <w:rPr>
                <w:color w:val="000000"/>
                <w:sz w:val="20"/>
              </w:rPr>
            </w:pPr>
            <w:r>
              <w:rPr>
                <w:color w:val="000000"/>
                <w:sz w:val="20"/>
              </w:rPr>
              <w:t>RSO4.7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445B0E"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65F0C5"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D27063" w14:textId="77777777" w:rsidR="00A77B3E" w:rsidRDefault="00B16CCF">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2E4FFE" w14:textId="77777777" w:rsidR="00A77B3E" w:rsidRDefault="00B16CCF">
            <w:pPr>
              <w:spacing w:before="5pt"/>
              <w:jc w:val="end"/>
              <w:rPr>
                <w:color w:val="000000"/>
                <w:sz w:val="20"/>
              </w:rPr>
            </w:pPr>
            <w:r>
              <w:rPr>
                <w:color w:val="000000"/>
                <w:sz w:val="20"/>
              </w:rPr>
              <w:t>12.514.622,00</w:t>
            </w:r>
          </w:p>
        </w:tc>
      </w:tr>
      <w:tr w:rsidR="00823317" w14:paraId="78B8450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A194AF" w14:textId="77777777" w:rsidR="00A77B3E" w:rsidRDefault="00B16CCF">
            <w:pPr>
              <w:spacing w:before="5pt"/>
              <w:rPr>
                <w:color w:val="000000"/>
                <w:sz w:val="20"/>
              </w:rPr>
            </w:pPr>
            <w:r>
              <w:rPr>
                <w:color w:val="000000"/>
                <w:sz w:val="20"/>
              </w:rPr>
              <w:t>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D1EFD7" w14:textId="77777777" w:rsidR="00A77B3E" w:rsidRDefault="00B16CCF">
            <w:pPr>
              <w:spacing w:before="5pt"/>
              <w:rPr>
                <w:color w:val="000000"/>
                <w:sz w:val="20"/>
              </w:rPr>
            </w:pPr>
            <w:r>
              <w:rPr>
                <w:color w:val="000000"/>
                <w:sz w:val="20"/>
              </w:rPr>
              <w:t>RSO4.7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EAE519"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63A954"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63CCAB" w14:textId="77777777" w:rsidR="00A77B3E" w:rsidRDefault="00B16CCF">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AF64BC" w14:textId="77777777" w:rsidR="00A77B3E" w:rsidRDefault="00B16CCF">
            <w:pPr>
              <w:spacing w:before="5pt"/>
              <w:jc w:val="end"/>
              <w:rPr>
                <w:color w:val="000000"/>
                <w:sz w:val="20"/>
              </w:rPr>
            </w:pPr>
            <w:r>
              <w:rPr>
                <w:color w:val="000000"/>
                <w:sz w:val="20"/>
              </w:rPr>
              <w:t>29.371.794,00</w:t>
            </w:r>
          </w:p>
        </w:tc>
      </w:tr>
      <w:tr w:rsidR="00823317" w14:paraId="221BE2F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3C26DB" w14:textId="77777777" w:rsidR="00A77B3E" w:rsidRDefault="00B16CCF">
            <w:pPr>
              <w:spacing w:before="5pt"/>
              <w:rPr>
                <w:color w:val="000000"/>
                <w:sz w:val="20"/>
              </w:rPr>
            </w:pPr>
            <w:r>
              <w:rPr>
                <w:color w:val="000000"/>
                <w:sz w:val="20"/>
              </w:rPr>
              <w:t>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AB8430" w14:textId="77777777" w:rsidR="00A77B3E" w:rsidRDefault="00B16CCF">
            <w:pPr>
              <w:spacing w:before="5pt"/>
              <w:rPr>
                <w:color w:val="000000"/>
                <w:sz w:val="20"/>
              </w:rPr>
            </w:pPr>
            <w:r>
              <w:rPr>
                <w:color w:val="000000"/>
                <w:sz w:val="20"/>
              </w:rPr>
              <w:t>RSO4.7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FAFD1C"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CCBC3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5D67CA"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639A1B" w14:textId="77777777" w:rsidR="00A77B3E" w:rsidRDefault="00B16CCF">
            <w:pPr>
              <w:spacing w:before="5pt"/>
              <w:jc w:val="end"/>
              <w:rPr>
                <w:color w:val="000000"/>
                <w:sz w:val="20"/>
              </w:rPr>
            </w:pPr>
            <w:r>
              <w:rPr>
                <w:color w:val="000000"/>
                <w:sz w:val="20"/>
              </w:rPr>
              <w:t>41.886.416,00</w:t>
            </w:r>
          </w:p>
        </w:tc>
      </w:tr>
    </w:tbl>
    <w:p w14:paraId="22DED973" w14:textId="77777777" w:rsidR="00A77B3E" w:rsidRDefault="00A77B3E">
      <w:pPr>
        <w:spacing w:before="5pt"/>
        <w:rPr>
          <w:color w:val="000000"/>
          <w:sz w:val="20"/>
        </w:rPr>
      </w:pPr>
    </w:p>
    <w:p w14:paraId="5A48E1B3" w14:textId="77777777" w:rsidR="00A77B3E" w:rsidRDefault="00B16CCF">
      <w:pPr>
        <w:pStyle w:val="Naslov5"/>
        <w:spacing w:before="5pt" w:after="0pt"/>
        <w:rPr>
          <w:b w:val="0"/>
          <w:i w:val="0"/>
          <w:color w:val="000000"/>
          <w:sz w:val="24"/>
        </w:rPr>
      </w:pPr>
      <w:bookmarkStart w:id="625" w:name="_Toc256001386"/>
      <w:r>
        <w:rPr>
          <w:b w:val="0"/>
          <w:i w:val="0"/>
          <w:color w:val="000000"/>
          <w:sz w:val="24"/>
        </w:rPr>
        <w:t>Tabela 6: Razsežnost 3 – mehanizem za ozemeljsko izvrševanje in ozemeljski pristop</w:t>
      </w:r>
      <w:bookmarkEnd w:id="625"/>
    </w:p>
    <w:p w14:paraId="3907707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26"/>
        <w:gridCol w:w="2331"/>
        <w:gridCol w:w="1692"/>
        <w:gridCol w:w="2416"/>
        <w:gridCol w:w="3027"/>
        <w:gridCol w:w="3180"/>
      </w:tblGrid>
      <w:tr w:rsidR="00823317" w14:paraId="223E871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722FF0"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A5F88E"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3D4EDC"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06F748"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496930"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E551CCB" w14:textId="77777777" w:rsidR="00A77B3E" w:rsidRDefault="00B16CCF">
            <w:pPr>
              <w:spacing w:before="5pt"/>
              <w:jc w:val="center"/>
              <w:rPr>
                <w:color w:val="000000"/>
                <w:sz w:val="20"/>
              </w:rPr>
            </w:pPr>
            <w:r>
              <w:rPr>
                <w:color w:val="000000"/>
                <w:sz w:val="20"/>
              </w:rPr>
              <w:t>Znesek (v EUR)</w:t>
            </w:r>
          </w:p>
        </w:tc>
      </w:tr>
      <w:tr w:rsidR="00823317" w14:paraId="5BD9261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D15432" w14:textId="77777777" w:rsidR="00A77B3E" w:rsidRDefault="00B16CCF">
            <w:pPr>
              <w:spacing w:before="5pt"/>
              <w:rPr>
                <w:color w:val="000000"/>
                <w:sz w:val="20"/>
              </w:rPr>
            </w:pPr>
            <w:r>
              <w:rPr>
                <w:color w:val="000000"/>
                <w:sz w:val="20"/>
              </w:rPr>
              <w:t>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97F003" w14:textId="77777777" w:rsidR="00A77B3E" w:rsidRDefault="00B16CCF">
            <w:pPr>
              <w:spacing w:before="5pt"/>
              <w:rPr>
                <w:color w:val="000000"/>
                <w:sz w:val="20"/>
              </w:rPr>
            </w:pPr>
            <w:r>
              <w:rPr>
                <w:color w:val="000000"/>
                <w:sz w:val="20"/>
              </w:rPr>
              <w:t>RSO4.7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DF6180"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AC7778"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6FF5C1" w14:textId="77777777" w:rsidR="00A77B3E" w:rsidRDefault="00B16CCF">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33F209" w14:textId="77777777" w:rsidR="00A77B3E" w:rsidRDefault="00B16CCF">
            <w:pPr>
              <w:spacing w:before="5pt"/>
              <w:jc w:val="end"/>
              <w:rPr>
                <w:color w:val="000000"/>
                <w:sz w:val="20"/>
              </w:rPr>
            </w:pPr>
            <w:r>
              <w:rPr>
                <w:color w:val="000000"/>
                <w:sz w:val="20"/>
              </w:rPr>
              <w:t>12.514.622,00</w:t>
            </w:r>
          </w:p>
        </w:tc>
      </w:tr>
      <w:tr w:rsidR="00823317" w14:paraId="1C14437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977D53" w14:textId="77777777" w:rsidR="00A77B3E" w:rsidRDefault="00B16CCF">
            <w:pPr>
              <w:spacing w:before="5pt"/>
              <w:rPr>
                <w:color w:val="000000"/>
                <w:sz w:val="20"/>
              </w:rPr>
            </w:pPr>
            <w:r>
              <w:rPr>
                <w:color w:val="000000"/>
                <w:sz w:val="20"/>
              </w:rPr>
              <w:t>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AFB6BD" w14:textId="77777777" w:rsidR="00A77B3E" w:rsidRDefault="00B16CCF">
            <w:pPr>
              <w:spacing w:before="5pt"/>
              <w:rPr>
                <w:color w:val="000000"/>
                <w:sz w:val="20"/>
              </w:rPr>
            </w:pPr>
            <w:r>
              <w:rPr>
                <w:color w:val="000000"/>
                <w:sz w:val="20"/>
              </w:rPr>
              <w:t>RSO4.7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02457B"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304AD6"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B3D4B3" w14:textId="77777777" w:rsidR="00A77B3E" w:rsidRDefault="00B16CCF">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F3B284" w14:textId="77777777" w:rsidR="00A77B3E" w:rsidRDefault="00B16CCF">
            <w:pPr>
              <w:spacing w:before="5pt"/>
              <w:jc w:val="end"/>
              <w:rPr>
                <w:color w:val="000000"/>
                <w:sz w:val="20"/>
              </w:rPr>
            </w:pPr>
            <w:r>
              <w:rPr>
                <w:color w:val="000000"/>
                <w:sz w:val="20"/>
              </w:rPr>
              <w:t>29.371.794,00</w:t>
            </w:r>
          </w:p>
        </w:tc>
      </w:tr>
      <w:tr w:rsidR="00823317" w14:paraId="47B20FB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6D6AC6" w14:textId="77777777" w:rsidR="00A77B3E" w:rsidRDefault="00B16CCF">
            <w:pPr>
              <w:spacing w:before="5pt"/>
              <w:rPr>
                <w:color w:val="000000"/>
                <w:sz w:val="20"/>
              </w:rPr>
            </w:pPr>
            <w:r>
              <w:rPr>
                <w:color w:val="000000"/>
                <w:sz w:val="20"/>
              </w:rPr>
              <w:lastRenderedPageBreak/>
              <w:t>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A60466" w14:textId="77777777" w:rsidR="00A77B3E" w:rsidRDefault="00B16CCF">
            <w:pPr>
              <w:spacing w:before="5pt"/>
              <w:rPr>
                <w:color w:val="000000"/>
                <w:sz w:val="20"/>
              </w:rPr>
            </w:pPr>
            <w:r>
              <w:rPr>
                <w:color w:val="000000"/>
                <w:sz w:val="20"/>
              </w:rPr>
              <w:t>RSO4.7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03880F"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877A7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723152"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DB0DED" w14:textId="77777777" w:rsidR="00A77B3E" w:rsidRDefault="00B16CCF">
            <w:pPr>
              <w:spacing w:before="5pt"/>
              <w:jc w:val="end"/>
              <w:rPr>
                <w:color w:val="000000"/>
                <w:sz w:val="20"/>
              </w:rPr>
            </w:pPr>
            <w:r>
              <w:rPr>
                <w:color w:val="000000"/>
                <w:sz w:val="20"/>
              </w:rPr>
              <w:t>41.886.416,00</w:t>
            </w:r>
          </w:p>
        </w:tc>
      </w:tr>
    </w:tbl>
    <w:p w14:paraId="1512D347" w14:textId="77777777" w:rsidR="00A77B3E" w:rsidRDefault="00A77B3E">
      <w:pPr>
        <w:spacing w:before="5pt"/>
        <w:rPr>
          <w:color w:val="000000"/>
          <w:sz w:val="20"/>
        </w:rPr>
      </w:pPr>
    </w:p>
    <w:p w14:paraId="0E4009D0" w14:textId="77777777" w:rsidR="00A77B3E" w:rsidRDefault="00B16CCF">
      <w:pPr>
        <w:pStyle w:val="Naslov5"/>
        <w:spacing w:before="5pt" w:after="0pt"/>
        <w:rPr>
          <w:b w:val="0"/>
          <w:i w:val="0"/>
          <w:color w:val="000000"/>
          <w:sz w:val="24"/>
        </w:rPr>
      </w:pPr>
      <w:bookmarkStart w:id="626" w:name="_Toc256001387"/>
      <w:r>
        <w:rPr>
          <w:b w:val="0"/>
          <w:i w:val="0"/>
          <w:color w:val="000000"/>
          <w:sz w:val="24"/>
        </w:rPr>
        <w:t>Tabela 7: Razsežnost 6 – sekundarna področja ESS+</w:t>
      </w:r>
      <w:bookmarkEnd w:id="626"/>
    </w:p>
    <w:p w14:paraId="49C51AD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117"/>
        <w:gridCol w:w="2877"/>
        <w:gridCol w:w="1780"/>
        <w:gridCol w:w="2982"/>
        <w:gridCol w:w="2259"/>
        <w:gridCol w:w="2157"/>
      </w:tblGrid>
      <w:tr w:rsidR="00823317" w14:paraId="4BB6028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9A2D537"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DA5A2C"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C236DA"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BF4679"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FF84C6"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955A4D" w14:textId="77777777" w:rsidR="00A77B3E" w:rsidRDefault="00B16CCF">
            <w:pPr>
              <w:spacing w:before="5pt"/>
              <w:jc w:val="center"/>
              <w:rPr>
                <w:color w:val="000000"/>
                <w:sz w:val="20"/>
              </w:rPr>
            </w:pPr>
            <w:r>
              <w:rPr>
                <w:color w:val="000000"/>
                <w:sz w:val="20"/>
              </w:rPr>
              <w:t>Znesek (v EUR)</w:t>
            </w:r>
          </w:p>
        </w:tc>
      </w:tr>
    </w:tbl>
    <w:p w14:paraId="208CDF79" w14:textId="77777777" w:rsidR="00A77B3E" w:rsidRDefault="00A77B3E">
      <w:pPr>
        <w:spacing w:before="5pt"/>
        <w:rPr>
          <w:color w:val="000000"/>
          <w:sz w:val="20"/>
        </w:rPr>
      </w:pPr>
    </w:p>
    <w:p w14:paraId="5765EF49" w14:textId="77777777" w:rsidR="00A77B3E" w:rsidRDefault="00B16CCF">
      <w:pPr>
        <w:pStyle w:val="Naslov5"/>
        <w:spacing w:before="5pt" w:after="0pt"/>
        <w:rPr>
          <w:b w:val="0"/>
          <w:i w:val="0"/>
          <w:color w:val="000000"/>
          <w:sz w:val="24"/>
        </w:rPr>
      </w:pPr>
      <w:bookmarkStart w:id="627" w:name="_Toc256001388"/>
      <w:r>
        <w:rPr>
          <w:b w:val="0"/>
          <w:i w:val="0"/>
          <w:color w:val="000000"/>
          <w:sz w:val="24"/>
        </w:rPr>
        <w:t>Tabela 8: Razsežnost 7 – razsežnost enakosti spolov v okviru ESS+*, ESRR, Kohezijskega sklada in SPP</w:t>
      </w:r>
      <w:bookmarkEnd w:id="627"/>
    </w:p>
    <w:p w14:paraId="7C99A48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13"/>
        <w:gridCol w:w="2411"/>
        <w:gridCol w:w="1750"/>
        <w:gridCol w:w="2498"/>
        <w:gridCol w:w="2612"/>
        <w:gridCol w:w="3288"/>
      </w:tblGrid>
      <w:tr w:rsidR="00823317" w14:paraId="1AC6D86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4A97AE"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A9BBC4"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95019C"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6B6202"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9BEA9B"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83E3CB" w14:textId="77777777" w:rsidR="00A77B3E" w:rsidRDefault="00B16CCF">
            <w:pPr>
              <w:spacing w:before="5pt"/>
              <w:jc w:val="center"/>
              <w:rPr>
                <w:color w:val="000000"/>
                <w:sz w:val="20"/>
              </w:rPr>
            </w:pPr>
            <w:r>
              <w:rPr>
                <w:color w:val="000000"/>
                <w:sz w:val="20"/>
              </w:rPr>
              <w:t>Znesek (v EUR)</w:t>
            </w:r>
          </w:p>
        </w:tc>
      </w:tr>
      <w:tr w:rsidR="00823317" w14:paraId="6F51217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680855" w14:textId="77777777" w:rsidR="00A77B3E" w:rsidRDefault="00B16CCF">
            <w:pPr>
              <w:spacing w:before="5pt"/>
              <w:rPr>
                <w:color w:val="000000"/>
                <w:sz w:val="20"/>
              </w:rPr>
            </w:pPr>
            <w:r>
              <w:rPr>
                <w:color w:val="000000"/>
                <w:sz w:val="20"/>
              </w:rPr>
              <w:t>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1491D4" w14:textId="77777777" w:rsidR="00A77B3E" w:rsidRDefault="00B16CCF">
            <w:pPr>
              <w:spacing w:before="5pt"/>
              <w:rPr>
                <w:color w:val="000000"/>
                <w:sz w:val="20"/>
              </w:rPr>
            </w:pPr>
            <w:r>
              <w:rPr>
                <w:color w:val="000000"/>
                <w:sz w:val="20"/>
              </w:rPr>
              <w:t>RSO4.7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2B298A"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E55D77"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3F58E6" w14:textId="77777777" w:rsidR="00A77B3E" w:rsidRDefault="00B16CCF">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425204" w14:textId="77777777" w:rsidR="00A77B3E" w:rsidRDefault="00B16CCF">
            <w:pPr>
              <w:spacing w:before="5pt"/>
              <w:jc w:val="end"/>
              <w:rPr>
                <w:color w:val="000000"/>
                <w:sz w:val="20"/>
              </w:rPr>
            </w:pPr>
            <w:r>
              <w:rPr>
                <w:color w:val="000000"/>
                <w:sz w:val="20"/>
              </w:rPr>
              <w:t>12.514.622,00</w:t>
            </w:r>
          </w:p>
        </w:tc>
      </w:tr>
      <w:tr w:rsidR="00823317" w14:paraId="36B301F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7EC7E7" w14:textId="77777777" w:rsidR="00A77B3E" w:rsidRDefault="00B16CCF">
            <w:pPr>
              <w:spacing w:before="5pt"/>
              <w:rPr>
                <w:color w:val="000000"/>
                <w:sz w:val="20"/>
              </w:rPr>
            </w:pPr>
            <w:r>
              <w:rPr>
                <w:color w:val="000000"/>
                <w:sz w:val="20"/>
              </w:rPr>
              <w:t>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C79667" w14:textId="77777777" w:rsidR="00A77B3E" w:rsidRDefault="00B16CCF">
            <w:pPr>
              <w:spacing w:before="5pt"/>
              <w:rPr>
                <w:color w:val="000000"/>
                <w:sz w:val="20"/>
              </w:rPr>
            </w:pPr>
            <w:r>
              <w:rPr>
                <w:color w:val="000000"/>
                <w:sz w:val="20"/>
              </w:rPr>
              <w:t>RSO4.7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E1AAB6"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5ED1EC"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A8215A" w14:textId="77777777" w:rsidR="00A77B3E" w:rsidRDefault="00B16CCF">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1452A2" w14:textId="77777777" w:rsidR="00A77B3E" w:rsidRDefault="00B16CCF">
            <w:pPr>
              <w:spacing w:before="5pt"/>
              <w:jc w:val="end"/>
              <w:rPr>
                <w:color w:val="000000"/>
                <w:sz w:val="20"/>
              </w:rPr>
            </w:pPr>
            <w:r>
              <w:rPr>
                <w:color w:val="000000"/>
                <w:sz w:val="20"/>
              </w:rPr>
              <w:t>29.371.794,00</w:t>
            </w:r>
          </w:p>
        </w:tc>
      </w:tr>
      <w:tr w:rsidR="00823317" w14:paraId="4B21F3C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6051C1" w14:textId="77777777" w:rsidR="00A77B3E" w:rsidRDefault="00B16CCF">
            <w:pPr>
              <w:spacing w:before="5pt"/>
              <w:rPr>
                <w:color w:val="000000"/>
                <w:sz w:val="20"/>
              </w:rPr>
            </w:pPr>
            <w:r>
              <w:rPr>
                <w:color w:val="000000"/>
                <w:sz w:val="20"/>
              </w:rPr>
              <w:t>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2D22D7" w14:textId="77777777" w:rsidR="00A77B3E" w:rsidRDefault="00B16CCF">
            <w:pPr>
              <w:spacing w:before="5pt"/>
              <w:rPr>
                <w:color w:val="000000"/>
                <w:sz w:val="20"/>
              </w:rPr>
            </w:pPr>
            <w:r>
              <w:rPr>
                <w:color w:val="000000"/>
                <w:sz w:val="20"/>
              </w:rPr>
              <w:t>RSO4.7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9E881D"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D8C3F6"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E27EE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2BF34E" w14:textId="77777777" w:rsidR="00A77B3E" w:rsidRDefault="00B16CCF">
            <w:pPr>
              <w:spacing w:before="5pt"/>
              <w:jc w:val="end"/>
              <w:rPr>
                <w:color w:val="000000"/>
                <w:sz w:val="20"/>
              </w:rPr>
            </w:pPr>
            <w:r>
              <w:rPr>
                <w:color w:val="000000"/>
                <w:sz w:val="20"/>
              </w:rPr>
              <w:t>41.886.416,00</w:t>
            </w:r>
          </w:p>
        </w:tc>
      </w:tr>
    </w:tbl>
    <w:p w14:paraId="70928145" w14:textId="77777777" w:rsidR="00A77B3E" w:rsidRDefault="00B16CCF">
      <w:pPr>
        <w:spacing w:before="5pt"/>
        <w:rPr>
          <w:color w:val="000000"/>
          <w:sz w:val="20"/>
        </w:rPr>
      </w:pPr>
      <w:r>
        <w:rPr>
          <w:color w:val="000000"/>
          <w:sz w:val="20"/>
        </w:rPr>
        <w:t>* Načeloma 40 % za ESS+ prispeva k spremljanju enakosti spolov. 100 % se uporabi, kadar se država članica odloči za uporabo člena 6 uredbe o ESS+.</w:t>
      </w:r>
    </w:p>
    <w:p w14:paraId="3F761BB1" w14:textId="77777777" w:rsidR="00A77B3E" w:rsidRDefault="00B16CCF">
      <w:pPr>
        <w:pStyle w:val="Naslov3"/>
        <w:spacing w:before="5pt" w:after="0pt"/>
        <w:rPr>
          <w:rFonts w:ascii="Times New Roman" w:hAnsi="Times New Roman" w:cs="Times New Roman"/>
          <w:b w:val="0"/>
          <w:color w:val="000000"/>
          <w:sz w:val="24"/>
        </w:rPr>
      </w:pPr>
      <w:r>
        <w:rPr>
          <w:rFonts w:ascii="Times New Roman" w:hAnsi="Times New Roman" w:cs="Times New Roman"/>
          <w:b w:val="0"/>
          <w:color w:val="000000"/>
          <w:sz w:val="24"/>
        </w:rPr>
        <w:br w:type="page"/>
      </w:r>
      <w:bookmarkStart w:id="628" w:name="_Toc256001389"/>
      <w:r>
        <w:rPr>
          <w:rFonts w:ascii="Times New Roman" w:hAnsi="Times New Roman" w:cs="Times New Roman"/>
          <w:b w:val="0"/>
          <w:color w:val="000000"/>
          <w:sz w:val="24"/>
        </w:rPr>
        <w:lastRenderedPageBreak/>
        <w:t>2.1.1. Prednostna naloga: 9. Trajnostni razvoj lokalnih območij</w:t>
      </w:r>
      <w:bookmarkEnd w:id="628"/>
    </w:p>
    <w:p w14:paraId="3111373C" w14:textId="77777777" w:rsidR="00A77B3E" w:rsidRDefault="00A77B3E">
      <w:pPr>
        <w:spacing w:before="5pt"/>
        <w:rPr>
          <w:color w:val="000000"/>
          <w:sz w:val="0"/>
        </w:rPr>
      </w:pPr>
    </w:p>
    <w:p w14:paraId="7C80BBC8" w14:textId="77777777" w:rsidR="00A77B3E" w:rsidRDefault="00B16CCF">
      <w:pPr>
        <w:pStyle w:val="Naslov4"/>
        <w:spacing w:before="5pt" w:after="0pt"/>
        <w:rPr>
          <w:b w:val="0"/>
          <w:color w:val="000000"/>
          <w:sz w:val="24"/>
        </w:rPr>
      </w:pPr>
      <w:bookmarkStart w:id="629" w:name="_Toc256001390"/>
      <w:r>
        <w:rPr>
          <w:b w:val="0"/>
          <w:color w:val="000000"/>
          <w:sz w:val="24"/>
        </w:rPr>
        <w:t>2.1.1.1. Specifični cilj: RSO5.1. Spodbujanje celostnega in vključujočega socialnega, gospodarskega in okoljskega razvoja, kulture, naravne dediščine, trajnostnega turizma in varnosti na mestnih območjih (ESRR)</w:t>
      </w:r>
      <w:bookmarkEnd w:id="629"/>
    </w:p>
    <w:p w14:paraId="71B0D054" w14:textId="77777777" w:rsidR="00A77B3E" w:rsidRDefault="00A77B3E">
      <w:pPr>
        <w:spacing w:before="5pt"/>
        <w:rPr>
          <w:color w:val="000000"/>
          <w:sz w:val="0"/>
        </w:rPr>
      </w:pPr>
    </w:p>
    <w:p w14:paraId="27351D47" w14:textId="77777777" w:rsidR="00A77B3E" w:rsidRDefault="00B16CCF">
      <w:pPr>
        <w:pStyle w:val="Naslov4"/>
        <w:spacing w:before="5pt" w:after="0pt"/>
        <w:rPr>
          <w:b w:val="0"/>
          <w:color w:val="000000"/>
          <w:sz w:val="24"/>
        </w:rPr>
      </w:pPr>
      <w:bookmarkStart w:id="630" w:name="_Toc256001391"/>
      <w:r>
        <w:rPr>
          <w:b w:val="0"/>
          <w:color w:val="000000"/>
          <w:sz w:val="24"/>
        </w:rPr>
        <w:t>2.1.1.1.1. Ukrepi skladov</w:t>
      </w:r>
      <w:bookmarkEnd w:id="630"/>
    </w:p>
    <w:p w14:paraId="3BB102E3" w14:textId="77777777" w:rsidR="00A77B3E" w:rsidRDefault="00A77B3E">
      <w:pPr>
        <w:spacing w:before="5pt"/>
        <w:rPr>
          <w:color w:val="000000"/>
          <w:sz w:val="0"/>
        </w:rPr>
      </w:pPr>
    </w:p>
    <w:p w14:paraId="10C88CFE" w14:textId="77777777" w:rsidR="00A77B3E" w:rsidRDefault="00B16CCF">
      <w:pPr>
        <w:spacing w:before="5pt"/>
        <w:rPr>
          <w:color w:val="000000"/>
          <w:sz w:val="0"/>
        </w:rPr>
      </w:pPr>
      <w:r>
        <w:rPr>
          <w:color w:val="000000"/>
        </w:rPr>
        <w:t>Sklic: člen 22(3)(d)(i), (iii), (iv), (v), (vi) in (vii) uredbe o skupnih določbah</w:t>
      </w:r>
    </w:p>
    <w:p w14:paraId="78D5AD88" w14:textId="77777777" w:rsidR="00A77B3E" w:rsidRDefault="00B16CCF">
      <w:pPr>
        <w:pStyle w:val="Naslov5"/>
        <w:spacing w:before="5pt" w:after="0pt"/>
        <w:rPr>
          <w:b w:val="0"/>
          <w:i w:val="0"/>
          <w:color w:val="000000"/>
          <w:sz w:val="24"/>
        </w:rPr>
      </w:pPr>
      <w:bookmarkStart w:id="631" w:name="_Toc256001392"/>
      <w:r>
        <w:rPr>
          <w:b w:val="0"/>
          <w:i w:val="0"/>
          <w:color w:val="000000"/>
          <w:sz w:val="24"/>
        </w:rPr>
        <w:t>Povezane vrste ukrepov – člen 22(3)(d)(i) uredbe o skupnih določbah in člen 6 uredbe o ESS+:</w:t>
      </w:r>
      <w:bookmarkEnd w:id="631"/>
    </w:p>
    <w:p w14:paraId="386F42A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21EF2CC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5BD6A8" w14:textId="77777777" w:rsidR="00A77B3E" w:rsidRDefault="00A77B3E">
            <w:pPr>
              <w:spacing w:before="5pt"/>
              <w:rPr>
                <w:color w:val="000000"/>
                <w:sz w:val="0"/>
              </w:rPr>
            </w:pPr>
          </w:p>
          <w:p w14:paraId="2146BF67" w14:textId="77777777" w:rsidR="00A77B3E" w:rsidRDefault="00B16CCF">
            <w:pPr>
              <w:spacing w:before="5pt"/>
              <w:rPr>
                <w:color w:val="000000"/>
              </w:rPr>
            </w:pPr>
            <w:r>
              <w:rPr>
                <w:color w:val="000000"/>
              </w:rPr>
              <w:t>Skladno z Zakonom o urejanju prostora (ZUREP-3), izhodišči, ki jih določa EU za doseganje ničelne neto rasti površin pozidanih zemljišč[1], dialogom z mesti ter ugotovitvami partnerstev Urbane Agende EU – o trajnostni rabi prostora in na naravi temelječih rešitvah[2] in o kulturi in kulturni dediščini[3] je treba skrbeti za vlaganja v prenovo in oživljanje že pozidanih območij za bolj zelena, vključujoča in produktivna[4] slovenska mesta. Ukrepi za prenovo mest so večdimenzionalni – ekonomski, okoljski, podnebni, družbeni. Za spodbujanje učinkovite rabe prostora v mestih bomo podprli ukrepe, ki bodo izhajali iz noveliranih/novih trajnostnih urbanih strategij mestnih občin.</w:t>
            </w:r>
          </w:p>
          <w:p w14:paraId="32299A20" w14:textId="77777777" w:rsidR="00A77B3E" w:rsidRDefault="00A77B3E">
            <w:pPr>
              <w:spacing w:before="5pt"/>
              <w:rPr>
                <w:color w:val="000000"/>
              </w:rPr>
            </w:pPr>
          </w:p>
          <w:p w14:paraId="010A90F3" w14:textId="77777777" w:rsidR="00A77B3E" w:rsidRDefault="00B16CCF">
            <w:pPr>
              <w:spacing w:before="5pt"/>
              <w:rPr>
                <w:color w:val="000000"/>
              </w:rPr>
            </w:pPr>
            <w:r>
              <w:rPr>
                <w:color w:val="000000"/>
              </w:rPr>
              <w:t>V okviru ukrepov za prenovo in oživljanje praznih ter nezadostno izkoriščenih stavb v javnem interesu, prenovo kulturne dediščine in drugih objektov, prenovo in oblikovanje novih odprtih javnih prostorov, bomo podprli:</w:t>
            </w:r>
          </w:p>
          <w:p w14:paraId="0D676D28" w14:textId="77777777" w:rsidR="00A77B3E" w:rsidRDefault="00B16CCF">
            <w:pPr>
              <w:spacing w:before="5pt"/>
              <w:rPr>
                <w:color w:val="000000"/>
              </w:rPr>
            </w:pPr>
            <w:r>
              <w:rPr>
                <w:color w:val="000000"/>
              </w:rPr>
              <w:t>-izvedbo gradbenih in drugih del povezanih z gradnjo, ki obsegajo novogradnjo, rekonstrukcijo, manjšo rekonstrukcijo, idr. ter rušitev in gradnjo stavb in drugih gradbeno inženirskih objektov, ureditev fizične okolice stavb ter nakup nepremičnin in zemljišč, ko bo to potrebno za izvedbo projektov prenove in oživljanja praznih ter nezadostno izkoriščenih stavb v javnem interesu, prenovo kulturne dediščine in drugih objektov ter prenovo in oblikovanje novih odprtih javnih prostorov;</w:t>
            </w:r>
          </w:p>
          <w:p w14:paraId="53D357D2" w14:textId="77777777" w:rsidR="00A77B3E" w:rsidRDefault="00B16CCF">
            <w:pPr>
              <w:spacing w:before="5pt"/>
              <w:rPr>
                <w:color w:val="000000"/>
              </w:rPr>
            </w:pPr>
            <w:r>
              <w:rPr>
                <w:color w:val="000000"/>
              </w:rPr>
              <w:t>-prenovo obstoječih in vzpostavitev novih javnih prostorov v skladu z uporabo na naravi temelječih rešitev;</w:t>
            </w:r>
          </w:p>
          <w:p w14:paraId="6DDCF2C8" w14:textId="77777777" w:rsidR="00A77B3E" w:rsidRDefault="00B16CCF">
            <w:pPr>
              <w:spacing w:before="5pt"/>
              <w:rPr>
                <w:color w:val="000000"/>
              </w:rPr>
            </w:pPr>
            <w:r>
              <w:rPr>
                <w:color w:val="000000"/>
              </w:rPr>
              <w:t>-pripravo strokovnih podlag vključno s projektnim natečajem ali katero od njegovih alternativnih oblik za iskanje urbanističnih, krajinskih in arhitekturnih rešitev, pripravo projektne dokumentacije in drugih potrebnih dokumentov za izvedbo investicije;</w:t>
            </w:r>
          </w:p>
          <w:p w14:paraId="505AE2EF" w14:textId="77777777" w:rsidR="00A77B3E" w:rsidRDefault="00B16CCF">
            <w:pPr>
              <w:spacing w:before="5pt"/>
              <w:rPr>
                <w:color w:val="000000"/>
              </w:rPr>
            </w:pPr>
            <w:r>
              <w:rPr>
                <w:color w:val="000000"/>
              </w:rPr>
              <w:t>-vključevanje javnosti v pripravo in izvajanje investicij v prenovo.</w:t>
            </w:r>
          </w:p>
          <w:p w14:paraId="49C0C377" w14:textId="77777777" w:rsidR="00A77B3E" w:rsidRDefault="00A77B3E">
            <w:pPr>
              <w:spacing w:before="5pt"/>
              <w:rPr>
                <w:color w:val="000000"/>
              </w:rPr>
            </w:pPr>
          </w:p>
          <w:p w14:paraId="03178181" w14:textId="77777777" w:rsidR="00A77B3E" w:rsidRDefault="00B16CCF">
            <w:pPr>
              <w:spacing w:before="5pt"/>
              <w:rPr>
                <w:color w:val="000000"/>
              </w:rPr>
            </w:pPr>
            <w:r>
              <w:rPr>
                <w:color w:val="000000"/>
              </w:rPr>
              <w:t>V okviru ukrepov za oživljanje mest bomo podprli tudi integrirane projekte za urbani razvoj, ki bodo naslavljali celovito prenovo izbranega območja in bodo namenjeni pripravi nove generacije projektov urbane prenove. Ukrep je vezan izključno na integralne projekte, ki izhajajo iz kazalnika učinka RCO76, ki ga uporabljamo za celovit pristop in vključevanje lokalnega prebivalstva in širše javnosti v pripravo projektov urbane prenove s poudarkom na oživljanju praznih in nezadostno izkoriščenih območij. V okviru teh ukrepov bomo podrli:</w:t>
            </w:r>
          </w:p>
          <w:p w14:paraId="37CFDA1A" w14:textId="77777777" w:rsidR="00A77B3E" w:rsidRDefault="00B16CCF">
            <w:pPr>
              <w:spacing w:before="5pt"/>
              <w:rPr>
                <w:color w:val="000000"/>
              </w:rPr>
            </w:pPr>
            <w:r>
              <w:rPr>
                <w:color w:val="000000"/>
              </w:rPr>
              <w:t>-ozaveščanje in aktivno vključevanje lokalnega prebivalstva;</w:t>
            </w:r>
          </w:p>
          <w:p w14:paraId="3BEEDFAE" w14:textId="77777777" w:rsidR="00A77B3E" w:rsidRDefault="00B16CCF">
            <w:pPr>
              <w:spacing w:before="5pt"/>
              <w:rPr>
                <w:color w:val="000000"/>
              </w:rPr>
            </w:pPr>
            <w:r>
              <w:rPr>
                <w:color w:val="000000"/>
              </w:rPr>
              <w:lastRenderedPageBreak/>
              <w:t>-pripravo strokovnih podlag vključno s projektnim natečajem ali katero od njegovih alternativnih oblik za iskanje urbanističnih, krajinskih in arhitekturnih rešitev, pripravo projektne dokumentacije in drugih potrebnih dokumentov za izvedbo investicije;</w:t>
            </w:r>
          </w:p>
          <w:p w14:paraId="5607E496" w14:textId="77777777" w:rsidR="00A77B3E" w:rsidRDefault="00B16CCF">
            <w:pPr>
              <w:spacing w:before="5pt"/>
              <w:rPr>
                <w:color w:val="000000"/>
              </w:rPr>
            </w:pPr>
            <w:r>
              <w:rPr>
                <w:color w:val="000000"/>
              </w:rPr>
              <w:t>-aktivnosti manjšega obsega za ad-hoc oživitev izbranega območja z vključevanjem lokalnega prebivalstva, vključno z najemom in ureditvijo prostorov ter investicije manjšega obsega v urbano opremo, kot so - ureditev skupnostnih prostorov in okolice (npr. klopi, mize...), označevanje prostorov (npr. table, talne oznake...).</w:t>
            </w:r>
          </w:p>
          <w:p w14:paraId="07D9282F" w14:textId="77777777" w:rsidR="00A77B3E" w:rsidRDefault="00A77B3E">
            <w:pPr>
              <w:spacing w:before="5pt"/>
              <w:rPr>
                <w:color w:val="000000"/>
              </w:rPr>
            </w:pPr>
          </w:p>
          <w:p w14:paraId="30E756D0" w14:textId="77777777" w:rsidR="00A77B3E" w:rsidRDefault="00B16CCF">
            <w:pPr>
              <w:spacing w:before="5pt"/>
              <w:rPr>
                <w:color w:val="000000"/>
              </w:rPr>
            </w:pPr>
            <w:r>
              <w:rPr>
                <w:color w:val="000000"/>
              </w:rPr>
              <w:t>Pri izboru projektov morajo biti upoštevana naslednja splošna načela:</w:t>
            </w:r>
          </w:p>
          <w:p w14:paraId="35FA24D5" w14:textId="77777777" w:rsidR="00A77B3E" w:rsidRDefault="00B16CCF">
            <w:pPr>
              <w:spacing w:before="5pt"/>
              <w:rPr>
                <w:color w:val="000000"/>
              </w:rPr>
            </w:pPr>
            <w:r>
              <w:rPr>
                <w:color w:val="000000"/>
              </w:rPr>
              <w:t>-skladno z načelom notranjega razvoja mest se izvaja prenova in oživljanje prostih in slabo izkoriščenih, v nekaterih primerih celo okoljsko degradiranih, pozidanih površin.</w:t>
            </w:r>
          </w:p>
          <w:p w14:paraId="5863CCDB" w14:textId="77777777" w:rsidR="00A77B3E" w:rsidRDefault="00B16CCF">
            <w:pPr>
              <w:spacing w:before="5pt"/>
              <w:rPr>
                <w:color w:val="000000"/>
              </w:rPr>
            </w:pPr>
            <w:r>
              <w:rPr>
                <w:color w:val="000000"/>
              </w:rPr>
              <w:t xml:space="preserve">-Prednost imajo projekti, ki podpirajo aktivnosti za gospodarsko in socialno oživitev mestnih območij ter ustvarjanje novih kreativnih in poslovnih jeder. </w:t>
            </w:r>
          </w:p>
          <w:p w14:paraId="07B6C05C" w14:textId="77777777" w:rsidR="00A77B3E" w:rsidRDefault="00B16CCF">
            <w:pPr>
              <w:spacing w:before="5pt"/>
              <w:rPr>
                <w:color w:val="000000"/>
              </w:rPr>
            </w:pPr>
            <w:r>
              <w:rPr>
                <w:color w:val="000000"/>
              </w:rPr>
              <w:t>-Projekti morajo zasledovati cilje trajnostnih urbanih strategij mestnih občin.</w:t>
            </w:r>
          </w:p>
          <w:p w14:paraId="08FE31E3" w14:textId="77777777" w:rsidR="00A77B3E" w:rsidRDefault="00A77B3E">
            <w:pPr>
              <w:spacing w:before="5pt"/>
              <w:rPr>
                <w:color w:val="000000"/>
              </w:rPr>
            </w:pPr>
          </w:p>
          <w:p w14:paraId="1ACC883D" w14:textId="77777777" w:rsidR="00A77B3E" w:rsidRDefault="00B16CCF">
            <w:pPr>
              <w:spacing w:before="5pt"/>
              <w:rPr>
                <w:color w:val="000000"/>
              </w:rPr>
            </w:pPr>
            <w:r>
              <w:rPr>
                <w:color w:val="000000"/>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Slednje pomeni tudi upoštevanje načel Novega evropskega Bauhausa. V skladu s Tehničnimi smernicami za uporabo »načela, da se ne škoduje bistveno« je bila opravljena ocena skladnosti predvidenih ukrepov z načelom DNSH. Ugotovljeno je bilo, da noben ukrep nima bistvenega škodljivega vpliva na katerega koli od šestih okoljskih ciljev pod pogojem upoštevanja tehničnih meril, navedenih v Prilogi: DNSH.</w:t>
            </w:r>
          </w:p>
          <w:p w14:paraId="33935D89" w14:textId="77777777" w:rsidR="00A77B3E" w:rsidRDefault="00B16CCF">
            <w:pPr>
              <w:spacing w:before="5pt"/>
              <w:rPr>
                <w:color w:val="000000"/>
              </w:rPr>
            </w:pPr>
            <w:r>
              <w:rPr>
                <w:color w:val="000000"/>
              </w:rPr>
              <w:t xml:space="preserve">[1] https://ec.europa.eu/environment/integration/research/newsalert/pdf/no_net_land_take_by_2050_FB14_en.pdf </w:t>
            </w:r>
          </w:p>
          <w:p w14:paraId="37780E49" w14:textId="77777777" w:rsidR="00A77B3E" w:rsidRDefault="00B16CCF">
            <w:pPr>
              <w:spacing w:before="5pt"/>
              <w:rPr>
                <w:color w:val="000000"/>
              </w:rPr>
            </w:pPr>
            <w:r>
              <w:rPr>
                <w:color w:val="000000"/>
              </w:rPr>
              <w:t>[2] https://ec.europa.eu/futurium/en/sustainable-land-use/sustainable-use-land-and-nature-based-solutions-partnership-presents-final.html</w:t>
            </w:r>
          </w:p>
          <w:p w14:paraId="13C8E53B" w14:textId="77777777" w:rsidR="00A77B3E" w:rsidRDefault="00B16CCF">
            <w:pPr>
              <w:spacing w:before="5pt"/>
              <w:rPr>
                <w:color w:val="000000"/>
              </w:rPr>
            </w:pPr>
            <w:r>
              <w:rPr>
                <w:color w:val="000000"/>
              </w:rPr>
              <w:t>[3] https://ec.europa.eu/futurium/en/culturecultural-heritage/partnership-culture-cultural-heritage-cultural-heritage-resource-and.html</w:t>
            </w:r>
          </w:p>
          <w:p w14:paraId="1D0ED2B1" w14:textId="77777777" w:rsidR="00A77B3E" w:rsidRDefault="00B16CCF">
            <w:pPr>
              <w:spacing w:before="5pt"/>
              <w:rPr>
                <w:color w:val="000000"/>
              </w:rPr>
            </w:pPr>
            <w:r>
              <w:rPr>
                <w:color w:val="000000"/>
              </w:rPr>
              <w:t>[4] https://ec.europa.eu/regional_policy/en/information/publications/brochures/2020/new-leipzig-charter-the-transformative-power-of-cities-for-the-common-good</w:t>
            </w:r>
          </w:p>
          <w:p w14:paraId="5CB58400" w14:textId="77777777" w:rsidR="00A77B3E" w:rsidRDefault="00A77B3E">
            <w:pPr>
              <w:spacing w:before="5pt"/>
              <w:rPr>
                <w:color w:val="000000"/>
                <w:sz w:val="6"/>
              </w:rPr>
            </w:pPr>
          </w:p>
          <w:p w14:paraId="3A95DA94" w14:textId="77777777" w:rsidR="00A77B3E" w:rsidRDefault="00A77B3E">
            <w:pPr>
              <w:spacing w:before="5pt"/>
              <w:rPr>
                <w:color w:val="000000"/>
                <w:sz w:val="6"/>
              </w:rPr>
            </w:pPr>
          </w:p>
        </w:tc>
      </w:tr>
    </w:tbl>
    <w:p w14:paraId="6F963718" w14:textId="77777777" w:rsidR="00A77B3E" w:rsidRDefault="00A77B3E">
      <w:pPr>
        <w:spacing w:before="5pt"/>
        <w:rPr>
          <w:color w:val="000000"/>
        </w:rPr>
      </w:pPr>
    </w:p>
    <w:p w14:paraId="70CC7B44" w14:textId="77777777" w:rsidR="00A77B3E" w:rsidRDefault="00B16CCF">
      <w:pPr>
        <w:pStyle w:val="Naslov5"/>
        <w:spacing w:before="5pt" w:after="0pt"/>
        <w:rPr>
          <w:b w:val="0"/>
          <w:i w:val="0"/>
          <w:color w:val="000000"/>
          <w:sz w:val="24"/>
        </w:rPr>
      </w:pPr>
      <w:bookmarkStart w:id="632" w:name="_Toc256001393"/>
      <w:r>
        <w:rPr>
          <w:b w:val="0"/>
          <w:i w:val="0"/>
          <w:color w:val="000000"/>
          <w:sz w:val="24"/>
        </w:rPr>
        <w:t>Glavne ciljne skupine – člen 22(3)(d)(iii) uredbe o skupnih določbah:</w:t>
      </w:r>
      <w:bookmarkEnd w:id="632"/>
    </w:p>
    <w:p w14:paraId="6FA1E11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0D64556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4596F6" w14:textId="77777777" w:rsidR="00A77B3E" w:rsidRDefault="00A77B3E">
            <w:pPr>
              <w:spacing w:before="5pt"/>
              <w:rPr>
                <w:color w:val="000000"/>
                <w:sz w:val="0"/>
              </w:rPr>
            </w:pPr>
          </w:p>
          <w:p w14:paraId="78BD2039" w14:textId="77777777" w:rsidR="00A77B3E" w:rsidRDefault="00B16CCF">
            <w:pPr>
              <w:spacing w:before="5pt"/>
              <w:rPr>
                <w:color w:val="000000"/>
              </w:rPr>
            </w:pPr>
            <w:r>
              <w:rPr>
                <w:color w:val="000000"/>
              </w:rPr>
              <w:t>Ciljne skupine: prebivalci in obiskovalci mest, lokalne skupnosti, upravljavci javnih površin in stavb, nevladne organizacije na področju spodbujanja urbanega razvoja in oživljanja mest, institucije znanja in gospodarstvo.</w:t>
            </w:r>
          </w:p>
          <w:p w14:paraId="0A8A2824" w14:textId="77777777" w:rsidR="00A77B3E" w:rsidRDefault="00A77B3E">
            <w:pPr>
              <w:spacing w:before="5pt"/>
              <w:rPr>
                <w:color w:val="000000"/>
              </w:rPr>
            </w:pPr>
          </w:p>
          <w:p w14:paraId="7132A340" w14:textId="77777777" w:rsidR="00A77B3E" w:rsidRDefault="00B16CCF">
            <w:pPr>
              <w:spacing w:before="5pt"/>
              <w:rPr>
                <w:color w:val="000000"/>
              </w:rPr>
            </w:pPr>
            <w:r>
              <w:rPr>
                <w:color w:val="000000"/>
              </w:rPr>
              <w:t>Upravičenci: lokalne skupnosti, javni zavodi in drugi javni organi in institucije, javna in zasebna podjetja, ki izvajajo javne funkcije.</w:t>
            </w:r>
          </w:p>
          <w:p w14:paraId="3EADB49A" w14:textId="77777777" w:rsidR="00A77B3E" w:rsidRDefault="00A77B3E">
            <w:pPr>
              <w:spacing w:before="5pt"/>
              <w:rPr>
                <w:color w:val="000000"/>
                <w:sz w:val="6"/>
              </w:rPr>
            </w:pPr>
          </w:p>
          <w:p w14:paraId="28F65695" w14:textId="77777777" w:rsidR="00A77B3E" w:rsidRDefault="00A77B3E">
            <w:pPr>
              <w:spacing w:before="5pt"/>
              <w:rPr>
                <w:color w:val="000000"/>
                <w:sz w:val="6"/>
              </w:rPr>
            </w:pPr>
          </w:p>
        </w:tc>
      </w:tr>
    </w:tbl>
    <w:p w14:paraId="5D2DA1B1" w14:textId="77777777" w:rsidR="00A77B3E" w:rsidRDefault="00A77B3E">
      <w:pPr>
        <w:spacing w:before="5pt"/>
        <w:rPr>
          <w:color w:val="000000"/>
        </w:rPr>
      </w:pPr>
    </w:p>
    <w:p w14:paraId="3AA0E981" w14:textId="77777777" w:rsidR="00A77B3E" w:rsidRDefault="00B16CCF">
      <w:pPr>
        <w:pStyle w:val="Naslov5"/>
        <w:spacing w:before="5pt" w:after="0pt"/>
        <w:rPr>
          <w:b w:val="0"/>
          <w:i w:val="0"/>
          <w:color w:val="000000"/>
          <w:sz w:val="24"/>
        </w:rPr>
      </w:pPr>
      <w:bookmarkStart w:id="633" w:name="_Toc256001394"/>
      <w:r>
        <w:rPr>
          <w:b w:val="0"/>
          <w:i w:val="0"/>
          <w:color w:val="000000"/>
          <w:sz w:val="24"/>
        </w:rPr>
        <w:t>Ukrepi za zaščito enakosti, vključenosti in nediskriminacije – člen 22(3)(d)(iv) uredbe o skupnih določbah in člen 6 uredbe o ESS+</w:t>
      </w:r>
      <w:bookmarkEnd w:id="633"/>
    </w:p>
    <w:p w14:paraId="4A2ACA6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793054B4"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A40219" w14:textId="77777777" w:rsidR="00A77B3E" w:rsidRDefault="00A77B3E">
            <w:pPr>
              <w:spacing w:before="5pt"/>
              <w:rPr>
                <w:color w:val="000000"/>
                <w:sz w:val="0"/>
              </w:rPr>
            </w:pPr>
          </w:p>
          <w:p w14:paraId="3CF15EC3" w14:textId="77777777" w:rsidR="00A77B3E" w:rsidRDefault="00B16CCF">
            <w:pPr>
              <w:spacing w:before="5pt"/>
              <w:rPr>
                <w:color w:val="000000"/>
              </w:rPr>
            </w:pPr>
            <w:r>
              <w:rPr>
                <w:color w:val="000000"/>
              </w:rPr>
              <w:t xml:space="preserve">V okviru ukrepov bodo spoštovana načela enakosti spolov, enakih možnosti in nediskriminacije, saj je enakost spolov temeljna vrednota EU in temeljna pravica ter ključno načelo evropskega stebra socialnih pravic. Skladno z 12. členom Zakona o enakih možnostih žensk in moških (Uradni list RS, št. 59/02, 61/07 – ZUNEO-A, 33/16 – ZVarD in 59/19) bomo na vseh predvidenih področjih zagotovili enako obravnavanje obeh spolov. Pri oblikovanju in izvedbi razpisov in javnega naročanja bo z uporabo jasnih, objektivnih in nediskriminatornih pogojev in meril za izbor vlog v celoti zagotovljena transparentnost in spoštovanje pravnega reda EU in RS. </w:t>
            </w:r>
          </w:p>
          <w:p w14:paraId="12CD24FA" w14:textId="77777777" w:rsidR="00A77B3E" w:rsidRDefault="00A77B3E">
            <w:pPr>
              <w:spacing w:before="5pt"/>
              <w:rPr>
                <w:color w:val="000000"/>
              </w:rPr>
            </w:pPr>
          </w:p>
          <w:p w14:paraId="63103EE5" w14:textId="77777777" w:rsidR="00A77B3E" w:rsidRDefault="00B16CCF">
            <w:pPr>
              <w:spacing w:before="5pt"/>
              <w:rPr>
                <w:color w:val="000000"/>
              </w:rPr>
            </w:pPr>
            <w:r>
              <w:rPr>
                <w:color w:val="000000"/>
              </w:rPr>
              <w:t>Upoštevana bosta tudi Postopkovnik za zagotavljanje horizontalnega omogočitvenega pogoja »Učinkovita uporaba in izvajanje Listine o temeljnih pravicah« in Akcijski program za invalide 2022-2030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w:t>
            </w:r>
          </w:p>
          <w:p w14:paraId="0149BA40" w14:textId="77777777" w:rsidR="00A77B3E" w:rsidRDefault="00A77B3E">
            <w:pPr>
              <w:spacing w:before="5pt"/>
              <w:rPr>
                <w:color w:val="000000"/>
                <w:sz w:val="6"/>
              </w:rPr>
            </w:pPr>
          </w:p>
          <w:p w14:paraId="047AE1AD" w14:textId="77777777" w:rsidR="00A77B3E" w:rsidRDefault="00A77B3E">
            <w:pPr>
              <w:spacing w:before="5pt"/>
              <w:rPr>
                <w:color w:val="000000"/>
                <w:sz w:val="6"/>
              </w:rPr>
            </w:pPr>
          </w:p>
        </w:tc>
      </w:tr>
    </w:tbl>
    <w:p w14:paraId="4E2E8531" w14:textId="77777777" w:rsidR="00A77B3E" w:rsidRDefault="00A77B3E">
      <w:pPr>
        <w:spacing w:before="5pt"/>
        <w:rPr>
          <w:color w:val="000000"/>
        </w:rPr>
      </w:pPr>
    </w:p>
    <w:p w14:paraId="69B896DE" w14:textId="77777777" w:rsidR="00A77B3E" w:rsidRDefault="00B16CCF">
      <w:pPr>
        <w:pStyle w:val="Naslov5"/>
        <w:spacing w:before="5pt" w:after="0pt"/>
        <w:rPr>
          <w:b w:val="0"/>
          <w:i w:val="0"/>
          <w:color w:val="000000"/>
          <w:sz w:val="24"/>
        </w:rPr>
      </w:pPr>
      <w:bookmarkStart w:id="634" w:name="_Toc256001395"/>
      <w:r>
        <w:rPr>
          <w:b w:val="0"/>
          <w:i w:val="0"/>
          <w:color w:val="000000"/>
          <w:sz w:val="24"/>
        </w:rPr>
        <w:t>Navedba specifičnih ciljnih ozemelj, vključno z načrtovano uporabo teritorialnih orodij – člen 22(3)(d)(v) uredbe o skupnih določbah</w:t>
      </w:r>
      <w:bookmarkEnd w:id="634"/>
    </w:p>
    <w:p w14:paraId="6980BC5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4813B3F7"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C5E21F" w14:textId="77777777" w:rsidR="00A77B3E" w:rsidRDefault="00A77B3E">
            <w:pPr>
              <w:spacing w:before="5pt"/>
              <w:rPr>
                <w:color w:val="000000"/>
                <w:sz w:val="0"/>
              </w:rPr>
            </w:pPr>
          </w:p>
          <w:p w14:paraId="64807F8C" w14:textId="77777777" w:rsidR="00A77B3E" w:rsidRDefault="00B16CCF">
            <w:pPr>
              <w:spacing w:before="5pt"/>
              <w:rPr>
                <w:color w:val="000000"/>
              </w:rPr>
            </w:pPr>
            <w:r>
              <w:rPr>
                <w:color w:val="000000"/>
              </w:rPr>
              <w:t xml:space="preserve">V okviru specifičnega cilja se predvideva naslavljanje urbanega razvoja s pomočjo teritorialnih pristopov, izhajajoč iz vsebin pripravljenih teritorialnih strategij (novelirani/novi TUS) v 12 mestnih občinah. V izbor operacij so v prvi fazi vključeni predstavniki mest (v okviru ZMOS in mestnih svetov mestnih občin). </w:t>
            </w:r>
          </w:p>
          <w:p w14:paraId="30AA1838" w14:textId="77777777" w:rsidR="00A77B3E" w:rsidRDefault="00A77B3E">
            <w:pPr>
              <w:spacing w:before="5pt"/>
              <w:rPr>
                <w:color w:val="000000"/>
                <w:sz w:val="6"/>
              </w:rPr>
            </w:pPr>
          </w:p>
          <w:p w14:paraId="086FE793" w14:textId="77777777" w:rsidR="00A77B3E" w:rsidRDefault="00A77B3E">
            <w:pPr>
              <w:spacing w:before="5pt"/>
              <w:rPr>
                <w:color w:val="000000"/>
                <w:sz w:val="6"/>
              </w:rPr>
            </w:pPr>
          </w:p>
        </w:tc>
      </w:tr>
    </w:tbl>
    <w:p w14:paraId="36EBE219" w14:textId="77777777" w:rsidR="00A77B3E" w:rsidRDefault="00A77B3E">
      <w:pPr>
        <w:spacing w:before="5pt"/>
        <w:rPr>
          <w:color w:val="000000"/>
        </w:rPr>
      </w:pPr>
    </w:p>
    <w:p w14:paraId="124DAAFB" w14:textId="77777777" w:rsidR="00A77B3E" w:rsidRDefault="00B16CCF">
      <w:pPr>
        <w:pStyle w:val="Naslov5"/>
        <w:spacing w:before="5pt" w:after="0pt"/>
        <w:rPr>
          <w:b w:val="0"/>
          <w:i w:val="0"/>
          <w:color w:val="000000"/>
          <w:sz w:val="24"/>
        </w:rPr>
      </w:pPr>
      <w:bookmarkStart w:id="635" w:name="_Toc256001396"/>
      <w:r>
        <w:rPr>
          <w:b w:val="0"/>
          <w:i w:val="0"/>
          <w:color w:val="000000"/>
          <w:sz w:val="24"/>
        </w:rPr>
        <w:t>Medregionalni, čezmejni in transnacionalni ukrepi – člen 22(3)(d)(vi) uredbe o skupnih določbah</w:t>
      </w:r>
      <w:bookmarkEnd w:id="635"/>
    </w:p>
    <w:p w14:paraId="48A5271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25FE324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DA6BC4" w14:textId="77777777" w:rsidR="00A77B3E" w:rsidRDefault="00A77B3E">
            <w:pPr>
              <w:spacing w:before="5pt"/>
              <w:rPr>
                <w:color w:val="000000"/>
                <w:sz w:val="0"/>
              </w:rPr>
            </w:pPr>
          </w:p>
          <w:p w14:paraId="1064E4B8" w14:textId="77777777" w:rsidR="00A77B3E" w:rsidRDefault="00B16CCF">
            <w:pPr>
              <w:spacing w:before="5pt"/>
              <w:rPr>
                <w:color w:val="000000"/>
              </w:rPr>
            </w:pPr>
            <w:r>
              <w:rPr>
                <w:color w:val="000000"/>
              </w:rPr>
              <w:t>Zlasti v mestih in urbanih predelih, ki mejijo na sosednje države, je tesno čezmejno sodelovanje izjemnega pomena, saj prispeva h kakovostnemu sobivanju. Prebivalci potrebujejo raznolike in kakovostne vsebine ter nove oblike druženja, ki senzibilizira javnost za širše potenciale kreativnega razvoja. V ta namen bomo izvajali ukrepe, ki bodo olajšali dostop do javnega prostora, ustvarjali nove javne prostore in podpirali kulturne in druge urbane pobude, ki spodbujajo multikulturnost ter čezmejno povezovanje. Zagotovi se pogoje za pripravo in izvedbo povezanih celotnih čezmejnih teritorialnih naložb z namenom urbane regeneracije skupnega čezmejnega območja in sočasne vzpostavitve infrastruktur evropske prestolnice kulture 2025.</w:t>
            </w:r>
          </w:p>
          <w:p w14:paraId="09A72843" w14:textId="77777777" w:rsidR="00A77B3E" w:rsidRDefault="00A77B3E">
            <w:pPr>
              <w:spacing w:before="5pt"/>
              <w:rPr>
                <w:color w:val="000000"/>
              </w:rPr>
            </w:pPr>
          </w:p>
          <w:p w14:paraId="6CC04C68" w14:textId="77777777" w:rsidR="00A77B3E" w:rsidRDefault="00B16CCF">
            <w:pPr>
              <w:spacing w:before="5pt"/>
              <w:rPr>
                <w:color w:val="000000"/>
              </w:rPr>
            </w:pPr>
            <w:r>
              <w:rPr>
                <w:color w:val="000000"/>
              </w:rPr>
              <w:lastRenderedPageBreak/>
              <w:t>Spodbujanje sinergij med programi Interreg in SC RSO5.1 se bo izvajalo tudi v okviru mehanizma koordinacije, in sicer v okviru Odbora za spremljanje Programa, katerega član bo tudi predstavnik programov Interreg, v katerih sodelujejo institucije iz Slovenije.</w:t>
            </w:r>
          </w:p>
          <w:p w14:paraId="28402938" w14:textId="77777777" w:rsidR="00A77B3E" w:rsidRDefault="00A77B3E">
            <w:pPr>
              <w:spacing w:before="5pt"/>
              <w:rPr>
                <w:color w:val="000000"/>
                <w:sz w:val="6"/>
              </w:rPr>
            </w:pPr>
          </w:p>
          <w:p w14:paraId="407A1180" w14:textId="77777777" w:rsidR="00A77B3E" w:rsidRDefault="00A77B3E">
            <w:pPr>
              <w:spacing w:before="5pt"/>
              <w:rPr>
                <w:color w:val="000000"/>
                <w:sz w:val="6"/>
              </w:rPr>
            </w:pPr>
          </w:p>
        </w:tc>
      </w:tr>
    </w:tbl>
    <w:p w14:paraId="23DB4195" w14:textId="77777777" w:rsidR="00A77B3E" w:rsidRDefault="00A77B3E">
      <w:pPr>
        <w:spacing w:before="5pt"/>
        <w:rPr>
          <w:color w:val="000000"/>
        </w:rPr>
      </w:pPr>
    </w:p>
    <w:p w14:paraId="2D6FB3AB" w14:textId="77777777" w:rsidR="00A77B3E" w:rsidRDefault="00B16CCF">
      <w:pPr>
        <w:pStyle w:val="Naslov5"/>
        <w:spacing w:before="5pt" w:after="0pt"/>
        <w:rPr>
          <w:b w:val="0"/>
          <w:i w:val="0"/>
          <w:color w:val="000000"/>
          <w:sz w:val="24"/>
        </w:rPr>
      </w:pPr>
      <w:bookmarkStart w:id="636" w:name="_Toc256001397"/>
      <w:r>
        <w:rPr>
          <w:b w:val="0"/>
          <w:i w:val="0"/>
          <w:color w:val="000000"/>
          <w:sz w:val="24"/>
        </w:rPr>
        <w:t>Načrtovana uporaba finančnih instrumentov – člen 22(3)(d)(vii) uredbe o skupnih določbah</w:t>
      </w:r>
      <w:bookmarkEnd w:id="636"/>
    </w:p>
    <w:p w14:paraId="314C65F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7D49EA6D"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F15D98" w14:textId="77777777" w:rsidR="00A77B3E" w:rsidRDefault="00A77B3E">
            <w:pPr>
              <w:spacing w:before="5pt"/>
              <w:rPr>
                <w:color w:val="000000"/>
                <w:sz w:val="0"/>
              </w:rPr>
            </w:pPr>
          </w:p>
          <w:p w14:paraId="78A08361" w14:textId="77777777" w:rsidR="00A77B3E" w:rsidRDefault="00B16CCF">
            <w:pPr>
              <w:spacing w:before="5pt"/>
              <w:rPr>
                <w:color w:val="000000"/>
              </w:rPr>
            </w:pPr>
            <w:r>
              <w:rPr>
                <w:color w:val="000000"/>
              </w:rPr>
              <w:t xml:space="preserve">V skladu z izsledki analize Predhodnih ocen potreb trga in vrzeli financiranja na trgu za izvajanje finančnih instrumentov v programskem obdobju 2021-2027 (julij 2022) je bilo ugotovljeno, da je potencialna uporaba finančnih instrumentov (FI) za področje urbanega razvoja smiselna, kar temelji na podlagi dobrih izkušenj izvajalcev FI v obdobju 2014-2020 ter ugotovljeni vrzeli, dokazani v študiji »Predlog za oblikovanje sklada za urbani razvoj«, ki naslavlja dolgoročno financiranje projektov na področju urbanega razvoja in priporoča uporabo FI. Študija je ugotovila vrzel na tem tematskem področju za ciljno skupino javnih in zasebnih subjektov, ki delujejo v javno korist. Na tem specifičnem cilju je v skladu z navedenim načrtovana uporaba FI. Za projekte, kjer bo torej izkazana možnost generiranja sredstev iz naslova stabilnih denarnih tokov v obdobju obratovanja, se predlaga tudi raba povratnih virov. </w:t>
            </w:r>
          </w:p>
          <w:p w14:paraId="40DD2769" w14:textId="77777777" w:rsidR="00A77B3E" w:rsidRDefault="00A77B3E">
            <w:pPr>
              <w:spacing w:before="5pt"/>
              <w:rPr>
                <w:color w:val="000000"/>
                <w:sz w:val="6"/>
              </w:rPr>
            </w:pPr>
          </w:p>
          <w:p w14:paraId="7F3DB4B1" w14:textId="77777777" w:rsidR="00A77B3E" w:rsidRDefault="00A77B3E">
            <w:pPr>
              <w:spacing w:before="5pt"/>
              <w:rPr>
                <w:color w:val="000000"/>
                <w:sz w:val="6"/>
              </w:rPr>
            </w:pPr>
          </w:p>
        </w:tc>
      </w:tr>
    </w:tbl>
    <w:p w14:paraId="17B348D1" w14:textId="77777777" w:rsidR="00A77B3E" w:rsidRDefault="00A77B3E">
      <w:pPr>
        <w:spacing w:before="5pt"/>
        <w:rPr>
          <w:color w:val="000000"/>
        </w:rPr>
      </w:pPr>
    </w:p>
    <w:p w14:paraId="53FD3F15" w14:textId="77777777" w:rsidR="00A77B3E" w:rsidRDefault="00B16CCF">
      <w:pPr>
        <w:pStyle w:val="Naslov4"/>
        <w:spacing w:before="5pt" w:after="0pt"/>
        <w:rPr>
          <w:b w:val="0"/>
          <w:color w:val="000000"/>
          <w:sz w:val="24"/>
        </w:rPr>
      </w:pPr>
      <w:bookmarkStart w:id="637" w:name="_Toc256001398"/>
      <w:r>
        <w:rPr>
          <w:b w:val="0"/>
          <w:color w:val="000000"/>
          <w:sz w:val="24"/>
        </w:rPr>
        <w:t>2.1.1.1.2. Kazalniki</w:t>
      </w:r>
      <w:bookmarkEnd w:id="637"/>
    </w:p>
    <w:p w14:paraId="3569FB92" w14:textId="77777777" w:rsidR="00A77B3E" w:rsidRDefault="00A77B3E">
      <w:pPr>
        <w:spacing w:before="5pt"/>
        <w:rPr>
          <w:color w:val="000000"/>
          <w:sz w:val="0"/>
        </w:rPr>
      </w:pPr>
    </w:p>
    <w:p w14:paraId="3DE4DBF1" w14:textId="77777777" w:rsidR="00A77B3E" w:rsidRDefault="00B16CCF">
      <w:pPr>
        <w:spacing w:before="5pt"/>
        <w:rPr>
          <w:color w:val="000000"/>
          <w:sz w:val="0"/>
        </w:rPr>
      </w:pPr>
      <w:r>
        <w:rPr>
          <w:color w:val="000000"/>
        </w:rPr>
        <w:t>Sklic: člen 22(3)(d)(ii) uredbe o skupnih določbah in člen 8 uredbe o ESRR in Kohezijskem skladu</w:t>
      </w:r>
    </w:p>
    <w:p w14:paraId="0FD68678" w14:textId="77777777" w:rsidR="00A77B3E" w:rsidRDefault="00B16CCF">
      <w:pPr>
        <w:pStyle w:val="Naslov5"/>
        <w:spacing w:before="5pt" w:after="0pt"/>
        <w:rPr>
          <w:b w:val="0"/>
          <w:i w:val="0"/>
          <w:color w:val="000000"/>
          <w:sz w:val="24"/>
        </w:rPr>
      </w:pPr>
      <w:bookmarkStart w:id="638" w:name="_Toc256001399"/>
      <w:r>
        <w:rPr>
          <w:b w:val="0"/>
          <w:i w:val="0"/>
          <w:color w:val="000000"/>
          <w:sz w:val="24"/>
        </w:rPr>
        <w:t>Tabela 2: Kazalniki učinka</w:t>
      </w:r>
      <w:bookmarkEnd w:id="638"/>
    </w:p>
    <w:p w14:paraId="33F15BD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919"/>
        <w:gridCol w:w="1772"/>
        <w:gridCol w:w="1182"/>
        <w:gridCol w:w="1837"/>
        <w:gridCol w:w="2132"/>
        <w:gridCol w:w="1837"/>
        <w:gridCol w:w="1920"/>
        <w:gridCol w:w="1328"/>
        <w:gridCol w:w="1245"/>
      </w:tblGrid>
      <w:tr w:rsidR="00823317" w14:paraId="31E5F98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5E4F48"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144BC2"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AB19B5"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06127E"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00282B"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11BC88"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7A8F1D"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D136FC" w14:textId="77777777" w:rsidR="00A77B3E" w:rsidRDefault="00B16CCF">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372727" w14:textId="77777777" w:rsidR="00A77B3E" w:rsidRDefault="00B16CCF">
            <w:pPr>
              <w:spacing w:before="5pt"/>
              <w:jc w:val="center"/>
              <w:rPr>
                <w:color w:val="000000"/>
                <w:sz w:val="20"/>
              </w:rPr>
            </w:pPr>
            <w:r>
              <w:rPr>
                <w:color w:val="000000"/>
                <w:sz w:val="20"/>
              </w:rPr>
              <w:t>Cilj (2029)</w:t>
            </w:r>
          </w:p>
        </w:tc>
      </w:tr>
      <w:tr w:rsidR="00823317" w14:paraId="034F4E0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A39620" w14:textId="77777777" w:rsidR="00A77B3E" w:rsidRDefault="00B16CCF">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C325C9" w14:textId="77777777" w:rsidR="00A77B3E" w:rsidRDefault="00B16CCF">
            <w:pPr>
              <w:spacing w:before="5pt"/>
              <w:rPr>
                <w:color w:val="000000"/>
                <w:sz w:val="20"/>
              </w:rPr>
            </w:pPr>
            <w:r>
              <w:rPr>
                <w:color w:val="000000"/>
                <w:sz w:val="20"/>
              </w:rPr>
              <w:t>RSO5.1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8D79E6"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8A12EC"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049B36" w14:textId="77777777" w:rsidR="00A77B3E" w:rsidRDefault="00B16CCF">
            <w:pPr>
              <w:spacing w:before="5pt"/>
              <w:rPr>
                <w:color w:val="000000"/>
                <w:sz w:val="20"/>
              </w:rPr>
            </w:pPr>
            <w:r>
              <w:rPr>
                <w:color w:val="000000"/>
                <w:sz w:val="20"/>
              </w:rPr>
              <w:t>RCO75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C33849" w14:textId="77777777" w:rsidR="00A77B3E" w:rsidRDefault="00B16CCF">
            <w:pPr>
              <w:spacing w:before="5pt"/>
              <w:rPr>
                <w:color w:val="000000"/>
                <w:sz w:val="20"/>
              </w:rPr>
            </w:pPr>
            <w:r>
              <w:rPr>
                <w:color w:val="000000"/>
                <w:sz w:val="20"/>
              </w:rPr>
              <w:t>Strategije za celostni teritorialni razvoj, ki so prejele podporo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534845" w14:textId="77777777" w:rsidR="00A77B3E" w:rsidRDefault="00B16CCF">
            <w:pPr>
              <w:spacing w:before="5pt"/>
              <w:rPr>
                <w:color w:val="000000"/>
                <w:sz w:val="20"/>
              </w:rPr>
            </w:pPr>
            <w:r>
              <w:rPr>
                <w:color w:val="000000"/>
                <w:sz w:val="20"/>
              </w:rPr>
              <w:t>prispevki k strategijam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0873A8" w14:textId="77777777" w:rsidR="00A77B3E" w:rsidRDefault="00B16CCF">
            <w:pPr>
              <w:spacing w:before="5pt"/>
              <w:jc w:val="end"/>
              <w:rPr>
                <w:color w:val="000000"/>
                <w:sz w:val="20"/>
              </w:rPr>
            </w:pPr>
            <w:r>
              <w:rPr>
                <w:color w:val="000000"/>
                <w:sz w:val="20"/>
              </w:rPr>
              <w:t>4,00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49BFC9" w14:textId="77777777" w:rsidR="00A77B3E" w:rsidRDefault="00B16CCF">
            <w:pPr>
              <w:spacing w:before="5pt"/>
              <w:jc w:val="end"/>
              <w:rPr>
                <w:color w:val="000000"/>
                <w:sz w:val="20"/>
              </w:rPr>
            </w:pPr>
            <w:r>
              <w:rPr>
                <w:color w:val="000000"/>
                <w:sz w:val="20"/>
              </w:rPr>
              <w:t>4,00</w:t>
            </w:r>
          </w:p>
        </w:tc>
      </w:tr>
      <w:tr w:rsidR="00823317" w14:paraId="0E04E94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701086" w14:textId="77777777" w:rsidR="00A77B3E" w:rsidRDefault="00B16CCF">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3692D7" w14:textId="77777777" w:rsidR="00A77B3E" w:rsidRDefault="00B16CCF">
            <w:pPr>
              <w:spacing w:before="5pt"/>
              <w:rPr>
                <w:color w:val="000000"/>
                <w:sz w:val="20"/>
              </w:rPr>
            </w:pPr>
            <w:r>
              <w:rPr>
                <w:color w:val="000000"/>
                <w:sz w:val="20"/>
              </w:rPr>
              <w:t>RSO5.1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AC0864"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CAA658"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5C326B" w14:textId="77777777" w:rsidR="00A77B3E" w:rsidRDefault="00B16CCF">
            <w:pPr>
              <w:spacing w:before="5pt"/>
              <w:rPr>
                <w:color w:val="000000"/>
                <w:sz w:val="20"/>
              </w:rPr>
            </w:pPr>
            <w:r>
              <w:rPr>
                <w:color w:val="000000"/>
                <w:sz w:val="20"/>
              </w:rPr>
              <w:t>RCO76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071269" w14:textId="77777777" w:rsidR="00A77B3E" w:rsidRDefault="00B16CCF">
            <w:pPr>
              <w:spacing w:before="5pt"/>
              <w:rPr>
                <w:color w:val="000000"/>
                <w:sz w:val="20"/>
              </w:rPr>
            </w:pPr>
            <w:r>
              <w:rPr>
                <w:color w:val="000000"/>
                <w:sz w:val="20"/>
              </w:rPr>
              <w:t>Integrirani projekti za teritorialni razvoj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59EA08" w14:textId="77777777" w:rsidR="00A77B3E" w:rsidRDefault="00B16CCF">
            <w:pPr>
              <w:spacing w:before="5pt"/>
              <w:rPr>
                <w:color w:val="000000"/>
                <w:sz w:val="20"/>
              </w:rPr>
            </w:pPr>
            <w:r>
              <w:rPr>
                <w:color w:val="000000"/>
                <w:sz w:val="20"/>
              </w:rPr>
              <w:t>projekti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743555"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2EE49B" w14:textId="77777777" w:rsidR="00A77B3E" w:rsidRDefault="00B16CCF">
            <w:pPr>
              <w:spacing w:before="5pt"/>
              <w:jc w:val="end"/>
              <w:rPr>
                <w:color w:val="000000"/>
                <w:sz w:val="20"/>
              </w:rPr>
            </w:pPr>
            <w:r>
              <w:rPr>
                <w:color w:val="000000"/>
                <w:sz w:val="20"/>
              </w:rPr>
              <w:t>2,00</w:t>
            </w:r>
          </w:p>
        </w:tc>
      </w:tr>
      <w:tr w:rsidR="00823317" w14:paraId="1194CB8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75E989" w14:textId="77777777" w:rsidR="00A77B3E" w:rsidRDefault="00B16CCF">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8D1511" w14:textId="77777777" w:rsidR="00A77B3E" w:rsidRDefault="00B16CCF">
            <w:pPr>
              <w:spacing w:before="5pt"/>
              <w:rPr>
                <w:color w:val="000000"/>
                <w:sz w:val="20"/>
              </w:rPr>
            </w:pPr>
            <w:r>
              <w:rPr>
                <w:color w:val="000000"/>
                <w:sz w:val="20"/>
              </w:rPr>
              <w:t>RSO5.1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6E2762"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E9BE42"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34B3C8" w14:textId="77777777" w:rsidR="00A77B3E" w:rsidRDefault="00B16CCF">
            <w:pPr>
              <w:spacing w:before="5pt"/>
              <w:rPr>
                <w:color w:val="000000"/>
                <w:sz w:val="20"/>
              </w:rPr>
            </w:pPr>
            <w:r>
              <w:rPr>
                <w:color w:val="000000"/>
                <w:sz w:val="20"/>
              </w:rPr>
              <w:t>RCO75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E1D647" w14:textId="77777777" w:rsidR="00A77B3E" w:rsidRDefault="00B16CCF">
            <w:pPr>
              <w:spacing w:before="5pt"/>
              <w:rPr>
                <w:color w:val="000000"/>
                <w:sz w:val="20"/>
              </w:rPr>
            </w:pPr>
            <w:r>
              <w:rPr>
                <w:color w:val="000000"/>
                <w:sz w:val="20"/>
              </w:rPr>
              <w:t>Strategije za celostni teritorialni razvoj, ki so prejele podporo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E6145F" w14:textId="77777777" w:rsidR="00A77B3E" w:rsidRDefault="00B16CCF">
            <w:pPr>
              <w:spacing w:before="5pt"/>
              <w:rPr>
                <w:color w:val="000000"/>
                <w:sz w:val="20"/>
              </w:rPr>
            </w:pPr>
            <w:r>
              <w:rPr>
                <w:color w:val="000000"/>
                <w:sz w:val="20"/>
              </w:rPr>
              <w:t>prispevki k strategijam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A84B4B" w14:textId="77777777" w:rsidR="00A77B3E" w:rsidRDefault="00B16CCF">
            <w:pPr>
              <w:spacing w:before="5pt"/>
              <w:jc w:val="end"/>
              <w:rPr>
                <w:color w:val="000000"/>
                <w:sz w:val="20"/>
              </w:rPr>
            </w:pPr>
            <w:r>
              <w:rPr>
                <w:color w:val="000000"/>
                <w:sz w:val="20"/>
              </w:rPr>
              <w:t>8,00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5D3A5D" w14:textId="77777777" w:rsidR="00A77B3E" w:rsidRDefault="00B16CCF">
            <w:pPr>
              <w:spacing w:before="5pt"/>
              <w:jc w:val="end"/>
              <w:rPr>
                <w:color w:val="000000"/>
                <w:sz w:val="20"/>
              </w:rPr>
            </w:pPr>
            <w:r>
              <w:rPr>
                <w:color w:val="000000"/>
                <w:sz w:val="20"/>
              </w:rPr>
              <w:t>8,00</w:t>
            </w:r>
          </w:p>
        </w:tc>
      </w:tr>
      <w:tr w:rsidR="00823317" w14:paraId="3A0A7F2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50569B" w14:textId="77777777" w:rsidR="00A77B3E" w:rsidRDefault="00B16CCF">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172F01" w14:textId="77777777" w:rsidR="00A77B3E" w:rsidRDefault="00B16CCF">
            <w:pPr>
              <w:spacing w:before="5pt"/>
              <w:rPr>
                <w:color w:val="000000"/>
                <w:sz w:val="20"/>
              </w:rPr>
            </w:pPr>
            <w:r>
              <w:rPr>
                <w:color w:val="000000"/>
                <w:sz w:val="20"/>
              </w:rPr>
              <w:t>RSO5.1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732A22"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241BFE"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529740" w14:textId="77777777" w:rsidR="00A77B3E" w:rsidRDefault="00B16CCF">
            <w:pPr>
              <w:spacing w:before="5pt"/>
              <w:rPr>
                <w:color w:val="000000"/>
                <w:sz w:val="20"/>
              </w:rPr>
            </w:pPr>
            <w:r>
              <w:rPr>
                <w:color w:val="000000"/>
                <w:sz w:val="20"/>
              </w:rPr>
              <w:t>RCO76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8119AA" w14:textId="77777777" w:rsidR="00A77B3E" w:rsidRDefault="00B16CCF">
            <w:pPr>
              <w:spacing w:before="5pt"/>
              <w:rPr>
                <w:color w:val="000000"/>
                <w:sz w:val="20"/>
              </w:rPr>
            </w:pPr>
            <w:r>
              <w:rPr>
                <w:color w:val="000000"/>
                <w:sz w:val="20"/>
              </w:rPr>
              <w:t>Integrirani projekti za teritorialni razvoj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C25711" w14:textId="77777777" w:rsidR="00A77B3E" w:rsidRDefault="00B16CCF">
            <w:pPr>
              <w:spacing w:before="5pt"/>
              <w:rPr>
                <w:color w:val="000000"/>
                <w:sz w:val="20"/>
              </w:rPr>
            </w:pPr>
            <w:r>
              <w:rPr>
                <w:color w:val="000000"/>
                <w:sz w:val="20"/>
              </w:rPr>
              <w:t>projekti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92E584"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7BD796" w14:textId="77777777" w:rsidR="00A77B3E" w:rsidRDefault="00B16CCF">
            <w:pPr>
              <w:spacing w:before="5pt"/>
              <w:jc w:val="end"/>
              <w:rPr>
                <w:color w:val="000000"/>
                <w:sz w:val="20"/>
              </w:rPr>
            </w:pPr>
            <w:r>
              <w:rPr>
                <w:color w:val="000000"/>
                <w:sz w:val="20"/>
              </w:rPr>
              <w:t>4,00</w:t>
            </w:r>
          </w:p>
        </w:tc>
      </w:tr>
    </w:tbl>
    <w:p w14:paraId="3FBC6643" w14:textId="77777777" w:rsidR="00A77B3E" w:rsidRDefault="00A77B3E">
      <w:pPr>
        <w:spacing w:before="5pt"/>
        <w:rPr>
          <w:color w:val="000000"/>
          <w:sz w:val="20"/>
        </w:rPr>
      </w:pPr>
    </w:p>
    <w:p w14:paraId="39ABFE8B" w14:textId="77777777" w:rsidR="00A77B3E" w:rsidRDefault="00B16CCF">
      <w:pPr>
        <w:spacing w:before="5pt"/>
        <w:rPr>
          <w:color w:val="000000"/>
          <w:sz w:val="0"/>
        </w:rPr>
      </w:pPr>
      <w:r>
        <w:rPr>
          <w:color w:val="000000"/>
        </w:rPr>
        <w:t>Sklic: člen 22(3)(d)(ii) uredbe o skupnih določbah</w:t>
      </w:r>
    </w:p>
    <w:p w14:paraId="1650EB0C" w14:textId="77777777" w:rsidR="00A77B3E" w:rsidRDefault="00B16CCF">
      <w:pPr>
        <w:pStyle w:val="Naslov5"/>
        <w:spacing w:before="5pt" w:after="0pt"/>
        <w:rPr>
          <w:b w:val="0"/>
          <w:i w:val="0"/>
          <w:color w:val="000000"/>
          <w:sz w:val="24"/>
        </w:rPr>
      </w:pPr>
      <w:bookmarkStart w:id="639" w:name="_Toc256001400"/>
      <w:r>
        <w:rPr>
          <w:b w:val="0"/>
          <w:i w:val="0"/>
          <w:color w:val="000000"/>
          <w:sz w:val="24"/>
        </w:rPr>
        <w:lastRenderedPageBreak/>
        <w:t>Tabela 3: Kazalniki rezultatov</w:t>
      </w:r>
      <w:bookmarkEnd w:id="639"/>
    </w:p>
    <w:p w14:paraId="3955E8F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77"/>
        <w:gridCol w:w="1270"/>
        <w:gridCol w:w="847"/>
        <w:gridCol w:w="1317"/>
        <w:gridCol w:w="1528"/>
        <w:gridCol w:w="1543"/>
        <w:gridCol w:w="982"/>
        <w:gridCol w:w="1347"/>
        <w:gridCol w:w="1422"/>
        <w:gridCol w:w="1255"/>
        <w:gridCol w:w="1180"/>
        <w:gridCol w:w="1104"/>
      </w:tblGrid>
      <w:tr w:rsidR="00823317" w14:paraId="7F13D2F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D697F5"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905823"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921126"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A8E839"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E1B1A3"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68BFBD"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908383"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1207DD" w14:textId="77777777" w:rsidR="00A77B3E" w:rsidRDefault="00B16CCF">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C489DE" w14:textId="77777777" w:rsidR="00A77B3E" w:rsidRDefault="00B16CCF">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E9E8A8" w14:textId="77777777" w:rsidR="00A77B3E" w:rsidRDefault="00B16CCF">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8F5B28" w14:textId="77777777" w:rsidR="00A77B3E" w:rsidRDefault="00B16CCF">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A8FD8D" w14:textId="77777777" w:rsidR="00A77B3E" w:rsidRDefault="00B16CCF">
            <w:pPr>
              <w:spacing w:before="5pt"/>
              <w:jc w:val="center"/>
              <w:rPr>
                <w:color w:val="000000"/>
                <w:sz w:val="20"/>
              </w:rPr>
            </w:pPr>
            <w:r>
              <w:rPr>
                <w:color w:val="000000"/>
                <w:sz w:val="20"/>
              </w:rPr>
              <w:t>Opombe</w:t>
            </w:r>
          </w:p>
        </w:tc>
      </w:tr>
      <w:tr w:rsidR="00823317" w14:paraId="0334E05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91A8F9" w14:textId="77777777" w:rsidR="00A77B3E" w:rsidRDefault="00B16CCF">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0C1E85" w14:textId="77777777" w:rsidR="00A77B3E" w:rsidRDefault="00B16CCF">
            <w:pPr>
              <w:spacing w:before="5pt"/>
              <w:rPr>
                <w:color w:val="000000"/>
                <w:sz w:val="20"/>
              </w:rPr>
            </w:pPr>
            <w:r>
              <w:rPr>
                <w:color w:val="000000"/>
                <w:sz w:val="20"/>
              </w:rPr>
              <w:t>RSO5.1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FB816D"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A0F369"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A6E18E" w14:textId="77777777" w:rsidR="00A77B3E" w:rsidRDefault="00B16CCF">
            <w:pPr>
              <w:spacing w:before="5pt"/>
              <w:rPr>
                <w:color w:val="000000"/>
                <w:sz w:val="20"/>
              </w:rPr>
            </w:pPr>
            <w:r>
              <w:rPr>
                <w:color w:val="000000"/>
                <w:sz w:val="20"/>
              </w:rPr>
              <w:t>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27D954" w14:textId="77777777" w:rsidR="00A77B3E" w:rsidRDefault="00B16CCF">
            <w:pPr>
              <w:spacing w:before="5pt"/>
              <w:rPr>
                <w:color w:val="000000"/>
                <w:sz w:val="20"/>
              </w:rPr>
            </w:pPr>
            <w:r>
              <w:rPr>
                <w:color w:val="000000"/>
                <w:sz w:val="20"/>
              </w:rPr>
              <w:t>Površina prenovljenih prostih in slabo izkoriščenih površin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C95610" w14:textId="77777777" w:rsidR="00A77B3E" w:rsidRDefault="00B16CCF">
            <w:pPr>
              <w:spacing w:before="5pt"/>
              <w:rPr>
                <w:color w:val="000000"/>
                <w:sz w:val="20"/>
              </w:rPr>
            </w:pPr>
            <w:r>
              <w:rPr>
                <w:color w:val="000000"/>
                <w:sz w:val="20"/>
              </w:rPr>
              <w:t>m2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F788E5"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4B6DF2" w14:textId="77777777" w:rsidR="00A77B3E" w:rsidRDefault="00B16CCF">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C58B97" w14:textId="77777777" w:rsidR="00A77B3E" w:rsidRDefault="00B16CCF">
            <w:pPr>
              <w:spacing w:before="5pt"/>
              <w:jc w:val="end"/>
              <w:rPr>
                <w:color w:val="000000"/>
                <w:sz w:val="20"/>
              </w:rPr>
            </w:pPr>
            <w:r>
              <w:rPr>
                <w:color w:val="000000"/>
                <w:sz w:val="20"/>
              </w:rPr>
              <w:t>6.500,00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892647" w14:textId="77777777" w:rsidR="00A77B3E" w:rsidRDefault="00B16CCF">
            <w:pPr>
              <w:spacing w:before="5pt"/>
              <w:rPr>
                <w:color w:val="000000"/>
                <w:sz w:val="20"/>
              </w:rPr>
            </w:pPr>
            <w:r>
              <w:rPr>
                <w:color w:val="000000"/>
                <w:sz w:val="20"/>
              </w:rPr>
              <w:t>MOP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8E468A" w14:textId="77777777" w:rsidR="00A77B3E" w:rsidRDefault="00A77B3E">
            <w:pPr>
              <w:spacing w:before="5pt"/>
              <w:rPr>
                <w:color w:val="000000"/>
                <w:sz w:val="20"/>
              </w:rPr>
            </w:pPr>
          </w:p>
        </w:tc>
      </w:tr>
      <w:tr w:rsidR="00823317" w14:paraId="3A6A8F2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8E6882" w14:textId="77777777" w:rsidR="00A77B3E" w:rsidRDefault="00B16CCF">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4BF7FA" w14:textId="77777777" w:rsidR="00A77B3E" w:rsidRDefault="00B16CCF">
            <w:pPr>
              <w:spacing w:before="5pt"/>
              <w:rPr>
                <w:color w:val="000000"/>
                <w:sz w:val="20"/>
              </w:rPr>
            </w:pPr>
            <w:r>
              <w:rPr>
                <w:color w:val="000000"/>
                <w:sz w:val="20"/>
              </w:rPr>
              <w:t>RSO5.1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751DDD"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07A4A4"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43FD13" w14:textId="77777777" w:rsidR="00A77B3E" w:rsidRDefault="00B16CCF">
            <w:pPr>
              <w:spacing w:before="5pt"/>
              <w:rPr>
                <w:color w:val="000000"/>
                <w:sz w:val="20"/>
              </w:rPr>
            </w:pPr>
            <w:r>
              <w:rPr>
                <w:color w:val="000000"/>
                <w:sz w:val="20"/>
              </w:rPr>
              <w:t>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507F0B" w14:textId="77777777" w:rsidR="00A77B3E" w:rsidRDefault="00B16CCF">
            <w:pPr>
              <w:spacing w:before="5pt"/>
              <w:rPr>
                <w:color w:val="000000"/>
                <w:sz w:val="20"/>
              </w:rPr>
            </w:pPr>
            <w:r>
              <w:rPr>
                <w:color w:val="000000"/>
                <w:sz w:val="20"/>
              </w:rPr>
              <w:t>Površina prenovljenih prostih in slabo izkoriščenih površin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26AB39" w14:textId="77777777" w:rsidR="00A77B3E" w:rsidRDefault="00B16CCF">
            <w:pPr>
              <w:spacing w:before="5pt"/>
              <w:rPr>
                <w:color w:val="000000"/>
                <w:sz w:val="20"/>
              </w:rPr>
            </w:pPr>
            <w:r>
              <w:rPr>
                <w:color w:val="000000"/>
                <w:sz w:val="20"/>
              </w:rPr>
              <w:t>m2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83AEEF"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DAB8CD" w14:textId="77777777" w:rsidR="00A77B3E" w:rsidRDefault="00B16CCF">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F0703C" w14:textId="77777777" w:rsidR="00A77B3E" w:rsidRDefault="00B16CCF">
            <w:pPr>
              <w:spacing w:before="5pt"/>
              <w:jc w:val="end"/>
              <w:rPr>
                <w:color w:val="000000"/>
                <w:sz w:val="20"/>
              </w:rPr>
            </w:pPr>
            <w:r>
              <w:rPr>
                <w:color w:val="000000"/>
                <w:sz w:val="20"/>
              </w:rPr>
              <w:t>37.500,00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0E6685" w14:textId="77777777" w:rsidR="00A77B3E" w:rsidRDefault="00B16CCF">
            <w:pPr>
              <w:spacing w:before="5pt"/>
              <w:rPr>
                <w:color w:val="000000"/>
                <w:sz w:val="20"/>
              </w:rPr>
            </w:pPr>
            <w:r>
              <w:rPr>
                <w:color w:val="000000"/>
                <w:sz w:val="20"/>
              </w:rPr>
              <w:t>MOP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7FC30D" w14:textId="77777777" w:rsidR="00A77B3E" w:rsidRDefault="00A77B3E">
            <w:pPr>
              <w:spacing w:before="5pt"/>
              <w:rPr>
                <w:color w:val="000000"/>
                <w:sz w:val="20"/>
              </w:rPr>
            </w:pPr>
          </w:p>
        </w:tc>
      </w:tr>
    </w:tbl>
    <w:p w14:paraId="2503C02A" w14:textId="77777777" w:rsidR="00A77B3E" w:rsidRDefault="00A77B3E">
      <w:pPr>
        <w:spacing w:before="5pt"/>
        <w:rPr>
          <w:color w:val="000000"/>
          <w:sz w:val="20"/>
        </w:rPr>
      </w:pPr>
    </w:p>
    <w:p w14:paraId="1BEFC6AE" w14:textId="77777777" w:rsidR="00A77B3E" w:rsidRDefault="00B16CCF">
      <w:pPr>
        <w:pStyle w:val="Naslov4"/>
        <w:spacing w:before="5pt" w:after="0pt"/>
        <w:rPr>
          <w:b w:val="0"/>
          <w:color w:val="000000"/>
          <w:sz w:val="24"/>
        </w:rPr>
      </w:pPr>
      <w:bookmarkStart w:id="640" w:name="_Toc256001401"/>
      <w:r>
        <w:rPr>
          <w:b w:val="0"/>
          <w:color w:val="000000"/>
          <w:sz w:val="24"/>
        </w:rPr>
        <w:t>2.1.1.1.3. Okvirna razčlenitev načrtovanih sredstev (EU) glede na vrsto ukrepa</w:t>
      </w:r>
      <w:bookmarkEnd w:id="640"/>
    </w:p>
    <w:p w14:paraId="58A5B642" w14:textId="77777777" w:rsidR="00A77B3E" w:rsidRDefault="00A77B3E">
      <w:pPr>
        <w:spacing w:before="5pt"/>
        <w:rPr>
          <w:color w:val="000000"/>
          <w:sz w:val="0"/>
        </w:rPr>
      </w:pPr>
    </w:p>
    <w:p w14:paraId="684DF2E4" w14:textId="77777777" w:rsidR="00A77B3E" w:rsidRDefault="00B16CCF">
      <w:pPr>
        <w:spacing w:before="5pt"/>
        <w:rPr>
          <w:color w:val="000000"/>
          <w:sz w:val="0"/>
        </w:rPr>
      </w:pPr>
      <w:r>
        <w:rPr>
          <w:color w:val="000000"/>
        </w:rPr>
        <w:t>Sklic: člen 22(3)(d)(viii) uredbe o skupnih določbah</w:t>
      </w:r>
    </w:p>
    <w:p w14:paraId="116C0AC5" w14:textId="77777777" w:rsidR="00A77B3E" w:rsidRDefault="00B16CCF">
      <w:pPr>
        <w:pStyle w:val="Naslov5"/>
        <w:spacing w:before="5pt" w:after="0pt"/>
        <w:rPr>
          <w:b w:val="0"/>
          <w:i w:val="0"/>
          <w:color w:val="000000"/>
          <w:sz w:val="24"/>
        </w:rPr>
      </w:pPr>
      <w:bookmarkStart w:id="641" w:name="_Toc256001402"/>
      <w:r>
        <w:rPr>
          <w:b w:val="0"/>
          <w:i w:val="0"/>
          <w:color w:val="000000"/>
          <w:sz w:val="24"/>
        </w:rPr>
        <w:t>Tabela 4: Razsežnost 1 – področje ukrepanja</w:t>
      </w:r>
      <w:bookmarkEnd w:id="641"/>
    </w:p>
    <w:p w14:paraId="78E5D74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87"/>
        <w:gridCol w:w="2388"/>
        <w:gridCol w:w="1734"/>
        <w:gridCol w:w="2475"/>
        <w:gridCol w:w="2731"/>
        <w:gridCol w:w="3257"/>
      </w:tblGrid>
      <w:tr w:rsidR="00823317" w14:paraId="52D3C42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814D23"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78F8FB"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F470AE"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937F3A"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84C0DE"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E7D499" w14:textId="77777777" w:rsidR="00A77B3E" w:rsidRDefault="00B16CCF">
            <w:pPr>
              <w:spacing w:before="5pt"/>
              <w:jc w:val="center"/>
              <w:rPr>
                <w:color w:val="000000"/>
                <w:sz w:val="20"/>
              </w:rPr>
            </w:pPr>
            <w:r>
              <w:rPr>
                <w:color w:val="000000"/>
                <w:sz w:val="20"/>
              </w:rPr>
              <w:t>Znesek (v EUR)</w:t>
            </w:r>
          </w:p>
        </w:tc>
      </w:tr>
      <w:tr w:rsidR="00823317" w14:paraId="1225ABB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18EC74" w14:textId="77777777" w:rsidR="00A77B3E" w:rsidRDefault="00B16CCF">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33E147" w14:textId="77777777" w:rsidR="00A77B3E" w:rsidRDefault="00B16CCF">
            <w:pPr>
              <w:spacing w:before="5pt"/>
              <w:rPr>
                <w:color w:val="000000"/>
                <w:sz w:val="20"/>
              </w:rPr>
            </w:pPr>
            <w:r>
              <w:rPr>
                <w:color w:val="000000"/>
                <w:sz w:val="20"/>
              </w:rPr>
              <w:t>RSO5.1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56310A"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A43B14"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7B3E10" w14:textId="77777777" w:rsidR="00A77B3E" w:rsidRDefault="00B16CCF">
            <w:pPr>
              <w:spacing w:before="5pt"/>
              <w:rPr>
                <w:color w:val="000000"/>
                <w:sz w:val="20"/>
              </w:rPr>
            </w:pPr>
            <w:r>
              <w:rPr>
                <w:color w:val="000000"/>
                <w:sz w:val="20"/>
              </w:rPr>
              <w:t>168. Obnova in varnost javnih prostorov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08D6CF" w14:textId="77777777" w:rsidR="00A77B3E" w:rsidRDefault="00B16CCF">
            <w:pPr>
              <w:spacing w:before="5pt"/>
              <w:jc w:val="end"/>
              <w:rPr>
                <w:color w:val="000000"/>
                <w:sz w:val="20"/>
              </w:rPr>
            </w:pPr>
            <w:r>
              <w:rPr>
                <w:color w:val="000000"/>
                <w:sz w:val="20"/>
              </w:rPr>
              <w:t>6.155.651,79</w:t>
            </w:r>
          </w:p>
        </w:tc>
      </w:tr>
      <w:tr w:rsidR="00823317" w14:paraId="04914A5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39C108" w14:textId="77777777" w:rsidR="00A77B3E" w:rsidRDefault="00B16CCF">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AF2E2B" w14:textId="77777777" w:rsidR="00A77B3E" w:rsidRDefault="00B16CCF">
            <w:pPr>
              <w:spacing w:before="5pt"/>
              <w:rPr>
                <w:color w:val="000000"/>
                <w:sz w:val="20"/>
              </w:rPr>
            </w:pPr>
            <w:r>
              <w:rPr>
                <w:color w:val="000000"/>
                <w:sz w:val="20"/>
              </w:rPr>
              <w:t>RSO5.1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8AEE6D"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E9BE63"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39C04C" w14:textId="77777777" w:rsidR="00A77B3E" w:rsidRDefault="00B16CCF">
            <w:pPr>
              <w:spacing w:before="5pt"/>
              <w:rPr>
                <w:color w:val="000000"/>
                <w:sz w:val="20"/>
              </w:rPr>
            </w:pPr>
            <w:r>
              <w:rPr>
                <w:color w:val="000000"/>
                <w:sz w:val="20"/>
              </w:rPr>
              <w:t>169. Pobude za teritorialni razvoj, tudi priprava teritorialnih strategij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92DF68" w14:textId="77777777" w:rsidR="00A77B3E" w:rsidRDefault="00B16CCF">
            <w:pPr>
              <w:spacing w:before="5pt"/>
              <w:jc w:val="end"/>
              <w:rPr>
                <w:color w:val="000000"/>
                <w:sz w:val="20"/>
              </w:rPr>
            </w:pPr>
            <w:r>
              <w:rPr>
                <w:color w:val="000000"/>
                <w:sz w:val="20"/>
              </w:rPr>
              <w:t>6.174.348,21</w:t>
            </w:r>
          </w:p>
        </w:tc>
      </w:tr>
      <w:tr w:rsidR="00823317" w14:paraId="23CC3CD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DC9503" w14:textId="77777777" w:rsidR="00A77B3E" w:rsidRDefault="00B16CCF">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4D658A" w14:textId="77777777" w:rsidR="00A77B3E" w:rsidRDefault="00B16CCF">
            <w:pPr>
              <w:spacing w:before="5pt"/>
              <w:rPr>
                <w:color w:val="000000"/>
                <w:sz w:val="20"/>
              </w:rPr>
            </w:pPr>
            <w:r>
              <w:rPr>
                <w:color w:val="000000"/>
                <w:sz w:val="20"/>
              </w:rPr>
              <w:t>RSO5.1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3D239F"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8C3EFC"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593A8B" w14:textId="77777777" w:rsidR="00A77B3E" w:rsidRDefault="00B16CCF">
            <w:pPr>
              <w:spacing w:before="5pt"/>
              <w:rPr>
                <w:color w:val="000000"/>
                <w:sz w:val="20"/>
              </w:rPr>
            </w:pPr>
            <w:r>
              <w:rPr>
                <w:color w:val="000000"/>
                <w:sz w:val="20"/>
              </w:rPr>
              <w:t>168. Obnova in varnost javnih prostorov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2796AC" w14:textId="77777777" w:rsidR="00A77B3E" w:rsidRDefault="00B16CCF">
            <w:pPr>
              <w:spacing w:before="5pt"/>
              <w:jc w:val="end"/>
              <w:rPr>
                <w:color w:val="000000"/>
                <w:sz w:val="20"/>
              </w:rPr>
            </w:pPr>
            <w:r>
              <w:rPr>
                <w:color w:val="000000"/>
                <w:sz w:val="20"/>
              </w:rPr>
              <w:t>29.012.579,24</w:t>
            </w:r>
          </w:p>
        </w:tc>
      </w:tr>
      <w:tr w:rsidR="00823317" w14:paraId="117632E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461330" w14:textId="77777777" w:rsidR="00A77B3E" w:rsidRDefault="00B16CCF">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5AFC8B" w14:textId="77777777" w:rsidR="00A77B3E" w:rsidRDefault="00B16CCF">
            <w:pPr>
              <w:spacing w:before="5pt"/>
              <w:rPr>
                <w:color w:val="000000"/>
                <w:sz w:val="20"/>
              </w:rPr>
            </w:pPr>
            <w:r>
              <w:rPr>
                <w:color w:val="000000"/>
                <w:sz w:val="20"/>
              </w:rPr>
              <w:t>RSO5.1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972DC0"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C2DCA4"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975AC4" w14:textId="77777777" w:rsidR="00A77B3E" w:rsidRDefault="00B16CCF">
            <w:pPr>
              <w:spacing w:before="5pt"/>
              <w:rPr>
                <w:color w:val="000000"/>
                <w:sz w:val="20"/>
              </w:rPr>
            </w:pPr>
            <w:r>
              <w:rPr>
                <w:color w:val="000000"/>
                <w:sz w:val="20"/>
              </w:rPr>
              <w:t>169. Pobude za teritorialni razvoj, tudi priprava teritorialnih strategij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81ED38" w14:textId="77777777" w:rsidR="00A77B3E" w:rsidRDefault="00B16CCF">
            <w:pPr>
              <w:spacing w:before="5pt"/>
              <w:jc w:val="end"/>
              <w:rPr>
                <w:color w:val="000000"/>
                <w:sz w:val="20"/>
              </w:rPr>
            </w:pPr>
            <w:r>
              <w:rPr>
                <w:color w:val="000000"/>
                <w:sz w:val="20"/>
              </w:rPr>
              <w:t>24.747.420,76</w:t>
            </w:r>
          </w:p>
        </w:tc>
      </w:tr>
      <w:tr w:rsidR="00823317" w14:paraId="090ABDD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8C3656" w14:textId="77777777" w:rsidR="00A77B3E" w:rsidRDefault="00B16CCF">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0D80B1" w14:textId="77777777" w:rsidR="00A77B3E" w:rsidRDefault="00B16CCF">
            <w:pPr>
              <w:spacing w:before="5pt"/>
              <w:rPr>
                <w:color w:val="000000"/>
                <w:sz w:val="20"/>
              </w:rPr>
            </w:pPr>
            <w:r>
              <w:rPr>
                <w:color w:val="000000"/>
                <w:sz w:val="20"/>
              </w:rPr>
              <w:t>RSO5.1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0F0574"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51165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D31AB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B3C149" w14:textId="77777777" w:rsidR="00A77B3E" w:rsidRDefault="00B16CCF">
            <w:pPr>
              <w:spacing w:before="5pt"/>
              <w:jc w:val="end"/>
              <w:rPr>
                <w:color w:val="000000"/>
                <w:sz w:val="20"/>
              </w:rPr>
            </w:pPr>
            <w:r>
              <w:rPr>
                <w:color w:val="000000"/>
                <w:sz w:val="20"/>
              </w:rPr>
              <w:t>66.090.000,00</w:t>
            </w:r>
          </w:p>
        </w:tc>
      </w:tr>
    </w:tbl>
    <w:p w14:paraId="7C220DBD" w14:textId="77777777" w:rsidR="00A77B3E" w:rsidRDefault="00A77B3E">
      <w:pPr>
        <w:spacing w:before="5pt"/>
        <w:rPr>
          <w:color w:val="000000"/>
          <w:sz w:val="20"/>
        </w:rPr>
      </w:pPr>
    </w:p>
    <w:p w14:paraId="4175F8AE" w14:textId="77777777" w:rsidR="00A77B3E" w:rsidRDefault="00B16CCF">
      <w:pPr>
        <w:pStyle w:val="Naslov5"/>
        <w:spacing w:before="5pt" w:after="0pt"/>
        <w:rPr>
          <w:b w:val="0"/>
          <w:i w:val="0"/>
          <w:color w:val="000000"/>
          <w:sz w:val="24"/>
        </w:rPr>
      </w:pPr>
      <w:bookmarkStart w:id="642" w:name="_Toc256001403"/>
      <w:r>
        <w:rPr>
          <w:b w:val="0"/>
          <w:i w:val="0"/>
          <w:color w:val="000000"/>
          <w:sz w:val="24"/>
        </w:rPr>
        <w:t>Tabela 5: Razsežnost 2 – oblika financiranja</w:t>
      </w:r>
      <w:bookmarkEnd w:id="642"/>
    </w:p>
    <w:p w14:paraId="65D2102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16"/>
        <w:gridCol w:w="2322"/>
        <w:gridCol w:w="1686"/>
        <w:gridCol w:w="2407"/>
        <w:gridCol w:w="3073"/>
        <w:gridCol w:w="3168"/>
      </w:tblGrid>
      <w:tr w:rsidR="00823317" w14:paraId="044F52E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C20241"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DD54E7"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0EDADE"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EF2BEB"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74DC31"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302D86" w14:textId="77777777" w:rsidR="00A77B3E" w:rsidRDefault="00B16CCF">
            <w:pPr>
              <w:spacing w:before="5pt"/>
              <w:jc w:val="center"/>
              <w:rPr>
                <w:color w:val="000000"/>
                <w:sz w:val="20"/>
              </w:rPr>
            </w:pPr>
            <w:r>
              <w:rPr>
                <w:color w:val="000000"/>
                <w:sz w:val="20"/>
              </w:rPr>
              <w:t>Znesek (v EUR)</w:t>
            </w:r>
          </w:p>
        </w:tc>
      </w:tr>
      <w:tr w:rsidR="00823317" w14:paraId="52F299F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2C7754" w14:textId="77777777" w:rsidR="00A77B3E" w:rsidRDefault="00B16CCF">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EAC4AF" w14:textId="77777777" w:rsidR="00A77B3E" w:rsidRDefault="00B16CCF">
            <w:pPr>
              <w:spacing w:before="5pt"/>
              <w:rPr>
                <w:color w:val="000000"/>
                <w:sz w:val="20"/>
              </w:rPr>
            </w:pPr>
            <w:r>
              <w:rPr>
                <w:color w:val="000000"/>
                <w:sz w:val="20"/>
              </w:rPr>
              <w:t>RSO5.1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882817"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76F53D"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AAFACD" w14:textId="77777777" w:rsidR="00A77B3E" w:rsidRDefault="00B16CCF">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647BEA" w14:textId="77777777" w:rsidR="00A77B3E" w:rsidRDefault="00B16CCF">
            <w:pPr>
              <w:spacing w:before="5pt"/>
              <w:jc w:val="end"/>
              <w:rPr>
                <w:color w:val="000000"/>
                <w:sz w:val="20"/>
              </w:rPr>
            </w:pPr>
            <w:r>
              <w:rPr>
                <w:color w:val="000000"/>
                <w:sz w:val="20"/>
              </w:rPr>
              <w:t>10.330.000,00</w:t>
            </w:r>
          </w:p>
        </w:tc>
      </w:tr>
      <w:tr w:rsidR="00823317" w14:paraId="3DCF32D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0AAB3F" w14:textId="77777777" w:rsidR="00A77B3E" w:rsidRDefault="00B16CCF">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586108" w14:textId="77777777" w:rsidR="00A77B3E" w:rsidRDefault="00B16CCF">
            <w:pPr>
              <w:spacing w:before="5pt"/>
              <w:rPr>
                <w:color w:val="000000"/>
                <w:sz w:val="20"/>
              </w:rPr>
            </w:pPr>
            <w:r>
              <w:rPr>
                <w:color w:val="000000"/>
                <w:sz w:val="20"/>
              </w:rPr>
              <w:t>RSO5.1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8F653E"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2BE6C0"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400488" w14:textId="77777777" w:rsidR="00A77B3E" w:rsidRDefault="00B16CCF">
            <w:pPr>
              <w:spacing w:before="5pt"/>
              <w:rPr>
                <w:color w:val="000000"/>
                <w:sz w:val="20"/>
              </w:rPr>
            </w:pPr>
            <w:r>
              <w:rPr>
                <w:color w:val="000000"/>
                <w:sz w:val="20"/>
              </w:rPr>
              <w:t xml:space="preserve">03. Podpora prek finančnih instrumentov: posojila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FA9267" w14:textId="77777777" w:rsidR="00A77B3E" w:rsidRDefault="00B16CCF">
            <w:pPr>
              <w:spacing w:before="5pt"/>
              <w:jc w:val="end"/>
              <w:rPr>
                <w:color w:val="000000"/>
                <w:sz w:val="20"/>
              </w:rPr>
            </w:pPr>
            <w:r>
              <w:rPr>
                <w:color w:val="000000"/>
                <w:sz w:val="20"/>
              </w:rPr>
              <w:t>2.000.000,00</w:t>
            </w:r>
          </w:p>
        </w:tc>
      </w:tr>
      <w:tr w:rsidR="00823317" w14:paraId="6574991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DEA495" w14:textId="77777777" w:rsidR="00A77B3E" w:rsidRDefault="00B16CCF">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5CBFF3" w14:textId="77777777" w:rsidR="00A77B3E" w:rsidRDefault="00B16CCF">
            <w:pPr>
              <w:spacing w:before="5pt"/>
              <w:rPr>
                <w:color w:val="000000"/>
                <w:sz w:val="20"/>
              </w:rPr>
            </w:pPr>
            <w:r>
              <w:rPr>
                <w:color w:val="000000"/>
                <w:sz w:val="20"/>
              </w:rPr>
              <w:t>RSO5.1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3C7C41"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77C58B"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E24FF9" w14:textId="77777777" w:rsidR="00A77B3E" w:rsidRDefault="00B16CCF">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22BB35" w14:textId="77777777" w:rsidR="00A77B3E" w:rsidRDefault="00B16CCF">
            <w:pPr>
              <w:spacing w:before="5pt"/>
              <w:jc w:val="end"/>
              <w:rPr>
                <w:color w:val="000000"/>
                <w:sz w:val="20"/>
              </w:rPr>
            </w:pPr>
            <w:r>
              <w:rPr>
                <w:color w:val="000000"/>
                <w:sz w:val="20"/>
              </w:rPr>
              <w:t>47.760.000,00</w:t>
            </w:r>
          </w:p>
        </w:tc>
      </w:tr>
      <w:tr w:rsidR="00823317" w14:paraId="12FFA33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23354B" w14:textId="77777777" w:rsidR="00A77B3E" w:rsidRDefault="00B16CCF">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C061D3" w14:textId="77777777" w:rsidR="00A77B3E" w:rsidRDefault="00B16CCF">
            <w:pPr>
              <w:spacing w:before="5pt"/>
              <w:rPr>
                <w:color w:val="000000"/>
                <w:sz w:val="20"/>
              </w:rPr>
            </w:pPr>
            <w:r>
              <w:rPr>
                <w:color w:val="000000"/>
                <w:sz w:val="20"/>
              </w:rPr>
              <w:t>RSO5.1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75C4DA"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0DB9F0"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A2DE64" w14:textId="77777777" w:rsidR="00A77B3E" w:rsidRDefault="00B16CCF">
            <w:pPr>
              <w:spacing w:before="5pt"/>
              <w:rPr>
                <w:color w:val="000000"/>
                <w:sz w:val="20"/>
              </w:rPr>
            </w:pPr>
            <w:r>
              <w:rPr>
                <w:color w:val="000000"/>
                <w:sz w:val="20"/>
              </w:rPr>
              <w:t xml:space="preserve">03. Podpora prek finančnih instrumentov: posojila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3A70A1" w14:textId="77777777" w:rsidR="00A77B3E" w:rsidRDefault="00B16CCF">
            <w:pPr>
              <w:spacing w:before="5pt"/>
              <w:jc w:val="end"/>
              <w:rPr>
                <w:color w:val="000000"/>
                <w:sz w:val="20"/>
              </w:rPr>
            </w:pPr>
            <w:r>
              <w:rPr>
                <w:color w:val="000000"/>
                <w:sz w:val="20"/>
              </w:rPr>
              <w:t>6.000.000,00</w:t>
            </w:r>
          </w:p>
        </w:tc>
      </w:tr>
      <w:tr w:rsidR="00823317" w14:paraId="1EE9955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251678" w14:textId="77777777" w:rsidR="00A77B3E" w:rsidRDefault="00B16CCF">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DC0137" w14:textId="77777777" w:rsidR="00A77B3E" w:rsidRDefault="00B16CCF">
            <w:pPr>
              <w:spacing w:before="5pt"/>
              <w:rPr>
                <w:color w:val="000000"/>
                <w:sz w:val="20"/>
              </w:rPr>
            </w:pPr>
            <w:r>
              <w:rPr>
                <w:color w:val="000000"/>
                <w:sz w:val="20"/>
              </w:rPr>
              <w:t>RSO5.1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276C22"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6BFCF6"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D45470"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B83C2F" w14:textId="77777777" w:rsidR="00A77B3E" w:rsidRDefault="00B16CCF">
            <w:pPr>
              <w:spacing w:before="5pt"/>
              <w:jc w:val="end"/>
              <w:rPr>
                <w:color w:val="000000"/>
                <w:sz w:val="20"/>
              </w:rPr>
            </w:pPr>
            <w:r>
              <w:rPr>
                <w:color w:val="000000"/>
                <w:sz w:val="20"/>
              </w:rPr>
              <w:t>66.090.000,00</w:t>
            </w:r>
          </w:p>
        </w:tc>
      </w:tr>
    </w:tbl>
    <w:p w14:paraId="02130247" w14:textId="77777777" w:rsidR="00A77B3E" w:rsidRDefault="00A77B3E">
      <w:pPr>
        <w:spacing w:before="5pt"/>
        <w:rPr>
          <w:color w:val="000000"/>
          <w:sz w:val="20"/>
        </w:rPr>
      </w:pPr>
    </w:p>
    <w:p w14:paraId="2E4AFED6" w14:textId="77777777" w:rsidR="00A77B3E" w:rsidRDefault="00B16CCF">
      <w:pPr>
        <w:pStyle w:val="Naslov5"/>
        <w:spacing w:before="5pt" w:after="0pt"/>
        <w:rPr>
          <w:b w:val="0"/>
          <w:i w:val="0"/>
          <w:color w:val="000000"/>
          <w:sz w:val="24"/>
        </w:rPr>
      </w:pPr>
      <w:bookmarkStart w:id="643" w:name="_Toc256001404"/>
      <w:r>
        <w:rPr>
          <w:b w:val="0"/>
          <w:i w:val="0"/>
          <w:color w:val="000000"/>
          <w:sz w:val="24"/>
        </w:rPr>
        <w:t>Tabela 6: Razsežnost 3 – mehanizem za ozemeljsko izvrševanje in ozemeljski pristop</w:t>
      </w:r>
      <w:bookmarkEnd w:id="643"/>
    </w:p>
    <w:p w14:paraId="0E1F358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17"/>
        <w:gridCol w:w="2415"/>
        <w:gridCol w:w="1754"/>
        <w:gridCol w:w="2503"/>
        <w:gridCol w:w="2589"/>
        <w:gridCol w:w="3294"/>
      </w:tblGrid>
      <w:tr w:rsidR="00823317" w14:paraId="6E7335B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5662F3"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1EE05E"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9232B1"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AF8125"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FA6845"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17EF469" w14:textId="77777777" w:rsidR="00A77B3E" w:rsidRDefault="00B16CCF">
            <w:pPr>
              <w:spacing w:before="5pt"/>
              <w:jc w:val="center"/>
              <w:rPr>
                <w:color w:val="000000"/>
                <w:sz w:val="20"/>
              </w:rPr>
            </w:pPr>
            <w:r>
              <w:rPr>
                <w:color w:val="000000"/>
                <w:sz w:val="20"/>
              </w:rPr>
              <w:t>Znesek (v EUR)</w:t>
            </w:r>
          </w:p>
        </w:tc>
      </w:tr>
      <w:tr w:rsidR="00823317" w14:paraId="6437351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E07197" w14:textId="77777777" w:rsidR="00A77B3E" w:rsidRDefault="00B16CCF">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728C0A" w14:textId="77777777" w:rsidR="00A77B3E" w:rsidRDefault="00B16CCF">
            <w:pPr>
              <w:spacing w:before="5pt"/>
              <w:rPr>
                <w:color w:val="000000"/>
                <w:sz w:val="20"/>
              </w:rPr>
            </w:pPr>
            <w:r>
              <w:rPr>
                <w:color w:val="000000"/>
                <w:sz w:val="20"/>
              </w:rPr>
              <w:t>RSO5.1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7341D5"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B17F49"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6D1DD7" w14:textId="77777777" w:rsidR="00A77B3E" w:rsidRDefault="00B16CCF">
            <w:pPr>
              <w:spacing w:before="5pt"/>
              <w:rPr>
                <w:color w:val="000000"/>
                <w:sz w:val="20"/>
              </w:rPr>
            </w:pPr>
            <w:r>
              <w:rPr>
                <w:color w:val="000000"/>
                <w:sz w:val="20"/>
              </w:rPr>
              <w:t>01. Celostne teritorialne naložbe – mestne soseske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1E8092" w14:textId="77777777" w:rsidR="00A77B3E" w:rsidRDefault="00B16CCF">
            <w:pPr>
              <w:spacing w:before="5pt"/>
              <w:jc w:val="end"/>
              <w:rPr>
                <w:color w:val="000000"/>
                <w:sz w:val="20"/>
              </w:rPr>
            </w:pPr>
            <w:r>
              <w:rPr>
                <w:color w:val="000000"/>
                <w:sz w:val="20"/>
              </w:rPr>
              <w:t>4.000.000,00</w:t>
            </w:r>
          </w:p>
        </w:tc>
      </w:tr>
      <w:tr w:rsidR="00823317" w14:paraId="06B8BDF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FD455F" w14:textId="77777777" w:rsidR="00A77B3E" w:rsidRDefault="00B16CCF">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5B0AF3" w14:textId="77777777" w:rsidR="00A77B3E" w:rsidRDefault="00B16CCF">
            <w:pPr>
              <w:spacing w:before="5pt"/>
              <w:rPr>
                <w:color w:val="000000"/>
                <w:sz w:val="20"/>
              </w:rPr>
            </w:pPr>
            <w:r>
              <w:rPr>
                <w:color w:val="000000"/>
                <w:sz w:val="20"/>
              </w:rPr>
              <w:t>RSO5.1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C00A63"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5B200E"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E97362" w14:textId="77777777" w:rsidR="00A77B3E" w:rsidRDefault="00B16CCF">
            <w:pPr>
              <w:spacing w:before="5pt"/>
              <w:rPr>
                <w:color w:val="000000"/>
                <w:sz w:val="20"/>
              </w:rPr>
            </w:pPr>
            <w:r>
              <w:rPr>
                <w:color w:val="000000"/>
                <w:sz w:val="20"/>
              </w:rPr>
              <w:t>02. Celostne teritorialne naložbe – mesta, kraji in predmestja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FC3638" w14:textId="77777777" w:rsidR="00A77B3E" w:rsidRDefault="00B16CCF">
            <w:pPr>
              <w:spacing w:before="5pt"/>
              <w:jc w:val="end"/>
              <w:rPr>
                <w:color w:val="000000"/>
                <w:sz w:val="20"/>
              </w:rPr>
            </w:pPr>
            <w:r>
              <w:rPr>
                <w:color w:val="000000"/>
                <w:sz w:val="20"/>
              </w:rPr>
              <w:t>8.330.000,00</w:t>
            </w:r>
          </w:p>
        </w:tc>
      </w:tr>
      <w:tr w:rsidR="00823317" w14:paraId="752134F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5D5CDC" w14:textId="77777777" w:rsidR="00A77B3E" w:rsidRDefault="00B16CCF">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C06ED7" w14:textId="77777777" w:rsidR="00A77B3E" w:rsidRDefault="00B16CCF">
            <w:pPr>
              <w:spacing w:before="5pt"/>
              <w:rPr>
                <w:color w:val="000000"/>
                <w:sz w:val="20"/>
              </w:rPr>
            </w:pPr>
            <w:r>
              <w:rPr>
                <w:color w:val="000000"/>
                <w:sz w:val="20"/>
              </w:rPr>
              <w:t>RSO5.1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68FEF4"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09B01C"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B5D100" w14:textId="77777777" w:rsidR="00A77B3E" w:rsidRDefault="00B16CCF">
            <w:pPr>
              <w:spacing w:before="5pt"/>
              <w:rPr>
                <w:color w:val="000000"/>
                <w:sz w:val="20"/>
              </w:rPr>
            </w:pPr>
            <w:r>
              <w:rPr>
                <w:color w:val="000000"/>
                <w:sz w:val="20"/>
              </w:rPr>
              <w:t>02. Celostne teritorialne naložbe – mesta, kraji in predmestja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1FDAFF" w14:textId="77777777" w:rsidR="00A77B3E" w:rsidRDefault="00B16CCF">
            <w:pPr>
              <w:spacing w:before="5pt"/>
              <w:jc w:val="end"/>
              <w:rPr>
                <w:color w:val="000000"/>
                <w:sz w:val="20"/>
              </w:rPr>
            </w:pPr>
            <w:r>
              <w:rPr>
                <w:color w:val="000000"/>
                <w:sz w:val="20"/>
              </w:rPr>
              <w:t>53.760.000,00</w:t>
            </w:r>
          </w:p>
        </w:tc>
      </w:tr>
      <w:tr w:rsidR="00823317" w14:paraId="49F5371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FAAB46" w14:textId="77777777" w:rsidR="00A77B3E" w:rsidRDefault="00B16CCF">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895C7E" w14:textId="77777777" w:rsidR="00A77B3E" w:rsidRDefault="00B16CCF">
            <w:pPr>
              <w:spacing w:before="5pt"/>
              <w:rPr>
                <w:color w:val="000000"/>
                <w:sz w:val="20"/>
              </w:rPr>
            </w:pPr>
            <w:r>
              <w:rPr>
                <w:color w:val="000000"/>
                <w:sz w:val="20"/>
              </w:rPr>
              <w:t>RSO5.1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AE333A"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F00FA9"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95AD33"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223918" w14:textId="77777777" w:rsidR="00A77B3E" w:rsidRDefault="00B16CCF">
            <w:pPr>
              <w:spacing w:before="5pt"/>
              <w:jc w:val="end"/>
              <w:rPr>
                <w:color w:val="000000"/>
                <w:sz w:val="20"/>
              </w:rPr>
            </w:pPr>
            <w:r>
              <w:rPr>
                <w:color w:val="000000"/>
                <w:sz w:val="20"/>
              </w:rPr>
              <w:t>66.090.000,00</w:t>
            </w:r>
          </w:p>
        </w:tc>
      </w:tr>
    </w:tbl>
    <w:p w14:paraId="5F4E7B50" w14:textId="77777777" w:rsidR="00A77B3E" w:rsidRDefault="00A77B3E">
      <w:pPr>
        <w:spacing w:before="5pt"/>
        <w:rPr>
          <w:color w:val="000000"/>
          <w:sz w:val="20"/>
        </w:rPr>
      </w:pPr>
    </w:p>
    <w:p w14:paraId="60DD9ABB" w14:textId="77777777" w:rsidR="00A77B3E" w:rsidRDefault="00B16CCF">
      <w:pPr>
        <w:pStyle w:val="Naslov5"/>
        <w:spacing w:before="5pt" w:after="0pt"/>
        <w:rPr>
          <w:b w:val="0"/>
          <w:i w:val="0"/>
          <w:color w:val="000000"/>
          <w:sz w:val="24"/>
        </w:rPr>
      </w:pPr>
      <w:bookmarkStart w:id="644" w:name="_Toc256001405"/>
      <w:r>
        <w:rPr>
          <w:b w:val="0"/>
          <w:i w:val="0"/>
          <w:color w:val="000000"/>
          <w:sz w:val="24"/>
        </w:rPr>
        <w:t>Tabela 7: Razsežnost 6 – sekundarna področja ESS+</w:t>
      </w:r>
      <w:bookmarkEnd w:id="644"/>
    </w:p>
    <w:p w14:paraId="3085DCA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117"/>
        <w:gridCol w:w="2877"/>
        <w:gridCol w:w="1780"/>
        <w:gridCol w:w="2982"/>
        <w:gridCol w:w="2259"/>
        <w:gridCol w:w="2157"/>
      </w:tblGrid>
      <w:tr w:rsidR="00823317" w14:paraId="3D87859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6E37DA"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161697C"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1871DE"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D537DB"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CC76BE"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F43AFC" w14:textId="77777777" w:rsidR="00A77B3E" w:rsidRDefault="00B16CCF">
            <w:pPr>
              <w:spacing w:before="5pt"/>
              <w:jc w:val="center"/>
              <w:rPr>
                <w:color w:val="000000"/>
                <w:sz w:val="20"/>
              </w:rPr>
            </w:pPr>
            <w:r>
              <w:rPr>
                <w:color w:val="000000"/>
                <w:sz w:val="20"/>
              </w:rPr>
              <w:t>Znesek (v EUR)</w:t>
            </w:r>
          </w:p>
        </w:tc>
      </w:tr>
    </w:tbl>
    <w:p w14:paraId="131C42CE" w14:textId="77777777" w:rsidR="00A77B3E" w:rsidRDefault="00A77B3E">
      <w:pPr>
        <w:spacing w:before="5pt"/>
        <w:rPr>
          <w:color w:val="000000"/>
          <w:sz w:val="20"/>
        </w:rPr>
      </w:pPr>
    </w:p>
    <w:p w14:paraId="3E3B899D" w14:textId="77777777" w:rsidR="00A77B3E" w:rsidRDefault="00B16CCF">
      <w:pPr>
        <w:pStyle w:val="Naslov5"/>
        <w:spacing w:before="5pt" w:after="0pt"/>
        <w:rPr>
          <w:b w:val="0"/>
          <w:i w:val="0"/>
          <w:color w:val="000000"/>
          <w:sz w:val="24"/>
        </w:rPr>
      </w:pPr>
      <w:bookmarkStart w:id="645" w:name="_Toc256001406"/>
      <w:r>
        <w:rPr>
          <w:b w:val="0"/>
          <w:i w:val="0"/>
          <w:color w:val="000000"/>
          <w:sz w:val="24"/>
        </w:rPr>
        <w:t>Tabela 8: Razsežnost 7 – razsežnost enakosti spolov v okviru ESS+*, ESRR, Kohezijskega sklada in SPP</w:t>
      </w:r>
      <w:bookmarkEnd w:id="645"/>
    </w:p>
    <w:p w14:paraId="0D1B2F6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13"/>
        <w:gridCol w:w="2411"/>
        <w:gridCol w:w="1750"/>
        <w:gridCol w:w="2498"/>
        <w:gridCol w:w="2612"/>
        <w:gridCol w:w="3288"/>
      </w:tblGrid>
      <w:tr w:rsidR="00823317" w14:paraId="19122E8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F5E39F"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2A31DE"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C7C2BA"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863270"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49CD7F"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5D8709" w14:textId="77777777" w:rsidR="00A77B3E" w:rsidRDefault="00B16CCF">
            <w:pPr>
              <w:spacing w:before="5pt"/>
              <w:jc w:val="center"/>
              <w:rPr>
                <w:color w:val="000000"/>
                <w:sz w:val="20"/>
              </w:rPr>
            </w:pPr>
            <w:r>
              <w:rPr>
                <w:color w:val="000000"/>
                <w:sz w:val="20"/>
              </w:rPr>
              <w:t>Znesek (v EUR)</w:t>
            </w:r>
          </w:p>
        </w:tc>
      </w:tr>
      <w:tr w:rsidR="00823317" w14:paraId="16E3298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8FA4BE" w14:textId="77777777" w:rsidR="00A77B3E" w:rsidRDefault="00B16CCF">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AFF39A" w14:textId="77777777" w:rsidR="00A77B3E" w:rsidRDefault="00B16CCF">
            <w:pPr>
              <w:spacing w:before="5pt"/>
              <w:rPr>
                <w:color w:val="000000"/>
                <w:sz w:val="20"/>
              </w:rPr>
            </w:pPr>
            <w:r>
              <w:rPr>
                <w:color w:val="000000"/>
                <w:sz w:val="20"/>
              </w:rPr>
              <w:t>RSO5.1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2127F8"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074ACD"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CDA862" w14:textId="77777777" w:rsidR="00A77B3E" w:rsidRDefault="00B16CCF">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C1B902" w14:textId="77777777" w:rsidR="00A77B3E" w:rsidRDefault="00B16CCF">
            <w:pPr>
              <w:spacing w:before="5pt"/>
              <w:jc w:val="end"/>
              <w:rPr>
                <w:color w:val="000000"/>
                <w:sz w:val="20"/>
              </w:rPr>
            </w:pPr>
            <w:r>
              <w:rPr>
                <w:color w:val="000000"/>
                <w:sz w:val="20"/>
              </w:rPr>
              <w:t>12.330.000,00</w:t>
            </w:r>
          </w:p>
        </w:tc>
      </w:tr>
      <w:tr w:rsidR="00823317" w14:paraId="087136A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BC71BD" w14:textId="77777777" w:rsidR="00A77B3E" w:rsidRDefault="00B16CCF">
            <w:pPr>
              <w:spacing w:before="5pt"/>
              <w:rPr>
                <w:color w:val="000000"/>
                <w:sz w:val="20"/>
              </w:rPr>
            </w:pPr>
            <w:r>
              <w:rPr>
                <w:color w:val="000000"/>
                <w:sz w:val="20"/>
              </w:rPr>
              <w:lastRenderedPageBreak/>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642FC3" w14:textId="77777777" w:rsidR="00A77B3E" w:rsidRDefault="00B16CCF">
            <w:pPr>
              <w:spacing w:before="5pt"/>
              <w:rPr>
                <w:color w:val="000000"/>
                <w:sz w:val="20"/>
              </w:rPr>
            </w:pPr>
            <w:r>
              <w:rPr>
                <w:color w:val="000000"/>
                <w:sz w:val="20"/>
              </w:rPr>
              <w:t>RSO5.1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8905FD"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B76C96"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CDA0BE" w14:textId="77777777" w:rsidR="00A77B3E" w:rsidRDefault="00B16CCF">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9C623B" w14:textId="77777777" w:rsidR="00A77B3E" w:rsidRDefault="00B16CCF">
            <w:pPr>
              <w:spacing w:before="5pt"/>
              <w:jc w:val="end"/>
              <w:rPr>
                <w:color w:val="000000"/>
                <w:sz w:val="20"/>
              </w:rPr>
            </w:pPr>
            <w:r>
              <w:rPr>
                <w:color w:val="000000"/>
                <w:sz w:val="20"/>
              </w:rPr>
              <w:t>53.760.000,00</w:t>
            </w:r>
          </w:p>
        </w:tc>
      </w:tr>
      <w:tr w:rsidR="00823317" w14:paraId="45E0E10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4B11AA" w14:textId="77777777" w:rsidR="00A77B3E" w:rsidRDefault="00B16CCF">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F194E7" w14:textId="77777777" w:rsidR="00A77B3E" w:rsidRDefault="00B16CCF">
            <w:pPr>
              <w:spacing w:before="5pt"/>
              <w:rPr>
                <w:color w:val="000000"/>
                <w:sz w:val="20"/>
              </w:rPr>
            </w:pPr>
            <w:r>
              <w:rPr>
                <w:color w:val="000000"/>
                <w:sz w:val="20"/>
              </w:rPr>
              <w:t>RSO5.1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EA3C5B"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1A521E"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CD015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B87803" w14:textId="77777777" w:rsidR="00A77B3E" w:rsidRDefault="00B16CCF">
            <w:pPr>
              <w:spacing w:before="5pt"/>
              <w:jc w:val="end"/>
              <w:rPr>
                <w:color w:val="000000"/>
                <w:sz w:val="20"/>
              </w:rPr>
            </w:pPr>
            <w:r>
              <w:rPr>
                <w:color w:val="000000"/>
                <w:sz w:val="20"/>
              </w:rPr>
              <w:t>66.090.000,00</w:t>
            </w:r>
          </w:p>
        </w:tc>
      </w:tr>
    </w:tbl>
    <w:p w14:paraId="5F25D6DB" w14:textId="77777777" w:rsidR="00A77B3E" w:rsidRDefault="00B16CCF">
      <w:pPr>
        <w:spacing w:before="5pt"/>
        <w:rPr>
          <w:color w:val="000000"/>
          <w:sz w:val="20"/>
        </w:rPr>
      </w:pPr>
      <w:r>
        <w:rPr>
          <w:color w:val="000000"/>
          <w:sz w:val="20"/>
        </w:rPr>
        <w:t>* Načeloma 40 % za ESS+ prispeva k spremljanju enakosti spolov. 100 % se uporabi, kadar se država članica odloči za uporabo člena 6 uredbe o ESS+.</w:t>
      </w:r>
    </w:p>
    <w:p w14:paraId="49B07F6D" w14:textId="77777777" w:rsidR="00A77B3E" w:rsidRDefault="00B16CCF">
      <w:pPr>
        <w:pStyle w:val="Naslov4"/>
        <w:spacing w:before="5pt" w:after="0pt"/>
        <w:rPr>
          <w:b w:val="0"/>
          <w:color w:val="000000"/>
          <w:sz w:val="24"/>
        </w:rPr>
      </w:pPr>
      <w:r>
        <w:rPr>
          <w:b w:val="0"/>
          <w:color w:val="000000"/>
          <w:sz w:val="24"/>
        </w:rPr>
        <w:br w:type="page"/>
      </w:r>
      <w:bookmarkStart w:id="646" w:name="_Toc256001407"/>
      <w:r>
        <w:rPr>
          <w:b w:val="0"/>
          <w:color w:val="000000"/>
          <w:sz w:val="24"/>
        </w:rPr>
        <w:lastRenderedPageBreak/>
        <w:t>2.1.1.1. Specifični cilj: RSO5.2. Spodbujanje celostnega in vključujočega socialnega, gospodarskega in okoljskega lokalnega razvoja, kulture, naravne dediščine, trajnostnega turizma in varnosti na območjih, ki niso mestna območja (ESRR)</w:t>
      </w:r>
      <w:bookmarkEnd w:id="646"/>
    </w:p>
    <w:p w14:paraId="131559B5" w14:textId="77777777" w:rsidR="00A77B3E" w:rsidRDefault="00A77B3E">
      <w:pPr>
        <w:spacing w:before="5pt"/>
        <w:rPr>
          <w:color w:val="000000"/>
          <w:sz w:val="0"/>
        </w:rPr>
      </w:pPr>
    </w:p>
    <w:p w14:paraId="351F37D1" w14:textId="77777777" w:rsidR="00A77B3E" w:rsidRDefault="00B16CCF">
      <w:pPr>
        <w:pStyle w:val="Naslov4"/>
        <w:spacing w:before="5pt" w:after="0pt"/>
        <w:rPr>
          <w:b w:val="0"/>
          <w:color w:val="000000"/>
          <w:sz w:val="24"/>
        </w:rPr>
      </w:pPr>
      <w:bookmarkStart w:id="647" w:name="_Toc256001408"/>
      <w:r>
        <w:rPr>
          <w:b w:val="0"/>
          <w:color w:val="000000"/>
          <w:sz w:val="24"/>
        </w:rPr>
        <w:t>2.1.1.1.1. Ukrepi skladov</w:t>
      </w:r>
      <w:bookmarkEnd w:id="647"/>
    </w:p>
    <w:p w14:paraId="09AD1636" w14:textId="77777777" w:rsidR="00A77B3E" w:rsidRDefault="00A77B3E">
      <w:pPr>
        <w:spacing w:before="5pt"/>
        <w:rPr>
          <w:color w:val="000000"/>
          <w:sz w:val="0"/>
        </w:rPr>
      </w:pPr>
    </w:p>
    <w:p w14:paraId="5039BB75" w14:textId="77777777" w:rsidR="00A77B3E" w:rsidRDefault="00B16CCF">
      <w:pPr>
        <w:spacing w:before="5pt"/>
        <w:rPr>
          <w:color w:val="000000"/>
          <w:sz w:val="0"/>
        </w:rPr>
      </w:pPr>
      <w:r>
        <w:rPr>
          <w:color w:val="000000"/>
        </w:rPr>
        <w:t>Sklic: člen 22(3)(d)(i), (iii), (iv), (v), (vi) in (vii) uredbe o skupnih določbah</w:t>
      </w:r>
    </w:p>
    <w:p w14:paraId="51D946ED" w14:textId="77777777" w:rsidR="00A77B3E" w:rsidRDefault="00B16CCF">
      <w:pPr>
        <w:pStyle w:val="Naslov5"/>
        <w:spacing w:before="5pt" w:after="0pt"/>
        <w:rPr>
          <w:b w:val="0"/>
          <w:i w:val="0"/>
          <w:color w:val="000000"/>
          <w:sz w:val="24"/>
        </w:rPr>
      </w:pPr>
      <w:bookmarkStart w:id="648" w:name="_Toc256001409"/>
      <w:r>
        <w:rPr>
          <w:b w:val="0"/>
          <w:i w:val="0"/>
          <w:color w:val="000000"/>
          <w:sz w:val="24"/>
        </w:rPr>
        <w:t>Povezane vrste ukrepov – člen 22(3)(d)(i) uredbe o skupnih določbah in člen 6 uredbe o ESS+:</w:t>
      </w:r>
      <w:bookmarkEnd w:id="648"/>
    </w:p>
    <w:p w14:paraId="1782E09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5B969AC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EFE42B" w14:textId="77777777" w:rsidR="00A77B3E" w:rsidRDefault="00A77B3E">
            <w:pPr>
              <w:spacing w:before="5pt"/>
              <w:rPr>
                <w:color w:val="000000"/>
                <w:sz w:val="0"/>
              </w:rPr>
            </w:pPr>
          </w:p>
          <w:p w14:paraId="18110623" w14:textId="77777777" w:rsidR="00A77B3E" w:rsidRDefault="00B16CCF">
            <w:pPr>
              <w:spacing w:before="5pt"/>
              <w:rPr>
                <w:color w:val="000000"/>
              </w:rPr>
            </w:pPr>
            <w:r>
              <w:rPr>
                <w:color w:val="000000"/>
              </w:rPr>
              <w:t>Lokalni razvoj, ki ga vodi skupnost (CLLD) se bo izvajal na območjih vzpostavljenih lokalnih akcijskih skupin (LAS) v skladu s pripravljenimi strategijami lokalnega razvoja (SLR), ki bodo podprte s sredstvi ESRR. CLLD se bo izvajal kot skupni pristop skladov v ESRR in EKSRP, na celotnem območju države. Gre za nadgradnjo ukrepov iz obdobja 2014-2020, saj je bilo ugotovljeno, da ne glede na to, da gre za manjše projekte, pristop omogoča uresničevanje široke palete izzivov v različnih okoljih, večjo fleksibilnost pri doseganju ciljev in odgovarja dejanskim potrebam lokalnih območij.</w:t>
            </w:r>
          </w:p>
          <w:p w14:paraId="60252F40" w14:textId="77777777" w:rsidR="00A77B3E" w:rsidRDefault="00A77B3E">
            <w:pPr>
              <w:spacing w:before="5pt"/>
              <w:rPr>
                <w:color w:val="000000"/>
              </w:rPr>
            </w:pPr>
          </w:p>
          <w:p w14:paraId="0D928F7B" w14:textId="77777777" w:rsidR="00A77B3E" w:rsidRDefault="00B16CCF">
            <w:pPr>
              <w:spacing w:before="5pt"/>
              <w:rPr>
                <w:color w:val="000000"/>
              </w:rPr>
            </w:pPr>
            <w:r>
              <w:rPr>
                <w:color w:val="000000"/>
              </w:rPr>
              <w:t xml:space="preserve">LAS bodo morale pri pripravi SLR izhajati iz ključnih izzivov, ki so prepoznani na posameznem homogenem geografskem območju. Vlaganja bodo namenjena </w:t>
            </w:r>
            <w:r>
              <w:rPr>
                <w:i/>
                <w:iCs/>
                <w:color w:val="000000"/>
              </w:rPr>
              <w:t xml:space="preserve">izgradnji vključujoče družbe in nadaljnji celostni družbeno-gospodarski razvoj v območjih LAS, </w:t>
            </w:r>
            <w:r>
              <w:rPr>
                <w:color w:val="000000"/>
              </w:rPr>
              <w:t>s posebno pozornostjo na zmanjšanju razlik med socialno-ekonomsko prikrajšanimi osebami in območji. Tematska področja ukrepanja bodo odvisna od prepoznave potreb lokalnega partnerstva in bodo utemeljena v SLR. Prav tako bo tudi sama priprava in izvedba ukrepov potekala po načelu »od spodaj navzgor«.</w:t>
            </w:r>
          </w:p>
          <w:p w14:paraId="4A97245F" w14:textId="77777777" w:rsidR="00A77B3E" w:rsidRDefault="00A77B3E">
            <w:pPr>
              <w:spacing w:before="5pt"/>
              <w:rPr>
                <w:color w:val="000000"/>
              </w:rPr>
            </w:pPr>
          </w:p>
          <w:p w14:paraId="235B1D51" w14:textId="77777777" w:rsidR="00A77B3E" w:rsidRDefault="00B16CCF">
            <w:pPr>
              <w:spacing w:before="5pt"/>
              <w:rPr>
                <w:color w:val="000000"/>
              </w:rPr>
            </w:pPr>
            <w:r>
              <w:rPr>
                <w:color w:val="000000"/>
              </w:rPr>
              <w:t>Z vključevanjem deležnikov v pripravo, odločanje in izvajanje projektov se bosta razvijala in krepila človeški potencial in inovativnost prebivalcev teh območij.</w:t>
            </w:r>
          </w:p>
          <w:p w14:paraId="798066DE" w14:textId="77777777" w:rsidR="00A77B3E" w:rsidRDefault="00A77B3E">
            <w:pPr>
              <w:spacing w:before="5pt"/>
              <w:rPr>
                <w:color w:val="000000"/>
              </w:rPr>
            </w:pPr>
          </w:p>
          <w:p w14:paraId="4DF74690" w14:textId="77777777" w:rsidR="00A77B3E" w:rsidRDefault="00B16CCF">
            <w:pPr>
              <w:spacing w:before="5pt"/>
              <w:rPr>
                <w:color w:val="000000"/>
              </w:rPr>
            </w:pPr>
            <w:r>
              <w:rPr>
                <w:color w:val="000000"/>
              </w:rPr>
              <w:t>SLR bodo predvidoma naslavljale podporo trajnostnim oblikam lokalnega podjetništva, inovacijam glede uporabe lokalnih virov, turizma, varovanju naravne in kulturne dediščine, revitalizaciji javnih površin za skupno uporabo, preventivi in varovanju zdravja, medgeneracijskemu sodelovanju, krepitvi kompetenc, skrbi za starejše, mlade in druge prikrajšane skupine ter socialni vključenosti.</w:t>
            </w:r>
          </w:p>
          <w:p w14:paraId="225ADC27" w14:textId="77777777" w:rsidR="00A77B3E" w:rsidRDefault="00A77B3E">
            <w:pPr>
              <w:spacing w:before="5pt"/>
              <w:rPr>
                <w:color w:val="000000"/>
              </w:rPr>
            </w:pPr>
          </w:p>
          <w:p w14:paraId="12BC95D8" w14:textId="77777777" w:rsidR="00A77B3E" w:rsidRDefault="00B16CCF">
            <w:pPr>
              <w:spacing w:before="5pt"/>
              <w:rPr>
                <w:color w:val="000000"/>
              </w:rPr>
            </w:pPr>
            <w:r>
              <w:rPr>
                <w:color w:val="000000"/>
              </w:rPr>
              <w:t>S pristopom »od spodaj navzgor« bodo aktivno vključeni deležniki na nižjih ravneh zaradi boljšega poznavanja lokalnih izzivov in potencialov ključnega pomena za zmanjšanje razvojnih razlik na lokalni ravni.</w:t>
            </w:r>
          </w:p>
          <w:p w14:paraId="67CD327E" w14:textId="77777777" w:rsidR="00A77B3E" w:rsidRDefault="00A77B3E">
            <w:pPr>
              <w:spacing w:before="5pt"/>
              <w:rPr>
                <w:color w:val="000000"/>
              </w:rPr>
            </w:pPr>
          </w:p>
          <w:p w14:paraId="4617005D" w14:textId="77777777" w:rsidR="00A77B3E" w:rsidRDefault="00B16CCF">
            <w:pPr>
              <w:spacing w:before="5pt"/>
              <w:rPr>
                <w:color w:val="000000"/>
              </w:rPr>
            </w:pPr>
            <w:r>
              <w:rPr>
                <w:color w:val="000000"/>
              </w:rPr>
              <w:t>Projekti CLLD v okviru ESRR bodo prispevali k boljši kakovosti življenja lokalnega prebivalstva, zagotavljali ustrezno dostopnost storitev tako v urbanih središčih kot na podeželju, izboljšali področje dolgotrajne oskrbe in preventivnih zdravstvenih ukrepov, spodbujali medgeneracijsko sodelovanje, krepitev kompetenc ter skrbi za prikrajšane skupine. Obenem bodo območja lokalnih akcijskih skupin bolj prepoznavna na področju lokalnega podjetništva, pri inovativni uporabi lokalnih virov, (eko)turizmu ter ohranjanju naravne raznolikosti in kulturne dediščine.</w:t>
            </w:r>
          </w:p>
          <w:p w14:paraId="7B75BB89" w14:textId="77777777" w:rsidR="00A77B3E" w:rsidRDefault="00A77B3E">
            <w:pPr>
              <w:spacing w:before="5pt"/>
              <w:rPr>
                <w:color w:val="000000"/>
              </w:rPr>
            </w:pPr>
          </w:p>
          <w:p w14:paraId="6EA8691C" w14:textId="77777777" w:rsidR="00A77B3E" w:rsidRDefault="00B16CCF">
            <w:pPr>
              <w:spacing w:before="5pt"/>
              <w:rPr>
                <w:color w:val="000000"/>
              </w:rPr>
            </w:pPr>
            <w:r>
              <w:rPr>
                <w:color w:val="000000"/>
              </w:rPr>
              <w:t>Projekti CLLD bodo hkrati prispevali k doseganju ciljev SLR, okoljski trajnosti, socialni vzdržnosti, inovativnosti, enakopravnem vključevanju različnih partnerjev ter višji dodani vrednosti območja LAS.</w:t>
            </w:r>
          </w:p>
          <w:p w14:paraId="4DD53834" w14:textId="77777777" w:rsidR="00A77B3E" w:rsidRDefault="00A77B3E">
            <w:pPr>
              <w:spacing w:before="5pt"/>
              <w:rPr>
                <w:color w:val="000000"/>
              </w:rPr>
            </w:pPr>
          </w:p>
          <w:p w14:paraId="07DA056D" w14:textId="77777777" w:rsidR="00A77B3E" w:rsidRDefault="00B16CCF">
            <w:pPr>
              <w:spacing w:before="5pt"/>
              <w:rPr>
                <w:color w:val="000000"/>
              </w:rPr>
            </w:pPr>
            <w:r>
              <w:rPr>
                <w:color w:val="000000"/>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V skladu s Tehničnimi smernicami za uporabo »načela, da se ne škoduje bistveno« je bila opravljena ocena skladnosti predvidenih ukrepov v okviru tega SC z načelom DNSH. Ugotovljeno je bilo, da noben ukrep nima bistvenega škodljivega vpliva na katerega koli od šestih okoljskih ob upoštevanju tehničnih meril, navedenih v Prilogi: DNSH.</w:t>
            </w:r>
          </w:p>
          <w:p w14:paraId="520ED49A" w14:textId="77777777" w:rsidR="00A77B3E" w:rsidRDefault="00A77B3E">
            <w:pPr>
              <w:spacing w:before="5pt"/>
              <w:rPr>
                <w:color w:val="000000"/>
                <w:sz w:val="6"/>
              </w:rPr>
            </w:pPr>
          </w:p>
          <w:p w14:paraId="1DFF0604" w14:textId="77777777" w:rsidR="00A77B3E" w:rsidRDefault="00A77B3E">
            <w:pPr>
              <w:spacing w:before="5pt"/>
              <w:rPr>
                <w:color w:val="000000"/>
                <w:sz w:val="6"/>
              </w:rPr>
            </w:pPr>
          </w:p>
        </w:tc>
      </w:tr>
    </w:tbl>
    <w:p w14:paraId="3BBC772B" w14:textId="77777777" w:rsidR="00A77B3E" w:rsidRDefault="00A77B3E">
      <w:pPr>
        <w:spacing w:before="5pt"/>
        <w:rPr>
          <w:color w:val="000000"/>
        </w:rPr>
      </w:pPr>
    </w:p>
    <w:p w14:paraId="48349346" w14:textId="77777777" w:rsidR="00A77B3E" w:rsidRDefault="00B16CCF">
      <w:pPr>
        <w:pStyle w:val="Naslov5"/>
        <w:spacing w:before="5pt" w:after="0pt"/>
        <w:rPr>
          <w:b w:val="0"/>
          <w:i w:val="0"/>
          <w:color w:val="000000"/>
          <w:sz w:val="24"/>
        </w:rPr>
      </w:pPr>
      <w:bookmarkStart w:id="649" w:name="_Toc256001410"/>
      <w:r>
        <w:rPr>
          <w:b w:val="0"/>
          <w:i w:val="0"/>
          <w:color w:val="000000"/>
          <w:sz w:val="24"/>
        </w:rPr>
        <w:t>Glavne ciljne skupine – člen 22(3)(d)(iii) uredbe o skupnih določbah:</w:t>
      </w:r>
      <w:bookmarkEnd w:id="649"/>
    </w:p>
    <w:p w14:paraId="2402B86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779A6410"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69F8D4" w14:textId="77777777" w:rsidR="00A77B3E" w:rsidRDefault="00A77B3E">
            <w:pPr>
              <w:spacing w:before="5pt"/>
              <w:rPr>
                <w:color w:val="000000"/>
                <w:sz w:val="0"/>
              </w:rPr>
            </w:pPr>
          </w:p>
          <w:p w14:paraId="577B9E94" w14:textId="77777777" w:rsidR="00A77B3E" w:rsidRDefault="00B16CCF">
            <w:pPr>
              <w:spacing w:before="5pt"/>
              <w:rPr>
                <w:color w:val="000000"/>
              </w:rPr>
            </w:pPr>
            <w:r>
              <w:rPr>
                <w:color w:val="000000"/>
              </w:rPr>
              <w:t>Ciljne skupine: podjetniki posamezniki, pravne osebe javnega in zasebnega prava, mladi (osipniki, odvisniki, mladoletni prestopniki, otroci in mladostniki iz družin, v katerih je prisotno nasilje, itd.) in druge ranljive skupine (starostniki, ženske žrtve nasilja, migrantke, pripadnice etničnih manjšin itd.), dolgotrajno brezposelne osebe, starejši, nevladne organizacije, lokalna interesna ali druga združenja.</w:t>
            </w:r>
          </w:p>
          <w:p w14:paraId="3C7F6B22" w14:textId="77777777" w:rsidR="00A77B3E" w:rsidRDefault="00A77B3E">
            <w:pPr>
              <w:spacing w:before="5pt"/>
              <w:rPr>
                <w:color w:val="000000"/>
              </w:rPr>
            </w:pPr>
          </w:p>
          <w:p w14:paraId="7F3DC93F" w14:textId="77777777" w:rsidR="00A77B3E" w:rsidRDefault="00B16CCF">
            <w:pPr>
              <w:spacing w:before="5pt"/>
              <w:rPr>
                <w:color w:val="000000"/>
              </w:rPr>
            </w:pPr>
            <w:r>
              <w:rPr>
                <w:color w:val="000000"/>
              </w:rPr>
              <w:t>Upravičenci: lokalne akcijske skupine (LAS), podjetniki posamezniki, pravne osebe javnega in zasebnega prava iz območja LAS.</w:t>
            </w:r>
          </w:p>
          <w:p w14:paraId="005E642F" w14:textId="77777777" w:rsidR="00A77B3E" w:rsidRDefault="00A77B3E">
            <w:pPr>
              <w:spacing w:before="5pt"/>
              <w:rPr>
                <w:color w:val="000000"/>
                <w:sz w:val="6"/>
              </w:rPr>
            </w:pPr>
          </w:p>
          <w:p w14:paraId="403620F0" w14:textId="77777777" w:rsidR="00A77B3E" w:rsidRDefault="00A77B3E">
            <w:pPr>
              <w:spacing w:before="5pt"/>
              <w:rPr>
                <w:color w:val="000000"/>
                <w:sz w:val="6"/>
              </w:rPr>
            </w:pPr>
          </w:p>
        </w:tc>
      </w:tr>
    </w:tbl>
    <w:p w14:paraId="78FDAFF9" w14:textId="77777777" w:rsidR="00A77B3E" w:rsidRDefault="00A77B3E">
      <w:pPr>
        <w:spacing w:before="5pt"/>
        <w:rPr>
          <w:color w:val="000000"/>
        </w:rPr>
      </w:pPr>
    </w:p>
    <w:p w14:paraId="3754CE88" w14:textId="77777777" w:rsidR="00A77B3E" w:rsidRDefault="00B16CCF">
      <w:pPr>
        <w:pStyle w:val="Naslov5"/>
        <w:spacing w:before="5pt" w:after="0pt"/>
        <w:rPr>
          <w:b w:val="0"/>
          <w:i w:val="0"/>
          <w:color w:val="000000"/>
          <w:sz w:val="24"/>
        </w:rPr>
      </w:pPr>
      <w:bookmarkStart w:id="650" w:name="_Toc256001411"/>
      <w:r>
        <w:rPr>
          <w:b w:val="0"/>
          <w:i w:val="0"/>
          <w:color w:val="000000"/>
          <w:sz w:val="24"/>
        </w:rPr>
        <w:t>Ukrepi za zaščito enakosti, vključenosti in nediskriminacije – člen 22(3)(d)(iv) uredbe o skupnih določbah in člen 6 uredbe o ESS+</w:t>
      </w:r>
      <w:bookmarkEnd w:id="650"/>
    </w:p>
    <w:p w14:paraId="4B84009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1331D6F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184C45" w14:textId="77777777" w:rsidR="00A77B3E" w:rsidRDefault="00A77B3E">
            <w:pPr>
              <w:spacing w:before="5pt"/>
              <w:rPr>
                <w:color w:val="000000"/>
                <w:sz w:val="0"/>
              </w:rPr>
            </w:pPr>
          </w:p>
          <w:p w14:paraId="1932C69D" w14:textId="77777777" w:rsidR="00A77B3E" w:rsidRDefault="00B16CCF">
            <w:pPr>
              <w:spacing w:before="5pt"/>
              <w:rPr>
                <w:color w:val="000000"/>
              </w:rPr>
            </w:pPr>
            <w:r>
              <w:rPr>
                <w:color w:val="000000"/>
              </w:rPr>
              <w:t>V okviru ukrepov bodo spoštovana načela enakosti spolov, enakih možnosti in nediskriminacije, saj je enakost spolov temeljna vrednota EU in temeljna pravica ter ključno načelo evropskega stebra socialnih pravic. Skladno z 12. členom Zakona o enakih možnostih žensk in moških (Uradni list RS, št. 59/02, 61/07 – ZUNEO-A, 33/16 – ZVarD in 59/19) bomo na vseh predvidenih področjih zagotovili enako obravnavanje obeh spolov. Pri oblikovanju in izvedbi razpisov in javnega naročanja bo z uporabo jasnih, objektivnih in nediskriminatornih pogojev in meril za izbor vlog v celoti zagotovljena transparentnost in spoštovanje pravnega reda EU in RS.</w:t>
            </w:r>
          </w:p>
          <w:p w14:paraId="4BFA3CD1" w14:textId="77777777" w:rsidR="00A77B3E" w:rsidRDefault="00A77B3E">
            <w:pPr>
              <w:spacing w:before="5pt"/>
              <w:rPr>
                <w:color w:val="000000"/>
              </w:rPr>
            </w:pPr>
          </w:p>
          <w:p w14:paraId="59FBF837" w14:textId="77777777" w:rsidR="00A77B3E" w:rsidRDefault="00B16CCF">
            <w:pPr>
              <w:spacing w:before="5pt"/>
              <w:rPr>
                <w:color w:val="000000"/>
              </w:rPr>
            </w:pPr>
            <w:r>
              <w:rPr>
                <w:color w:val="000000"/>
              </w:rPr>
              <w:t xml:space="preserve">Upoštevana bosta tudi Postopkovnik za zagotavljanje horizontalnega omogočitvenega pogoja »Učinkovita uporaba in izvajanje Listine o temeljnih pravicah« in Akcijski program za invalide 2022-2030 ter drugi relevantni dokumenti, ki bodo nastali v okviru izvajanja. Po potrebi bodo za uresničevanje </w:t>
            </w:r>
            <w:r>
              <w:rPr>
                <w:color w:val="000000"/>
              </w:rPr>
              <w:lastRenderedPageBreak/>
              <w:t>načela enakih možnosti in nediskriminacije zagotovljena usposabljanja upravne zmogljivosti. Načelo se bo upoštevalo tudi v okviru sistema upravljanja in nadzora. Z morebitnimi ugotovljenimi neskladji bo predvidoma vsaj enkrat letno seznanjen Odbor za spremljanje.</w:t>
            </w:r>
          </w:p>
          <w:p w14:paraId="326E2B1A" w14:textId="77777777" w:rsidR="00A77B3E" w:rsidRDefault="00A77B3E">
            <w:pPr>
              <w:spacing w:before="5pt"/>
              <w:rPr>
                <w:color w:val="000000"/>
              </w:rPr>
            </w:pPr>
          </w:p>
          <w:p w14:paraId="4778451C" w14:textId="77777777" w:rsidR="00A77B3E" w:rsidRDefault="00B16CCF">
            <w:pPr>
              <w:spacing w:before="5pt"/>
              <w:rPr>
                <w:color w:val="000000"/>
              </w:rPr>
            </w:pPr>
            <w:r>
              <w:rPr>
                <w:color w:val="000000"/>
              </w:rPr>
              <w:t>Glede na število projektov v okviru tematskega področja ukrepanja: večja vključenost mladih, žensk in drugih ranljivih skupin, ugotavljamo, da so potrebe po vključitvi teh ciljnih skupin velike in nujno potrebne tudi v obdobju 2021-2027. Pristop omogoča uresničevanje široke palete izzivov v različnih okoljih, večjo fleksibilnost pri doseganju ciljev in odgovarja dejanskim potrebam lokalnega območja, tudi potrebam žensk, žrtev nasilja, migrantk, pripadnic etičnih manjšin.</w:t>
            </w:r>
          </w:p>
          <w:p w14:paraId="6C0013A4" w14:textId="77777777" w:rsidR="00A77B3E" w:rsidRDefault="00A77B3E">
            <w:pPr>
              <w:spacing w:before="5pt"/>
              <w:rPr>
                <w:color w:val="000000"/>
                <w:sz w:val="6"/>
              </w:rPr>
            </w:pPr>
          </w:p>
          <w:p w14:paraId="59FE7DED" w14:textId="77777777" w:rsidR="00A77B3E" w:rsidRDefault="00A77B3E">
            <w:pPr>
              <w:spacing w:before="5pt"/>
              <w:rPr>
                <w:color w:val="000000"/>
                <w:sz w:val="6"/>
              </w:rPr>
            </w:pPr>
          </w:p>
        </w:tc>
      </w:tr>
    </w:tbl>
    <w:p w14:paraId="7A10DB2E" w14:textId="77777777" w:rsidR="00A77B3E" w:rsidRDefault="00A77B3E">
      <w:pPr>
        <w:spacing w:before="5pt"/>
        <w:rPr>
          <w:color w:val="000000"/>
        </w:rPr>
      </w:pPr>
    </w:p>
    <w:p w14:paraId="73B573E9" w14:textId="77777777" w:rsidR="00A77B3E" w:rsidRDefault="00B16CCF">
      <w:pPr>
        <w:pStyle w:val="Naslov5"/>
        <w:spacing w:before="5pt" w:after="0pt"/>
        <w:rPr>
          <w:b w:val="0"/>
          <w:i w:val="0"/>
          <w:color w:val="000000"/>
          <w:sz w:val="24"/>
        </w:rPr>
      </w:pPr>
      <w:bookmarkStart w:id="651" w:name="_Toc256001412"/>
      <w:r>
        <w:rPr>
          <w:b w:val="0"/>
          <w:i w:val="0"/>
          <w:color w:val="000000"/>
          <w:sz w:val="24"/>
        </w:rPr>
        <w:t>Navedba specifičnih ciljnih ozemelj, vključno z načrtovano uporabo teritorialnih orodij – člen 22(3)(d)(v) uredbe o skupnih določbah</w:t>
      </w:r>
      <w:bookmarkEnd w:id="651"/>
    </w:p>
    <w:p w14:paraId="132CA9C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6652945F"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79318C" w14:textId="77777777" w:rsidR="00A77B3E" w:rsidRDefault="00A77B3E">
            <w:pPr>
              <w:spacing w:before="5pt"/>
              <w:rPr>
                <w:color w:val="000000"/>
                <w:sz w:val="0"/>
              </w:rPr>
            </w:pPr>
          </w:p>
          <w:p w14:paraId="4B6E98EE" w14:textId="77777777" w:rsidR="00A77B3E" w:rsidRDefault="00B16CCF">
            <w:pPr>
              <w:spacing w:before="5pt"/>
              <w:rPr>
                <w:color w:val="000000"/>
              </w:rPr>
            </w:pPr>
            <w:r>
              <w:rPr>
                <w:color w:val="000000"/>
              </w:rPr>
              <w:t>Lokalni razvoj, ki ga vodi skupnost (CLLD), se bo izvajal na celotnem območju Slovenije. Nasloviti bo mogoče vse tipe specifičnih ozemelj. V izbor operacij so v prvi fazi vključeni predstavniki lokalnih akcijskih skupin (LAS).</w:t>
            </w:r>
          </w:p>
          <w:p w14:paraId="6CEDD0D4" w14:textId="77777777" w:rsidR="00A77B3E" w:rsidRDefault="00A77B3E">
            <w:pPr>
              <w:spacing w:before="5pt"/>
              <w:rPr>
                <w:color w:val="000000"/>
                <w:sz w:val="6"/>
              </w:rPr>
            </w:pPr>
          </w:p>
          <w:p w14:paraId="7A714435" w14:textId="77777777" w:rsidR="00A77B3E" w:rsidRDefault="00A77B3E">
            <w:pPr>
              <w:spacing w:before="5pt"/>
              <w:rPr>
                <w:color w:val="000000"/>
                <w:sz w:val="6"/>
              </w:rPr>
            </w:pPr>
          </w:p>
        </w:tc>
      </w:tr>
    </w:tbl>
    <w:p w14:paraId="0912E8BE" w14:textId="77777777" w:rsidR="00A77B3E" w:rsidRDefault="00A77B3E">
      <w:pPr>
        <w:spacing w:before="5pt"/>
        <w:rPr>
          <w:color w:val="000000"/>
        </w:rPr>
      </w:pPr>
    </w:p>
    <w:p w14:paraId="3577678A" w14:textId="77777777" w:rsidR="00A77B3E" w:rsidRDefault="00B16CCF">
      <w:pPr>
        <w:pStyle w:val="Naslov5"/>
        <w:spacing w:before="5pt" w:after="0pt"/>
        <w:rPr>
          <w:b w:val="0"/>
          <w:i w:val="0"/>
          <w:color w:val="000000"/>
          <w:sz w:val="24"/>
        </w:rPr>
      </w:pPr>
      <w:bookmarkStart w:id="652" w:name="_Toc256001413"/>
      <w:r>
        <w:rPr>
          <w:b w:val="0"/>
          <w:i w:val="0"/>
          <w:color w:val="000000"/>
          <w:sz w:val="24"/>
        </w:rPr>
        <w:t>Medregionalni, čezmejni in transnacionalni ukrepi – člen 22(3)(d)(vi) uredbe o skupnih določbah</w:t>
      </w:r>
      <w:bookmarkEnd w:id="652"/>
    </w:p>
    <w:p w14:paraId="40CBDA8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4CA54DC4"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8BF649" w14:textId="77777777" w:rsidR="00A77B3E" w:rsidRDefault="00A77B3E">
            <w:pPr>
              <w:spacing w:before="5pt"/>
              <w:rPr>
                <w:color w:val="000000"/>
                <w:sz w:val="0"/>
              </w:rPr>
            </w:pPr>
          </w:p>
          <w:p w14:paraId="7F744F05" w14:textId="77777777" w:rsidR="00A77B3E" w:rsidRDefault="00B16CCF">
            <w:pPr>
              <w:spacing w:before="5pt"/>
              <w:rPr>
                <w:color w:val="000000"/>
              </w:rPr>
            </w:pPr>
            <w:r>
              <w:rPr>
                <w:color w:val="000000"/>
              </w:rPr>
              <w:t>Medregionalni ali transnacionalni ukrepi so lahko projekti sodelovanja med LAS, če gre za sodelovanje med LAS znotraj iste države ali iz različnih držav. Projekti sodelovanja so namenjeni predvsem izmenjavi znanj in prenosu izkušenj z izvajanjem CLLD. Kljub temu, da so projekti izbrani na podlagi SLR in potreb lokalnega okolja, se s projekti sodelovanja lahko še bolj podpre izvajanje CLLD.</w:t>
            </w:r>
          </w:p>
          <w:p w14:paraId="2C08605D" w14:textId="77777777" w:rsidR="00A77B3E" w:rsidRDefault="00A77B3E">
            <w:pPr>
              <w:spacing w:before="5pt"/>
              <w:rPr>
                <w:color w:val="000000"/>
                <w:sz w:val="6"/>
              </w:rPr>
            </w:pPr>
          </w:p>
          <w:p w14:paraId="586598D7" w14:textId="77777777" w:rsidR="00A77B3E" w:rsidRDefault="00A77B3E">
            <w:pPr>
              <w:spacing w:before="5pt"/>
              <w:rPr>
                <w:color w:val="000000"/>
                <w:sz w:val="6"/>
              </w:rPr>
            </w:pPr>
          </w:p>
        </w:tc>
      </w:tr>
    </w:tbl>
    <w:p w14:paraId="7CA533FD" w14:textId="77777777" w:rsidR="00A77B3E" w:rsidRDefault="00A77B3E">
      <w:pPr>
        <w:spacing w:before="5pt"/>
        <w:rPr>
          <w:color w:val="000000"/>
        </w:rPr>
      </w:pPr>
    </w:p>
    <w:p w14:paraId="68C85E4E" w14:textId="77777777" w:rsidR="00A77B3E" w:rsidRDefault="00B16CCF">
      <w:pPr>
        <w:pStyle w:val="Naslov5"/>
        <w:spacing w:before="5pt" w:after="0pt"/>
        <w:rPr>
          <w:b w:val="0"/>
          <w:i w:val="0"/>
          <w:color w:val="000000"/>
          <w:sz w:val="24"/>
        </w:rPr>
      </w:pPr>
      <w:bookmarkStart w:id="653" w:name="_Toc256001414"/>
      <w:r>
        <w:rPr>
          <w:b w:val="0"/>
          <w:i w:val="0"/>
          <w:color w:val="000000"/>
          <w:sz w:val="24"/>
        </w:rPr>
        <w:t>Načrtovana uporaba finančnih instrumentov – člen 22(3)(d)(vii) uredbe o skupnih določbah</w:t>
      </w:r>
      <w:bookmarkEnd w:id="653"/>
    </w:p>
    <w:p w14:paraId="69D6B7A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644CA733"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50F316" w14:textId="77777777" w:rsidR="00A77B3E" w:rsidRDefault="00A77B3E">
            <w:pPr>
              <w:spacing w:before="5pt"/>
              <w:rPr>
                <w:color w:val="000000"/>
                <w:sz w:val="0"/>
              </w:rPr>
            </w:pPr>
          </w:p>
          <w:p w14:paraId="558A7645" w14:textId="77777777" w:rsidR="00A77B3E" w:rsidRDefault="00B16CCF">
            <w:pPr>
              <w:spacing w:before="5pt"/>
              <w:rPr>
                <w:color w:val="000000"/>
              </w:rPr>
            </w:pPr>
            <w:r>
              <w:rPr>
                <w:color w:val="000000"/>
              </w:rPr>
              <w:t>Predvidena je uporaba nepovratnih virov. V okviru predmetnega specifičnega cilja ni predvidena uporaba finančnih instrumentov v skladu z izsledki analize Predhodnih ocen potreb trga in vrzeli financiranja na trgu za izvajanje finančnih instrumentov v programskem obdobju 2021-2027 (julij 2022). Uporaba finančnih instrumentov na tem specifičnem cilju ni primerna, saj se bo izvajal Instrument izvajanja lokalnega razvoja, ki ga vodi skupnost (CLLD), kjer se, tako kot v obdobju 2014–2020, na za finančnih instrumentih primernih projektih pričakuje le podpora v obliki nepovratnih sredstev. Gre za projekte manjših vrednosti, za zadovoljevanje potreb lokalnega okolja, kjer so v večini vključeni javni zavodi, občine in društva. S CLLD projekti se ne ustvarja takšnih prihodkov, da bi bila možna povratna oblika podpore.</w:t>
            </w:r>
          </w:p>
          <w:p w14:paraId="3BE828D5" w14:textId="77777777" w:rsidR="00A77B3E" w:rsidRDefault="00A77B3E">
            <w:pPr>
              <w:spacing w:before="5pt"/>
              <w:rPr>
                <w:color w:val="000000"/>
                <w:sz w:val="6"/>
              </w:rPr>
            </w:pPr>
          </w:p>
          <w:p w14:paraId="54733F35" w14:textId="77777777" w:rsidR="00A77B3E" w:rsidRDefault="00A77B3E">
            <w:pPr>
              <w:spacing w:before="5pt"/>
              <w:rPr>
                <w:color w:val="000000"/>
                <w:sz w:val="6"/>
              </w:rPr>
            </w:pPr>
          </w:p>
        </w:tc>
      </w:tr>
    </w:tbl>
    <w:p w14:paraId="6BB72C49" w14:textId="77777777" w:rsidR="00A77B3E" w:rsidRDefault="00A77B3E">
      <w:pPr>
        <w:spacing w:before="5pt"/>
        <w:rPr>
          <w:color w:val="000000"/>
        </w:rPr>
      </w:pPr>
    </w:p>
    <w:p w14:paraId="6D2AE7C6" w14:textId="77777777" w:rsidR="00A77B3E" w:rsidRDefault="00B16CCF">
      <w:pPr>
        <w:pStyle w:val="Naslov4"/>
        <w:spacing w:before="5pt" w:after="0pt"/>
        <w:rPr>
          <w:b w:val="0"/>
          <w:color w:val="000000"/>
          <w:sz w:val="24"/>
        </w:rPr>
      </w:pPr>
      <w:bookmarkStart w:id="654" w:name="_Toc256001415"/>
      <w:r>
        <w:rPr>
          <w:b w:val="0"/>
          <w:color w:val="000000"/>
          <w:sz w:val="24"/>
        </w:rPr>
        <w:t>2.1.1.1.2. Kazalniki</w:t>
      </w:r>
      <w:bookmarkEnd w:id="654"/>
    </w:p>
    <w:p w14:paraId="220A8F7E" w14:textId="77777777" w:rsidR="00A77B3E" w:rsidRDefault="00A77B3E">
      <w:pPr>
        <w:spacing w:before="5pt"/>
        <w:rPr>
          <w:color w:val="000000"/>
          <w:sz w:val="0"/>
        </w:rPr>
      </w:pPr>
    </w:p>
    <w:p w14:paraId="0A2F924B" w14:textId="77777777" w:rsidR="00A77B3E" w:rsidRDefault="00B16CCF">
      <w:pPr>
        <w:spacing w:before="5pt"/>
        <w:rPr>
          <w:color w:val="000000"/>
          <w:sz w:val="0"/>
        </w:rPr>
      </w:pPr>
      <w:r>
        <w:rPr>
          <w:color w:val="000000"/>
        </w:rPr>
        <w:t>Sklic: člen 22(3)(d)(ii) uredbe o skupnih določbah in člen 8 uredbe o ESRR in Kohezijskem skladu</w:t>
      </w:r>
    </w:p>
    <w:p w14:paraId="5E0BFF97" w14:textId="77777777" w:rsidR="00A77B3E" w:rsidRDefault="00B16CCF">
      <w:pPr>
        <w:pStyle w:val="Naslov5"/>
        <w:spacing w:before="5pt" w:after="0pt"/>
        <w:rPr>
          <w:b w:val="0"/>
          <w:i w:val="0"/>
          <w:color w:val="000000"/>
          <w:sz w:val="24"/>
        </w:rPr>
      </w:pPr>
      <w:bookmarkStart w:id="655" w:name="_Toc256001416"/>
      <w:r>
        <w:rPr>
          <w:b w:val="0"/>
          <w:i w:val="0"/>
          <w:color w:val="000000"/>
          <w:sz w:val="24"/>
        </w:rPr>
        <w:t>Tabela 2: Kazalniki učinka</w:t>
      </w:r>
      <w:bookmarkEnd w:id="655"/>
    </w:p>
    <w:p w14:paraId="0D59347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965"/>
        <w:gridCol w:w="1813"/>
        <w:gridCol w:w="1210"/>
        <w:gridCol w:w="1880"/>
        <w:gridCol w:w="2182"/>
        <w:gridCol w:w="1825"/>
        <w:gridCol w:w="1663"/>
        <w:gridCol w:w="1360"/>
        <w:gridCol w:w="1274"/>
      </w:tblGrid>
      <w:tr w:rsidR="00823317" w14:paraId="29113AF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23EE006"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1250665"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4731DB7"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47EB30"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169E6E"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C89D87"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502D64"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EA3E01" w14:textId="77777777" w:rsidR="00A77B3E" w:rsidRDefault="00B16CCF">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597CAF" w14:textId="77777777" w:rsidR="00A77B3E" w:rsidRDefault="00B16CCF">
            <w:pPr>
              <w:spacing w:before="5pt"/>
              <w:jc w:val="center"/>
              <w:rPr>
                <w:color w:val="000000"/>
                <w:sz w:val="20"/>
              </w:rPr>
            </w:pPr>
            <w:r>
              <w:rPr>
                <w:color w:val="000000"/>
                <w:sz w:val="20"/>
              </w:rPr>
              <w:t>Cilj (2029)</w:t>
            </w:r>
          </w:p>
        </w:tc>
      </w:tr>
      <w:tr w:rsidR="00823317" w14:paraId="3C3ABDB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10C797" w14:textId="77777777" w:rsidR="00A77B3E" w:rsidRDefault="00B16CCF">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C5B0DD" w14:textId="77777777" w:rsidR="00A77B3E" w:rsidRDefault="00B16CCF">
            <w:pPr>
              <w:spacing w:before="5pt"/>
              <w:rPr>
                <w:color w:val="000000"/>
                <w:sz w:val="20"/>
              </w:rPr>
            </w:pPr>
            <w:r>
              <w:rPr>
                <w:color w:val="000000"/>
                <w:sz w:val="20"/>
              </w:rPr>
              <w:t>RSO5.2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1EF34A"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683207"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540FB5" w14:textId="77777777" w:rsidR="00A77B3E" w:rsidRDefault="00B16CCF">
            <w:pPr>
              <w:spacing w:before="5pt"/>
              <w:rPr>
                <w:color w:val="000000"/>
                <w:sz w:val="20"/>
              </w:rPr>
            </w:pPr>
            <w:r>
              <w:rPr>
                <w:color w:val="000000"/>
                <w:sz w:val="20"/>
              </w:rPr>
              <w:t>RCO80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EB7270" w14:textId="77777777" w:rsidR="00A77B3E" w:rsidRDefault="00B16CCF">
            <w:pPr>
              <w:spacing w:before="5pt"/>
              <w:rPr>
                <w:color w:val="000000"/>
                <w:sz w:val="20"/>
              </w:rPr>
            </w:pPr>
            <w:r>
              <w:rPr>
                <w:color w:val="000000"/>
                <w:sz w:val="20"/>
              </w:rPr>
              <w:t>Strategije lokalnega razvoja pod vodstvom skupnosti, ki so prejele podporo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920ACE" w14:textId="77777777" w:rsidR="00A77B3E" w:rsidRDefault="00B16CCF">
            <w:pPr>
              <w:spacing w:before="5pt"/>
              <w:rPr>
                <w:color w:val="000000"/>
                <w:sz w:val="20"/>
              </w:rPr>
            </w:pPr>
            <w:r>
              <w:rPr>
                <w:color w:val="000000"/>
                <w:sz w:val="20"/>
              </w:rPr>
              <w:t>strategije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B54BB0" w14:textId="77777777" w:rsidR="00A77B3E" w:rsidRDefault="00B16CCF">
            <w:pPr>
              <w:spacing w:before="5pt"/>
              <w:jc w:val="end"/>
              <w:rPr>
                <w:color w:val="000000"/>
                <w:sz w:val="20"/>
              </w:rPr>
            </w:pPr>
            <w:r>
              <w:rPr>
                <w:color w:val="000000"/>
                <w:sz w:val="20"/>
              </w:rPr>
              <w:t>12,00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258A62" w14:textId="77777777" w:rsidR="00A77B3E" w:rsidRDefault="00B16CCF">
            <w:pPr>
              <w:spacing w:before="5pt"/>
              <w:jc w:val="end"/>
              <w:rPr>
                <w:color w:val="000000"/>
                <w:sz w:val="20"/>
              </w:rPr>
            </w:pPr>
            <w:r>
              <w:rPr>
                <w:color w:val="000000"/>
                <w:sz w:val="20"/>
              </w:rPr>
              <w:t>12,00</w:t>
            </w:r>
          </w:p>
        </w:tc>
      </w:tr>
      <w:tr w:rsidR="00823317" w14:paraId="4C88129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8D403E" w14:textId="77777777" w:rsidR="00A77B3E" w:rsidRDefault="00B16CCF">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E662CA" w14:textId="77777777" w:rsidR="00A77B3E" w:rsidRDefault="00B16CCF">
            <w:pPr>
              <w:spacing w:before="5pt"/>
              <w:rPr>
                <w:color w:val="000000"/>
                <w:sz w:val="20"/>
              </w:rPr>
            </w:pPr>
            <w:r>
              <w:rPr>
                <w:color w:val="000000"/>
                <w:sz w:val="20"/>
              </w:rPr>
              <w:t>RSO5.2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68B82D"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6E5330"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7A4528" w14:textId="77777777" w:rsidR="00A77B3E" w:rsidRDefault="00B16CCF">
            <w:pPr>
              <w:spacing w:before="5pt"/>
              <w:rPr>
                <w:color w:val="000000"/>
                <w:sz w:val="20"/>
              </w:rPr>
            </w:pPr>
            <w:r>
              <w:rPr>
                <w:color w:val="000000"/>
                <w:sz w:val="20"/>
              </w:rPr>
              <w:t>RCO80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BBFEF2" w14:textId="77777777" w:rsidR="00A77B3E" w:rsidRDefault="00B16CCF">
            <w:pPr>
              <w:spacing w:before="5pt"/>
              <w:rPr>
                <w:color w:val="000000"/>
                <w:sz w:val="20"/>
              </w:rPr>
            </w:pPr>
            <w:r>
              <w:rPr>
                <w:color w:val="000000"/>
                <w:sz w:val="20"/>
              </w:rPr>
              <w:t>Strategije lokalnega razvoja pod vodstvom skupnosti, ki so prejele podporo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308E03" w14:textId="77777777" w:rsidR="00A77B3E" w:rsidRDefault="00B16CCF">
            <w:pPr>
              <w:spacing w:before="5pt"/>
              <w:rPr>
                <w:color w:val="000000"/>
                <w:sz w:val="20"/>
              </w:rPr>
            </w:pPr>
            <w:r>
              <w:rPr>
                <w:color w:val="000000"/>
                <w:sz w:val="20"/>
              </w:rPr>
              <w:t>strategije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C4EBED" w14:textId="77777777" w:rsidR="00A77B3E" w:rsidRDefault="00B16CCF">
            <w:pPr>
              <w:spacing w:before="5pt"/>
              <w:jc w:val="end"/>
              <w:rPr>
                <w:color w:val="000000"/>
                <w:sz w:val="20"/>
              </w:rPr>
            </w:pPr>
            <w:r>
              <w:rPr>
                <w:color w:val="000000"/>
                <w:sz w:val="20"/>
              </w:rPr>
              <w:t>25,00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9B869D" w14:textId="77777777" w:rsidR="00A77B3E" w:rsidRDefault="00B16CCF">
            <w:pPr>
              <w:spacing w:before="5pt"/>
              <w:jc w:val="end"/>
              <w:rPr>
                <w:color w:val="000000"/>
                <w:sz w:val="20"/>
              </w:rPr>
            </w:pPr>
            <w:r>
              <w:rPr>
                <w:color w:val="000000"/>
                <w:sz w:val="20"/>
              </w:rPr>
              <w:t>25,00</w:t>
            </w:r>
          </w:p>
        </w:tc>
      </w:tr>
    </w:tbl>
    <w:p w14:paraId="1B3F3295" w14:textId="77777777" w:rsidR="00A77B3E" w:rsidRDefault="00A77B3E">
      <w:pPr>
        <w:spacing w:before="5pt"/>
        <w:rPr>
          <w:color w:val="000000"/>
          <w:sz w:val="20"/>
        </w:rPr>
      </w:pPr>
    </w:p>
    <w:p w14:paraId="62844948" w14:textId="77777777" w:rsidR="00A77B3E" w:rsidRDefault="00B16CCF">
      <w:pPr>
        <w:spacing w:before="5pt"/>
        <w:rPr>
          <w:color w:val="000000"/>
          <w:sz w:val="0"/>
        </w:rPr>
      </w:pPr>
      <w:r>
        <w:rPr>
          <w:color w:val="000000"/>
        </w:rPr>
        <w:t>Sklic: člen 22(3)(d)(ii) uredbe o skupnih določbah</w:t>
      </w:r>
    </w:p>
    <w:p w14:paraId="07FC301E" w14:textId="77777777" w:rsidR="00A77B3E" w:rsidRDefault="00B16CCF">
      <w:pPr>
        <w:pStyle w:val="Naslov5"/>
        <w:spacing w:before="5pt" w:after="0pt"/>
        <w:rPr>
          <w:b w:val="0"/>
          <w:i w:val="0"/>
          <w:color w:val="000000"/>
          <w:sz w:val="24"/>
        </w:rPr>
      </w:pPr>
      <w:bookmarkStart w:id="656" w:name="_Toc256001417"/>
      <w:r>
        <w:rPr>
          <w:b w:val="0"/>
          <w:i w:val="0"/>
          <w:color w:val="000000"/>
          <w:sz w:val="24"/>
        </w:rPr>
        <w:t>Tabela 3: Kazalniki rezultatov</w:t>
      </w:r>
      <w:bookmarkEnd w:id="656"/>
    </w:p>
    <w:p w14:paraId="70CEA40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19"/>
        <w:gridCol w:w="1216"/>
        <w:gridCol w:w="811"/>
        <w:gridCol w:w="1261"/>
        <w:gridCol w:w="1463"/>
        <w:gridCol w:w="1796"/>
        <w:gridCol w:w="941"/>
        <w:gridCol w:w="1289"/>
        <w:gridCol w:w="1361"/>
        <w:gridCol w:w="1528"/>
        <w:gridCol w:w="1130"/>
        <w:gridCol w:w="1057"/>
      </w:tblGrid>
      <w:tr w:rsidR="00823317" w14:paraId="06534F6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774BB4"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A003D7"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C04BF0"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2E0157"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F64791"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243ACC"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F09BFF"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9D6817" w14:textId="77777777" w:rsidR="00A77B3E" w:rsidRDefault="00B16CCF">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AF2E1F" w14:textId="77777777" w:rsidR="00A77B3E" w:rsidRDefault="00B16CCF">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89272A" w14:textId="77777777" w:rsidR="00A77B3E" w:rsidRDefault="00B16CCF">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B0502B" w14:textId="77777777" w:rsidR="00A77B3E" w:rsidRDefault="00B16CCF">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0080A0" w14:textId="77777777" w:rsidR="00A77B3E" w:rsidRDefault="00B16CCF">
            <w:pPr>
              <w:spacing w:before="5pt"/>
              <w:jc w:val="center"/>
              <w:rPr>
                <w:color w:val="000000"/>
                <w:sz w:val="20"/>
              </w:rPr>
            </w:pPr>
            <w:r>
              <w:rPr>
                <w:color w:val="000000"/>
                <w:sz w:val="20"/>
              </w:rPr>
              <w:t>Opombe</w:t>
            </w:r>
          </w:p>
        </w:tc>
      </w:tr>
      <w:tr w:rsidR="00823317" w14:paraId="04AD666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19A44B" w14:textId="77777777" w:rsidR="00A77B3E" w:rsidRDefault="00B16CCF">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C0997B" w14:textId="77777777" w:rsidR="00A77B3E" w:rsidRDefault="00B16CCF">
            <w:pPr>
              <w:spacing w:before="5pt"/>
              <w:rPr>
                <w:color w:val="000000"/>
                <w:sz w:val="20"/>
              </w:rPr>
            </w:pPr>
            <w:r>
              <w:rPr>
                <w:color w:val="000000"/>
                <w:sz w:val="20"/>
              </w:rPr>
              <w:t>RSO5.2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CCBB0F"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30EAD7"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AE2360" w14:textId="77777777" w:rsidR="00A77B3E" w:rsidRDefault="00B16CCF">
            <w:pPr>
              <w:spacing w:before="5pt"/>
              <w:rPr>
                <w:color w:val="000000"/>
                <w:sz w:val="20"/>
              </w:rPr>
            </w:pPr>
            <w:r>
              <w:rPr>
                <w:color w:val="000000"/>
                <w:sz w:val="20"/>
              </w:rPr>
              <w:t>23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9021F2" w14:textId="77777777" w:rsidR="00A77B3E" w:rsidRDefault="00B16CCF">
            <w:pPr>
              <w:spacing w:before="5pt"/>
              <w:rPr>
                <w:color w:val="000000"/>
                <w:sz w:val="20"/>
              </w:rPr>
            </w:pPr>
            <w:r>
              <w:rPr>
                <w:color w:val="000000"/>
                <w:sz w:val="20"/>
              </w:rPr>
              <w:t>Prebivalci na lokalni ravni deležni izboljšanega in bolj uravnoteženega lokalnega razvoja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73155C" w14:textId="77777777" w:rsidR="00A77B3E" w:rsidRDefault="00B16CCF">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07391A"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264348" w14:textId="77777777" w:rsidR="00A77B3E" w:rsidRDefault="00B16CCF">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EFFAC6" w14:textId="77777777" w:rsidR="00A77B3E" w:rsidRDefault="00B16CCF">
            <w:pPr>
              <w:spacing w:before="5pt"/>
              <w:jc w:val="end"/>
              <w:rPr>
                <w:color w:val="000000"/>
                <w:sz w:val="20"/>
              </w:rPr>
            </w:pPr>
            <w:r>
              <w:rPr>
                <w:color w:val="000000"/>
                <w:sz w:val="20"/>
              </w:rPr>
              <w:t>993.492,00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7451B4" w14:textId="77777777" w:rsidR="00A77B3E" w:rsidRDefault="00B16CCF">
            <w:pPr>
              <w:spacing w:before="5pt"/>
              <w:rPr>
                <w:color w:val="000000"/>
                <w:sz w:val="20"/>
              </w:rPr>
            </w:pPr>
            <w:r>
              <w:rPr>
                <w:color w:val="000000"/>
                <w:sz w:val="20"/>
              </w:rPr>
              <w:t>SURS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6F1CB7" w14:textId="77777777" w:rsidR="00A77B3E" w:rsidRDefault="00A77B3E">
            <w:pPr>
              <w:spacing w:before="5pt"/>
              <w:rPr>
                <w:color w:val="000000"/>
                <w:sz w:val="20"/>
              </w:rPr>
            </w:pPr>
          </w:p>
        </w:tc>
      </w:tr>
      <w:tr w:rsidR="00823317" w14:paraId="357D0D9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3E7A07" w14:textId="77777777" w:rsidR="00A77B3E" w:rsidRDefault="00B16CCF">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DC14A3" w14:textId="77777777" w:rsidR="00A77B3E" w:rsidRDefault="00B16CCF">
            <w:pPr>
              <w:spacing w:before="5pt"/>
              <w:rPr>
                <w:color w:val="000000"/>
                <w:sz w:val="20"/>
              </w:rPr>
            </w:pPr>
            <w:r>
              <w:rPr>
                <w:color w:val="000000"/>
                <w:sz w:val="20"/>
              </w:rPr>
              <w:t>RSO5.2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10B6F6"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47DE0C"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1E54BE" w14:textId="77777777" w:rsidR="00A77B3E" w:rsidRDefault="00B16CCF">
            <w:pPr>
              <w:spacing w:before="5pt"/>
              <w:rPr>
                <w:color w:val="000000"/>
                <w:sz w:val="20"/>
              </w:rPr>
            </w:pPr>
            <w:r>
              <w:rPr>
                <w:color w:val="000000"/>
                <w:sz w:val="20"/>
              </w:rPr>
              <w:t>23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A5C375" w14:textId="77777777" w:rsidR="00A77B3E" w:rsidRDefault="00B16CCF">
            <w:pPr>
              <w:spacing w:before="5pt"/>
              <w:rPr>
                <w:color w:val="000000"/>
                <w:sz w:val="20"/>
              </w:rPr>
            </w:pPr>
            <w:r>
              <w:rPr>
                <w:color w:val="000000"/>
                <w:sz w:val="20"/>
              </w:rPr>
              <w:t>Prebivalci na lokalni ravni deležni izboljšanega in bolj uravnoteženega lokalnega razvoja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482F73" w14:textId="77777777" w:rsidR="00A77B3E" w:rsidRDefault="00B16CCF">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5147B6"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38F166" w14:textId="77777777" w:rsidR="00A77B3E" w:rsidRDefault="00B16CCF">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91BF8E" w14:textId="77777777" w:rsidR="00A77B3E" w:rsidRDefault="00B16CCF">
            <w:pPr>
              <w:spacing w:before="5pt"/>
              <w:jc w:val="end"/>
              <w:rPr>
                <w:color w:val="000000"/>
                <w:sz w:val="20"/>
              </w:rPr>
            </w:pPr>
            <w:r>
              <w:rPr>
                <w:color w:val="000000"/>
                <w:sz w:val="20"/>
              </w:rPr>
              <w:t>1.113.506,00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6E7AD5" w14:textId="77777777" w:rsidR="00A77B3E" w:rsidRDefault="00B16CCF">
            <w:pPr>
              <w:spacing w:before="5pt"/>
              <w:rPr>
                <w:color w:val="000000"/>
                <w:sz w:val="20"/>
              </w:rPr>
            </w:pPr>
            <w:r>
              <w:rPr>
                <w:color w:val="000000"/>
                <w:sz w:val="20"/>
              </w:rPr>
              <w:t>SURS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6B2BD4" w14:textId="77777777" w:rsidR="00A77B3E" w:rsidRDefault="00A77B3E">
            <w:pPr>
              <w:spacing w:before="5pt"/>
              <w:rPr>
                <w:color w:val="000000"/>
                <w:sz w:val="20"/>
              </w:rPr>
            </w:pPr>
          </w:p>
        </w:tc>
      </w:tr>
    </w:tbl>
    <w:p w14:paraId="197F9F85" w14:textId="77777777" w:rsidR="00A77B3E" w:rsidRDefault="00A77B3E">
      <w:pPr>
        <w:spacing w:before="5pt"/>
        <w:rPr>
          <w:color w:val="000000"/>
          <w:sz w:val="20"/>
        </w:rPr>
      </w:pPr>
    </w:p>
    <w:p w14:paraId="50176B3C" w14:textId="77777777" w:rsidR="00A77B3E" w:rsidRDefault="00B16CCF">
      <w:pPr>
        <w:pStyle w:val="Naslov4"/>
        <w:spacing w:before="5pt" w:after="0pt"/>
        <w:rPr>
          <w:b w:val="0"/>
          <w:color w:val="000000"/>
          <w:sz w:val="24"/>
        </w:rPr>
      </w:pPr>
      <w:bookmarkStart w:id="657" w:name="_Toc256001418"/>
      <w:r>
        <w:rPr>
          <w:b w:val="0"/>
          <w:color w:val="000000"/>
          <w:sz w:val="24"/>
        </w:rPr>
        <w:t>2.1.1.1.3. Okvirna razčlenitev načrtovanih sredstev (EU) glede na vrsto ukrepa</w:t>
      </w:r>
      <w:bookmarkEnd w:id="657"/>
    </w:p>
    <w:p w14:paraId="2D79C64C" w14:textId="77777777" w:rsidR="00A77B3E" w:rsidRDefault="00A77B3E">
      <w:pPr>
        <w:spacing w:before="5pt"/>
        <w:rPr>
          <w:color w:val="000000"/>
          <w:sz w:val="0"/>
        </w:rPr>
      </w:pPr>
    </w:p>
    <w:p w14:paraId="33B921DC" w14:textId="77777777" w:rsidR="00A77B3E" w:rsidRDefault="00B16CCF">
      <w:pPr>
        <w:spacing w:before="5pt"/>
        <w:rPr>
          <w:color w:val="000000"/>
          <w:sz w:val="0"/>
        </w:rPr>
      </w:pPr>
      <w:r>
        <w:rPr>
          <w:color w:val="000000"/>
        </w:rPr>
        <w:t>Sklic: člen 22(3)(d)(viii) uredbe o skupnih določbah</w:t>
      </w:r>
    </w:p>
    <w:p w14:paraId="6054BD00" w14:textId="77777777" w:rsidR="00A77B3E" w:rsidRDefault="00B16CCF">
      <w:pPr>
        <w:pStyle w:val="Naslov5"/>
        <w:spacing w:before="5pt" w:after="0pt"/>
        <w:rPr>
          <w:b w:val="0"/>
          <w:i w:val="0"/>
          <w:color w:val="000000"/>
          <w:sz w:val="24"/>
        </w:rPr>
      </w:pPr>
      <w:bookmarkStart w:id="658" w:name="_Toc256001419"/>
      <w:r>
        <w:rPr>
          <w:b w:val="0"/>
          <w:i w:val="0"/>
          <w:color w:val="000000"/>
          <w:sz w:val="24"/>
        </w:rPr>
        <w:lastRenderedPageBreak/>
        <w:t>Tabela 4: Razsežnost 1 – področje ukrepanja</w:t>
      </w:r>
      <w:bookmarkEnd w:id="658"/>
    </w:p>
    <w:p w14:paraId="2DE39F2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87"/>
        <w:gridCol w:w="2388"/>
        <w:gridCol w:w="1734"/>
        <w:gridCol w:w="2475"/>
        <w:gridCol w:w="2731"/>
        <w:gridCol w:w="3257"/>
      </w:tblGrid>
      <w:tr w:rsidR="00823317" w14:paraId="0938376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5DD2E5"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705D5A"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BA2E72"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94A2DB"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38846C"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3D0D68" w14:textId="77777777" w:rsidR="00A77B3E" w:rsidRDefault="00B16CCF">
            <w:pPr>
              <w:spacing w:before="5pt"/>
              <w:jc w:val="center"/>
              <w:rPr>
                <w:color w:val="000000"/>
                <w:sz w:val="20"/>
              </w:rPr>
            </w:pPr>
            <w:r>
              <w:rPr>
                <w:color w:val="000000"/>
                <w:sz w:val="20"/>
              </w:rPr>
              <w:t>Znesek (v EUR)</w:t>
            </w:r>
          </w:p>
        </w:tc>
      </w:tr>
      <w:tr w:rsidR="00823317" w14:paraId="79A4A54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B173F5" w14:textId="77777777" w:rsidR="00A77B3E" w:rsidRDefault="00B16CCF">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BA512C" w14:textId="77777777" w:rsidR="00A77B3E" w:rsidRDefault="00B16CCF">
            <w:pPr>
              <w:spacing w:before="5pt"/>
              <w:rPr>
                <w:color w:val="000000"/>
                <w:sz w:val="20"/>
              </w:rPr>
            </w:pPr>
            <w:r>
              <w:rPr>
                <w:color w:val="000000"/>
                <w:sz w:val="20"/>
              </w:rPr>
              <w:t>RSO5.2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C8F6A6"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AB2D33"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F1D0C6" w14:textId="77777777" w:rsidR="00A77B3E" w:rsidRDefault="00B16CCF">
            <w:pPr>
              <w:spacing w:before="5pt"/>
              <w:rPr>
                <w:color w:val="000000"/>
                <w:sz w:val="20"/>
              </w:rPr>
            </w:pPr>
            <w:r>
              <w:rPr>
                <w:color w:val="000000"/>
                <w:sz w:val="20"/>
              </w:rPr>
              <w:t>169. Pobude za teritorialni razvoj, tudi priprava teritorialnih strategij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E30E34" w14:textId="77777777" w:rsidR="00A77B3E" w:rsidRDefault="00B16CCF">
            <w:pPr>
              <w:spacing w:before="5pt"/>
              <w:jc w:val="end"/>
              <w:rPr>
                <w:color w:val="000000"/>
                <w:sz w:val="20"/>
              </w:rPr>
            </w:pPr>
            <w:r>
              <w:rPr>
                <w:color w:val="000000"/>
                <w:sz w:val="20"/>
              </w:rPr>
              <w:t>5.297.973,00</w:t>
            </w:r>
          </w:p>
        </w:tc>
      </w:tr>
      <w:tr w:rsidR="00823317" w14:paraId="1F1003D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664E98" w14:textId="77777777" w:rsidR="00A77B3E" w:rsidRDefault="00B16CCF">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E1EBF8" w14:textId="77777777" w:rsidR="00A77B3E" w:rsidRDefault="00B16CCF">
            <w:pPr>
              <w:spacing w:before="5pt"/>
              <w:rPr>
                <w:color w:val="000000"/>
                <w:sz w:val="20"/>
              </w:rPr>
            </w:pPr>
            <w:r>
              <w:rPr>
                <w:color w:val="000000"/>
                <w:sz w:val="20"/>
              </w:rPr>
              <w:t>RSO5.2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265F42"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2162D6"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D968E1" w14:textId="77777777" w:rsidR="00A77B3E" w:rsidRDefault="00B16CCF">
            <w:pPr>
              <w:spacing w:before="5pt"/>
              <w:rPr>
                <w:color w:val="000000"/>
                <w:sz w:val="20"/>
              </w:rPr>
            </w:pPr>
            <w:r>
              <w:rPr>
                <w:color w:val="000000"/>
                <w:sz w:val="20"/>
              </w:rPr>
              <w:t>169. Pobude za teritorialni razvoj, tudi priprava teritorialnih strategij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998855" w14:textId="77777777" w:rsidR="00A77B3E" w:rsidRDefault="00B16CCF">
            <w:pPr>
              <w:spacing w:before="5pt"/>
              <w:jc w:val="end"/>
              <w:rPr>
                <w:color w:val="000000"/>
                <w:sz w:val="20"/>
              </w:rPr>
            </w:pPr>
            <w:r>
              <w:rPr>
                <w:color w:val="000000"/>
                <w:sz w:val="20"/>
              </w:rPr>
              <w:t>22.842.812,00</w:t>
            </w:r>
          </w:p>
        </w:tc>
      </w:tr>
      <w:tr w:rsidR="00823317" w14:paraId="1A04C95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6F21B9" w14:textId="77777777" w:rsidR="00A77B3E" w:rsidRDefault="00B16CCF">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6D83E8" w14:textId="77777777" w:rsidR="00A77B3E" w:rsidRDefault="00B16CCF">
            <w:pPr>
              <w:spacing w:before="5pt"/>
              <w:rPr>
                <w:color w:val="000000"/>
                <w:sz w:val="20"/>
              </w:rPr>
            </w:pPr>
            <w:r>
              <w:rPr>
                <w:color w:val="000000"/>
                <w:sz w:val="20"/>
              </w:rPr>
              <w:t>RSO5.2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6A42FB"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988003"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73AAF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7372B7" w14:textId="77777777" w:rsidR="00A77B3E" w:rsidRDefault="00B16CCF">
            <w:pPr>
              <w:spacing w:before="5pt"/>
              <w:jc w:val="end"/>
              <w:rPr>
                <w:color w:val="000000"/>
                <w:sz w:val="20"/>
              </w:rPr>
            </w:pPr>
            <w:r>
              <w:rPr>
                <w:color w:val="000000"/>
                <w:sz w:val="20"/>
              </w:rPr>
              <w:t>28.140.785,00</w:t>
            </w:r>
          </w:p>
        </w:tc>
      </w:tr>
    </w:tbl>
    <w:p w14:paraId="44AD2044" w14:textId="77777777" w:rsidR="00A77B3E" w:rsidRDefault="00A77B3E">
      <w:pPr>
        <w:spacing w:before="5pt"/>
        <w:rPr>
          <w:color w:val="000000"/>
          <w:sz w:val="20"/>
        </w:rPr>
      </w:pPr>
    </w:p>
    <w:p w14:paraId="40BBAEBD" w14:textId="77777777" w:rsidR="00A77B3E" w:rsidRDefault="00B16CCF">
      <w:pPr>
        <w:pStyle w:val="Naslov5"/>
        <w:spacing w:before="5pt" w:after="0pt"/>
        <w:rPr>
          <w:b w:val="0"/>
          <w:i w:val="0"/>
          <w:color w:val="000000"/>
          <w:sz w:val="24"/>
        </w:rPr>
      </w:pPr>
      <w:bookmarkStart w:id="659" w:name="_Toc256001420"/>
      <w:r>
        <w:rPr>
          <w:b w:val="0"/>
          <w:i w:val="0"/>
          <w:color w:val="000000"/>
          <w:sz w:val="24"/>
        </w:rPr>
        <w:t>Tabela 5: Razsežnost 2 – oblika financiranja</w:t>
      </w:r>
      <w:bookmarkEnd w:id="659"/>
    </w:p>
    <w:p w14:paraId="7B2B60E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93"/>
        <w:gridCol w:w="2392"/>
        <w:gridCol w:w="1737"/>
        <w:gridCol w:w="2480"/>
        <w:gridCol w:w="2706"/>
        <w:gridCol w:w="3264"/>
      </w:tblGrid>
      <w:tr w:rsidR="00823317" w14:paraId="3801D56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A323CE3"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56B3C0"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D3A73B7"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75F858"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C4F8AC"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D84BAE0" w14:textId="77777777" w:rsidR="00A77B3E" w:rsidRDefault="00B16CCF">
            <w:pPr>
              <w:spacing w:before="5pt"/>
              <w:jc w:val="center"/>
              <w:rPr>
                <w:color w:val="000000"/>
                <w:sz w:val="20"/>
              </w:rPr>
            </w:pPr>
            <w:r>
              <w:rPr>
                <w:color w:val="000000"/>
                <w:sz w:val="20"/>
              </w:rPr>
              <w:t>Znesek (v EUR)</w:t>
            </w:r>
          </w:p>
        </w:tc>
      </w:tr>
      <w:tr w:rsidR="00823317" w14:paraId="483A3DC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659D53" w14:textId="77777777" w:rsidR="00A77B3E" w:rsidRDefault="00B16CCF">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51541E" w14:textId="77777777" w:rsidR="00A77B3E" w:rsidRDefault="00B16CCF">
            <w:pPr>
              <w:spacing w:before="5pt"/>
              <w:rPr>
                <w:color w:val="000000"/>
                <w:sz w:val="20"/>
              </w:rPr>
            </w:pPr>
            <w:r>
              <w:rPr>
                <w:color w:val="000000"/>
                <w:sz w:val="20"/>
              </w:rPr>
              <w:t>RSO5.2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14CA01"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9670AA"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6CFD9B" w14:textId="77777777" w:rsidR="00A77B3E" w:rsidRDefault="00B16CCF">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49E099" w14:textId="77777777" w:rsidR="00A77B3E" w:rsidRDefault="00B16CCF">
            <w:pPr>
              <w:spacing w:before="5pt"/>
              <w:jc w:val="end"/>
              <w:rPr>
                <w:color w:val="000000"/>
                <w:sz w:val="20"/>
              </w:rPr>
            </w:pPr>
            <w:r>
              <w:rPr>
                <w:color w:val="000000"/>
                <w:sz w:val="20"/>
              </w:rPr>
              <w:t>5.297.973,00</w:t>
            </w:r>
          </w:p>
        </w:tc>
      </w:tr>
      <w:tr w:rsidR="00823317" w14:paraId="21C2BF9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5FC55D" w14:textId="77777777" w:rsidR="00A77B3E" w:rsidRDefault="00B16CCF">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238016" w14:textId="77777777" w:rsidR="00A77B3E" w:rsidRDefault="00B16CCF">
            <w:pPr>
              <w:spacing w:before="5pt"/>
              <w:rPr>
                <w:color w:val="000000"/>
                <w:sz w:val="20"/>
              </w:rPr>
            </w:pPr>
            <w:r>
              <w:rPr>
                <w:color w:val="000000"/>
                <w:sz w:val="20"/>
              </w:rPr>
              <w:t>RSO5.2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F5BD36"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6885B3"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DE0FFF" w14:textId="77777777" w:rsidR="00A77B3E" w:rsidRDefault="00B16CCF">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18A019" w14:textId="77777777" w:rsidR="00A77B3E" w:rsidRDefault="00B16CCF">
            <w:pPr>
              <w:spacing w:before="5pt"/>
              <w:jc w:val="end"/>
              <w:rPr>
                <w:color w:val="000000"/>
                <w:sz w:val="20"/>
              </w:rPr>
            </w:pPr>
            <w:r>
              <w:rPr>
                <w:color w:val="000000"/>
                <w:sz w:val="20"/>
              </w:rPr>
              <w:t>22.842.812,00</w:t>
            </w:r>
          </w:p>
        </w:tc>
      </w:tr>
      <w:tr w:rsidR="00823317" w14:paraId="106D4AE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3CDBE5" w14:textId="77777777" w:rsidR="00A77B3E" w:rsidRDefault="00B16CCF">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CCCA72" w14:textId="77777777" w:rsidR="00A77B3E" w:rsidRDefault="00B16CCF">
            <w:pPr>
              <w:spacing w:before="5pt"/>
              <w:rPr>
                <w:color w:val="000000"/>
                <w:sz w:val="20"/>
              </w:rPr>
            </w:pPr>
            <w:r>
              <w:rPr>
                <w:color w:val="000000"/>
                <w:sz w:val="20"/>
              </w:rPr>
              <w:t>RSO5.2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7F1A42"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1F1B37"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63BA29"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E9A50B" w14:textId="77777777" w:rsidR="00A77B3E" w:rsidRDefault="00B16CCF">
            <w:pPr>
              <w:spacing w:before="5pt"/>
              <w:jc w:val="end"/>
              <w:rPr>
                <w:color w:val="000000"/>
                <w:sz w:val="20"/>
              </w:rPr>
            </w:pPr>
            <w:r>
              <w:rPr>
                <w:color w:val="000000"/>
                <w:sz w:val="20"/>
              </w:rPr>
              <w:t>28.140.785,00</w:t>
            </w:r>
          </w:p>
        </w:tc>
      </w:tr>
    </w:tbl>
    <w:p w14:paraId="4BE014DA" w14:textId="77777777" w:rsidR="00A77B3E" w:rsidRDefault="00A77B3E">
      <w:pPr>
        <w:spacing w:before="5pt"/>
        <w:rPr>
          <w:color w:val="000000"/>
          <w:sz w:val="20"/>
        </w:rPr>
      </w:pPr>
    </w:p>
    <w:p w14:paraId="6E8CD638" w14:textId="77777777" w:rsidR="00A77B3E" w:rsidRDefault="00B16CCF">
      <w:pPr>
        <w:pStyle w:val="Naslov5"/>
        <w:spacing w:before="5pt" w:after="0pt"/>
        <w:rPr>
          <w:b w:val="0"/>
          <w:i w:val="0"/>
          <w:color w:val="000000"/>
          <w:sz w:val="24"/>
        </w:rPr>
      </w:pPr>
      <w:bookmarkStart w:id="660" w:name="_Toc256001421"/>
      <w:r>
        <w:rPr>
          <w:b w:val="0"/>
          <w:i w:val="0"/>
          <w:color w:val="000000"/>
          <w:sz w:val="24"/>
        </w:rPr>
        <w:t>Tabela 6: Razsežnost 3 – mehanizem za ozemeljsko izvrševanje in ozemeljski pristop</w:t>
      </w:r>
      <w:bookmarkEnd w:id="660"/>
    </w:p>
    <w:p w14:paraId="2C03192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93"/>
        <w:gridCol w:w="2486"/>
        <w:gridCol w:w="1805"/>
        <w:gridCol w:w="2576"/>
        <w:gridCol w:w="2221"/>
        <w:gridCol w:w="3391"/>
      </w:tblGrid>
      <w:tr w:rsidR="00823317" w14:paraId="6F5D47C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DE9D6DA"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E41434"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E7F2C4"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594E46"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1CC40D"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E99DA6B" w14:textId="77777777" w:rsidR="00A77B3E" w:rsidRDefault="00B16CCF">
            <w:pPr>
              <w:spacing w:before="5pt"/>
              <w:jc w:val="center"/>
              <w:rPr>
                <w:color w:val="000000"/>
                <w:sz w:val="20"/>
              </w:rPr>
            </w:pPr>
            <w:r>
              <w:rPr>
                <w:color w:val="000000"/>
                <w:sz w:val="20"/>
              </w:rPr>
              <w:t>Znesek (v EUR)</w:t>
            </w:r>
          </w:p>
        </w:tc>
      </w:tr>
      <w:tr w:rsidR="00823317" w14:paraId="7234BAF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98C3A9" w14:textId="77777777" w:rsidR="00A77B3E" w:rsidRDefault="00B16CCF">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972726" w14:textId="77777777" w:rsidR="00A77B3E" w:rsidRDefault="00B16CCF">
            <w:pPr>
              <w:spacing w:before="5pt"/>
              <w:rPr>
                <w:color w:val="000000"/>
                <w:sz w:val="20"/>
              </w:rPr>
            </w:pPr>
            <w:r>
              <w:rPr>
                <w:color w:val="000000"/>
                <w:sz w:val="20"/>
              </w:rPr>
              <w:t>RSO5.2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C5C735"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77ED09"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CD2F44" w14:textId="77777777" w:rsidR="00A77B3E" w:rsidRDefault="00B16CCF">
            <w:pPr>
              <w:spacing w:before="5pt"/>
              <w:rPr>
                <w:color w:val="000000"/>
                <w:sz w:val="20"/>
              </w:rPr>
            </w:pPr>
            <w:r>
              <w:rPr>
                <w:color w:val="000000"/>
                <w:sz w:val="20"/>
              </w:rPr>
              <w:t>16. Lokalni razvoj, ki ga vodi skupnost – druge vrste ciljnih ozemelj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9AF1A3" w14:textId="77777777" w:rsidR="00A77B3E" w:rsidRDefault="00B16CCF">
            <w:pPr>
              <w:spacing w:before="5pt"/>
              <w:jc w:val="end"/>
              <w:rPr>
                <w:color w:val="000000"/>
                <w:sz w:val="20"/>
              </w:rPr>
            </w:pPr>
            <w:r>
              <w:rPr>
                <w:color w:val="000000"/>
                <w:sz w:val="20"/>
              </w:rPr>
              <w:t>5.297.973,00</w:t>
            </w:r>
          </w:p>
        </w:tc>
      </w:tr>
      <w:tr w:rsidR="00823317" w14:paraId="3CC6895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F4FA14" w14:textId="77777777" w:rsidR="00A77B3E" w:rsidRDefault="00B16CCF">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2AD092" w14:textId="77777777" w:rsidR="00A77B3E" w:rsidRDefault="00B16CCF">
            <w:pPr>
              <w:spacing w:before="5pt"/>
              <w:rPr>
                <w:color w:val="000000"/>
                <w:sz w:val="20"/>
              </w:rPr>
            </w:pPr>
            <w:r>
              <w:rPr>
                <w:color w:val="000000"/>
                <w:sz w:val="20"/>
              </w:rPr>
              <w:t>RSO5.2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903BE4"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568547"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43BA8D" w14:textId="77777777" w:rsidR="00A77B3E" w:rsidRDefault="00B16CCF">
            <w:pPr>
              <w:spacing w:before="5pt"/>
              <w:rPr>
                <w:color w:val="000000"/>
                <w:sz w:val="20"/>
              </w:rPr>
            </w:pPr>
            <w:r>
              <w:rPr>
                <w:color w:val="000000"/>
                <w:sz w:val="20"/>
              </w:rPr>
              <w:t>16. Lokalni razvoj, ki ga vodi skupnost – druge vrste ciljnih ozemelj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589130" w14:textId="77777777" w:rsidR="00A77B3E" w:rsidRDefault="00B16CCF">
            <w:pPr>
              <w:spacing w:before="5pt"/>
              <w:jc w:val="end"/>
              <w:rPr>
                <w:color w:val="000000"/>
                <w:sz w:val="20"/>
              </w:rPr>
            </w:pPr>
            <w:r>
              <w:rPr>
                <w:color w:val="000000"/>
                <w:sz w:val="20"/>
              </w:rPr>
              <w:t>22.842.812,00</w:t>
            </w:r>
          </w:p>
        </w:tc>
      </w:tr>
      <w:tr w:rsidR="00823317" w14:paraId="142564A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90DE6D" w14:textId="77777777" w:rsidR="00A77B3E" w:rsidRDefault="00B16CCF">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B1B810" w14:textId="77777777" w:rsidR="00A77B3E" w:rsidRDefault="00B16CCF">
            <w:pPr>
              <w:spacing w:before="5pt"/>
              <w:rPr>
                <w:color w:val="000000"/>
                <w:sz w:val="20"/>
              </w:rPr>
            </w:pPr>
            <w:r>
              <w:rPr>
                <w:color w:val="000000"/>
                <w:sz w:val="20"/>
              </w:rPr>
              <w:t>RSO5.2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EF2E0E"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C6ACD2"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E0D71E"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A98A24" w14:textId="77777777" w:rsidR="00A77B3E" w:rsidRDefault="00B16CCF">
            <w:pPr>
              <w:spacing w:before="5pt"/>
              <w:jc w:val="end"/>
              <w:rPr>
                <w:color w:val="000000"/>
                <w:sz w:val="20"/>
              </w:rPr>
            </w:pPr>
            <w:r>
              <w:rPr>
                <w:color w:val="000000"/>
                <w:sz w:val="20"/>
              </w:rPr>
              <w:t>28.140.785,00</w:t>
            </w:r>
          </w:p>
        </w:tc>
      </w:tr>
    </w:tbl>
    <w:p w14:paraId="7993A293" w14:textId="77777777" w:rsidR="00A77B3E" w:rsidRDefault="00A77B3E">
      <w:pPr>
        <w:spacing w:before="5pt"/>
        <w:rPr>
          <w:color w:val="000000"/>
          <w:sz w:val="20"/>
        </w:rPr>
      </w:pPr>
    </w:p>
    <w:p w14:paraId="2FD0D2EC" w14:textId="77777777" w:rsidR="00A77B3E" w:rsidRDefault="00B16CCF">
      <w:pPr>
        <w:pStyle w:val="Naslov5"/>
        <w:spacing w:before="5pt" w:after="0pt"/>
        <w:rPr>
          <w:b w:val="0"/>
          <w:i w:val="0"/>
          <w:color w:val="000000"/>
          <w:sz w:val="24"/>
        </w:rPr>
      </w:pPr>
      <w:bookmarkStart w:id="661" w:name="_Toc256001422"/>
      <w:r>
        <w:rPr>
          <w:b w:val="0"/>
          <w:i w:val="0"/>
          <w:color w:val="000000"/>
          <w:sz w:val="24"/>
        </w:rPr>
        <w:t>Tabela 7: Razsežnost 6 – sekundarna področja ESS+</w:t>
      </w:r>
      <w:bookmarkEnd w:id="661"/>
    </w:p>
    <w:p w14:paraId="7938626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117"/>
        <w:gridCol w:w="2877"/>
        <w:gridCol w:w="1780"/>
        <w:gridCol w:w="2982"/>
        <w:gridCol w:w="2259"/>
        <w:gridCol w:w="2157"/>
      </w:tblGrid>
      <w:tr w:rsidR="00823317" w14:paraId="1BE6DF8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23EBE1"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1CBDEE"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AF06DE"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A72DFE"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9C3DB7"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AF88A85" w14:textId="77777777" w:rsidR="00A77B3E" w:rsidRDefault="00B16CCF">
            <w:pPr>
              <w:spacing w:before="5pt"/>
              <w:jc w:val="center"/>
              <w:rPr>
                <w:color w:val="000000"/>
                <w:sz w:val="20"/>
              </w:rPr>
            </w:pPr>
            <w:r>
              <w:rPr>
                <w:color w:val="000000"/>
                <w:sz w:val="20"/>
              </w:rPr>
              <w:t>Znesek (v EUR)</w:t>
            </w:r>
          </w:p>
        </w:tc>
      </w:tr>
    </w:tbl>
    <w:p w14:paraId="0319A492" w14:textId="77777777" w:rsidR="00A77B3E" w:rsidRDefault="00A77B3E">
      <w:pPr>
        <w:spacing w:before="5pt"/>
        <w:rPr>
          <w:color w:val="000000"/>
          <w:sz w:val="20"/>
        </w:rPr>
      </w:pPr>
    </w:p>
    <w:p w14:paraId="09CB31CF" w14:textId="77777777" w:rsidR="00A77B3E" w:rsidRDefault="00B16CCF">
      <w:pPr>
        <w:pStyle w:val="Naslov5"/>
        <w:spacing w:before="5pt" w:after="0pt"/>
        <w:rPr>
          <w:b w:val="0"/>
          <w:i w:val="0"/>
          <w:color w:val="000000"/>
          <w:sz w:val="24"/>
        </w:rPr>
      </w:pPr>
      <w:bookmarkStart w:id="662" w:name="_Toc256001423"/>
      <w:r>
        <w:rPr>
          <w:b w:val="0"/>
          <w:i w:val="0"/>
          <w:color w:val="000000"/>
          <w:sz w:val="24"/>
        </w:rPr>
        <w:t>Tabela 8: Razsežnost 7 – razsežnost enakosti spolov v okviru ESS+*, ESRR, Kohezijskega sklada in SPP</w:t>
      </w:r>
      <w:bookmarkEnd w:id="662"/>
    </w:p>
    <w:p w14:paraId="5342919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13"/>
        <w:gridCol w:w="2411"/>
        <w:gridCol w:w="1750"/>
        <w:gridCol w:w="2498"/>
        <w:gridCol w:w="2612"/>
        <w:gridCol w:w="3288"/>
      </w:tblGrid>
      <w:tr w:rsidR="00823317" w14:paraId="241A76F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D831F3"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011B9B"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8CEB76"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320C46"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0D9D64"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E5BD57F" w14:textId="77777777" w:rsidR="00A77B3E" w:rsidRDefault="00B16CCF">
            <w:pPr>
              <w:spacing w:before="5pt"/>
              <w:jc w:val="center"/>
              <w:rPr>
                <w:color w:val="000000"/>
                <w:sz w:val="20"/>
              </w:rPr>
            </w:pPr>
            <w:r>
              <w:rPr>
                <w:color w:val="000000"/>
                <w:sz w:val="20"/>
              </w:rPr>
              <w:t>Znesek (v EUR)</w:t>
            </w:r>
          </w:p>
        </w:tc>
      </w:tr>
      <w:tr w:rsidR="00823317" w14:paraId="69593A9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5328D1" w14:textId="77777777" w:rsidR="00A77B3E" w:rsidRDefault="00B16CCF">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51A527" w14:textId="77777777" w:rsidR="00A77B3E" w:rsidRDefault="00B16CCF">
            <w:pPr>
              <w:spacing w:before="5pt"/>
              <w:rPr>
                <w:color w:val="000000"/>
                <w:sz w:val="20"/>
              </w:rPr>
            </w:pPr>
            <w:r>
              <w:rPr>
                <w:color w:val="000000"/>
                <w:sz w:val="20"/>
              </w:rPr>
              <w:t>RSO5.2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39B118"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4BBD15" w14:textId="77777777" w:rsidR="00A77B3E" w:rsidRDefault="00B16CCF">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A1C6E3" w14:textId="77777777" w:rsidR="00A77B3E" w:rsidRDefault="00B16CCF">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57E0D5" w14:textId="77777777" w:rsidR="00A77B3E" w:rsidRDefault="00B16CCF">
            <w:pPr>
              <w:spacing w:before="5pt"/>
              <w:jc w:val="end"/>
              <w:rPr>
                <w:color w:val="000000"/>
                <w:sz w:val="20"/>
              </w:rPr>
            </w:pPr>
            <w:r>
              <w:rPr>
                <w:color w:val="000000"/>
                <w:sz w:val="20"/>
              </w:rPr>
              <w:t>5.297.973,00</w:t>
            </w:r>
          </w:p>
        </w:tc>
      </w:tr>
      <w:tr w:rsidR="00823317" w14:paraId="2BEECEB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28E229" w14:textId="77777777" w:rsidR="00A77B3E" w:rsidRDefault="00B16CCF">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7900AE" w14:textId="77777777" w:rsidR="00A77B3E" w:rsidRDefault="00B16CCF">
            <w:pPr>
              <w:spacing w:before="5pt"/>
              <w:rPr>
                <w:color w:val="000000"/>
                <w:sz w:val="20"/>
              </w:rPr>
            </w:pPr>
            <w:r>
              <w:rPr>
                <w:color w:val="000000"/>
                <w:sz w:val="20"/>
              </w:rPr>
              <w:t>RSO5.2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1BFF7D" w14:textId="77777777" w:rsidR="00A77B3E" w:rsidRDefault="00B16CCF">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24FDA7" w14:textId="77777777" w:rsidR="00A77B3E" w:rsidRDefault="00B16CCF">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23E60E" w14:textId="77777777" w:rsidR="00A77B3E" w:rsidRDefault="00B16CCF">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3D97A1" w14:textId="77777777" w:rsidR="00A77B3E" w:rsidRDefault="00B16CCF">
            <w:pPr>
              <w:spacing w:before="5pt"/>
              <w:jc w:val="end"/>
              <w:rPr>
                <w:color w:val="000000"/>
                <w:sz w:val="20"/>
              </w:rPr>
            </w:pPr>
            <w:r>
              <w:rPr>
                <w:color w:val="000000"/>
                <w:sz w:val="20"/>
              </w:rPr>
              <w:t>22.842.812,00</w:t>
            </w:r>
          </w:p>
        </w:tc>
      </w:tr>
      <w:tr w:rsidR="00823317" w14:paraId="78F9280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7DD492" w14:textId="77777777" w:rsidR="00A77B3E" w:rsidRDefault="00B16CCF">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50A974" w14:textId="77777777" w:rsidR="00A77B3E" w:rsidRDefault="00B16CCF">
            <w:pPr>
              <w:spacing w:before="5pt"/>
              <w:rPr>
                <w:color w:val="000000"/>
                <w:sz w:val="20"/>
              </w:rPr>
            </w:pPr>
            <w:r>
              <w:rPr>
                <w:color w:val="000000"/>
                <w:sz w:val="20"/>
              </w:rPr>
              <w:t>RSO5.2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817465"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5B3BCF"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12240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FC0FDA" w14:textId="77777777" w:rsidR="00A77B3E" w:rsidRDefault="00B16CCF">
            <w:pPr>
              <w:spacing w:before="5pt"/>
              <w:jc w:val="end"/>
              <w:rPr>
                <w:color w:val="000000"/>
                <w:sz w:val="20"/>
              </w:rPr>
            </w:pPr>
            <w:r>
              <w:rPr>
                <w:color w:val="000000"/>
                <w:sz w:val="20"/>
              </w:rPr>
              <w:t>28.140.785,00</w:t>
            </w:r>
          </w:p>
        </w:tc>
      </w:tr>
    </w:tbl>
    <w:p w14:paraId="0982D00C" w14:textId="77777777" w:rsidR="00A77B3E" w:rsidRDefault="00B16CCF">
      <w:pPr>
        <w:spacing w:before="5pt"/>
        <w:rPr>
          <w:color w:val="000000"/>
          <w:sz w:val="20"/>
        </w:rPr>
      </w:pPr>
      <w:r>
        <w:rPr>
          <w:color w:val="000000"/>
          <w:sz w:val="20"/>
        </w:rPr>
        <w:t>* Načeloma 40 % za ESS+ prispeva k spremljanju enakosti spolov. 100 % se uporabi, kadar se država članica odloči za uporabo člena 6 uredbe o ESS+.</w:t>
      </w:r>
    </w:p>
    <w:p w14:paraId="7A7414ED" w14:textId="77777777" w:rsidR="00A77B3E" w:rsidRDefault="00B16CCF">
      <w:pPr>
        <w:pStyle w:val="Naslov3"/>
        <w:spacing w:before="5pt" w:after="0pt"/>
        <w:rPr>
          <w:rFonts w:ascii="Times New Roman" w:hAnsi="Times New Roman" w:cs="Times New Roman"/>
          <w:b w:val="0"/>
          <w:color w:val="000000"/>
          <w:sz w:val="24"/>
        </w:rPr>
      </w:pPr>
      <w:r>
        <w:rPr>
          <w:rFonts w:ascii="Times New Roman" w:hAnsi="Times New Roman" w:cs="Times New Roman"/>
          <w:b w:val="0"/>
          <w:color w:val="000000"/>
          <w:sz w:val="24"/>
        </w:rPr>
        <w:br w:type="page"/>
      </w:r>
      <w:bookmarkStart w:id="663" w:name="_Toc256001424"/>
      <w:r>
        <w:rPr>
          <w:rFonts w:ascii="Times New Roman" w:hAnsi="Times New Roman" w:cs="Times New Roman"/>
          <w:b w:val="0"/>
          <w:color w:val="000000"/>
          <w:sz w:val="24"/>
        </w:rPr>
        <w:lastRenderedPageBreak/>
        <w:t>2.1.1. Prednostna naloga: 10. Sklad za pravični prehod</w:t>
      </w:r>
      <w:bookmarkEnd w:id="663"/>
    </w:p>
    <w:p w14:paraId="5253CD9E" w14:textId="77777777" w:rsidR="00A77B3E" w:rsidRDefault="00A77B3E">
      <w:pPr>
        <w:spacing w:before="5pt"/>
        <w:rPr>
          <w:color w:val="000000"/>
          <w:sz w:val="0"/>
        </w:rPr>
      </w:pPr>
    </w:p>
    <w:p w14:paraId="74041A9C" w14:textId="77777777" w:rsidR="00A77B3E" w:rsidRDefault="00B16CCF">
      <w:pPr>
        <w:pStyle w:val="Naslov4"/>
        <w:spacing w:before="5pt" w:after="0pt"/>
        <w:rPr>
          <w:b w:val="0"/>
          <w:color w:val="000000"/>
          <w:sz w:val="24"/>
        </w:rPr>
      </w:pPr>
      <w:bookmarkStart w:id="664" w:name="_Toc256001425"/>
      <w:r>
        <w:rPr>
          <w:b w:val="0"/>
          <w:color w:val="000000"/>
          <w:sz w:val="24"/>
        </w:rPr>
        <w:t>2.1.1.1. Specifični cilj: JSO8.1. Omogočanje regijam in ljudem, da obravnavajo socialne, zaposlitvene, gospodarske in okoljske učinke, ki jih ima prehod na energetske in podnebne cilje Unije do leta 2030 in na podnebno nevtralno gospodarstvo Unije do leta 2050 na podlagi Pariškega sporazuma (SPP)</w:t>
      </w:r>
      <w:bookmarkEnd w:id="664"/>
    </w:p>
    <w:p w14:paraId="5C7DC84F" w14:textId="77777777" w:rsidR="00A77B3E" w:rsidRDefault="00A77B3E">
      <w:pPr>
        <w:spacing w:before="5pt"/>
        <w:rPr>
          <w:color w:val="000000"/>
          <w:sz w:val="0"/>
        </w:rPr>
      </w:pPr>
    </w:p>
    <w:p w14:paraId="607A5F6E" w14:textId="77777777" w:rsidR="00A77B3E" w:rsidRDefault="00B16CCF">
      <w:pPr>
        <w:pStyle w:val="Naslov4"/>
        <w:spacing w:before="5pt" w:after="0pt"/>
        <w:rPr>
          <w:b w:val="0"/>
          <w:color w:val="000000"/>
          <w:sz w:val="24"/>
        </w:rPr>
      </w:pPr>
      <w:bookmarkStart w:id="665" w:name="_Toc256001426"/>
      <w:r>
        <w:rPr>
          <w:b w:val="0"/>
          <w:color w:val="000000"/>
          <w:sz w:val="24"/>
        </w:rPr>
        <w:t>2.1.1.1.1. Ukrepi skladov</w:t>
      </w:r>
      <w:bookmarkEnd w:id="665"/>
    </w:p>
    <w:p w14:paraId="51ABEBE8" w14:textId="77777777" w:rsidR="00A77B3E" w:rsidRDefault="00A77B3E">
      <w:pPr>
        <w:spacing w:before="5pt"/>
        <w:rPr>
          <w:color w:val="000000"/>
          <w:sz w:val="0"/>
        </w:rPr>
      </w:pPr>
    </w:p>
    <w:p w14:paraId="4B86012B" w14:textId="77777777" w:rsidR="00A77B3E" w:rsidRDefault="00B16CCF">
      <w:pPr>
        <w:spacing w:before="5pt"/>
        <w:rPr>
          <w:color w:val="000000"/>
          <w:sz w:val="0"/>
        </w:rPr>
      </w:pPr>
      <w:r>
        <w:rPr>
          <w:color w:val="000000"/>
        </w:rPr>
        <w:t>Sklic: člen 22(3)(d)(i), (iii), (iv), (v), (vi) in (vii) uredbe o skupnih določbah</w:t>
      </w:r>
    </w:p>
    <w:p w14:paraId="6EE798F3" w14:textId="77777777" w:rsidR="00A77B3E" w:rsidRDefault="00B16CCF">
      <w:pPr>
        <w:pStyle w:val="Naslov5"/>
        <w:spacing w:before="5pt" w:after="0pt"/>
        <w:rPr>
          <w:b w:val="0"/>
          <w:i w:val="0"/>
          <w:color w:val="000000"/>
          <w:sz w:val="24"/>
        </w:rPr>
      </w:pPr>
      <w:bookmarkStart w:id="666" w:name="_Toc256001427"/>
      <w:r>
        <w:rPr>
          <w:b w:val="0"/>
          <w:i w:val="0"/>
          <w:color w:val="000000"/>
          <w:sz w:val="24"/>
        </w:rPr>
        <w:t>Povezane vrste ukrepov – člen 22(3)(d)(i) uredbe o skupnih določbah in člen 6 uredbe o ESS+:</w:t>
      </w:r>
      <w:bookmarkEnd w:id="666"/>
    </w:p>
    <w:p w14:paraId="45E3834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3DA425C0"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31503B" w14:textId="77777777" w:rsidR="00A77B3E" w:rsidRDefault="00A77B3E">
            <w:pPr>
              <w:spacing w:before="5pt"/>
              <w:rPr>
                <w:color w:val="000000"/>
                <w:sz w:val="0"/>
              </w:rPr>
            </w:pPr>
          </w:p>
          <w:p w14:paraId="32DFBBCE" w14:textId="77777777" w:rsidR="00A77B3E" w:rsidRDefault="00B16CCF">
            <w:pPr>
              <w:spacing w:before="5pt"/>
              <w:rPr>
                <w:color w:val="000000"/>
              </w:rPr>
            </w:pPr>
            <w:r>
              <w:rPr>
                <w:color w:val="000000"/>
              </w:rPr>
              <w:t>Koncept pravičnega prehoda je namenjen regijam in ljudem, da se spopadejo s socialnimi, zaposlitvenimi, gospodarskimi in okoljskimi vplivi prehoda na energetske in podnebne cilje Unije do leta 2030 ter podnebno nevtralno gospodarstvo Unije do leta 2050 na podlagi Pariškega sporazuma. Le-ta obravnava uravnotežen prehod štirih ključnih področij, tj. energetike, okolja, človeških virov in gospodarstva. Gre za izredno kompleksne, dolgotrajne in finančno zahtevne projekte, saj gre za spreminjanje podobe celotne regije, ne samo okoljsko in gospodarsko, ampak tudi z vidika izobraževanja ter socialnih vidikov.</w:t>
            </w:r>
          </w:p>
          <w:p w14:paraId="4C34958B" w14:textId="77777777" w:rsidR="00A77B3E" w:rsidRDefault="00A77B3E">
            <w:pPr>
              <w:spacing w:before="5pt"/>
              <w:rPr>
                <w:color w:val="000000"/>
              </w:rPr>
            </w:pPr>
          </w:p>
          <w:p w14:paraId="1859C8D2" w14:textId="77777777" w:rsidR="00A77B3E" w:rsidRDefault="00B16CCF">
            <w:pPr>
              <w:spacing w:before="5pt"/>
              <w:rPr>
                <w:color w:val="000000"/>
              </w:rPr>
            </w:pPr>
            <w:r>
              <w:rPr>
                <w:color w:val="000000"/>
              </w:rPr>
              <w:t xml:space="preserve">Vlada RS je 13. januarja 2022 sprejela Strategijo za izstop iz premoga za območje obeh premogovnih regij, Savinjsko-šaleško (v nadaljevanju: </w:t>
            </w:r>
            <w:r>
              <w:rPr>
                <w:b/>
                <w:bCs/>
                <w:color w:val="000000"/>
              </w:rPr>
              <w:t>SAŠA</w:t>
            </w:r>
            <w:r>
              <w:rPr>
                <w:color w:val="000000"/>
              </w:rPr>
              <w:t>)</w:t>
            </w:r>
            <w:r>
              <w:rPr>
                <w:b/>
                <w:bCs/>
                <w:color w:val="000000"/>
              </w:rPr>
              <w:t xml:space="preserve"> in Zasavsko območje. </w:t>
            </w:r>
            <w:r>
              <w:rPr>
                <w:color w:val="000000"/>
              </w:rPr>
              <w:t>V njej je pripravljena podrobnejša analiza potreb za štiri identificirana področja: energetiko, področje človeških virov in vzpostavitve socialne infrastrukture, gospodarstvo ter okolje.</w:t>
            </w:r>
          </w:p>
          <w:p w14:paraId="4779D32A" w14:textId="77777777" w:rsidR="00A77B3E" w:rsidRDefault="00A77B3E">
            <w:pPr>
              <w:spacing w:before="5pt"/>
              <w:rPr>
                <w:color w:val="000000"/>
              </w:rPr>
            </w:pPr>
          </w:p>
          <w:p w14:paraId="27A6D8E9" w14:textId="77777777" w:rsidR="00A77B3E" w:rsidRDefault="00B16CCF">
            <w:pPr>
              <w:spacing w:before="5pt"/>
              <w:rPr>
                <w:color w:val="000000"/>
              </w:rPr>
            </w:pPr>
            <w:r>
              <w:rPr>
                <w:color w:val="000000"/>
              </w:rPr>
              <w:t>Na tej osnovi sta pripravljena območna načrta za pravični prehod (v nadaljevanju: ONPP) obeh regij, ki določata vrste predvidenih operacij za doseganje ciljev, ki so opredeljeni glede na evidentirane razvojne potrebe.</w:t>
            </w:r>
          </w:p>
          <w:p w14:paraId="46DC36A4" w14:textId="77777777" w:rsidR="00A77B3E" w:rsidRDefault="00A77B3E">
            <w:pPr>
              <w:spacing w:before="5pt"/>
              <w:rPr>
                <w:color w:val="000000"/>
              </w:rPr>
            </w:pPr>
          </w:p>
          <w:p w14:paraId="0928FCCF" w14:textId="77777777" w:rsidR="00A77B3E" w:rsidRDefault="00B16CCF">
            <w:pPr>
              <w:spacing w:before="5pt"/>
              <w:rPr>
                <w:color w:val="000000"/>
              </w:rPr>
            </w:pPr>
            <w:r>
              <w:rPr>
                <w:color w:val="000000"/>
              </w:rPr>
              <w:t xml:space="preserve">V </w:t>
            </w:r>
            <w:r>
              <w:rPr>
                <w:b/>
                <w:bCs/>
                <w:color w:val="000000"/>
                <w:u w:val="single"/>
              </w:rPr>
              <w:t>Območnem načrtu za pravični prehod SAŠA regije</w:t>
            </w:r>
            <w:r>
              <w:rPr>
                <w:b/>
                <w:bCs/>
                <w:color w:val="000000"/>
              </w:rPr>
              <w:t xml:space="preserve"> </w:t>
            </w:r>
            <w:r>
              <w:rPr>
                <w:color w:val="000000"/>
              </w:rPr>
              <w:t xml:space="preserve">je energetsko prestrukturiranje regije eden od ključnih izzivov in hkrati temelj za njeno razogljičenje. Za doseganje cilja </w:t>
            </w:r>
            <w:r>
              <w:rPr>
                <w:b/>
                <w:bCs/>
                <w:color w:val="000000"/>
              </w:rPr>
              <w:t>pravični energetski prehod</w:t>
            </w:r>
            <w:r>
              <w:rPr>
                <w:color w:val="000000"/>
              </w:rPr>
              <w:t xml:space="preserve"> smo identificirali tri sklope ukrepov:</w:t>
            </w:r>
          </w:p>
          <w:p w14:paraId="047752C4" w14:textId="77777777" w:rsidR="00A77B3E" w:rsidRDefault="00B16CCF">
            <w:pPr>
              <w:spacing w:before="5pt"/>
              <w:rPr>
                <w:color w:val="000000"/>
              </w:rPr>
            </w:pPr>
            <w:r>
              <w:rPr>
                <w:color w:val="000000"/>
              </w:rPr>
              <w:t>-preureditev sistema daljinskega ogrevanja, ki bo zagotavljal cenovno dostopen vir energije za ogrevanje in hlajenje ob hkratnem ohranjanju kakovosti zraka;</w:t>
            </w:r>
          </w:p>
          <w:p w14:paraId="70AEDA34" w14:textId="77777777" w:rsidR="00A77B3E" w:rsidRDefault="00B16CCF">
            <w:pPr>
              <w:spacing w:before="5pt"/>
              <w:rPr>
                <w:color w:val="000000"/>
              </w:rPr>
            </w:pPr>
            <w:r>
              <w:rPr>
                <w:color w:val="000000"/>
              </w:rPr>
              <w:t>-izboljšanje energetske učinkovitosti v gospodarstvu, ki bo podprta v okviru podpore produktivnim naložbam (Strateški cilj 3), v kombinacijami z aktivnostmi za razogljičenje, snovno učinkovitost, ustvarjanje delovnih mest ipd.;</w:t>
            </w:r>
          </w:p>
          <w:p w14:paraId="7EF5F526" w14:textId="77777777" w:rsidR="00A77B3E" w:rsidRDefault="00B16CCF">
            <w:pPr>
              <w:spacing w:before="5pt"/>
              <w:rPr>
                <w:color w:val="000000"/>
              </w:rPr>
            </w:pPr>
            <w:r>
              <w:rPr>
                <w:color w:val="000000"/>
              </w:rPr>
              <w:t>-spodbujanje proizvodnih zmogljivosti rabe in uporabe OVE ter različnih z OVE povezanih tehnologij, vključno z naložbami v sistemske hranilnike električne energije, pri čemer bomo naložbe usmerjali na prostorsko in okoljsko degradirana območja, ki so povezana s premogovništvom in rabo premoga ob spoštovanju načela »onesnaževalec plača«.</w:t>
            </w:r>
          </w:p>
          <w:p w14:paraId="3CCAA12D" w14:textId="77777777" w:rsidR="00A77B3E" w:rsidRDefault="00A77B3E">
            <w:pPr>
              <w:spacing w:before="5pt"/>
              <w:rPr>
                <w:color w:val="000000"/>
              </w:rPr>
            </w:pPr>
          </w:p>
          <w:p w14:paraId="44960441" w14:textId="77777777" w:rsidR="00A77B3E" w:rsidRDefault="00B16CCF">
            <w:pPr>
              <w:spacing w:before="5pt"/>
              <w:rPr>
                <w:color w:val="000000"/>
              </w:rPr>
            </w:pPr>
            <w:r>
              <w:rPr>
                <w:color w:val="000000"/>
              </w:rPr>
              <w:t xml:space="preserve">Za doseganje cilja </w:t>
            </w:r>
            <w:r>
              <w:rPr>
                <w:b/>
                <w:bCs/>
                <w:color w:val="000000"/>
              </w:rPr>
              <w:t xml:space="preserve">zaposlitve in veščine za vse </w:t>
            </w:r>
            <w:r>
              <w:rPr>
                <w:color w:val="000000"/>
              </w:rPr>
              <w:t>smo opredelili naslednje ukrepe</w:t>
            </w:r>
            <w:r>
              <w:rPr>
                <w:b/>
                <w:bCs/>
                <w:color w:val="000000"/>
              </w:rPr>
              <w:t>:</w:t>
            </w:r>
          </w:p>
          <w:p w14:paraId="4A2E0156" w14:textId="77777777" w:rsidR="00A77B3E" w:rsidRDefault="00B16CCF">
            <w:pPr>
              <w:spacing w:before="5pt"/>
              <w:rPr>
                <w:color w:val="000000"/>
              </w:rPr>
            </w:pPr>
            <w:r>
              <w:rPr>
                <w:color w:val="000000"/>
              </w:rPr>
              <w:lastRenderedPageBreak/>
              <w:t>-obogateno izvajanje kakovostnega in dostopnega učenja ter uvajanje krožnih vsebin v vzgojno izobraževalni sistem;</w:t>
            </w:r>
          </w:p>
          <w:p w14:paraId="61F62445" w14:textId="77777777" w:rsidR="00A77B3E" w:rsidRDefault="00B16CCF">
            <w:pPr>
              <w:spacing w:before="5pt"/>
              <w:rPr>
                <w:color w:val="000000"/>
              </w:rPr>
            </w:pPr>
            <w:r>
              <w:rPr>
                <w:color w:val="000000"/>
              </w:rPr>
              <w:t>-vseživljenjska karierna orientacija, usposabljanje in izobraževanje brezposelnih in iskalcev zaposlitve, vključno z zaposlenimi.</w:t>
            </w:r>
          </w:p>
          <w:p w14:paraId="3ADA57B7" w14:textId="77777777" w:rsidR="00A77B3E" w:rsidRDefault="00A77B3E">
            <w:pPr>
              <w:spacing w:before="5pt"/>
              <w:rPr>
                <w:color w:val="000000"/>
              </w:rPr>
            </w:pPr>
          </w:p>
          <w:p w14:paraId="6563C97E" w14:textId="77777777" w:rsidR="00A77B3E" w:rsidRDefault="00B16CCF">
            <w:pPr>
              <w:spacing w:before="5pt"/>
              <w:rPr>
                <w:color w:val="000000"/>
              </w:rPr>
            </w:pPr>
            <w:r>
              <w:rPr>
                <w:color w:val="000000"/>
              </w:rPr>
              <w:t xml:space="preserve">Doseganje strateškega cilja </w:t>
            </w:r>
            <w:r>
              <w:rPr>
                <w:b/>
                <w:bCs/>
                <w:color w:val="000000"/>
              </w:rPr>
              <w:t>trajnostni, prožni in raznolik gospodarski razvoj</w:t>
            </w:r>
            <w:r>
              <w:rPr>
                <w:color w:val="000000"/>
              </w:rPr>
              <w:t xml:space="preserve"> predstavlja temelj za uspešno in pravično prestrukturiranje regije v smeri podnebne nevtralnosti in učinkovite rabe surovin. Sredstva sklada za pravični prehod (v nadaljevanju: SPP) bodo zato namenjena podpori naslednjim (sklopom) ukrepov:</w:t>
            </w:r>
          </w:p>
          <w:p w14:paraId="4035C196" w14:textId="77777777" w:rsidR="00A77B3E" w:rsidRDefault="00B16CCF">
            <w:pPr>
              <w:spacing w:before="5pt"/>
              <w:rPr>
                <w:color w:val="000000"/>
              </w:rPr>
            </w:pPr>
            <w:r>
              <w:rPr>
                <w:color w:val="000000"/>
              </w:rPr>
              <w:t>-naložbe v raziskave, razvoj in inovacije ter proizvodne zmogljivosti v malih in srednjih podjetjih (predvsem proizvodni sektor): v sklopu tega ukrepa bo podpora namenjena tistim strateškim podjetjem, ki bodo zaradi izstopa iz premoga predstavljala steber gospodarske in socialne stabilnosti v regiji;</w:t>
            </w:r>
          </w:p>
          <w:p w14:paraId="69507706" w14:textId="77777777" w:rsidR="00A77B3E" w:rsidRDefault="00B16CCF">
            <w:pPr>
              <w:spacing w:before="5pt"/>
              <w:rPr>
                <w:color w:val="000000"/>
              </w:rPr>
            </w:pPr>
            <w:r>
              <w:rPr>
                <w:color w:val="000000"/>
              </w:rPr>
              <w:t>-razvoj start-up ekosistema ter spodbujanje podjetij s potencialom hitre rasti, vključno z ekonomsko poslovno infrastrukturo ter</w:t>
            </w:r>
          </w:p>
          <w:p w14:paraId="4EF311B9" w14:textId="77777777" w:rsidR="00A77B3E" w:rsidRDefault="00B16CCF">
            <w:pPr>
              <w:spacing w:before="5pt"/>
              <w:rPr>
                <w:color w:val="000000"/>
              </w:rPr>
            </w:pPr>
            <w:r>
              <w:rPr>
                <w:color w:val="000000"/>
              </w:rPr>
              <w:t>-produktivne naložbe, ki niso naložbe v MSP.</w:t>
            </w:r>
          </w:p>
          <w:p w14:paraId="5DFBB94D" w14:textId="77777777" w:rsidR="00A77B3E" w:rsidRDefault="00A77B3E">
            <w:pPr>
              <w:spacing w:before="5pt"/>
              <w:rPr>
                <w:color w:val="000000"/>
              </w:rPr>
            </w:pPr>
          </w:p>
          <w:p w14:paraId="1D00A9AC" w14:textId="77777777" w:rsidR="00A77B3E" w:rsidRDefault="00B16CCF">
            <w:pPr>
              <w:spacing w:before="5pt"/>
              <w:rPr>
                <w:color w:val="000000"/>
              </w:rPr>
            </w:pPr>
            <w:r>
              <w:rPr>
                <w:color w:val="000000"/>
              </w:rPr>
              <w:t xml:space="preserve">Za doseganje strateškega cilja </w:t>
            </w:r>
            <w:r>
              <w:rPr>
                <w:b/>
                <w:bCs/>
                <w:color w:val="000000"/>
              </w:rPr>
              <w:t xml:space="preserve">cenovno dostopna in trajnostna stanovanja </w:t>
            </w:r>
            <w:r>
              <w:rPr>
                <w:color w:val="000000"/>
              </w:rPr>
              <w:t>smo opredelili ukrep:</w:t>
            </w:r>
          </w:p>
          <w:p w14:paraId="3D79F823" w14:textId="77777777" w:rsidR="00A77B3E" w:rsidRDefault="00B16CCF">
            <w:pPr>
              <w:spacing w:before="5pt"/>
              <w:rPr>
                <w:color w:val="000000"/>
              </w:rPr>
            </w:pPr>
            <w:r>
              <w:rPr>
                <w:color w:val="000000"/>
              </w:rPr>
              <w:t>-odkup oziroma prenos stanovanj Premogovnika Velenje d.o.o. in Termoelektrarne Šoštanj za namene zagotavljanja javnih najemnih stanovanj za različne ciljne skupine na Stanovanjski sklad Republike Slovenije.</w:t>
            </w:r>
          </w:p>
          <w:p w14:paraId="0B312997" w14:textId="77777777" w:rsidR="00A77B3E" w:rsidRDefault="00A77B3E">
            <w:pPr>
              <w:spacing w:before="5pt"/>
              <w:rPr>
                <w:color w:val="000000"/>
              </w:rPr>
            </w:pPr>
          </w:p>
          <w:p w14:paraId="78153548" w14:textId="77777777" w:rsidR="00A77B3E" w:rsidRDefault="00B16CCF">
            <w:pPr>
              <w:spacing w:before="5pt"/>
              <w:rPr>
                <w:color w:val="000000"/>
              </w:rPr>
            </w:pPr>
            <w:r>
              <w:rPr>
                <w:color w:val="000000"/>
              </w:rPr>
              <w:t>Načrtovani ukrepi se dopolnjujejo z ukrepi v okviru cilja „naložbe za delovna mesta in rast“, drugimi finančnimi instrumenti in drugima dvema stebroma Mehanizma za pravičen prehod ter dveh zakonov v pripravi: o postopnem zapiranju Premogovnika Velenje ter o gospodarskem prestrukturiranju SAŠA regije.</w:t>
            </w:r>
          </w:p>
          <w:p w14:paraId="60AA0A88" w14:textId="77777777" w:rsidR="00A77B3E" w:rsidRDefault="00A77B3E">
            <w:pPr>
              <w:spacing w:before="5pt"/>
              <w:rPr>
                <w:color w:val="000000"/>
              </w:rPr>
            </w:pPr>
          </w:p>
          <w:p w14:paraId="7662FB83" w14:textId="77777777" w:rsidR="00A77B3E" w:rsidRDefault="00B16CCF">
            <w:pPr>
              <w:spacing w:before="5pt"/>
              <w:rPr>
                <w:color w:val="000000"/>
              </w:rPr>
            </w:pPr>
            <w:r>
              <w:rPr>
                <w:color w:val="000000"/>
              </w:rPr>
              <w:t>Za boljšo regionalno povezljivost in trajnostno mobilnost bomo namenili sredstva drugih skladov Programa in druge vire za izvedbo ukrepov:</w:t>
            </w:r>
          </w:p>
          <w:p w14:paraId="4E57D74F" w14:textId="77777777" w:rsidR="00A77B3E" w:rsidRDefault="00B16CCF">
            <w:pPr>
              <w:spacing w:before="5pt"/>
              <w:rPr>
                <w:color w:val="000000"/>
              </w:rPr>
            </w:pPr>
            <w:r>
              <w:rPr>
                <w:color w:val="000000"/>
              </w:rPr>
              <w:t>-trajnostne lokalne mobilnosti s poudarkom na javnem potniškem prometu ter</w:t>
            </w:r>
          </w:p>
          <w:p w14:paraId="1AEBE252" w14:textId="77777777" w:rsidR="00A77B3E" w:rsidRDefault="00B16CCF">
            <w:pPr>
              <w:spacing w:before="5pt"/>
              <w:rPr>
                <w:color w:val="000000"/>
              </w:rPr>
            </w:pPr>
            <w:r>
              <w:rPr>
                <w:color w:val="000000"/>
              </w:rPr>
              <w:t>-zagotavljanje pogojev za izboljšanje povezljivosti regije.</w:t>
            </w:r>
          </w:p>
          <w:p w14:paraId="6656177D" w14:textId="77777777" w:rsidR="00A77B3E" w:rsidRDefault="00A77B3E">
            <w:pPr>
              <w:spacing w:before="5pt"/>
              <w:rPr>
                <w:color w:val="000000"/>
              </w:rPr>
            </w:pPr>
          </w:p>
          <w:p w14:paraId="0FCFFCFE" w14:textId="77777777" w:rsidR="00A77B3E" w:rsidRDefault="00B16CCF">
            <w:pPr>
              <w:spacing w:before="5pt"/>
              <w:rPr>
                <w:color w:val="000000"/>
              </w:rPr>
            </w:pPr>
            <w:r>
              <w:rPr>
                <w:color w:val="000000"/>
              </w:rPr>
              <w:t xml:space="preserve">V </w:t>
            </w:r>
            <w:r>
              <w:rPr>
                <w:b/>
                <w:bCs/>
                <w:color w:val="000000"/>
                <w:u w:val="single"/>
              </w:rPr>
              <w:t>Območnem načrtu za pravični prehod Zasavske regije</w:t>
            </w:r>
            <w:r>
              <w:rPr>
                <w:color w:val="000000"/>
              </w:rPr>
              <w:t xml:space="preserve"> smo predvideli naslednje vrste ukrepov:</w:t>
            </w:r>
          </w:p>
          <w:p w14:paraId="392942F0" w14:textId="77777777" w:rsidR="00A77B3E" w:rsidRDefault="00A77B3E">
            <w:pPr>
              <w:spacing w:before="5pt"/>
              <w:rPr>
                <w:color w:val="000000"/>
              </w:rPr>
            </w:pPr>
          </w:p>
          <w:p w14:paraId="7EF9C088" w14:textId="77777777" w:rsidR="00A77B3E" w:rsidRDefault="00B16CCF">
            <w:pPr>
              <w:spacing w:before="5pt"/>
              <w:rPr>
                <w:color w:val="000000"/>
              </w:rPr>
            </w:pPr>
            <w:r>
              <w:rPr>
                <w:color w:val="000000"/>
              </w:rPr>
              <w:t xml:space="preserve">Zmanjševanje emisij TGP v regiji bo prispevalo k razogljičenju celotnega gospodarstva v državi. Za doseganje največjega možnega prispevka k nacionalnim ciljem bomo s sredstvi tega sklada v okviru cilja </w:t>
            </w:r>
            <w:r>
              <w:rPr>
                <w:b/>
                <w:bCs/>
                <w:color w:val="000000"/>
              </w:rPr>
              <w:t>izkoriščanje potencialov za razogljičenje regije</w:t>
            </w:r>
            <w:r>
              <w:rPr>
                <w:color w:val="000000"/>
              </w:rPr>
              <w:t>, podprli aktivnosti naslednjih ukrepov:</w:t>
            </w:r>
          </w:p>
          <w:p w14:paraId="4E5C2F52" w14:textId="77777777" w:rsidR="00A77B3E" w:rsidRDefault="00B16CCF">
            <w:pPr>
              <w:spacing w:before="5pt"/>
              <w:rPr>
                <w:color w:val="000000"/>
              </w:rPr>
            </w:pPr>
            <w:r>
              <w:rPr>
                <w:color w:val="000000"/>
              </w:rPr>
              <w:t>-proizvodnja različnih tehnologij OVE in naložbe v sistemske in druge hranilnike električne energije;</w:t>
            </w:r>
          </w:p>
          <w:p w14:paraId="419037D4" w14:textId="77777777" w:rsidR="00A77B3E" w:rsidRDefault="00B16CCF">
            <w:pPr>
              <w:spacing w:before="5pt"/>
              <w:rPr>
                <w:color w:val="000000"/>
              </w:rPr>
            </w:pPr>
            <w:r>
              <w:rPr>
                <w:color w:val="000000"/>
              </w:rPr>
              <w:t>-izboljšanje energetske učinkovitosti v gospodarstvu.</w:t>
            </w:r>
          </w:p>
          <w:p w14:paraId="54BA8E17" w14:textId="77777777" w:rsidR="00A77B3E" w:rsidRDefault="00A77B3E">
            <w:pPr>
              <w:spacing w:before="5pt"/>
              <w:rPr>
                <w:color w:val="000000"/>
              </w:rPr>
            </w:pPr>
          </w:p>
          <w:p w14:paraId="13E9EC8A" w14:textId="77777777" w:rsidR="00A77B3E" w:rsidRDefault="00B16CCF">
            <w:pPr>
              <w:spacing w:before="5pt"/>
              <w:rPr>
                <w:color w:val="000000"/>
              </w:rPr>
            </w:pPr>
            <w:r>
              <w:rPr>
                <w:color w:val="000000"/>
              </w:rPr>
              <w:t xml:space="preserve">Doseganje strateškega cilja </w:t>
            </w:r>
            <w:r>
              <w:rPr>
                <w:b/>
                <w:bCs/>
                <w:color w:val="000000"/>
              </w:rPr>
              <w:t>trajnostni, prožni in raznolik gospodarski razvoj</w:t>
            </w:r>
            <w:r>
              <w:rPr>
                <w:color w:val="000000"/>
              </w:rPr>
              <w:t xml:space="preserve"> predstavlja temelj za uspešno in pravično prestrukturiranje regije v smeri podnebne nevtralnosti in učinkovite rabe surovin. Načrtovana kombinacija ukrepov bo usmerjena v gospodarsko prestrukturiranje regije, skladno z NEPN in S5 ter regionalnim razvojnim programom Zasavja, v smeri prehoda v nizkoogljično, krožno, digitalizirano gospodarstvo z izkoriščanjem oziroma preobrazbo obstoječih dejavnosti, vezanih na preteklo premogovno intenzivno gospodarsko aktivnost. Sredstva SPP bodo zato namenjena podpori naslednjim (sklopom) ukrepov:</w:t>
            </w:r>
          </w:p>
          <w:p w14:paraId="102417FE" w14:textId="77777777" w:rsidR="00A77B3E" w:rsidRDefault="00B16CCF">
            <w:pPr>
              <w:spacing w:before="5pt"/>
              <w:rPr>
                <w:color w:val="000000"/>
              </w:rPr>
            </w:pPr>
            <w:r>
              <w:rPr>
                <w:color w:val="000000"/>
              </w:rPr>
              <w:t>-naložbe v raziskave, razvoj in inovacije ter proizvodne zmogljivosti regije predvsem v malih in srednjih podjetjih (proizvodni sektor);</w:t>
            </w:r>
          </w:p>
          <w:p w14:paraId="53B9250B" w14:textId="77777777" w:rsidR="00A77B3E" w:rsidRDefault="00B16CCF">
            <w:pPr>
              <w:spacing w:before="5pt"/>
              <w:rPr>
                <w:color w:val="000000"/>
              </w:rPr>
            </w:pPr>
            <w:r>
              <w:rPr>
                <w:color w:val="000000"/>
              </w:rPr>
              <w:t>-razvoj start-up ekosistema ter spodbujanje podjetij s potencialom hitre rasti, vključno z ekonomsko poslovno infrastrukturo ter</w:t>
            </w:r>
          </w:p>
          <w:p w14:paraId="00CEF290" w14:textId="77777777" w:rsidR="00A77B3E" w:rsidRDefault="00B16CCF">
            <w:pPr>
              <w:spacing w:before="5pt"/>
              <w:rPr>
                <w:color w:val="000000"/>
              </w:rPr>
            </w:pPr>
            <w:r>
              <w:rPr>
                <w:color w:val="000000"/>
              </w:rPr>
              <w:t>-produktivne naložbe, ki niso naložbe v MSP.</w:t>
            </w:r>
          </w:p>
          <w:p w14:paraId="1E3C3071" w14:textId="77777777" w:rsidR="00A77B3E" w:rsidRDefault="00A77B3E">
            <w:pPr>
              <w:spacing w:before="5pt"/>
              <w:rPr>
                <w:color w:val="000000"/>
              </w:rPr>
            </w:pPr>
          </w:p>
          <w:p w14:paraId="061B2663" w14:textId="77777777" w:rsidR="00A77B3E" w:rsidRDefault="00B16CCF">
            <w:pPr>
              <w:spacing w:before="5pt"/>
              <w:rPr>
                <w:color w:val="000000"/>
              </w:rPr>
            </w:pPr>
            <w:r>
              <w:rPr>
                <w:color w:val="000000"/>
              </w:rPr>
              <w:t xml:space="preserve">Za doseganje cilja </w:t>
            </w:r>
            <w:r>
              <w:rPr>
                <w:b/>
                <w:bCs/>
                <w:color w:val="000000"/>
              </w:rPr>
              <w:t>visoko motivirani in usposobljeni prebivalci</w:t>
            </w:r>
            <w:r>
              <w:rPr>
                <w:color w:val="000000"/>
              </w:rPr>
              <w:t xml:space="preserve"> bo podpora namenjena naslednjim ukrepom:</w:t>
            </w:r>
          </w:p>
          <w:p w14:paraId="5A9C5FF2" w14:textId="77777777" w:rsidR="00A77B3E" w:rsidRDefault="00B16CCF">
            <w:pPr>
              <w:spacing w:before="5pt"/>
              <w:rPr>
                <w:color w:val="000000"/>
              </w:rPr>
            </w:pPr>
            <w:r>
              <w:rPr>
                <w:color w:val="000000"/>
              </w:rPr>
              <w:t>-obogateno izvajanje kakovostnega in dostopnega učenja ter uvajanje krožnih vsebin v vzgojno izobraževalne zavode;</w:t>
            </w:r>
          </w:p>
          <w:p w14:paraId="3C199D0B" w14:textId="77777777" w:rsidR="00A77B3E" w:rsidRDefault="00B16CCF">
            <w:pPr>
              <w:spacing w:before="5pt"/>
              <w:rPr>
                <w:color w:val="000000"/>
              </w:rPr>
            </w:pPr>
            <w:r>
              <w:rPr>
                <w:color w:val="000000"/>
              </w:rPr>
              <w:t>-vseživljenjska karierna orientacija, usposabljanje in izobraževanje brezposelnih in iskalcev zaposlitve, vključno z zaposlenimi.</w:t>
            </w:r>
          </w:p>
          <w:p w14:paraId="3DAA9426" w14:textId="77777777" w:rsidR="00A77B3E" w:rsidRDefault="00A77B3E">
            <w:pPr>
              <w:spacing w:before="5pt"/>
              <w:rPr>
                <w:color w:val="000000"/>
              </w:rPr>
            </w:pPr>
          </w:p>
          <w:p w14:paraId="540257E3" w14:textId="77777777" w:rsidR="00A77B3E" w:rsidRDefault="00B16CCF">
            <w:pPr>
              <w:spacing w:before="5pt"/>
              <w:rPr>
                <w:color w:val="000000"/>
              </w:rPr>
            </w:pPr>
            <w:r>
              <w:rPr>
                <w:color w:val="000000"/>
              </w:rPr>
              <w:t xml:space="preserve">Za doseganje cilja </w:t>
            </w:r>
            <w:r>
              <w:rPr>
                <w:b/>
                <w:bCs/>
                <w:color w:val="000000"/>
              </w:rPr>
              <w:t>cenovno dostopna in trajnostna stanovanja</w:t>
            </w:r>
            <w:r>
              <w:rPr>
                <w:color w:val="000000"/>
              </w:rPr>
              <w:t xml:space="preserve"> bo podpora namenjena ukrepu:</w:t>
            </w:r>
          </w:p>
          <w:p w14:paraId="78F27062" w14:textId="77777777" w:rsidR="00A77B3E" w:rsidRDefault="00B16CCF">
            <w:pPr>
              <w:spacing w:before="5pt"/>
              <w:rPr>
                <w:color w:val="000000"/>
              </w:rPr>
            </w:pPr>
            <w:r>
              <w:rPr>
                <w:color w:val="000000"/>
              </w:rPr>
              <w:t>-vzdrževanje in prenova posameznih stanovanjskih enot (v večstanovanjskih stavbah), s ciljem večje funkcionalnosti in ustreznosti glede na spremenjene zahteve uporabnikov ter s tem ohranjanja kvalitete in vrednosti obstoječega fonda javnih najemnih stanovanj, javnih najemnih oskrbovanih stanovanj oz. bivalnih enot, oddanih skladno z 88.členom Stanovanjskega zakona.</w:t>
            </w:r>
          </w:p>
          <w:p w14:paraId="07CE6667" w14:textId="77777777" w:rsidR="00A77B3E" w:rsidRDefault="00A77B3E">
            <w:pPr>
              <w:spacing w:before="5pt"/>
              <w:rPr>
                <w:color w:val="000000"/>
              </w:rPr>
            </w:pPr>
          </w:p>
          <w:p w14:paraId="143B2834" w14:textId="77777777" w:rsidR="00A77B3E" w:rsidRDefault="00B16CCF">
            <w:pPr>
              <w:spacing w:before="5pt"/>
              <w:rPr>
                <w:color w:val="000000"/>
              </w:rPr>
            </w:pPr>
            <w:r>
              <w:rPr>
                <w:color w:val="000000"/>
              </w:rPr>
              <w:t>Ukrepi se dopolnjujejo in povezujejo s podporo ukrepom v okviru relevantnih ciljev politik v okviru cilja „naložbe za delovna mesta in rast“ ter drugimi finančnimi instrumenti in drugima dvema stebroma Mehanizma za pravičen prehod.</w:t>
            </w:r>
          </w:p>
          <w:p w14:paraId="3C8221DE" w14:textId="77777777" w:rsidR="00A77B3E" w:rsidRDefault="00A77B3E">
            <w:pPr>
              <w:spacing w:before="5pt"/>
              <w:rPr>
                <w:color w:val="000000"/>
              </w:rPr>
            </w:pPr>
          </w:p>
          <w:p w14:paraId="675A065B" w14:textId="77777777" w:rsidR="00A77B3E" w:rsidRDefault="00B16CCF">
            <w:pPr>
              <w:spacing w:before="5pt"/>
              <w:rPr>
                <w:color w:val="000000"/>
              </w:rPr>
            </w:pPr>
            <w:r>
              <w:rPr>
                <w:color w:val="000000"/>
              </w:rPr>
              <w:t xml:space="preserve">Za </w:t>
            </w:r>
            <w:r>
              <w:rPr>
                <w:b/>
                <w:bCs/>
                <w:color w:val="000000"/>
              </w:rPr>
              <w:t>izboljšanje znotraj in zunaj-regijske povezljivosti</w:t>
            </w:r>
            <w:r>
              <w:rPr>
                <w:color w:val="000000"/>
              </w:rPr>
              <w:t xml:space="preserve"> bomo s sredstvi drugih skladov Programa in III. stebra Mehanizma za pravični prehod podprli naslednje ukrepe:</w:t>
            </w:r>
          </w:p>
          <w:p w14:paraId="03B2C08E" w14:textId="77777777" w:rsidR="00A77B3E" w:rsidRDefault="00B16CCF">
            <w:pPr>
              <w:spacing w:before="5pt"/>
              <w:rPr>
                <w:color w:val="000000"/>
              </w:rPr>
            </w:pPr>
            <w:r>
              <w:rPr>
                <w:color w:val="000000"/>
              </w:rPr>
              <w:t>-spodbujanje naložb v trajnostno lokalno mobilnost s poudarkom na javnem potniškem prometu in</w:t>
            </w:r>
          </w:p>
          <w:p w14:paraId="7B91C5D9" w14:textId="77777777" w:rsidR="00A77B3E" w:rsidRDefault="00B16CCF">
            <w:pPr>
              <w:spacing w:before="5pt"/>
              <w:rPr>
                <w:color w:val="000000"/>
              </w:rPr>
            </w:pPr>
            <w:r>
              <w:rPr>
                <w:color w:val="000000"/>
              </w:rPr>
              <w:t>-razvoj in modernizacija povezav regije za potrebe rasti gospodarstva.</w:t>
            </w:r>
          </w:p>
          <w:p w14:paraId="226013DD" w14:textId="77777777" w:rsidR="00A77B3E" w:rsidRDefault="00B16CCF">
            <w:pPr>
              <w:spacing w:before="5pt"/>
              <w:rPr>
                <w:color w:val="000000"/>
              </w:rPr>
            </w:pPr>
            <w:r>
              <w:rPr>
                <w:color w:val="000000"/>
              </w:rPr>
              <w:t>Kjer bo relevantno, bo izvajanje ukrepov skladno s pobudo Novi evropski Bauhaus.</w:t>
            </w:r>
          </w:p>
          <w:p w14:paraId="5AE6CCD7" w14:textId="77777777" w:rsidR="00A77B3E" w:rsidRDefault="00B16CCF">
            <w:pPr>
              <w:spacing w:before="5pt"/>
              <w:rPr>
                <w:color w:val="000000"/>
              </w:rPr>
            </w:pPr>
            <w:r>
              <w:rPr>
                <w:color w:val="000000"/>
              </w:rPr>
              <w:t xml:space="preserve">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Ugotovljeno je bilo, da noben </w:t>
            </w:r>
            <w:r>
              <w:rPr>
                <w:color w:val="000000"/>
              </w:rPr>
              <w:lastRenderedPageBreak/>
              <w:t>ukrep nima bistvenega škodljivega vpliva na katerega koli od šestih okoljskih ciljev ob upoštevanju tehničnih meril, navedenih v Prilogi: DNSH. Vsaka investicija/operacija na področju zagotavljanja lesne biomase za proizvodnjo toplotne energije za daljinsko ogrevanje bo dodatno ocenjena skozi DNSH pravila za upravljanje z gozdovi ter da povečana raba lesne biomase ne bo povečala sečnje gozdov, ki bi jih spremenila v plantaže ali povečala uvoza lesne biomase iz drugih držav.</w:t>
            </w:r>
          </w:p>
          <w:p w14:paraId="634D3FDA" w14:textId="77777777" w:rsidR="00A77B3E" w:rsidRDefault="00A77B3E">
            <w:pPr>
              <w:spacing w:before="5pt"/>
              <w:rPr>
                <w:color w:val="000000"/>
                <w:sz w:val="6"/>
              </w:rPr>
            </w:pPr>
          </w:p>
          <w:p w14:paraId="25976FAE" w14:textId="77777777" w:rsidR="00A77B3E" w:rsidRDefault="00A77B3E">
            <w:pPr>
              <w:spacing w:before="5pt"/>
              <w:rPr>
                <w:color w:val="000000"/>
                <w:sz w:val="6"/>
              </w:rPr>
            </w:pPr>
          </w:p>
        </w:tc>
      </w:tr>
    </w:tbl>
    <w:p w14:paraId="5D4911C9" w14:textId="77777777" w:rsidR="00A77B3E" w:rsidRDefault="00A77B3E">
      <w:pPr>
        <w:spacing w:before="5pt"/>
        <w:rPr>
          <w:color w:val="000000"/>
        </w:rPr>
      </w:pPr>
    </w:p>
    <w:p w14:paraId="573C4075" w14:textId="77777777" w:rsidR="00A77B3E" w:rsidRDefault="00B16CCF">
      <w:pPr>
        <w:pStyle w:val="Naslov5"/>
        <w:spacing w:before="5pt" w:after="0pt"/>
        <w:rPr>
          <w:b w:val="0"/>
          <w:i w:val="0"/>
          <w:color w:val="000000"/>
          <w:sz w:val="24"/>
        </w:rPr>
      </w:pPr>
      <w:bookmarkStart w:id="667" w:name="_Toc256001428"/>
      <w:r>
        <w:rPr>
          <w:b w:val="0"/>
          <w:i w:val="0"/>
          <w:color w:val="000000"/>
          <w:sz w:val="24"/>
        </w:rPr>
        <w:t>Glavne ciljne skupine – člen 22(3)(d)(iii) uredbe o skupnih določbah:</w:t>
      </w:r>
      <w:bookmarkEnd w:id="667"/>
    </w:p>
    <w:p w14:paraId="3D81ACA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211EDE04"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CA89CB" w14:textId="77777777" w:rsidR="00A77B3E" w:rsidRDefault="00A77B3E">
            <w:pPr>
              <w:spacing w:before="5pt"/>
              <w:rPr>
                <w:color w:val="000000"/>
                <w:sz w:val="0"/>
              </w:rPr>
            </w:pPr>
          </w:p>
          <w:p w14:paraId="1F1510E2" w14:textId="77777777" w:rsidR="00A77B3E" w:rsidRDefault="00B16CCF">
            <w:pPr>
              <w:spacing w:before="5pt"/>
              <w:rPr>
                <w:color w:val="000000"/>
              </w:rPr>
            </w:pPr>
            <w:r>
              <w:rPr>
                <w:color w:val="000000"/>
              </w:rPr>
              <w:t>Ciljne skupine: podjetja, regionalna razvojna partnerstva, javni sektor, učenci, dijaki, vzgojno izobraževalni zavodi in posamezniki na območjih, opredeljenih v območnih načrtih.</w:t>
            </w:r>
          </w:p>
          <w:p w14:paraId="0635634E" w14:textId="77777777" w:rsidR="00A77B3E" w:rsidRDefault="00A77B3E">
            <w:pPr>
              <w:spacing w:before="5pt"/>
              <w:rPr>
                <w:color w:val="000000"/>
              </w:rPr>
            </w:pPr>
          </w:p>
          <w:p w14:paraId="492F5976" w14:textId="77777777" w:rsidR="00A77B3E" w:rsidRDefault="00B16CCF">
            <w:pPr>
              <w:spacing w:before="5pt"/>
              <w:rPr>
                <w:color w:val="000000"/>
              </w:rPr>
            </w:pPr>
            <w:r>
              <w:rPr>
                <w:color w:val="000000"/>
              </w:rPr>
              <w:t>Upravičenci: podjetja, zadruge, javni skladi, javni zavodi (javni raziskovalni zavodi, ZRSZ), vrtci in šole, vpisani v razvid, institucije podpornega okolja, regionalna razvojna partnerstva, neprofitne organizacije in lokalne skupnosti na območjih, opredeljenih v območnih načrtih.</w:t>
            </w:r>
          </w:p>
          <w:p w14:paraId="3887F190" w14:textId="77777777" w:rsidR="00A77B3E" w:rsidRDefault="00A77B3E">
            <w:pPr>
              <w:spacing w:before="5pt"/>
              <w:rPr>
                <w:color w:val="000000"/>
                <w:sz w:val="6"/>
              </w:rPr>
            </w:pPr>
          </w:p>
          <w:p w14:paraId="524AF827" w14:textId="77777777" w:rsidR="00A77B3E" w:rsidRDefault="00A77B3E">
            <w:pPr>
              <w:spacing w:before="5pt"/>
              <w:rPr>
                <w:color w:val="000000"/>
                <w:sz w:val="6"/>
              </w:rPr>
            </w:pPr>
          </w:p>
        </w:tc>
      </w:tr>
    </w:tbl>
    <w:p w14:paraId="3837FDDF" w14:textId="77777777" w:rsidR="00A77B3E" w:rsidRDefault="00A77B3E">
      <w:pPr>
        <w:spacing w:before="5pt"/>
        <w:rPr>
          <w:color w:val="000000"/>
        </w:rPr>
      </w:pPr>
    </w:p>
    <w:p w14:paraId="57131340" w14:textId="77777777" w:rsidR="00A77B3E" w:rsidRDefault="00B16CCF">
      <w:pPr>
        <w:pStyle w:val="Naslov5"/>
        <w:spacing w:before="5pt" w:after="0pt"/>
        <w:rPr>
          <w:b w:val="0"/>
          <w:i w:val="0"/>
          <w:color w:val="000000"/>
          <w:sz w:val="24"/>
        </w:rPr>
      </w:pPr>
      <w:bookmarkStart w:id="668" w:name="_Toc256001429"/>
      <w:r>
        <w:rPr>
          <w:b w:val="0"/>
          <w:i w:val="0"/>
          <w:color w:val="000000"/>
          <w:sz w:val="24"/>
        </w:rPr>
        <w:t>Ukrepi za zaščito enakosti, vključenosti in nediskriminacije – člen 22(3)(d)(iv) uredbe o skupnih določbah in člen 6 uredbe o ESS+</w:t>
      </w:r>
      <w:bookmarkEnd w:id="668"/>
    </w:p>
    <w:p w14:paraId="11D663C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1E6F2BB4"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BEA7DA" w14:textId="77777777" w:rsidR="00A77B3E" w:rsidRDefault="00A77B3E">
            <w:pPr>
              <w:spacing w:before="5pt"/>
              <w:rPr>
                <w:color w:val="000000"/>
                <w:sz w:val="0"/>
              </w:rPr>
            </w:pPr>
          </w:p>
          <w:p w14:paraId="753A38DF" w14:textId="77777777" w:rsidR="00A77B3E" w:rsidRDefault="00B16CCF">
            <w:pPr>
              <w:spacing w:before="5pt"/>
              <w:rPr>
                <w:color w:val="000000"/>
              </w:rPr>
            </w:pPr>
            <w:r>
              <w:rPr>
                <w:color w:val="000000"/>
              </w:rPr>
              <w:t>V okviru ukrepov bodo spoštovana načela enakosti spolov, enakih možnosti in nediskriminacije, saj je enakost spolov temeljna vrednota EU in temeljna pravica ter ključno načelo evropskega stebra socialnih pravic. Skladno z 12. členom Zakona o enakih možnostih žensk in moških (Uradni list RS, št. 59/02, 61/07 – ZUNEO-A, 33/16 – ZVarD in 59/19) bomo na vseh predvidenih področjih zagotovili enako obravnavanje obeh spolov. Pri oblikovanju in izvedbi razpisov in javnega naročanja bo z uporabo jasnih, objektivnih in nediskriminatornih pogojev in meril za izbor vlog v celoti zagotovljena transparentnost in spoštovanje pravnega reda EU in RS.</w:t>
            </w:r>
          </w:p>
          <w:p w14:paraId="55A4CBAE" w14:textId="77777777" w:rsidR="00A77B3E" w:rsidRDefault="00A77B3E">
            <w:pPr>
              <w:spacing w:before="5pt"/>
              <w:rPr>
                <w:color w:val="000000"/>
                <w:sz w:val="6"/>
              </w:rPr>
            </w:pPr>
          </w:p>
          <w:p w14:paraId="2E26B80A" w14:textId="77777777" w:rsidR="00A77B3E" w:rsidRDefault="00A77B3E">
            <w:pPr>
              <w:spacing w:before="5pt"/>
              <w:rPr>
                <w:color w:val="000000"/>
                <w:sz w:val="6"/>
              </w:rPr>
            </w:pPr>
          </w:p>
        </w:tc>
      </w:tr>
    </w:tbl>
    <w:p w14:paraId="29EC6A97" w14:textId="77777777" w:rsidR="00A77B3E" w:rsidRDefault="00A77B3E">
      <w:pPr>
        <w:spacing w:before="5pt"/>
        <w:rPr>
          <w:color w:val="000000"/>
        </w:rPr>
      </w:pPr>
    </w:p>
    <w:p w14:paraId="6DC1E04B" w14:textId="77777777" w:rsidR="00A77B3E" w:rsidRDefault="00B16CCF">
      <w:pPr>
        <w:pStyle w:val="Naslov5"/>
        <w:spacing w:before="5pt" w:after="0pt"/>
        <w:rPr>
          <w:b w:val="0"/>
          <w:i w:val="0"/>
          <w:color w:val="000000"/>
          <w:sz w:val="24"/>
        </w:rPr>
      </w:pPr>
      <w:bookmarkStart w:id="669" w:name="_Toc256001430"/>
      <w:r>
        <w:rPr>
          <w:b w:val="0"/>
          <w:i w:val="0"/>
          <w:color w:val="000000"/>
          <w:sz w:val="24"/>
        </w:rPr>
        <w:t>Navedba specifičnih ciljnih ozemelj, vključno z načrtovano uporabo teritorialnih orodij – člen 22(3)(d)(v) uredbe o skupnih določbah</w:t>
      </w:r>
      <w:bookmarkEnd w:id="669"/>
    </w:p>
    <w:p w14:paraId="41C69B5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3C7AE22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429A24" w14:textId="77777777" w:rsidR="00A77B3E" w:rsidRDefault="00A77B3E">
            <w:pPr>
              <w:spacing w:before="5pt"/>
              <w:rPr>
                <w:color w:val="000000"/>
                <w:sz w:val="0"/>
              </w:rPr>
            </w:pPr>
          </w:p>
          <w:p w14:paraId="45205E19" w14:textId="77777777" w:rsidR="00A77B3E" w:rsidRDefault="00B16CCF">
            <w:pPr>
              <w:spacing w:before="5pt"/>
              <w:rPr>
                <w:color w:val="000000"/>
              </w:rPr>
            </w:pPr>
            <w:r>
              <w:rPr>
                <w:color w:val="000000"/>
              </w:rPr>
              <w:t>V okviru navedenega specifičnega cilja ni predvidena uporaba teritorialnih orodij.</w:t>
            </w:r>
          </w:p>
          <w:p w14:paraId="05C6CB37" w14:textId="77777777" w:rsidR="00A77B3E" w:rsidRDefault="00B16CCF">
            <w:pPr>
              <w:spacing w:before="5pt"/>
              <w:rPr>
                <w:color w:val="000000"/>
              </w:rPr>
            </w:pPr>
            <w:r>
              <w:rPr>
                <w:color w:val="000000"/>
              </w:rPr>
              <w:t>V okviru navedenega specifičnega cilja sta upravičeni območji dveh premogovnih regij:</w:t>
            </w:r>
          </w:p>
          <w:p w14:paraId="366EA033" w14:textId="77777777" w:rsidR="00A77B3E" w:rsidRDefault="00B16CCF">
            <w:pPr>
              <w:spacing w:before="5pt"/>
              <w:rPr>
                <w:color w:val="000000"/>
              </w:rPr>
            </w:pPr>
            <w:r>
              <w:rPr>
                <w:color w:val="000000"/>
              </w:rPr>
              <w:t>- Savinjsko-Šaleška (SAŠA) - ožje in širše območje je del območja NUTS 3 (SI034 Savinjska). Občine ožjega in širšega območja so opredeljene v ONPP SAŠA;</w:t>
            </w:r>
          </w:p>
          <w:p w14:paraId="4D04863D" w14:textId="77777777" w:rsidR="00A77B3E" w:rsidRDefault="00B16CCF">
            <w:pPr>
              <w:spacing w:before="5pt"/>
              <w:rPr>
                <w:color w:val="000000"/>
              </w:rPr>
            </w:pPr>
            <w:r>
              <w:rPr>
                <w:color w:val="000000"/>
              </w:rPr>
              <w:lastRenderedPageBreak/>
              <w:t>- Zasavska - širše območje je NUTS3 (SI035 Zasavje); ožje območje je del območja NUTS3 (SI035 Zasavje). Občine ožjega območja so opredeljene v ONPP Zasavje.</w:t>
            </w:r>
          </w:p>
          <w:p w14:paraId="419EB777" w14:textId="77777777" w:rsidR="00A77B3E" w:rsidRDefault="00A77B3E">
            <w:pPr>
              <w:spacing w:before="5pt"/>
              <w:rPr>
                <w:color w:val="000000"/>
                <w:sz w:val="6"/>
              </w:rPr>
            </w:pPr>
          </w:p>
          <w:p w14:paraId="00F119E4" w14:textId="77777777" w:rsidR="00A77B3E" w:rsidRDefault="00A77B3E">
            <w:pPr>
              <w:spacing w:before="5pt"/>
              <w:rPr>
                <w:color w:val="000000"/>
                <w:sz w:val="6"/>
              </w:rPr>
            </w:pPr>
          </w:p>
        </w:tc>
      </w:tr>
    </w:tbl>
    <w:p w14:paraId="514286A0" w14:textId="77777777" w:rsidR="00A77B3E" w:rsidRDefault="00A77B3E">
      <w:pPr>
        <w:spacing w:before="5pt"/>
        <w:rPr>
          <w:color w:val="000000"/>
        </w:rPr>
      </w:pPr>
    </w:p>
    <w:p w14:paraId="00337D9F" w14:textId="77777777" w:rsidR="00A77B3E" w:rsidRDefault="00B16CCF">
      <w:pPr>
        <w:pStyle w:val="Naslov5"/>
        <w:spacing w:before="5pt" w:after="0pt"/>
        <w:rPr>
          <w:b w:val="0"/>
          <w:i w:val="0"/>
          <w:color w:val="000000"/>
          <w:sz w:val="24"/>
        </w:rPr>
      </w:pPr>
      <w:bookmarkStart w:id="670" w:name="_Toc256001431"/>
      <w:r>
        <w:rPr>
          <w:b w:val="0"/>
          <w:i w:val="0"/>
          <w:color w:val="000000"/>
          <w:sz w:val="24"/>
        </w:rPr>
        <w:t>Medregionalni, čezmejni in transnacionalni ukrepi – člen 22(3)(d)(vi) uredbe o skupnih določbah</w:t>
      </w:r>
      <w:bookmarkEnd w:id="670"/>
    </w:p>
    <w:p w14:paraId="5266F9E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7A4F075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8DF526" w14:textId="77777777" w:rsidR="00A77B3E" w:rsidRDefault="00A77B3E">
            <w:pPr>
              <w:spacing w:before="5pt"/>
              <w:rPr>
                <w:color w:val="000000"/>
                <w:sz w:val="0"/>
              </w:rPr>
            </w:pPr>
          </w:p>
          <w:p w14:paraId="0802A00E" w14:textId="77777777" w:rsidR="00A77B3E" w:rsidRDefault="00B16CCF">
            <w:pPr>
              <w:spacing w:before="5pt"/>
              <w:rPr>
                <w:color w:val="000000"/>
              </w:rPr>
            </w:pPr>
            <w:r>
              <w:rPr>
                <w:color w:val="000000"/>
              </w:rPr>
              <w:t>V okviru predmetnega specifičnega cilja medregionalni, čezmejni in transnacionalni ukrepi niso predvideni. V širšem smislu pa bodo investicije, ki se bodo izvedle v obeh ONPP-jih doprinesle k vsebinam makroregionalnih strategij na področjih gospodarstva, energetike, okolja in človeških virov.</w:t>
            </w:r>
          </w:p>
          <w:p w14:paraId="67C2E61E" w14:textId="77777777" w:rsidR="00A77B3E" w:rsidRDefault="00A77B3E">
            <w:pPr>
              <w:spacing w:before="5pt"/>
              <w:rPr>
                <w:color w:val="000000"/>
                <w:sz w:val="6"/>
              </w:rPr>
            </w:pPr>
          </w:p>
          <w:p w14:paraId="3B02ED1B" w14:textId="77777777" w:rsidR="00A77B3E" w:rsidRDefault="00A77B3E">
            <w:pPr>
              <w:spacing w:before="5pt"/>
              <w:rPr>
                <w:color w:val="000000"/>
                <w:sz w:val="6"/>
              </w:rPr>
            </w:pPr>
          </w:p>
        </w:tc>
      </w:tr>
    </w:tbl>
    <w:p w14:paraId="44D968FA" w14:textId="77777777" w:rsidR="00A77B3E" w:rsidRDefault="00A77B3E">
      <w:pPr>
        <w:spacing w:before="5pt"/>
        <w:rPr>
          <w:color w:val="000000"/>
        </w:rPr>
      </w:pPr>
    </w:p>
    <w:p w14:paraId="639D06AD" w14:textId="77777777" w:rsidR="00A77B3E" w:rsidRDefault="00B16CCF">
      <w:pPr>
        <w:pStyle w:val="Naslov5"/>
        <w:spacing w:before="5pt" w:after="0pt"/>
        <w:rPr>
          <w:b w:val="0"/>
          <w:i w:val="0"/>
          <w:color w:val="000000"/>
          <w:sz w:val="24"/>
        </w:rPr>
      </w:pPr>
      <w:bookmarkStart w:id="671" w:name="_Toc256001432"/>
      <w:r>
        <w:rPr>
          <w:b w:val="0"/>
          <w:i w:val="0"/>
          <w:color w:val="000000"/>
          <w:sz w:val="24"/>
        </w:rPr>
        <w:t>Načrtovana uporaba finančnih instrumentov – člen 22(3)(d)(vii) uredbe o skupnih določbah</w:t>
      </w:r>
      <w:bookmarkEnd w:id="671"/>
    </w:p>
    <w:p w14:paraId="1A15FC1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228C9BAF"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7568CE" w14:textId="77777777" w:rsidR="00A77B3E" w:rsidRDefault="00A77B3E">
            <w:pPr>
              <w:spacing w:before="5pt"/>
              <w:rPr>
                <w:color w:val="000000"/>
                <w:sz w:val="0"/>
              </w:rPr>
            </w:pPr>
          </w:p>
          <w:p w14:paraId="2B428E3D" w14:textId="77777777" w:rsidR="00A77B3E" w:rsidRDefault="00B16CCF">
            <w:pPr>
              <w:spacing w:before="5pt"/>
              <w:rPr>
                <w:color w:val="000000"/>
              </w:rPr>
            </w:pPr>
            <w:r>
              <w:rPr>
                <w:color w:val="000000"/>
              </w:rPr>
              <w:t>V okviru predmetnega specifičnega cilja uporaba finančnih instrumentov ni predvidena, saj predstavlja SPP I. steber Mehanizma za pravični prehod, ki ga dopolnjujeta II. in III. steber, ki predstavljata povratne vire za podporo projektom pravičnega prehoda</w:t>
            </w:r>
          </w:p>
          <w:p w14:paraId="3357871D" w14:textId="77777777" w:rsidR="00A77B3E" w:rsidRDefault="00A77B3E">
            <w:pPr>
              <w:spacing w:before="5pt"/>
              <w:rPr>
                <w:color w:val="000000"/>
                <w:sz w:val="6"/>
              </w:rPr>
            </w:pPr>
          </w:p>
          <w:p w14:paraId="3FE72BEB" w14:textId="77777777" w:rsidR="00A77B3E" w:rsidRDefault="00A77B3E">
            <w:pPr>
              <w:spacing w:before="5pt"/>
              <w:rPr>
                <w:color w:val="000000"/>
                <w:sz w:val="6"/>
              </w:rPr>
            </w:pPr>
          </w:p>
        </w:tc>
      </w:tr>
    </w:tbl>
    <w:p w14:paraId="073D3CBA" w14:textId="77777777" w:rsidR="00A77B3E" w:rsidRDefault="00A77B3E">
      <w:pPr>
        <w:spacing w:before="5pt"/>
        <w:rPr>
          <w:color w:val="000000"/>
        </w:rPr>
      </w:pPr>
    </w:p>
    <w:p w14:paraId="534F6F3B" w14:textId="77777777" w:rsidR="00A77B3E" w:rsidRDefault="00B16CCF">
      <w:pPr>
        <w:pStyle w:val="Naslov4"/>
        <w:spacing w:before="5pt" w:after="0pt"/>
        <w:rPr>
          <w:b w:val="0"/>
          <w:color w:val="000000"/>
          <w:sz w:val="24"/>
        </w:rPr>
      </w:pPr>
      <w:bookmarkStart w:id="672" w:name="_Toc256001433"/>
      <w:r>
        <w:rPr>
          <w:b w:val="0"/>
          <w:color w:val="000000"/>
          <w:sz w:val="24"/>
        </w:rPr>
        <w:t>2.1.1.1.2. Kazalniki</w:t>
      </w:r>
      <w:bookmarkEnd w:id="672"/>
    </w:p>
    <w:p w14:paraId="296B0519" w14:textId="77777777" w:rsidR="00A77B3E" w:rsidRDefault="00A77B3E">
      <w:pPr>
        <w:spacing w:before="5pt"/>
        <w:rPr>
          <w:color w:val="000000"/>
          <w:sz w:val="0"/>
        </w:rPr>
      </w:pPr>
    </w:p>
    <w:p w14:paraId="09AF61AF" w14:textId="77777777" w:rsidR="00A77B3E" w:rsidRDefault="00B16CCF">
      <w:pPr>
        <w:spacing w:before="5pt"/>
        <w:rPr>
          <w:color w:val="000000"/>
          <w:sz w:val="0"/>
        </w:rPr>
      </w:pPr>
      <w:r>
        <w:rPr>
          <w:color w:val="000000"/>
        </w:rPr>
        <w:t>Sklic: člen 22(3)(d)(ii) uredbe o skupnih določbah in člen 8 uredbe o ESRR in Kohezijskem skladu</w:t>
      </w:r>
    </w:p>
    <w:p w14:paraId="284322A2" w14:textId="77777777" w:rsidR="00A77B3E" w:rsidRDefault="00B16CCF">
      <w:pPr>
        <w:pStyle w:val="Naslov5"/>
        <w:spacing w:before="5pt" w:after="0pt"/>
        <w:rPr>
          <w:b w:val="0"/>
          <w:i w:val="0"/>
          <w:color w:val="000000"/>
          <w:sz w:val="24"/>
        </w:rPr>
      </w:pPr>
      <w:bookmarkStart w:id="673" w:name="_Toc256001434"/>
      <w:r>
        <w:rPr>
          <w:b w:val="0"/>
          <w:i w:val="0"/>
          <w:color w:val="000000"/>
          <w:sz w:val="24"/>
        </w:rPr>
        <w:t>Tabela 2: Kazalniki učinka</w:t>
      </w:r>
      <w:bookmarkEnd w:id="673"/>
    </w:p>
    <w:p w14:paraId="3294733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26"/>
        <w:gridCol w:w="1685"/>
        <w:gridCol w:w="1043"/>
        <w:gridCol w:w="1747"/>
        <w:gridCol w:w="2027"/>
        <w:gridCol w:w="2491"/>
        <w:gridCol w:w="1606"/>
        <w:gridCol w:w="1263"/>
        <w:gridCol w:w="1484"/>
      </w:tblGrid>
      <w:tr w:rsidR="00823317" w14:paraId="52B5889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1436E9"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8B31C8"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0194C7"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B58F4D"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47644C"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DFA3F4"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A1BA82"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7CD23D" w14:textId="77777777" w:rsidR="00A77B3E" w:rsidRDefault="00B16CCF">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9A2CCD" w14:textId="77777777" w:rsidR="00A77B3E" w:rsidRDefault="00B16CCF">
            <w:pPr>
              <w:spacing w:before="5pt"/>
              <w:jc w:val="center"/>
              <w:rPr>
                <w:color w:val="000000"/>
                <w:sz w:val="20"/>
              </w:rPr>
            </w:pPr>
            <w:r>
              <w:rPr>
                <w:color w:val="000000"/>
                <w:sz w:val="20"/>
              </w:rPr>
              <w:t>Cilj (2029)</w:t>
            </w:r>
          </w:p>
        </w:tc>
      </w:tr>
      <w:tr w:rsidR="00823317" w14:paraId="2B722D2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46EE91" w14:textId="77777777" w:rsidR="00A77B3E" w:rsidRDefault="00B16CCF">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3AE9FF" w14:textId="77777777" w:rsidR="00A77B3E" w:rsidRDefault="00B16CCF">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2FB3C0" w14:textId="77777777" w:rsidR="00A77B3E" w:rsidRDefault="00B16CCF">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0FBDF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F7982D" w14:textId="77777777" w:rsidR="00A77B3E" w:rsidRDefault="00B16CCF">
            <w:pPr>
              <w:spacing w:before="5pt"/>
              <w:rPr>
                <w:color w:val="000000"/>
                <w:sz w:val="20"/>
              </w:rPr>
            </w:pPr>
            <w:r>
              <w:rPr>
                <w:color w:val="000000"/>
                <w:sz w:val="20"/>
              </w:rPr>
              <w:t>EECO01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95E251" w14:textId="77777777" w:rsidR="00A77B3E" w:rsidRDefault="00B16CCF">
            <w:pPr>
              <w:spacing w:before="5pt"/>
              <w:rPr>
                <w:color w:val="000000"/>
                <w:sz w:val="20"/>
              </w:rPr>
            </w:pPr>
            <w:r>
              <w:rPr>
                <w:color w:val="000000"/>
                <w:sz w:val="20"/>
              </w:rPr>
              <w:t>Skupno število udeležencev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1833D0" w14:textId="77777777" w:rsidR="00A77B3E" w:rsidRDefault="00B16CCF">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888C1B"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739D9B" w14:textId="77777777" w:rsidR="00A77B3E" w:rsidRDefault="00B16CCF">
            <w:pPr>
              <w:spacing w:before="5pt"/>
              <w:jc w:val="end"/>
              <w:rPr>
                <w:color w:val="000000"/>
                <w:sz w:val="20"/>
              </w:rPr>
            </w:pPr>
            <w:r>
              <w:rPr>
                <w:color w:val="000000"/>
                <w:sz w:val="20"/>
              </w:rPr>
              <w:t>2.400,00</w:t>
            </w:r>
          </w:p>
        </w:tc>
      </w:tr>
      <w:tr w:rsidR="00823317" w14:paraId="1A258C8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3C30CD" w14:textId="77777777" w:rsidR="00A77B3E" w:rsidRDefault="00B16CCF">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29024F" w14:textId="77777777" w:rsidR="00A77B3E" w:rsidRDefault="00B16CCF">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4A88BB" w14:textId="77777777" w:rsidR="00A77B3E" w:rsidRDefault="00B16CCF">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6C6DAF"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B8C729" w14:textId="77777777" w:rsidR="00A77B3E" w:rsidRDefault="00B16CCF">
            <w:pPr>
              <w:spacing w:before="5pt"/>
              <w:rPr>
                <w:color w:val="000000"/>
                <w:sz w:val="20"/>
              </w:rPr>
            </w:pPr>
            <w:r>
              <w:rPr>
                <w:color w:val="000000"/>
                <w:sz w:val="20"/>
              </w:rPr>
              <w:t>EECO02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BD6202" w14:textId="77777777" w:rsidR="00A77B3E" w:rsidRDefault="00B16CCF">
            <w:pPr>
              <w:spacing w:before="5pt"/>
              <w:rPr>
                <w:color w:val="000000"/>
                <w:sz w:val="20"/>
              </w:rPr>
            </w:pPr>
            <w:r>
              <w:rPr>
                <w:color w:val="000000"/>
                <w:sz w:val="20"/>
              </w:rPr>
              <w:t>Brezposelni, vključno z dolgotrajno brezposelnimi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65D912" w14:textId="77777777" w:rsidR="00A77B3E" w:rsidRDefault="00B16CCF">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454236"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09CDB6" w14:textId="77777777" w:rsidR="00A77B3E" w:rsidRDefault="00B16CCF">
            <w:pPr>
              <w:spacing w:before="5pt"/>
              <w:jc w:val="end"/>
              <w:rPr>
                <w:color w:val="000000"/>
                <w:sz w:val="20"/>
              </w:rPr>
            </w:pPr>
            <w:r>
              <w:rPr>
                <w:color w:val="000000"/>
                <w:sz w:val="20"/>
              </w:rPr>
              <w:t>1.400,00</w:t>
            </w:r>
          </w:p>
        </w:tc>
      </w:tr>
      <w:tr w:rsidR="00823317" w14:paraId="4F6BDF4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8C9625" w14:textId="77777777" w:rsidR="00A77B3E" w:rsidRDefault="00B16CCF">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68DC64" w14:textId="77777777" w:rsidR="00A77B3E" w:rsidRDefault="00B16CCF">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DB9EBA" w14:textId="77777777" w:rsidR="00A77B3E" w:rsidRDefault="00B16CCF">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651A76"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B5195A" w14:textId="77777777" w:rsidR="00A77B3E" w:rsidRDefault="00B16CCF">
            <w:pPr>
              <w:spacing w:before="5pt"/>
              <w:rPr>
                <w:color w:val="000000"/>
                <w:sz w:val="20"/>
              </w:rPr>
            </w:pPr>
            <w:r>
              <w:rPr>
                <w:color w:val="000000"/>
                <w:sz w:val="20"/>
              </w:rPr>
              <w:t>EECO06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9A6E88" w14:textId="77777777" w:rsidR="00A77B3E" w:rsidRDefault="00B16CCF">
            <w:pPr>
              <w:spacing w:before="5pt"/>
              <w:rPr>
                <w:color w:val="000000"/>
                <w:sz w:val="20"/>
              </w:rPr>
            </w:pPr>
            <w:r>
              <w:rPr>
                <w:color w:val="000000"/>
                <w:sz w:val="20"/>
              </w:rPr>
              <w:t>Otroci, mlajši od 18 let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8F3345" w14:textId="77777777" w:rsidR="00A77B3E" w:rsidRDefault="00B16CCF">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AEAC12"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0BE563" w14:textId="77777777" w:rsidR="00A77B3E" w:rsidRDefault="00B16CCF">
            <w:pPr>
              <w:spacing w:before="5pt"/>
              <w:jc w:val="end"/>
              <w:rPr>
                <w:color w:val="000000"/>
                <w:sz w:val="20"/>
              </w:rPr>
            </w:pPr>
            <w:r>
              <w:rPr>
                <w:color w:val="000000"/>
                <w:sz w:val="20"/>
              </w:rPr>
              <w:t>0,00</w:t>
            </w:r>
          </w:p>
        </w:tc>
      </w:tr>
      <w:tr w:rsidR="00823317" w14:paraId="4C03D27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629317" w14:textId="77777777" w:rsidR="00A77B3E" w:rsidRDefault="00B16CCF">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B1DECD" w14:textId="77777777" w:rsidR="00A77B3E" w:rsidRDefault="00B16CCF">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BD4BA4" w14:textId="77777777" w:rsidR="00A77B3E" w:rsidRDefault="00B16CCF">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0BC572"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A26B58" w14:textId="77777777" w:rsidR="00A77B3E" w:rsidRDefault="00B16CCF">
            <w:pPr>
              <w:spacing w:before="5pt"/>
              <w:rPr>
                <w:color w:val="000000"/>
                <w:sz w:val="20"/>
              </w:rPr>
            </w:pPr>
            <w:r>
              <w:rPr>
                <w:color w:val="000000"/>
                <w:sz w:val="20"/>
              </w:rPr>
              <w:t>EECO08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FD135E" w14:textId="77777777" w:rsidR="00A77B3E" w:rsidRDefault="00B16CCF">
            <w:pPr>
              <w:spacing w:before="5pt"/>
              <w:rPr>
                <w:color w:val="000000"/>
                <w:sz w:val="20"/>
              </w:rPr>
            </w:pPr>
            <w:r>
              <w:rPr>
                <w:color w:val="000000"/>
                <w:sz w:val="20"/>
              </w:rPr>
              <w:t>Udeleženci, stari 55 let in več</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DCD57D" w14:textId="77777777" w:rsidR="00A77B3E" w:rsidRDefault="00B16CCF">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F6FC2B"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34DCB5" w14:textId="77777777" w:rsidR="00A77B3E" w:rsidRDefault="00B16CCF">
            <w:pPr>
              <w:spacing w:before="5pt"/>
              <w:jc w:val="end"/>
              <w:rPr>
                <w:color w:val="000000"/>
                <w:sz w:val="20"/>
              </w:rPr>
            </w:pPr>
            <w:r>
              <w:rPr>
                <w:color w:val="000000"/>
                <w:sz w:val="20"/>
              </w:rPr>
              <w:t>0,00</w:t>
            </w:r>
          </w:p>
        </w:tc>
      </w:tr>
      <w:tr w:rsidR="00823317" w14:paraId="2B4615B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AECADE" w14:textId="77777777" w:rsidR="00A77B3E" w:rsidRDefault="00B16CCF">
            <w:pPr>
              <w:spacing w:before="5pt"/>
              <w:rPr>
                <w:color w:val="000000"/>
                <w:sz w:val="20"/>
              </w:rPr>
            </w:pPr>
            <w:r>
              <w:rPr>
                <w:color w:val="000000"/>
                <w:sz w:val="20"/>
              </w:rPr>
              <w:lastRenderedPageBreak/>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A98F19" w14:textId="77777777" w:rsidR="00A77B3E" w:rsidRDefault="00B16CCF">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E393DC" w14:textId="77777777" w:rsidR="00A77B3E" w:rsidRDefault="00B16CCF">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AC60B2"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067D95" w14:textId="77777777" w:rsidR="00A77B3E" w:rsidRDefault="00B16CCF">
            <w:pPr>
              <w:spacing w:before="5pt"/>
              <w:rPr>
                <w:color w:val="000000"/>
                <w:sz w:val="20"/>
              </w:rPr>
            </w:pPr>
            <w:r>
              <w:rPr>
                <w:color w:val="000000"/>
                <w:sz w:val="20"/>
              </w:rPr>
              <w:t>EECO09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0C8CB5" w14:textId="77777777" w:rsidR="00A77B3E" w:rsidRDefault="00B16CCF">
            <w:pPr>
              <w:spacing w:before="5pt"/>
              <w:rPr>
                <w:color w:val="000000"/>
                <w:sz w:val="20"/>
              </w:rPr>
            </w:pPr>
            <w:r>
              <w:rPr>
                <w:color w:val="000000"/>
                <w:sz w:val="20"/>
              </w:rPr>
              <w:t>Udeleženci z nižjo sekundarno izobrazbo ali manj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7EAB7C" w14:textId="77777777" w:rsidR="00A77B3E" w:rsidRDefault="00B16CCF">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858292"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EF02AA" w14:textId="77777777" w:rsidR="00A77B3E" w:rsidRDefault="00B16CCF">
            <w:pPr>
              <w:spacing w:before="5pt"/>
              <w:jc w:val="end"/>
              <w:rPr>
                <w:color w:val="000000"/>
                <w:sz w:val="20"/>
              </w:rPr>
            </w:pPr>
            <w:r>
              <w:rPr>
                <w:color w:val="000000"/>
                <w:sz w:val="20"/>
              </w:rPr>
              <w:t>0,00</w:t>
            </w:r>
          </w:p>
        </w:tc>
      </w:tr>
      <w:tr w:rsidR="00823317" w14:paraId="7EDDEF8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BAEA4A" w14:textId="77777777" w:rsidR="00A77B3E" w:rsidRDefault="00B16CCF">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BADB32" w14:textId="77777777" w:rsidR="00A77B3E" w:rsidRDefault="00B16CCF">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77DD7D" w14:textId="77777777" w:rsidR="00A77B3E" w:rsidRDefault="00B16CCF">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78D376"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55218D" w14:textId="77777777" w:rsidR="00A77B3E" w:rsidRDefault="00B16CCF">
            <w:pPr>
              <w:spacing w:before="5pt"/>
              <w:rPr>
                <w:color w:val="000000"/>
                <w:sz w:val="20"/>
              </w:rPr>
            </w:pPr>
            <w:r>
              <w:rPr>
                <w:color w:val="000000"/>
                <w:sz w:val="20"/>
              </w:rPr>
              <w:t>EECO10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F4BCDE" w14:textId="77777777" w:rsidR="00A77B3E" w:rsidRDefault="00B16CCF">
            <w:pPr>
              <w:spacing w:before="5pt"/>
              <w:rPr>
                <w:color w:val="000000"/>
                <w:sz w:val="20"/>
              </w:rPr>
            </w:pPr>
            <w:r>
              <w:rPr>
                <w:color w:val="000000"/>
                <w:sz w:val="20"/>
              </w:rPr>
              <w:t>Udeleženci z višjo sekundarno ali posekundarno izobrazbo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FE75A6" w14:textId="77777777" w:rsidR="00A77B3E" w:rsidRDefault="00B16CCF">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F46747"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2ADFF0" w14:textId="77777777" w:rsidR="00A77B3E" w:rsidRDefault="00B16CCF">
            <w:pPr>
              <w:spacing w:before="5pt"/>
              <w:jc w:val="end"/>
              <w:rPr>
                <w:color w:val="000000"/>
                <w:sz w:val="20"/>
              </w:rPr>
            </w:pPr>
            <w:r>
              <w:rPr>
                <w:color w:val="000000"/>
                <w:sz w:val="20"/>
              </w:rPr>
              <w:t>0,00</w:t>
            </w:r>
          </w:p>
        </w:tc>
      </w:tr>
      <w:tr w:rsidR="00823317" w14:paraId="7022E4D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3AD2C1" w14:textId="77777777" w:rsidR="00A77B3E" w:rsidRDefault="00B16CCF">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B3FF52" w14:textId="77777777" w:rsidR="00A77B3E" w:rsidRDefault="00B16CCF">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56B205" w14:textId="77777777" w:rsidR="00A77B3E" w:rsidRDefault="00B16CCF">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F863BA"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169E6D" w14:textId="77777777" w:rsidR="00A77B3E" w:rsidRDefault="00B16CCF">
            <w:pPr>
              <w:spacing w:before="5pt"/>
              <w:rPr>
                <w:color w:val="000000"/>
                <w:sz w:val="20"/>
              </w:rPr>
            </w:pPr>
            <w:r>
              <w:rPr>
                <w:color w:val="000000"/>
                <w:sz w:val="20"/>
              </w:rPr>
              <w:t>RCO01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C89CDC" w14:textId="77777777" w:rsidR="00A77B3E" w:rsidRDefault="00B16CCF">
            <w:pPr>
              <w:spacing w:before="5pt"/>
              <w:rPr>
                <w:color w:val="000000"/>
                <w:sz w:val="20"/>
              </w:rPr>
            </w:pPr>
            <w:r>
              <w:rPr>
                <w:color w:val="000000"/>
                <w:sz w:val="20"/>
              </w:rPr>
              <w:t>Podjetja, ki so prejela podporo (od tega: mikro, mala, srednja, velika)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364E8F" w14:textId="77777777" w:rsidR="00A77B3E" w:rsidRDefault="00B16CCF">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7084FD"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AAB65D" w14:textId="77777777" w:rsidR="00A77B3E" w:rsidRDefault="00B16CCF">
            <w:pPr>
              <w:spacing w:before="5pt"/>
              <w:jc w:val="end"/>
              <w:rPr>
                <w:color w:val="000000"/>
                <w:sz w:val="20"/>
              </w:rPr>
            </w:pPr>
            <w:r>
              <w:rPr>
                <w:color w:val="000000"/>
                <w:sz w:val="20"/>
              </w:rPr>
              <w:t>33,00</w:t>
            </w:r>
          </w:p>
        </w:tc>
      </w:tr>
      <w:tr w:rsidR="00823317" w14:paraId="625032F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B25B96" w14:textId="77777777" w:rsidR="00A77B3E" w:rsidRDefault="00B16CCF">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703B9F" w14:textId="77777777" w:rsidR="00A77B3E" w:rsidRDefault="00B16CCF">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AC0A18" w14:textId="77777777" w:rsidR="00A77B3E" w:rsidRDefault="00B16CCF">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0C118F"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0A88CB" w14:textId="77777777" w:rsidR="00A77B3E" w:rsidRDefault="00B16CCF">
            <w:pPr>
              <w:spacing w:before="5pt"/>
              <w:rPr>
                <w:color w:val="000000"/>
                <w:sz w:val="20"/>
              </w:rPr>
            </w:pPr>
            <w:r>
              <w:rPr>
                <w:color w:val="000000"/>
                <w:sz w:val="20"/>
              </w:rPr>
              <w:t>EECO11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2EB8AE" w14:textId="77777777" w:rsidR="00A77B3E" w:rsidRDefault="00B16CCF">
            <w:pPr>
              <w:spacing w:before="5pt"/>
              <w:rPr>
                <w:color w:val="000000"/>
                <w:sz w:val="20"/>
              </w:rPr>
            </w:pPr>
            <w:r>
              <w:rPr>
                <w:color w:val="000000"/>
                <w:sz w:val="20"/>
              </w:rPr>
              <w:t>Udeleženci s terciarno izobrazbo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6F921A" w14:textId="77777777" w:rsidR="00A77B3E" w:rsidRDefault="00B16CCF">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44AD57"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BA976F" w14:textId="77777777" w:rsidR="00A77B3E" w:rsidRDefault="00B16CCF">
            <w:pPr>
              <w:spacing w:before="5pt"/>
              <w:jc w:val="end"/>
              <w:rPr>
                <w:color w:val="000000"/>
                <w:sz w:val="20"/>
              </w:rPr>
            </w:pPr>
            <w:r>
              <w:rPr>
                <w:color w:val="000000"/>
                <w:sz w:val="20"/>
              </w:rPr>
              <w:t>0,00</w:t>
            </w:r>
          </w:p>
        </w:tc>
      </w:tr>
      <w:tr w:rsidR="00823317" w14:paraId="4362FB2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C05665" w14:textId="77777777" w:rsidR="00A77B3E" w:rsidRDefault="00B16CCF">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BF35AA" w14:textId="77777777" w:rsidR="00A77B3E" w:rsidRDefault="00B16CCF">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7A6D7D" w14:textId="77777777" w:rsidR="00A77B3E" w:rsidRDefault="00B16CCF">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C706C4"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5B4314" w14:textId="77777777" w:rsidR="00A77B3E" w:rsidRDefault="00B16CCF">
            <w:pPr>
              <w:spacing w:before="5pt"/>
              <w:rPr>
                <w:color w:val="000000"/>
                <w:sz w:val="20"/>
              </w:rPr>
            </w:pPr>
            <w:r>
              <w:rPr>
                <w:color w:val="000000"/>
                <w:sz w:val="20"/>
              </w:rPr>
              <w:t>RCO02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2920BF" w14:textId="77777777" w:rsidR="00A77B3E" w:rsidRDefault="00B16CCF">
            <w:pPr>
              <w:spacing w:before="5pt"/>
              <w:rPr>
                <w:color w:val="000000"/>
                <w:sz w:val="20"/>
              </w:rPr>
            </w:pPr>
            <w:r>
              <w:rPr>
                <w:color w:val="000000"/>
                <w:sz w:val="20"/>
              </w:rPr>
              <w:t>Podjetja, ki so prejela podporo v obliki nepovratnih sredstev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DA07FE" w14:textId="77777777" w:rsidR="00A77B3E" w:rsidRDefault="00B16CCF">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71757C"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B50A90" w14:textId="77777777" w:rsidR="00A77B3E" w:rsidRDefault="00B16CCF">
            <w:pPr>
              <w:spacing w:before="5pt"/>
              <w:jc w:val="end"/>
              <w:rPr>
                <w:color w:val="000000"/>
                <w:sz w:val="20"/>
              </w:rPr>
            </w:pPr>
            <w:r>
              <w:rPr>
                <w:color w:val="000000"/>
                <w:sz w:val="20"/>
              </w:rPr>
              <w:t>33,00</w:t>
            </w:r>
          </w:p>
        </w:tc>
      </w:tr>
      <w:tr w:rsidR="00823317" w14:paraId="19D4BD0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4A9E0D" w14:textId="77777777" w:rsidR="00A77B3E" w:rsidRDefault="00B16CCF">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9E351D" w14:textId="77777777" w:rsidR="00A77B3E" w:rsidRDefault="00B16CCF">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684B97" w14:textId="77777777" w:rsidR="00A77B3E" w:rsidRDefault="00B16CCF">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28A039"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975F4F" w14:textId="77777777" w:rsidR="00A77B3E" w:rsidRDefault="00B16CCF">
            <w:pPr>
              <w:spacing w:before="5pt"/>
              <w:rPr>
                <w:color w:val="000000"/>
                <w:sz w:val="20"/>
              </w:rPr>
            </w:pPr>
            <w:r>
              <w:rPr>
                <w:color w:val="000000"/>
                <w:sz w:val="20"/>
              </w:rPr>
              <w:t>RCO10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3020CF" w14:textId="77777777" w:rsidR="00A77B3E" w:rsidRDefault="00B16CCF">
            <w:pPr>
              <w:spacing w:before="5pt"/>
              <w:rPr>
                <w:color w:val="000000"/>
                <w:sz w:val="20"/>
              </w:rPr>
            </w:pPr>
            <w:r>
              <w:rPr>
                <w:color w:val="000000"/>
                <w:sz w:val="20"/>
              </w:rPr>
              <w:t>Podjetja, ki sodelujejo z raziskovalnimi organizacijami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677586" w14:textId="77777777" w:rsidR="00A77B3E" w:rsidRDefault="00B16CCF">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1464BB" w14:textId="77777777" w:rsidR="00A77B3E" w:rsidRDefault="00B16CCF">
            <w:pPr>
              <w:spacing w:before="5pt"/>
              <w:jc w:val="end"/>
              <w:rPr>
                <w:color w:val="000000"/>
                <w:sz w:val="20"/>
              </w:rPr>
            </w:pPr>
            <w:r>
              <w:rPr>
                <w:color w:val="000000"/>
                <w:sz w:val="20"/>
              </w:rPr>
              <w:t>15,00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69259C" w14:textId="77777777" w:rsidR="00A77B3E" w:rsidRDefault="00B16CCF">
            <w:pPr>
              <w:spacing w:before="5pt"/>
              <w:jc w:val="end"/>
              <w:rPr>
                <w:color w:val="000000"/>
                <w:sz w:val="20"/>
              </w:rPr>
            </w:pPr>
            <w:r>
              <w:rPr>
                <w:color w:val="000000"/>
                <w:sz w:val="20"/>
              </w:rPr>
              <w:t>35,00</w:t>
            </w:r>
          </w:p>
        </w:tc>
      </w:tr>
      <w:tr w:rsidR="00823317" w14:paraId="0C73DE5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653401" w14:textId="77777777" w:rsidR="00A77B3E" w:rsidRDefault="00B16CCF">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88B824" w14:textId="77777777" w:rsidR="00A77B3E" w:rsidRDefault="00B16CCF">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0D3C9C" w14:textId="77777777" w:rsidR="00A77B3E" w:rsidRDefault="00B16CCF">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DAE624"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BBD921" w14:textId="77777777" w:rsidR="00A77B3E" w:rsidRDefault="00B16CCF">
            <w:pPr>
              <w:spacing w:before="5pt"/>
              <w:rPr>
                <w:color w:val="000000"/>
                <w:sz w:val="20"/>
              </w:rPr>
            </w:pPr>
            <w:r>
              <w:rPr>
                <w:color w:val="000000"/>
                <w:sz w:val="20"/>
              </w:rPr>
              <w:t>RCO20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85C6F7" w14:textId="77777777" w:rsidR="00A77B3E" w:rsidRDefault="00B16CCF">
            <w:pPr>
              <w:spacing w:before="5pt"/>
              <w:rPr>
                <w:color w:val="000000"/>
                <w:sz w:val="20"/>
              </w:rPr>
            </w:pPr>
            <w:r>
              <w:rPr>
                <w:color w:val="000000"/>
                <w:sz w:val="20"/>
              </w:rPr>
              <w:t>Novozgrajena in izboljšana omrežja za daljinsko ogrevanje in hlajenje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2ED4DB" w14:textId="77777777" w:rsidR="00A77B3E" w:rsidRDefault="00B16CCF">
            <w:pPr>
              <w:spacing w:before="5pt"/>
              <w:rPr>
                <w:color w:val="000000"/>
                <w:sz w:val="20"/>
              </w:rPr>
            </w:pPr>
            <w:r>
              <w:rPr>
                <w:color w:val="000000"/>
                <w:sz w:val="20"/>
              </w:rPr>
              <w:t>km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A8E1AD"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E6771A" w14:textId="77777777" w:rsidR="00A77B3E" w:rsidRDefault="00B16CCF">
            <w:pPr>
              <w:spacing w:before="5pt"/>
              <w:jc w:val="end"/>
              <w:rPr>
                <w:color w:val="000000"/>
                <w:sz w:val="20"/>
              </w:rPr>
            </w:pPr>
            <w:r>
              <w:rPr>
                <w:color w:val="000000"/>
                <w:sz w:val="20"/>
              </w:rPr>
              <w:t>10,18</w:t>
            </w:r>
          </w:p>
        </w:tc>
      </w:tr>
      <w:tr w:rsidR="00823317" w14:paraId="2995F88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25646E" w14:textId="77777777" w:rsidR="00A77B3E" w:rsidRDefault="00B16CCF">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8AABF9" w14:textId="77777777" w:rsidR="00A77B3E" w:rsidRDefault="00B16CCF">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F44B66" w14:textId="77777777" w:rsidR="00A77B3E" w:rsidRDefault="00B16CCF">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FD36AA"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26CA7C" w14:textId="77777777" w:rsidR="00A77B3E" w:rsidRDefault="00B16CCF">
            <w:pPr>
              <w:spacing w:before="5pt"/>
              <w:rPr>
                <w:color w:val="000000"/>
                <w:sz w:val="20"/>
              </w:rPr>
            </w:pPr>
            <w:r>
              <w:rPr>
                <w:color w:val="000000"/>
                <w:sz w:val="20"/>
              </w:rPr>
              <w:t>RCO22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32CFC2" w14:textId="77777777" w:rsidR="00A77B3E" w:rsidRDefault="00B16CCF">
            <w:pPr>
              <w:spacing w:before="5pt"/>
              <w:rPr>
                <w:color w:val="000000"/>
                <w:sz w:val="20"/>
              </w:rPr>
            </w:pPr>
            <w:r>
              <w:rPr>
                <w:color w:val="000000"/>
                <w:sz w:val="20"/>
              </w:rPr>
              <w:t>Dodatna proizvodna zmogljivost za energijo iz obnovljivih virov (od tega: električna energija, toplotna energija)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594814" w14:textId="77777777" w:rsidR="00A77B3E" w:rsidRDefault="00B16CCF">
            <w:pPr>
              <w:spacing w:before="5pt"/>
              <w:rPr>
                <w:color w:val="000000"/>
                <w:sz w:val="20"/>
              </w:rPr>
            </w:pPr>
            <w:r>
              <w:rPr>
                <w:color w:val="000000"/>
                <w:sz w:val="20"/>
              </w:rPr>
              <w:t>MW</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2EF1D1"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FFD4DE" w14:textId="77777777" w:rsidR="00A77B3E" w:rsidRDefault="00B16CCF">
            <w:pPr>
              <w:spacing w:before="5pt"/>
              <w:jc w:val="end"/>
              <w:rPr>
                <w:color w:val="000000"/>
                <w:sz w:val="20"/>
              </w:rPr>
            </w:pPr>
            <w:r>
              <w:rPr>
                <w:color w:val="000000"/>
                <w:sz w:val="20"/>
              </w:rPr>
              <w:t>71,54</w:t>
            </w:r>
          </w:p>
        </w:tc>
      </w:tr>
      <w:tr w:rsidR="00823317" w14:paraId="40CB56D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6C2F80" w14:textId="77777777" w:rsidR="00A77B3E" w:rsidRDefault="00B16CCF">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67473F" w14:textId="77777777" w:rsidR="00A77B3E" w:rsidRDefault="00B16CCF">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251E92" w14:textId="77777777" w:rsidR="00A77B3E" w:rsidRDefault="00B16CCF">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1282FB"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37BD03" w14:textId="77777777" w:rsidR="00A77B3E" w:rsidRDefault="00B16CCF">
            <w:pPr>
              <w:spacing w:before="5pt"/>
              <w:rPr>
                <w:color w:val="000000"/>
                <w:sz w:val="20"/>
              </w:rPr>
            </w:pPr>
            <w:r>
              <w:rPr>
                <w:color w:val="000000"/>
                <w:sz w:val="20"/>
              </w:rPr>
              <w:t>RCO38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5B072B" w14:textId="77777777" w:rsidR="00A77B3E" w:rsidRDefault="00B16CCF">
            <w:pPr>
              <w:spacing w:before="5pt"/>
              <w:rPr>
                <w:color w:val="000000"/>
                <w:sz w:val="20"/>
              </w:rPr>
            </w:pPr>
            <w:r>
              <w:rPr>
                <w:color w:val="000000"/>
                <w:sz w:val="20"/>
              </w:rPr>
              <w:t>Površina saniranih zemljišč, za katero je bila prejeta podpora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2E9F64" w14:textId="77777777" w:rsidR="00A77B3E" w:rsidRDefault="00B16CCF">
            <w:pPr>
              <w:spacing w:before="5pt"/>
              <w:rPr>
                <w:color w:val="000000"/>
                <w:sz w:val="20"/>
              </w:rPr>
            </w:pPr>
            <w:r>
              <w:rPr>
                <w:color w:val="000000"/>
                <w:sz w:val="20"/>
              </w:rPr>
              <w:t>hektari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A57D99"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D007E2" w14:textId="77777777" w:rsidR="00A77B3E" w:rsidRDefault="00B16CCF">
            <w:pPr>
              <w:spacing w:before="5pt"/>
              <w:jc w:val="end"/>
              <w:rPr>
                <w:color w:val="000000"/>
                <w:sz w:val="20"/>
              </w:rPr>
            </w:pPr>
            <w:r>
              <w:rPr>
                <w:color w:val="000000"/>
                <w:sz w:val="20"/>
              </w:rPr>
              <w:t>0,00</w:t>
            </w:r>
          </w:p>
        </w:tc>
      </w:tr>
      <w:tr w:rsidR="00823317" w14:paraId="74A13A9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D086D2" w14:textId="77777777" w:rsidR="00A77B3E" w:rsidRDefault="00B16CCF">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D11004" w14:textId="77777777" w:rsidR="00A77B3E" w:rsidRDefault="00B16CCF">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60283E" w14:textId="77777777" w:rsidR="00A77B3E" w:rsidRDefault="00B16CCF">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F4B49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C1863D" w14:textId="77777777" w:rsidR="00A77B3E" w:rsidRDefault="00B16CCF">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478329" w14:textId="77777777" w:rsidR="00A77B3E" w:rsidRDefault="00B16CCF">
            <w:pPr>
              <w:spacing w:before="5pt"/>
              <w:rPr>
                <w:color w:val="000000"/>
                <w:sz w:val="20"/>
              </w:rPr>
            </w:pPr>
            <w:r>
              <w:rPr>
                <w:color w:val="000000"/>
                <w:sz w:val="20"/>
              </w:rPr>
              <w:t>Rešitve za shranjevanje električne energije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7FB428" w14:textId="77777777" w:rsidR="00A77B3E" w:rsidRDefault="00B16CCF">
            <w:pPr>
              <w:spacing w:before="5pt"/>
              <w:rPr>
                <w:color w:val="000000"/>
                <w:sz w:val="20"/>
              </w:rPr>
            </w:pPr>
            <w:r>
              <w:rPr>
                <w:color w:val="000000"/>
                <w:sz w:val="20"/>
              </w:rPr>
              <w:t>število projektov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2F2A76"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7CD917" w14:textId="77777777" w:rsidR="00A77B3E" w:rsidRDefault="00B16CCF">
            <w:pPr>
              <w:spacing w:before="5pt"/>
              <w:jc w:val="end"/>
              <w:rPr>
                <w:color w:val="000000"/>
                <w:sz w:val="20"/>
              </w:rPr>
            </w:pPr>
            <w:r>
              <w:rPr>
                <w:color w:val="000000"/>
                <w:sz w:val="20"/>
              </w:rPr>
              <w:t>3,00</w:t>
            </w:r>
          </w:p>
        </w:tc>
      </w:tr>
      <w:tr w:rsidR="00823317" w14:paraId="2A65FD1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51C124" w14:textId="77777777" w:rsidR="00A77B3E" w:rsidRDefault="00B16CCF">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6B7FE3" w14:textId="77777777" w:rsidR="00A77B3E" w:rsidRDefault="00B16CCF">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15D9F7" w14:textId="77777777" w:rsidR="00A77B3E" w:rsidRDefault="00B16CCF">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57C2E7"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DD0097" w14:textId="77777777" w:rsidR="00A77B3E" w:rsidRDefault="00B16CCF">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6C978B" w14:textId="77777777" w:rsidR="00A77B3E" w:rsidRDefault="00B16CCF">
            <w:pPr>
              <w:spacing w:before="5pt"/>
              <w:rPr>
                <w:color w:val="000000"/>
                <w:sz w:val="20"/>
              </w:rPr>
            </w:pPr>
            <w:r>
              <w:rPr>
                <w:color w:val="000000"/>
                <w:sz w:val="20"/>
              </w:rPr>
              <w:t>Število organizacij, ki so vključene v razvojne projekte za izboljšanje znanja spretnosti in kompetenc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FE7E8B" w14:textId="77777777" w:rsidR="00A77B3E" w:rsidRDefault="00B16CCF">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498C8A" w14:textId="77777777" w:rsidR="00A77B3E" w:rsidRDefault="00B16CCF">
            <w:pPr>
              <w:spacing w:before="5pt"/>
              <w:jc w:val="end"/>
              <w:rPr>
                <w:color w:val="000000"/>
                <w:sz w:val="20"/>
              </w:rPr>
            </w:pPr>
            <w:r>
              <w:rPr>
                <w:color w:val="000000"/>
                <w:sz w:val="20"/>
              </w:rPr>
              <w:t>10,00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A14F24" w14:textId="77777777" w:rsidR="00A77B3E" w:rsidRDefault="00B16CCF">
            <w:pPr>
              <w:spacing w:before="5pt"/>
              <w:jc w:val="end"/>
              <w:rPr>
                <w:color w:val="000000"/>
                <w:sz w:val="20"/>
              </w:rPr>
            </w:pPr>
            <w:r>
              <w:rPr>
                <w:color w:val="000000"/>
                <w:sz w:val="20"/>
              </w:rPr>
              <w:t>39,00</w:t>
            </w:r>
          </w:p>
        </w:tc>
      </w:tr>
      <w:tr w:rsidR="00823317" w14:paraId="7680632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AAE2C6" w14:textId="77777777" w:rsidR="00A77B3E" w:rsidRDefault="00B16CCF">
            <w:pPr>
              <w:spacing w:before="5pt"/>
              <w:rPr>
                <w:color w:val="000000"/>
                <w:sz w:val="20"/>
              </w:rPr>
            </w:pPr>
            <w:r>
              <w:rPr>
                <w:color w:val="000000"/>
                <w:sz w:val="20"/>
              </w:rPr>
              <w:lastRenderedPageBreak/>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CA9F19" w14:textId="77777777" w:rsidR="00A77B3E" w:rsidRDefault="00B16CCF">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463B67" w14:textId="77777777" w:rsidR="00A77B3E" w:rsidRDefault="00B16CCF">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61B68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A470A0" w14:textId="77777777" w:rsidR="00A77B3E" w:rsidRDefault="00B16CCF">
            <w:pPr>
              <w:spacing w:before="5pt"/>
              <w:rPr>
                <w:color w:val="000000"/>
                <w:sz w:val="20"/>
              </w:rPr>
            </w:pPr>
            <w:r>
              <w:rPr>
                <w:color w:val="000000"/>
                <w:sz w:val="20"/>
              </w:rPr>
              <w:t>016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816F36" w14:textId="77777777" w:rsidR="00A77B3E" w:rsidRDefault="00B16CCF">
            <w:pPr>
              <w:spacing w:before="5pt"/>
              <w:rPr>
                <w:color w:val="000000"/>
                <w:sz w:val="20"/>
              </w:rPr>
            </w:pPr>
            <w:r>
              <w:rPr>
                <w:color w:val="000000"/>
                <w:sz w:val="20"/>
              </w:rPr>
              <w:t>Število posodobljenih cenovno dostopnih, trajnostnih stanovanjskih enot, ki so javna najemna stanovanja, javna najemna oskrbovana stanovanja oz. bivalne enote (88. člen Stanovanjskega zakona) – stanovanja (Zasavje)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94303B" w14:textId="77777777" w:rsidR="00A77B3E" w:rsidRDefault="00B16CCF">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0AF118"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CFFF41" w14:textId="77777777" w:rsidR="00A77B3E" w:rsidRDefault="00B16CCF">
            <w:pPr>
              <w:spacing w:before="5pt"/>
              <w:jc w:val="end"/>
              <w:rPr>
                <w:color w:val="000000"/>
                <w:sz w:val="20"/>
              </w:rPr>
            </w:pPr>
            <w:r>
              <w:rPr>
                <w:color w:val="000000"/>
                <w:sz w:val="20"/>
              </w:rPr>
              <w:t>30,00</w:t>
            </w:r>
          </w:p>
        </w:tc>
      </w:tr>
      <w:tr w:rsidR="00823317" w14:paraId="5595A97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681FBD" w14:textId="77777777" w:rsidR="00A77B3E" w:rsidRDefault="00B16CCF">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967066" w14:textId="77777777" w:rsidR="00A77B3E" w:rsidRDefault="00B16CCF">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62D19F" w14:textId="77777777" w:rsidR="00A77B3E" w:rsidRDefault="00B16CCF">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108F0F"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4D2B89" w14:textId="77777777" w:rsidR="00A77B3E" w:rsidRDefault="00B16CCF">
            <w:pPr>
              <w:spacing w:before="5pt"/>
              <w:rPr>
                <w:color w:val="000000"/>
                <w:sz w:val="20"/>
              </w:rPr>
            </w:pPr>
            <w:r>
              <w:rPr>
                <w:color w:val="000000"/>
                <w:sz w:val="20"/>
              </w:rPr>
              <w:t>017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8BEEA0" w14:textId="77777777" w:rsidR="00A77B3E" w:rsidRDefault="00B16CCF">
            <w:pPr>
              <w:spacing w:before="5pt"/>
              <w:rPr>
                <w:color w:val="000000"/>
                <w:sz w:val="20"/>
              </w:rPr>
            </w:pPr>
            <w:r>
              <w:rPr>
                <w:color w:val="000000"/>
                <w:sz w:val="20"/>
              </w:rPr>
              <w:t>Število stanovanj (SAŠA)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4E5161" w14:textId="77777777" w:rsidR="00A77B3E" w:rsidRDefault="00B16CCF">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94ED99"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6BEDFB" w14:textId="77777777" w:rsidR="00A77B3E" w:rsidRDefault="00B16CCF">
            <w:pPr>
              <w:spacing w:before="5pt"/>
              <w:jc w:val="end"/>
              <w:rPr>
                <w:color w:val="000000"/>
                <w:sz w:val="20"/>
              </w:rPr>
            </w:pPr>
            <w:r>
              <w:rPr>
                <w:color w:val="000000"/>
                <w:sz w:val="20"/>
              </w:rPr>
              <w:t>50,00</w:t>
            </w:r>
          </w:p>
        </w:tc>
      </w:tr>
    </w:tbl>
    <w:p w14:paraId="69945BE1" w14:textId="77777777" w:rsidR="00A77B3E" w:rsidRDefault="00A77B3E">
      <w:pPr>
        <w:spacing w:before="5pt"/>
        <w:rPr>
          <w:color w:val="000000"/>
          <w:sz w:val="20"/>
        </w:rPr>
      </w:pPr>
    </w:p>
    <w:p w14:paraId="7B95B268" w14:textId="77777777" w:rsidR="00A77B3E" w:rsidRDefault="00B16CCF">
      <w:pPr>
        <w:spacing w:before="5pt"/>
        <w:rPr>
          <w:color w:val="000000"/>
          <w:sz w:val="0"/>
        </w:rPr>
      </w:pPr>
      <w:r>
        <w:rPr>
          <w:color w:val="000000"/>
        </w:rPr>
        <w:t>Sklic: člen 22(3)(d)(ii) uredbe o skupnih določbah</w:t>
      </w:r>
    </w:p>
    <w:p w14:paraId="38EA40A9" w14:textId="77777777" w:rsidR="00A77B3E" w:rsidRDefault="00B16CCF">
      <w:pPr>
        <w:pStyle w:val="Naslov5"/>
        <w:spacing w:before="5pt" w:after="0pt"/>
        <w:rPr>
          <w:b w:val="0"/>
          <w:i w:val="0"/>
          <w:color w:val="000000"/>
          <w:sz w:val="24"/>
        </w:rPr>
      </w:pPr>
      <w:bookmarkStart w:id="674" w:name="_Toc256001435"/>
      <w:r>
        <w:rPr>
          <w:b w:val="0"/>
          <w:i w:val="0"/>
          <w:color w:val="000000"/>
          <w:sz w:val="24"/>
        </w:rPr>
        <w:t>Tabela 3: Kazalniki rezultatov</w:t>
      </w:r>
      <w:bookmarkEnd w:id="674"/>
    </w:p>
    <w:p w14:paraId="0DBF570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50"/>
        <w:gridCol w:w="1245"/>
        <w:gridCol w:w="771"/>
        <w:gridCol w:w="1291"/>
        <w:gridCol w:w="1498"/>
        <w:gridCol w:w="1841"/>
        <w:gridCol w:w="963"/>
        <w:gridCol w:w="1320"/>
        <w:gridCol w:w="1394"/>
        <w:gridCol w:w="896"/>
        <w:gridCol w:w="1521"/>
        <w:gridCol w:w="1082"/>
      </w:tblGrid>
      <w:tr w:rsidR="00823317" w14:paraId="26DD646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7B8EC1"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202D59"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7881C1"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16A6F7"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100564" w14:textId="77777777" w:rsidR="00A77B3E" w:rsidRDefault="00B16CCF">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ABC39A" w14:textId="77777777" w:rsidR="00A77B3E" w:rsidRDefault="00B16CCF">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7BCD54" w14:textId="77777777" w:rsidR="00A77B3E" w:rsidRDefault="00B16CCF">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80D606" w14:textId="77777777" w:rsidR="00A77B3E" w:rsidRDefault="00B16CCF">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09F7B19" w14:textId="77777777" w:rsidR="00A77B3E" w:rsidRDefault="00B16CCF">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423C89" w14:textId="77777777" w:rsidR="00A77B3E" w:rsidRDefault="00B16CCF">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190E11" w14:textId="77777777" w:rsidR="00A77B3E" w:rsidRDefault="00B16CCF">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3D61CB" w14:textId="77777777" w:rsidR="00A77B3E" w:rsidRDefault="00B16CCF">
            <w:pPr>
              <w:spacing w:before="5pt"/>
              <w:jc w:val="center"/>
              <w:rPr>
                <w:color w:val="000000"/>
                <w:sz w:val="20"/>
              </w:rPr>
            </w:pPr>
            <w:r>
              <w:rPr>
                <w:color w:val="000000"/>
                <w:sz w:val="20"/>
              </w:rPr>
              <w:t>Opombe</w:t>
            </w:r>
          </w:p>
        </w:tc>
      </w:tr>
      <w:tr w:rsidR="00823317" w14:paraId="7C807AC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611A49" w14:textId="77777777" w:rsidR="00A77B3E" w:rsidRDefault="00B16CCF">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3A20B6" w14:textId="77777777" w:rsidR="00A77B3E" w:rsidRDefault="00B16CCF">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05B6D1" w14:textId="77777777" w:rsidR="00A77B3E" w:rsidRDefault="00B16CCF">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433B74"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4CAE93" w14:textId="77777777" w:rsidR="00A77B3E" w:rsidRDefault="00B16CCF">
            <w:pPr>
              <w:spacing w:before="5pt"/>
              <w:rPr>
                <w:color w:val="000000"/>
                <w:sz w:val="20"/>
              </w:rPr>
            </w:pPr>
            <w:r>
              <w:rPr>
                <w:color w:val="000000"/>
                <w:sz w:val="20"/>
              </w:rPr>
              <w:t>RCR01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D22AA7" w14:textId="77777777" w:rsidR="00A77B3E" w:rsidRDefault="00B16CCF">
            <w:pPr>
              <w:spacing w:before="5pt"/>
              <w:rPr>
                <w:color w:val="000000"/>
                <w:sz w:val="20"/>
              </w:rPr>
            </w:pPr>
            <w:r>
              <w:rPr>
                <w:color w:val="000000"/>
                <w:sz w:val="20"/>
              </w:rPr>
              <w:t>Ustvarjena delovna mesta v subjektih, ki so prejeli podporo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BAF5B4" w14:textId="77777777" w:rsidR="00A77B3E" w:rsidRDefault="00B16CCF">
            <w:pPr>
              <w:spacing w:before="5pt"/>
              <w:rPr>
                <w:color w:val="000000"/>
                <w:sz w:val="20"/>
              </w:rPr>
            </w:pPr>
            <w:r>
              <w:rPr>
                <w:color w:val="000000"/>
                <w:sz w:val="20"/>
              </w:rPr>
              <w:t>letni EPDČ</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70B43B"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BF4454" w14:textId="77777777" w:rsidR="00A77B3E" w:rsidRDefault="00B16CCF">
            <w:pPr>
              <w:spacing w:before="5pt"/>
              <w:jc w:val="center"/>
              <w:rPr>
                <w:color w:val="000000"/>
                <w:sz w:val="20"/>
              </w:rPr>
            </w:pPr>
            <w:r>
              <w:rPr>
                <w:color w:val="000000"/>
                <w:sz w:val="2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AD1EF6" w14:textId="77777777" w:rsidR="00A77B3E" w:rsidRDefault="00B16CCF">
            <w:pPr>
              <w:spacing w:before="5pt"/>
              <w:jc w:val="end"/>
              <w:rPr>
                <w:color w:val="000000"/>
                <w:sz w:val="20"/>
              </w:rPr>
            </w:pPr>
            <w:r>
              <w:rPr>
                <w:color w:val="000000"/>
                <w:sz w:val="20"/>
              </w:rPr>
              <w:t>296,00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89920B" w14:textId="77777777" w:rsidR="00A77B3E" w:rsidRDefault="00B16CCF">
            <w:pPr>
              <w:spacing w:before="5pt"/>
              <w:rPr>
                <w:color w:val="000000"/>
                <w:sz w:val="20"/>
              </w:rPr>
            </w:pPr>
            <w:r>
              <w:rPr>
                <w:color w:val="000000"/>
                <w:sz w:val="20"/>
              </w:rPr>
              <w:t>Spremljanje, MVZI, MGTŠ</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B47F32" w14:textId="77777777" w:rsidR="00A77B3E" w:rsidRDefault="00A77B3E">
            <w:pPr>
              <w:spacing w:before="5pt"/>
              <w:rPr>
                <w:color w:val="000000"/>
                <w:sz w:val="20"/>
              </w:rPr>
            </w:pPr>
          </w:p>
        </w:tc>
      </w:tr>
      <w:tr w:rsidR="00823317" w14:paraId="318FAF4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F3076C" w14:textId="77777777" w:rsidR="00A77B3E" w:rsidRDefault="00B16CCF">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70A00F" w14:textId="77777777" w:rsidR="00A77B3E" w:rsidRDefault="00B16CCF">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B959E3" w14:textId="77777777" w:rsidR="00A77B3E" w:rsidRDefault="00B16CCF">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BA0573"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6FD829" w14:textId="77777777" w:rsidR="00A77B3E" w:rsidRDefault="00B16CCF">
            <w:pPr>
              <w:spacing w:before="5pt"/>
              <w:rPr>
                <w:color w:val="000000"/>
                <w:sz w:val="20"/>
              </w:rPr>
            </w:pPr>
            <w:r>
              <w:rPr>
                <w:color w:val="000000"/>
                <w:sz w:val="20"/>
              </w:rPr>
              <w:t>EECR02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C44607" w14:textId="77777777" w:rsidR="00A77B3E" w:rsidRDefault="00B16CCF">
            <w:pPr>
              <w:spacing w:before="5pt"/>
              <w:rPr>
                <w:color w:val="000000"/>
                <w:sz w:val="20"/>
              </w:rPr>
            </w:pPr>
            <w:r>
              <w:rPr>
                <w:color w:val="000000"/>
                <w:sz w:val="20"/>
              </w:rPr>
              <w:t>Udeleženci, ki so po zaključku sodelovanja vključeni v izobraževanje ali usposabljanje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BF7008" w14:textId="77777777" w:rsidR="00A77B3E" w:rsidRDefault="00B16CCF">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39C104"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AE95AF" w14:textId="77777777" w:rsidR="00A77B3E" w:rsidRDefault="00B16CCF">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B1559C" w14:textId="77777777" w:rsidR="00A77B3E" w:rsidRDefault="00B16CCF">
            <w:pPr>
              <w:spacing w:before="5pt"/>
              <w:jc w:val="end"/>
              <w:rPr>
                <w:color w:val="000000"/>
                <w:sz w:val="20"/>
              </w:rPr>
            </w:pPr>
            <w:r>
              <w:rPr>
                <w:color w:val="000000"/>
                <w:sz w:val="20"/>
              </w:rPr>
              <w:t>600,00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2DFF0B" w14:textId="77777777" w:rsidR="00A77B3E" w:rsidRDefault="00B16CCF">
            <w:pPr>
              <w:spacing w:before="5pt"/>
              <w:rPr>
                <w:color w:val="000000"/>
                <w:sz w:val="20"/>
              </w:rPr>
            </w:pPr>
            <w:r>
              <w:rPr>
                <w:color w:val="000000"/>
                <w:sz w:val="20"/>
              </w:rPr>
              <w:t>Spremljanje, MDDSZ</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9DF367" w14:textId="77777777" w:rsidR="00A77B3E" w:rsidRDefault="00A77B3E">
            <w:pPr>
              <w:spacing w:before="5pt"/>
              <w:rPr>
                <w:color w:val="000000"/>
                <w:sz w:val="20"/>
              </w:rPr>
            </w:pPr>
          </w:p>
        </w:tc>
      </w:tr>
      <w:tr w:rsidR="00823317" w14:paraId="3F87DBA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44101B" w14:textId="77777777" w:rsidR="00A77B3E" w:rsidRDefault="00B16CCF">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2AC96D" w14:textId="77777777" w:rsidR="00A77B3E" w:rsidRDefault="00B16CCF">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7E50E9" w14:textId="77777777" w:rsidR="00A77B3E" w:rsidRDefault="00B16CCF">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F2CD4A"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BA7721" w14:textId="77777777" w:rsidR="00A77B3E" w:rsidRDefault="00B16CCF">
            <w:pPr>
              <w:spacing w:before="5pt"/>
              <w:rPr>
                <w:color w:val="000000"/>
                <w:sz w:val="20"/>
              </w:rPr>
            </w:pPr>
            <w:r>
              <w:rPr>
                <w:color w:val="000000"/>
                <w:sz w:val="20"/>
              </w:rPr>
              <w:t>EECR03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7938E1" w14:textId="77777777" w:rsidR="00A77B3E" w:rsidRDefault="00B16CCF">
            <w:pPr>
              <w:spacing w:before="5pt"/>
              <w:rPr>
                <w:color w:val="000000"/>
                <w:sz w:val="20"/>
              </w:rPr>
            </w:pPr>
            <w:r>
              <w:rPr>
                <w:color w:val="000000"/>
                <w:sz w:val="20"/>
              </w:rPr>
              <w:t>Udeleženci, ki so po zaključku sodelovanja pridobili kvalifikacijo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87EE5F" w14:textId="77777777" w:rsidR="00A77B3E" w:rsidRDefault="00B16CCF">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D09C28"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03AF14" w14:textId="77777777" w:rsidR="00A77B3E" w:rsidRDefault="00B16CCF">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60788C" w14:textId="77777777" w:rsidR="00A77B3E" w:rsidRDefault="00B16CCF">
            <w:pPr>
              <w:spacing w:before="5pt"/>
              <w:jc w:val="end"/>
              <w:rPr>
                <w:color w:val="000000"/>
                <w:sz w:val="20"/>
              </w:rPr>
            </w:pPr>
            <w:r>
              <w:rPr>
                <w:color w:val="000000"/>
                <w:sz w:val="20"/>
              </w:rPr>
              <w:t>96,00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FD4417" w14:textId="77777777" w:rsidR="00A77B3E" w:rsidRDefault="00B16CCF">
            <w:pPr>
              <w:spacing w:before="5pt"/>
              <w:rPr>
                <w:color w:val="000000"/>
                <w:sz w:val="20"/>
              </w:rPr>
            </w:pPr>
            <w:r>
              <w:rPr>
                <w:color w:val="000000"/>
                <w:sz w:val="20"/>
              </w:rPr>
              <w:t>Spremljanje, MDDSZ</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29E6CC" w14:textId="77777777" w:rsidR="00A77B3E" w:rsidRDefault="00A77B3E">
            <w:pPr>
              <w:spacing w:before="5pt"/>
              <w:rPr>
                <w:color w:val="000000"/>
                <w:sz w:val="20"/>
              </w:rPr>
            </w:pPr>
          </w:p>
        </w:tc>
      </w:tr>
      <w:tr w:rsidR="00823317" w14:paraId="5C5961D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036532" w14:textId="77777777" w:rsidR="00A77B3E" w:rsidRDefault="00B16CCF">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4E234D" w14:textId="77777777" w:rsidR="00A77B3E" w:rsidRDefault="00B16CCF">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AD2FA5" w14:textId="77777777" w:rsidR="00A77B3E" w:rsidRDefault="00B16CCF">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098B49"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3127CA" w14:textId="77777777" w:rsidR="00A77B3E" w:rsidRDefault="00B16CCF">
            <w:pPr>
              <w:spacing w:before="5pt"/>
              <w:rPr>
                <w:color w:val="000000"/>
                <w:sz w:val="20"/>
              </w:rPr>
            </w:pPr>
            <w:r>
              <w:rPr>
                <w:color w:val="000000"/>
                <w:sz w:val="20"/>
              </w:rPr>
              <w:t>EECR04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D05A09" w14:textId="77777777" w:rsidR="00A77B3E" w:rsidRDefault="00B16CCF">
            <w:pPr>
              <w:spacing w:before="5pt"/>
              <w:rPr>
                <w:color w:val="000000"/>
                <w:sz w:val="20"/>
              </w:rPr>
            </w:pPr>
            <w:r>
              <w:rPr>
                <w:color w:val="000000"/>
                <w:sz w:val="20"/>
              </w:rPr>
              <w:t>Udeleženci, ki imajo po zaključku sodelovanja zaposlitev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1AC317" w14:textId="77777777" w:rsidR="00A77B3E" w:rsidRDefault="00B16CCF">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BB2F90"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1C5180" w14:textId="77777777" w:rsidR="00A77B3E" w:rsidRDefault="00B16CCF">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6F5917" w14:textId="77777777" w:rsidR="00A77B3E" w:rsidRDefault="00B16CCF">
            <w:pPr>
              <w:spacing w:before="5pt"/>
              <w:jc w:val="end"/>
              <w:rPr>
                <w:color w:val="000000"/>
                <w:sz w:val="20"/>
              </w:rPr>
            </w:pPr>
            <w:r>
              <w:rPr>
                <w:color w:val="000000"/>
                <w:sz w:val="20"/>
              </w:rPr>
              <w:t>330,00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B9AD09" w14:textId="77777777" w:rsidR="00A77B3E" w:rsidRDefault="00B16CCF">
            <w:pPr>
              <w:spacing w:before="5pt"/>
              <w:rPr>
                <w:color w:val="000000"/>
                <w:sz w:val="20"/>
              </w:rPr>
            </w:pPr>
            <w:r>
              <w:rPr>
                <w:color w:val="000000"/>
                <w:sz w:val="20"/>
              </w:rPr>
              <w:t>Spremljanje, MDDSZ</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2FF867" w14:textId="77777777" w:rsidR="00A77B3E" w:rsidRDefault="00A77B3E">
            <w:pPr>
              <w:spacing w:before="5pt"/>
              <w:rPr>
                <w:color w:val="000000"/>
                <w:sz w:val="20"/>
              </w:rPr>
            </w:pPr>
          </w:p>
        </w:tc>
      </w:tr>
      <w:tr w:rsidR="00823317" w14:paraId="4EB9A4A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0BF19D" w14:textId="77777777" w:rsidR="00A77B3E" w:rsidRDefault="00B16CCF">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40F2D2" w14:textId="77777777" w:rsidR="00A77B3E" w:rsidRDefault="00B16CCF">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B03396" w14:textId="77777777" w:rsidR="00A77B3E" w:rsidRDefault="00B16CCF">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B7DE6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DBF840" w14:textId="77777777" w:rsidR="00A77B3E" w:rsidRDefault="00B16CCF">
            <w:pPr>
              <w:spacing w:before="5pt"/>
              <w:rPr>
                <w:color w:val="000000"/>
                <w:sz w:val="20"/>
              </w:rPr>
            </w:pPr>
            <w:r>
              <w:rPr>
                <w:color w:val="000000"/>
                <w:sz w:val="20"/>
              </w:rPr>
              <w:t>RCR32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CF7921" w14:textId="77777777" w:rsidR="00A77B3E" w:rsidRDefault="00B16CCF">
            <w:pPr>
              <w:spacing w:before="5pt"/>
              <w:rPr>
                <w:color w:val="000000"/>
                <w:sz w:val="20"/>
              </w:rPr>
            </w:pPr>
            <w:r>
              <w:rPr>
                <w:color w:val="000000"/>
                <w:sz w:val="20"/>
              </w:rPr>
              <w:t xml:space="preserve">Dodatna nameščena operativna </w:t>
            </w:r>
            <w:r>
              <w:rPr>
                <w:color w:val="000000"/>
                <w:sz w:val="20"/>
              </w:rPr>
              <w:lastRenderedPageBreak/>
              <w:t>zmogljivost za energijo iz obnovljivih virov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66C494" w14:textId="77777777" w:rsidR="00A77B3E" w:rsidRDefault="00B16CCF">
            <w:pPr>
              <w:spacing w:before="5pt"/>
              <w:rPr>
                <w:color w:val="000000"/>
                <w:sz w:val="20"/>
              </w:rPr>
            </w:pPr>
            <w:r>
              <w:rPr>
                <w:color w:val="000000"/>
                <w:sz w:val="20"/>
              </w:rPr>
              <w:lastRenderedPageBreak/>
              <w:t>MW</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901039"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CB25DC" w14:textId="77777777" w:rsidR="00A77B3E" w:rsidRDefault="00B16CCF">
            <w:pPr>
              <w:spacing w:before="5pt"/>
              <w:jc w:val="center"/>
              <w:rPr>
                <w:color w:val="000000"/>
                <w:sz w:val="20"/>
              </w:rPr>
            </w:pPr>
            <w:r>
              <w:rPr>
                <w:color w:val="000000"/>
                <w:sz w:val="2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7849E2" w14:textId="77777777" w:rsidR="00A77B3E" w:rsidRDefault="00B16CCF">
            <w:pPr>
              <w:spacing w:before="5pt"/>
              <w:jc w:val="end"/>
              <w:rPr>
                <w:color w:val="000000"/>
                <w:sz w:val="20"/>
              </w:rPr>
            </w:pPr>
            <w:r>
              <w:rPr>
                <w:color w:val="000000"/>
                <w:sz w:val="20"/>
              </w:rPr>
              <w:t>71,54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B7183A" w14:textId="77777777" w:rsidR="00A77B3E" w:rsidRDefault="00B16CCF">
            <w:pPr>
              <w:spacing w:before="5pt"/>
              <w:rPr>
                <w:color w:val="000000"/>
                <w:sz w:val="20"/>
              </w:rPr>
            </w:pPr>
            <w:r>
              <w:rPr>
                <w:color w:val="000000"/>
                <w:sz w:val="20"/>
              </w:rPr>
              <w:t>MOPE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293A98" w14:textId="77777777" w:rsidR="00A77B3E" w:rsidRDefault="00A77B3E">
            <w:pPr>
              <w:spacing w:before="5pt"/>
              <w:rPr>
                <w:color w:val="000000"/>
                <w:sz w:val="20"/>
              </w:rPr>
            </w:pPr>
          </w:p>
        </w:tc>
      </w:tr>
      <w:tr w:rsidR="00823317" w14:paraId="1819CD3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EF30F4" w14:textId="77777777" w:rsidR="00A77B3E" w:rsidRDefault="00B16CCF">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35CBA4" w14:textId="77777777" w:rsidR="00A77B3E" w:rsidRDefault="00B16CCF">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D24BF6" w14:textId="77777777" w:rsidR="00A77B3E" w:rsidRDefault="00B16CCF">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B9001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458FDB" w14:textId="77777777" w:rsidR="00A77B3E" w:rsidRDefault="00B16CCF">
            <w:pPr>
              <w:spacing w:before="5pt"/>
              <w:rPr>
                <w:color w:val="000000"/>
                <w:sz w:val="20"/>
              </w:rPr>
            </w:pPr>
            <w:r>
              <w:rPr>
                <w:color w:val="000000"/>
                <w:sz w:val="20"/>
              </w:rPr>
              <w:t>RCR102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AC9734" w14:textId="77777777" w:rsidR="00A77B3E" w:rsidRDefault="00B16CCF">
            <w:pPr>
              <w:spacing w:before="5pt"/>
              <w:rPr>
                <w:color w:val="000000"/>
                <w:sz w:val="20"/>
              </w:rPr>
            </w:pPr>
            <w:r>
              <w:rPr>
                <w:color w:val="000000"/>
                <w:sz w:val="20"/>
              </w:rPr>
              <w:t>Raziskovalna delovna mesta, ustvarjena v subjektih, ki so prejeli podporo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318D24" w14:textId="77777777" w:rsidR="00A77B3E" w:rsidRDefault="00B16CCF">
            <w:pPr>
              <w:spacing w:before="5pt"/>
              <w:rPr>
                <w:color w:val="000000"/>
                <w:sz w:val="20"/>
              </w:rPr>
            </w:pPr>
            <w:r>
              <w:rPr>
                <w:color w:val="000000"/>
                <w:sz w:val="20"/>
              </w:rPr>
              <w:t>letni EPDČ</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008375"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BFF020" w14:textId="77777777" w:rsidR="00A77B3E" w:rsidRDefault="00B16CCF">
            <w:pPr>
              <w:spacing w:before="5pt"/>
              <w:jc w:val="center"/>
              <w:rPr>
                <w:color w:val="000000"/>
                <w:sz w:val="20"/>
              </w:rPr>
            </w:pPr>
            <w:r>
              <w:rPr>
                <w:color w:val="000000"/>
                <w:sz w:val="20"/>
              </w:rPr>
              <w:t>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6BE68D" w14:textId="77777777" w:rsidR="00A77B3E" w:rsidRDefault="00B16CCF">
            <w:pPr>
              <w:spacing w:before="5pt"/>
              <w:jc w:val="end"/>
              <w:rPr>
                <w:color w:val="000000"/>
                <w:sz w:val="20"/>
              </w:rPr>
            </w:pPr>
            <w:r>
              <w:rPr>
                <w:color w:val="000000"/>
                <w:sz w:val="20"/>
              </w:rPr>
              <w:t>17,00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786A6A" w14:textId="77777777" w:rsidR="00A77B3E" w:rsidRDefault="00B16CCF">
            <w:pPr>
              <w:spacing w:before="5pt"/>
              <w:rPr>
                <w:color w:val="000000"/>
                <w:sz w:val="20"/>
              </w:rPr>
            </w:pPr>
            <w:r>
              <w:rPr>
                <w:color w:val="000000"/>
                <w:sz w:val="20"/>
              </w:rPr>
              <w:t>MVZI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975162" w14:textId="77777777" w:rsidR="00A77B3E" w:rsidRDefault="00A77B3E">
            <w:pPr>
              <w:spacing w:before="5pt"/>
              <w:rPr>
                <w:color w:val="000000"/>
                <w:sz w:val="20"/>
              </w:rPr>
            </w:pPr>
          </w:p>
        </w:tc>
      </w:tr>
      <w:tr w:rsidR="00823317" w14:paraId="6F12D2D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E325DA" w14:textId="77777777" w:rsidR="00A77B3E" w:rsidRDefault="00B16CCF">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2FF8BC" w14:textId="77777777" w:rsidR="00A77B3E" w:rsidRDefault="00B16CCF">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660449" w14:textId="77777777" w:rsidR="00A77B3E" w:rsidRDefault="00B16CCF">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BF4302"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7A5926" w14:textId="77777777" w:rsidR="00A77B3E" w:rsidRDefault="00B16CCF">
            <w:pPr>
              <w:spacing w:before="5pt"/>
              <w:rPr>
                <w:color w:val="000000"/>
                <w:sz w:val="20"/>
              </w:rPr>
            </w:pPr>
            <w:r>
              <w:rPr>
                <w:color w:val="000000"/>
                <w:sz w:val="20"/>
              </w:rPr>
              <w:t>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BAF433" w14:textId="77777777" w:rsidR="00A77B3E" w:rsidRDefault="00B16CCF">
            <w:pPr>
              <w:spacing w:before="5pt"/>
              <w:rPr>
                <w:color w:val="000000"/>
                <w:sz w:val="20"/>
              </w:rPr>
            </w:pPr>
            <w:r>
              <w:rPr>
                <w:color w:val="000000"/>
                <w:sz w:val="20"/>
              </w:rPr>
              <w:t>Število oseb na leto, ki uporabljajo posodobljene, a cenovno dostopne stanovanjske enote, javna najemna oskrbovana stanovanja oz. bivalne enote (88. člen Stanovanjskega zakona) – uporabniki/leto (Zasavje)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3729DC" w14:textId="77777777" w:rsidR="00A77B3E" w:rsidRDefault="00B16CCF">
            <w:pPr>
              <w:spacing w:before="5pt"/>
              <w:rPr>
                <w:color w:val="000000"/>
                <w:sz w:val="20"/>
              </w:rPr>
            </w:pPr>
            <w:r>
              <w:rPr>
                <w:color w:val="000000"/>
                <w:sz w:val="20"/>
              </w:rPr>
              <w:t>število (osebe)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4DB4E4" w14:textId="77777777" w:rsidR="00A77B3E" w:rsidRDefault="00B16CC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214BBE" w14:textId="77777777" w:rsidR="00A77B3E" w:rsidRDefault="00B16CCF">
            <w:pPr>
              <w:spacing w:before="5pt"/>
              <w:jc w:val="center"/>
              <w:rPr>
                <w:color w:val="000000"/>
                <w:sz w:val="20"/>
              </w:rPr>
            </w:pPr>
            <w:r>
              <w:rPr>
                <w:color w:val="000000"/>
                <w:sz w:val="20"/>
              </w:rPr>
              <w:t>2025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63ABB7" w14:textId="77777777" w:rsidR="00A77B3E" w:rsidRDefault="00B16CCF">
            <w:pPr>
              <w:spacing w:before="5pt"/>
              <w:jc w:val="end"/>
              <w:rPr>
                <w:color w:val="000000"/>
                <w:sz w:val="20"/>
              </w:rPr>
            </w:pPr>
            <w:r>
              <w:rPr>
                <w:color w:val="000000"/>
                <w:sz w:val="20"/>
              </w:rPr>
              <w:t>60,00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BF5058" w14:textId="77777777" w:rsidR="00A77B3E" w:rsidRDefault="00B16CCF">
            <w:pPr>
              <w:spacing w:before="5pt"/>
              <w:rPr>
                <w:color w:val="000000"/>
                <w:sz w:val="20"/>
              </w:rPr>
            </w:pPr>
            <w:r>
              <w:rPr>
                <w:color w:val="000000"/>
                <w:sz w:val="20"/>
              </w:rPr>
              <w:t>MSP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79F0AC" w14:textId="77777777" w:rsidR="00A77B3E" w:rsidRDefault="00A77B3E">
            <w:pPr>
              <w:spacing w:before="5pt"/>
              <w:rPr>
                <w:color w:val="000000"/>
                <w:sz w:val="20"/>
              </w:rPr>
            </w:pPr>
          </w:p>
        </w:tc>
      </w:tr>
    </w:tbl>
    <w:p w14:paraId="40308D6D" w14:textId="77777777" w:rsidR="00A77B3E" w:rsidRDefault="00A77B3E">
      <w:pPr>
        <w:spacing w:before="5pt"/>
        <w:rPr>
          <w:color w:val="000000"/>
          <w:sz w:val="20"/>
        </w:rPr>
      </w:pPr>
    </w:p>
    <w:p w14:paraId="21AE7554" w14:textId="77777777" w:rsidR="00A77B3E" w:rsidRDefault="00B16CCF">
      <w:pPr>
        <w:pStyle w:val="Naslov4"/>
        <w:spacing w:before="5pt" w:after="0pt"/>
        <w:rPr>
          <w:b w:val="0"/>
          <w:color w:val="000000"/>
          <w:sz w:val="24"/>
        </w:rPr>
      </w:pPr>
      <w:bookmarkStart w:id="675" w:name="_Toc256001436"/>
      <w:r>
        <w:rPr>
          <w:b w:val="0"/>
          <w:color w:val="000000"/>
          <w:sz w:val="24"/>
        </w:rPr>
        <w:t>2.1.1.1.3. Okvirna razčlenitev načrtovanih sredstev (EU) glede na vrsto ukrepa</w:t>
      </w:r>
      <w:bookmarkEnd w:id="675"/>
    </w:p>
    <w:p w14:paraId="3CD7CC1E" w14:textId="77777777" w:rsidR="00A77B3E" w:rsidRDefault="00A77B3E">
      <w:pPr>
        <w:spacing w:before="5pt"/>
        <w:rPr>
          <w:color w:val="000000"/>
          <w:sz w:val="0"/>
        </w:rPr>
      </w:pPr>
    </w:p>
    <w:p w14:paraId="3DBE6201" w14:textId="77777777" w:rsidR="00A77B3E" w:rsidRDefault="00B16CCF">
      <w:pPr>
        <w:spacing w:before="5pt"/>
        <w:rPr>
          <w:color w:val="000000"/>
          <w:sz w:val="0"/>
        </w:rPr>
      </w:pPr>
      <w:r>
        <w:rPr>
          <w:color w:val="000000"/>
        </w:rPr>
        <w:t>Sklic: člen 22(3)(d)(viii) uredbe o skupnih določbah</w:t>
      </w:r>
    </w:p>
    <w:p w14:paraId="4BC2A8AA" w14:textId="77777777" w:rsidR="00A77B3E" w:rsidRDefault="00B16CCF">
      <w:pPr>
        <w:pStyle w:val="Naslov5"/>
        <w:spacing w:before="5pt" w:after="0pt"/>
        <w:rPr>
          <w:b w:val="0"/>
          <w:i w:val="0"/>
          <w:color w:val="000000"/>
          <w:sz w:val="24"/>
        </w:rPr>
      </w:pPr>
      <w:bookmarkStart w:id="676" w:name="_Toc256001437"/>
      <w:r>
        <w:rPr>
          <w:b w:val="0"/>
          <w:i w:val="0"/>
          <w:color w:val="000000"/>
          <w:sz w:val="24"/>
        </w:rPr>
        <w:t>Tabela 4: Razsežnost 1 – področje ukrepanja</w:t>
      </w:r>
      <w:bookmarkEnd w:id="676"/>
    </w:p>
    <w:p w14:paraId="05CD559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307"/>
        <w:gridCol w:w="2128"/>
        <w:gridCol w:w="1545"/>
        <w:gridCol w:w="2206"/>
        <w:gridCol w:w="3854"/>
        <w:gridCol w:w="3132"/>
      </w:tblGrid>
      <w:tr w:rsidR="00823317" w14:paraId="0BA6F51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159D89A"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D755C0"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6017D5F"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335818"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6C73523"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4E3DD6" w14:textId="77777777" w:rsidR="00A77B3E" w:rsidRDefault="00B16CCF">
            <w:pPr>
              <w:spacing w:before="5pt"/>
              <w:jc w:val="center"/>
              <w:rPr>
                <w:color w:val="000000"/>
                <w:sz w:val="20"/>
              </w:rPr>
            </w:pPr>
            <w:r>
              <w:rPr>
                <w:color w:val="000000"/>
                <w:sz w:val="20"/>
              </w:rPr>
              <w:t>Znesek (v EUR)</w:t>
            </w:r>
          </w:p>
        </w:tc>
      </w:tr>
      <w:tr w:rsidR="00823317" w14:paraId="7EA4926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15C425" w14:textId="77777777" w:rsidR="00A77B3E" w:rsidRDefault="00B16CCF">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128B89" w14:textId="77777777" w:rsidR="00A77B3E" w:rsidRDefault="00B16CCF">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7FB88F" w14:textId="77777777" w:rsidR="00A77B3E" w:rsidRDefault="00B16CCF">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D8277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6EFCC4" w14:textId="77777777" w:rsidR="00A77B3E" w:rsidRDefault="00B16CCF">
            <w:pPr>
              <w:spacing w:before="5pt"/>
              <w:rPr>
                <w:color w:val="000000"/>
                <w:sz w:val="20"/>
              </w:rPr>
            </w:pPr>
            <w:r>
              <w:rPr>
                <w:color w:val="000000"/>
                <w:sz w:val="20"/>
              </w:rPr>
              <w:t>004. Naložbe v osnovna sredstva, vključno v raziskovalno infrastrukturo, v javnih raziskovalnih središčih in visokem šolstvu, ki so neposredno povezane z raziskovalnimi in inovacijskimi dejavnostmi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E39A55" w14:textId="77777777" w:rsidR="00A77B3E" w:rsidRDefault="00B16CCF">
            <w:pPr>
              <w:spacing w:before="5pt"/>
              <w:jc w:val="end"/>
              <w:rPr>
                <w:color w:val="000000"/>
                <w:sz w:val="20"/>
              </w:rPr>
            </w:pPr>
            <w:r>
              <w:rPr>
                <w:color w:val="000000"/>
                <w:sz w:val="20"/>
              </w:rPr>
              <w:t>40.258.600,00</w:t>
            </w:r>
          </w:p>
        </w:tc>
      </w:tr>
      <w:tr w:rsidR="00823317" w14:paraId="72EC927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909BD6" w14:textId="77777777" w:rsidR="00A77B3E" w:rsidRDefault="00B16CCF">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B71950" w14:textId="77777777" w:rsidR="00A77B3E" w:rsidRDefault="00B16CCF">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52F138" w14:textId="77777777" w:rsidR="00A77B3E" w:rsidRDefault="00B16CCF">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FCE569"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F9AE7C" w14:textId="77777777" w:rsidR="00A77B3E" w:rsidRDefault="00B16CCF">
            <w:pPr>
              <w:spacing w:before="5pt"/>
              <w:rPr>
                <w:color w:val="000000"/>
                <w:sz w:val="20"/>
              </w:rPr>
            </w:pPr>
            <w:r>
              <w:rPr>
                <w:color w:val="000000"/>
                <w:sz w:val="20"/>
              </w:rPr>
              <w:t>010. Raziskovalne in inovacijske dejavnosti v MSP, vključno z mreženjem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A78D82" w14:textId="77777777" w:rsidR="00A77B3E" w:rsidRDefault="00B16CCF">
            <w:pPr>
              <w:spacing w:before="5pt"/>
              <w:jc w:val="end"/>
              <w:rPr>
                <w:color w:val="000000"/>
                <w:sz w:val="20"/>
              </w:rPr>
            </w:pPr>
            <w:r>
              <w:rPr>
                <w:color w:val="000000"/>
                <w:sz w:val="20"/>
              </w:rPr>
              <w:t>9.210.000,00</w:t>
            </w:r>
          </w:p>
        </w:tc>
      </w:tr>
      <w:tr w:rsidR="00823317" w14:paraId="1DCE98C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BC8C5D" w14:textId="77777777" w:rsidR="00A77B3E" w:rsidRDefault="00B16CCF">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61CC96" w14:textId="77777777" w:rsidR="00A77B3E" w:rsidRDefault="00B16CCF">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F2799F" w14:textId="77777777" w:rsidR="00A77B3E" w:rsidRDefault="00B16CCF">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30AE96"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A6AAEE" w14:textId="77777777" w:rsidR="00A77B3E" w:rsidRDefault="00B16CCF">
            <w:pPr>
              <w:spacing w:before="5pt"/>
              <w:rPr>
                <w:color w:val="000000"/>
                <w:sz w:val="20"/>
              </w:rPr>
            </w:pPr>
            <w:r>
              <w:rPr>
                <w:color w:val="000000"/>
                <w:sz w:val="20"/>
              </w:rPr>
              <w:t xml:space="preserve">011. Raziskovalne in inovacijske dejavnosti v velikih podjetjih, vključno z mreženjem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F81871" w14:textId="77777777" w:rsidR="00A77B3E" w:rsidRDefault="00B16CCF">
            <w:pPr>
              <w:spacing w:before="5pt"/>
              <w:jc w:val="end"/>
              <w:rPr>
                <w:color w:val="000000"/>
                <w:sz w:val="20"/>
              </w:rPr>
            </w:pPr>
            <w:r>
              <w:rPr>
                <w:color w:val="000000"/>
                <w:sz w:val="20"/>
              </w:rPr>
              <w:t>5.210.000,00</w:t>
            </w:r>
          </w:p>
        </w:tc>
      </w:tr>
      <w:tr w:rsidR="00823317" w14:paraId="042F969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C8733F" w14:textId="77777777" w:rsidR="00A77B3E" w:rsidRDefault="00B16CCF">
            <w:pPr>
              <w:spacing w:before="5pt"/>
              <w:rPr>
                <w:color w:val="000000"/>
                <w:sz w:val="20"/>
              </w:rPr>
            </w:pPr>
            <w:r>
              <w:rPr>
                <w:color w:val="000000"/>
                <w:sz w:val="20"/>
              </w:rPr>
              <w:lastRenderedPageBreak/>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FA0703" w14:textId="77777777" w:rsidR="00A77B3E" w:rsidRDefault="00B16CCF">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EBD0BC" w14:textId="77777777" w:rsidR="00A77B3E" w:rsidRDefault="00B16CCF">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B3A38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96173D" w14:textId="77777777" w:rsidR="00A77B3E" w:rsidRDefault="00B16CCF">
            <w:pPr>
              <w:spacing w:before="5pt"/>
              <w:rPr>
                <w:color w:val="000000"/>
                <w:sz w:val="20"/>
              </w:rPr>
            </w:pPr>
            <w:r>
              <w:rPr>
                <w:color w:val="000000"/>
                <w:sz w:val="20"/>
              </w:rPr>
              <w:t>020. Poslovna infrastruktura za MSP (vključno z industrijskimi parki in območji)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064FC8" w14:textId="77777777" w:rsidR="00A77B3E" w:rsidRDefault="00B16CCF">
            <w:pPr>
              <w:spacing w:before="5pt"/>
              <w:jc w:val="end"/>
              <w:rPr>
                <w:color w:val="000000"/>
                <w:sz w:val="20"/>
              </w:rPr>
            </w:pPr>
            <w:r>
              <w:rPr>
                <w:color w:val="000000"/>
                <w:sz w:val="20"/>
              </w:rPr>
              <w:t>29.320.000,00</w:t>
            </w:r>
          </w:p>
        </w:tc>
      </w:tr>
      <w:tr w:rsidR="00823317" w14:paraId="6F94293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B08D53" w14:textId="77777777" w:rsidR="00A77B3E" w:rsidRDefault="00B16CCF">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2A6FAA" w14:textId="77777777" w:rsidR="00A77B3E" w:rsidRDefault="00B16CCF">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0A7D4F" w14:textId="77777777" w:rsidR="00A77B3E" w:rsidRDefault="00B16CCF">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763483"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C974B6" w14:textId="77777777" w:rsidR="00A77B3E" w:rsidRDefault="00B16CCF">
            <w:pPr>
              <w:spacing w:before="5pt"/>
              <w:rPr>
                <w:color w:val="000000"/>
                <w:sz w:val="20"/>
              </w:rPr>
            </w:pPr>
            <w:r>
              <w:rPr>
                <w:color w:val="000000"/>
                <w:sz w:val="20"/>
              </w:rPr>
              <w:t>021. Poslovni razvoj in internacionalizacija MSP, vključno s produktivnimi naložbami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8F2BE7" w14:textId="77777777" w:rsidR="00A77B3E" w:rsidRDefault="00B16CCF">
            <w:pPr>
              <w:spacing w:before="5pt"/>
              <w:jc w:val="end"/>
              <w:rPr>
                <w:color w:val="000000"/>
                <w:sz w:val="20"/>
              </w:rPr>
            </w:pPr>
            <w:r>
              <w:rPr>
                <w:color w:val="000000"/>
                <w:sz w:val="20"/>
              </w:rPr>
              <w:t>36.230.000,00</w:t>
            </w:r>
          </w:p>
        </w:tc>
      </w:tr>
      <w:tr w:rsidR="00823317" w14:paraId="069D10D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FD0256" w14:textId="77777777" w:rsidR="00A77B3E" w:rsidRDefault="00B16CCF">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4F664D" w14:textId="77777777" w:rsidR="00A77B3E" w:rsidRDefault="00B16CCF">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144F45" w14:textId="77777777" w:rsidR="00A77B3E" w:rsidRDefault="00B16CCF">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31E5D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4BE098" w14:textId="77777777" w:rsidR="00A77B3E" w:rsidRDefault="00B16CCF">
            <w:pPr>
              <w:spacing w:before="5pt"/>
              <w:rPr>
                <w:color w:val="000000"/>
                <w:sz w:val="20"/>
              </w:rPr>
            </w:pPr>
            <w:r>
              <w:rPr>
                <w:color w:val="000000"/>
                <w:sz w:val="20"/>
              </w:rPr>
              <w:t>022. Podpora velikim podjetjem s finančnimi instrumenti, vključno s produktivnimi naložbami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F3FF7D" w14:textId="77777777" w:rsidR="00A77B3E" w:rsidRDefault="00B16CCF">
            <w:pPr>
              <w:spacing w:before="5pt"/>
              <w:jc w:val="end"/>
              <w:rPr>
                <w:color w:val="000000"/>
                <w:sz w:val="20"/>
              </w:rPr>
            </w:pPr>
            <w:r>
              <w:rPr>
                <w:color w:val="000000"/>
                <w:sz w:val="20"/>
              </w:rPr>
              <w:t>25.970.000,00</w:t>
            </w:r>
          </w:p>
        </w:tc>
      </w:tr>
      <w:tr w:rsidR="00823317" w14:paraId="0EFC3D1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9BC4F2" w14:textId="77777777" w:rsidR="00A77B3E" w:rsidRDefault="00B16CCF">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DF64A3" w14:textId="77777777" w:rsidR="00A77B3E" w:rsidRDefault="00B16CCF">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248A31" w14:textId="77777777" w:rsidR="00A77B3E" w:rsidRDefault="00B16CCF">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D676DB"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9A8F78" w14:textId="77777777" w:rsidR="00A77B3E" w:rsidRDefault="00B16CCF">
            <w:pPr>
              <w:spacing w:before="5pt"/>
              <w:rPr>
                <w:color w:val="000000"/>
                <w:sz w:val="20"/>
              </w:rPr>
            </w:pPr>
            <w:r>
              <w:rPr>
                <w:color w:val="000000"/>
                <w:sz w:val="20"/>
              </w:rPr>
              <w:t>048. Energija iz obnovljivih virov: sonce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7EB540" w14:textId="77777777" w:rsidR="00A77B3E" w:rsidRDefault="00B16CCF">
            <w:pPr>
              <w:spacing w:before="5pt"/>
              <w:jc w:val="end"/>
              <w:rPr>
                <w:color w:val="000000"/>
                <w:sz w:val="20"/>
              </w:rPr>
            </w:pPr>
            <w:r>
              <w:rPr>
                <w:color w:val="000000"/>
                <w:sz w:val="20"/>
              </w:rPr>
              <w:t>33.000.000,00</w:t>
            </w:r>
          </w:p>
        </w:tc>
      </w:tr>
      <w:tr w:rsidR="00823317" w14:paraId="3FE1FE3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C0FB03" w14:textId="77777777" w:rsidR="00A77B3E" w:rsidRDefault="00B16CCF">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6AA9DB" w14:textId="77777777" w:rsidR="00A77B3E" w:rsidRDefault="00B16CCF">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033BDB" w14:textId="77777777" w:rsidR="00A77B3E" w:rsidRDefault="00B16CCF">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1C1FC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FC836A" w14:textId="77777777" w:rsidR="00A77B3E" w:rsidRDefault="00B16CCF">
            <w:pPr>
              <w:spacing w:before="5pt"/>
              <w:rPr>
                <w:color w:val="000000"/>
                <w:sz w:val="20"/>
              </w:rPr>
            </w:pPr>
            <w:r>
              <w:rPr>
                <w:color w:val="000000"/>
                <w:sz w:val="20"/>
              </w:rPr>
              <w:t>053. Pametni energetski sistemi (vključno s pametnimi omrežji in sistemi IKT) ter povezano shranjevanje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4A5D17" w14:textId="77777777" w:rsidR="00A77B3E" w:rsidRDefault="00B16CCF">
            <w:pPr>
              <w:spacing w:before="5pt"/>
              <w:jc w:val="end"/>
              <w:rPr>
                <w:color w:val="000000"/>
                <w:sz w:val="20"/>
              </w:rPr>
            </w:pPr>
            <w:r>
              <w:rPr>
                <w:color w:val="000000"/>
                <w:sz w:val="20"/>
              </w:rPr>
              <w:t>13.539.536,33</w:t>
            </w:r>
          </w:p>
        </w:tc>
      </w:tr>
      <w:tr w:rsidR="00823317" w14:paraId="4338775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E1788A" w14:textId="77777777" w:rsidR="00A77B3E" w:rsidRDefault="00B16CCF">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DA2D15" w14:textId="77777777" w:rsidR="00A77B3E" w:rsidRDefault="00B16CCF">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006E80" w14:textId="77777777" w:rsidR="00A77B3E" w:rsidRDefault="00B16CCF">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9BDF5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D316D1" w14:textId="77777777" w:rsidR="00A77B3E" w:rsidRDefault="00B16CCF">
            <w:pPr>
              <w:spacing w:before="5pt"/>
              <w:rPr>
                <w:color w:val="000000"/>
                <w:sz w:val="20"/>
              </w:rPr>
            </w:pPr>
            <w:r>
              <w:rPr>
                <w:color w:val="000000"/>
                <w:sz w:val="20"/>
              </w:rPr>
              <w:t>054. Visoko učinkovita soproizvodnja toplote in električne energije, daljinsko ogrevanje in hlajenje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1F3B73" w14:textId="77777777" w:rsidR="00A77B3E" w:rsidRDefault="00B16CCF">
            <w:pPr>
              <w:spacing w:before="5pt"/>
              <w:jc w:val="end"/>
              <w:rPr>
                <w:color w:val="000000"/>
                <w:sz w:val="20"/>
              </w:rPr>
            </w:pPr>
            <w:r>
              <w:rPr>
                <w:color w:val="000000"/>
                <w:sz w:val="20"/>
              </w:rPr>
              <w:t>19.910.463,67</w:t>
            </w:r>
          </w:p>
        </w:tc>
      </w:tr>
      <w:tr w:rsidR="00823317" w14:paraId="05A940F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47A9F5" w14:textId="77777777" w:rsidR="00A77B3E" w:rsidRDefault="00B16CCF">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501C49" w14:textId="77777777" w:rsidR="00A77B3E" w:rsidRDefault="00B16CCF">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59CECC" w14:textId="77777777" w:rsidR="00A77B3E" w:rsidRDefault="00B16CCF">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5F3D60"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C280D6" w14:textId="77777777" w:rsidR="00A77B3E" w:rsidRDefault="00B16CCF">
            <w:pPr>
              <w:spacing w:before="5pt"/>
              <w:rPr>
                <w:color w:val="000000"/>
                <w:sz w:val="20"/>
              </w:rPr>
            </w:pPr>
            <w:r>
              <w:rPr>
                <w:color w:val="000000"/>
                <w:sz w:val="20"/>
              </w:rPr>
              <w:t>073. Sanacija industrijskih območij in kontaminiranih zemljišč</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D58056" w14:textId="77777777" w:rsidR="00A77B3E" w:rsidRDefault="00B16CCF">
            <w:pPr>
              <w:spacing w:before="5pt"/>
              <w:jc w:val="end"/>
              <w:rPr>
                <w:color w:val="000000"/>
                <w:sz w:val="20"/>
              </w:rPr>
            </w:pPr>
            <w:r>
              <w:rPr>
                <w:color w:val="000000"/>
                <w:sz w:val="20"/>
              </w:rPr>
              <w:t>15.640.000,00</w:t>
            </w:r>
          </w:p>
        </w:tc>
      </w:tr>
      <w:tr w:rsidR="00823317" w14:paraId="315ACB3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2E9993" w14:textId="77777777" w:rsidR="00A77B3E" w:rsidRDefault="00B16CCF">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C685AE" w14:textId="77777777" w:rsidR="00A77B3E" w:rsidRDefault="00B16CCF">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031F8E" w14:textId="77777777" w:rsidR="00A77B3E" w:rsidRDefault="00B16CCF">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DE5F07"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F08494" w14:textId="77777777" w:rsidR="00A77B3E" w:rsidRDefault="00B16CCF">
            <w:pPr>
              <w:spacing w:before="5pt"/>
              <w:rPr>
                <w:color w:val="000000"/>
                <w:sz w:val="20"/>
              </w:rPr>
            </w:pPr>
            <w:r>
              <w:rPr>
                <w:color w:val="000000"/>
                <w:sz w:val="20"/>
              </w:rPr>
              <w:t>086. Infrastruktura za alternativna goriva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1B1754" w14:textId="77777777" w:rsidR="00A77B3E" w:rsidRDefault="00B16CCF">
            <w:pPr>
              <w:spacing w:before="5pt"/>
              <w:jc w:val="end"/>
              <w:rPr>
                <w:color w:val="000000"/>
                <w:sz w:val="20"/>
              </w:rPr>
            </w:pPr>
            <w:r>
              <w:rPr>
                <w:color w:val="000000"/>
                <w:sz w:val="20"/>
              </w:rPr>
              <w:t>4.000.000,00</w:t>
            </w:r>
          </w:p>
        </w:tc>
      </w:tr>
      <w:tr w:rsidR="00823317" w14:paraId="0A08C54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3273FE" w14:textId="77777777" w:rsidR="00A77B3E" w:rsidRDefault="00B16CCF">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98928B" w14:textId="77777777" w:rsidR="00A77B3E" w:rsidRDefault="00B16CCF">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3AABFA" w14:textId="77777777" w:rsidR="00A77B3E" w:rsidRDefault="00B16CCF">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E45942"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40FEBD" w14:textId="77777777" w:rsidR="00A77B3E" w:rsidRDefault="00B16CCF">
            <w:pPr>
              <w:spacing w:before="5pt"/>
              <w:rPr>
                <w:color w:val="000000"/>
                <w:sz w:val="20"/>
              </w:rPr>
            </w:pPr>
            <w:r>
              <w:rPr>
                <w:color w:val="000000"/>
                <w:sz w:val="20"/>
              </w:rPr>
              <w:t>126. Stanovanjska infrastruktura (razen za migrante, begunce in osebe, ki so upravičene do mednarodne zaščite ali so zaprosile zanjo)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795042" w14:textId="77777777" w:rsidR="00A77B3E" w:rsidRDefault="00B16CCF">
            <w:pPr>
              <w:spacing w:before="5pt"/>
              <w:jc w:val="end"/>
              <w:rPr>
                <w:color w:val="000000"/>
                <w:sz w:val="20"/>
              </w:rPr>
            </w:pPr>
            <w:r>
              <w:rPr>
                <w:color w:val="000000"/>
                <w:sz w:val="20"/>
              </w:rPr>
              <w:t>6.500.000,00</w:t>
            </w:r>
          </w:p>
        </w:tc>
      </w:tr>
      <w:tr w:rsidR="00823317" w14:paraId="681864F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84F6CF" w14:textId="77777777" w:rsidR="00A77B3E" w:rsidRDefault="00B16CCF">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FD17A6" w14:textId="77777777" w:rsidR="00A77B3E" w:rsidRDefault="00B16CCF">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811AD7" w14:textId="77777777" w:rsidR="00A77B3E" w:rsidRDefault="00B16CCF">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EF7449"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4CE79D" w14:textId="77777777" w:rsidR="00A77B3E" w:rsidRDefault="00B16CCF">
            <w:pPr>
              <w:spacing w:before="5pt"/>
              <w:rPr>
                <w:color w:val="000000"/>
                <w:sz w:val="20"/>
              </w:rPr>
            </w:pPr>
            <w:r>
              <w:rPr>
                <w:color w:val="000000"/>
                <w:sz w:val="20"/>
              </w:rPr>
              <w:t>134. Ukrepi za izboljšanje dostopa do zaposlitve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5E5CBC" w14:textId="77777777" w:rsidR="00A77B3E" w:rsidRDefault="00B16CCF">
            <w:pPr>
              <w:spacing w:before="5pt"/>
              <w:jc w:val="end"/>
              <w:rPr>
                <w:color w:val="000000"/>
                <w:sz w:val="20"/>
              </w:rPr>
            </w:pPr>
            <w:r>
              <w:rPr>
                <w:color w:val="000000"/>
                <w:sz w:val="20"/>
              </w:rPr>
              <w:t>3.030.000,00</w:t>
            </w:r>
          </w:p>
        </w:tc>
      </w:tr>
      <w:tr w:rsidR="00823317" w14:paraId="00E3804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E59127" w14:textId="77777777" w:rsidR="00A77B3E" w:rsidRDefault="00B16CCF">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FE349A" w14:textId="77777777" w:rsidR="00A77B3E" w:rsidRDefault="00B16CCF">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34AA98" w14:textId="77777777" w:rsidR="00A77B3E" w:rsidRDefault="00B16CCF">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818155"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4B53DF" w14:textId="77777777" w:rsidR="00A77B3E" w:rsidRDefault="00B16CCF">
            <w:pPr>
              <w:spacing w:before="5pt"/>
              <w:rPr>
                <w:color w:val="000000"/>
                <w:sz w:val="20"/>
              </w:rPr>
            </w:pPr>
            <w:r>
              <w:rPr>
                <w:color w:val="000000"/>
                <w:sz w:val="20"/>
              </w:rPr>
              <w:t>145. Podpora za razvoj digitalnih znanj in spretnosti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DD827B" w14:textId="77777777" w:rsidR="00A77B3E" w:rsidRDefault="00B16CCF">
            <w:pPr>
              <w:spacing w:before="5pt"/>
              <w:jc w:val="end"/>
              <w:rPr>
                <w:color w:val="000000"/>
                <w:sz w:val="20"/>
              </w:rPr>
            </w:pPr>
            <w:r>
              <w:rPr>
                <w:color w:val="000000"/>
                <w:sz w:val="20"/>
              </w:rPr>
              <w:t>1.987.500,00</w:t>
            </w:r>
          </w:p>
        </w:tc>
      </w:tr>
      <w:tr w:rsidR="00823317" w14:paraId="087AABE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BCE43C" w14:textId="77777777" w:rsidR="00A77B3E" w:rsidRDefault="00B16CCF">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8C8D5E" w14:textId="77777777" w:rsidR="00A77B3E" w:rsidRDefault="00B16CCF">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181DA4" w14:textId="77777777" w:rsidR="00A77B3E" w:rsidRDefault="00B16CCF">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35C72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26DA16" w14:textId="77777777" w:rsidR="00A77B3E" w:rsidRDefault="00B16CCF">
            <w:pPr>
              <w:spacing w:before="5pt"/>
              <w:rPr>
                <w:color w:val="000000"/>
                <w:sz w:val="20"/>
              </w:rPr>
            </w:pPr>
            <w:r>
              <w:rPr>
                <w:color w:val="000000"/>
                <w:sz w:val="20"/>
              </w:rPr>
              <w:t>149. Podpora za osnovnošolsko in srednješolsko izobraževanje (razen infrastrukture)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8939CA" w14:textId="77777777" w:rsidR="00A77B3E" w:rsidRDefault="00B16CCF">
            <w:pPr>
              <w:spacing w:before="5pt"/>
              <w:jc w:val="end"/>
              <w:rPr>
                <w:color w:val="000000"/>
                <w:sz w:val="20"/>
              </w:rPr>
            </w:pPr>
            <w:r>
              <w:rPr>
                <w:color w:val="000000"/>
                <w:sz w:val="20"/>
              </w:rPr>
              <w:t>4.967.500,00</w:t>
            </w:r>
          </w:p>
        </w:tc>
      </w:tr>
      <w:tr w:rsidR="00823317" w14:paraId="5EB14E5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21E5F5" w14:textId="77777777" w:rsidR="00A77B3E" w:rsidRDefault="00B16CCF">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7FC4F3" w14:textId="77777777" w:rsidR="00A77B3E" w:rsidRDefault="00B16CCF">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B397D0"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D3D1DE"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26FA2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5889F6" w14:textId="77777777" w:rsidR="00A77B3E" w:rsidRDefault="00B16CCF">
            <w:pPr>
              <w:spacing w:before="5pt"/>
              <w:jc w:val="end"/>
              <w:rPr>
                <w:color w:val="000000"/>
                <w:sz w:val="20"/>
              </w:rPr>
            </w:pPr>
            <w:r>
              <w:rPr>
                <w:color w:val="000000"/>
                <w:sz w:val="20"/>
              </w:rPr>
              <w:t>248.773.600,00</w:t>
            </w:r>
          </w:p>
        </w:tc>
      </w:tr>
    </w:tbl>
    <w:p w14:paraId="53179E13" w14:textId="77777777" w:rsidR="00A77B3E" w:rsidRDefault="00A77B3E">
      <w:pPr>
        <w:spacing w:before="5pt"/>
        <w:rPr>
          <w:color w:val="000000"/>
          <w:sz w:val="20"/>
        </w:rPr>
      </w:pPr>
    </w:p>
    <w:p w14:paraId="4C180E67" w14:textId="77777777" w:rsidR="00A77B3E" w:rsidRDefault="00B16CCF">
      <w:pPr>
        <w:pStyle w:val="Naslov5"/>
        <w:spacing w:before="5pt" w:after="0pt"/>
        <w:rPr>
          <w:b w:val="0"/>
          <w:i w:val="0"/>
          <w:color w:val="000000"/>
          <w:sz w:val="24"/>
        </w:rPr>
      </w:pPr>
      <w:bookmarkStart w:id="677" w:name="_Toc256001438"/>
      <w:r>
        <w:rPr>
          <w:b w:val="0"/>
          <w:i w:val="0"/>
          <w:color w:val="000000"/>
          <w:sz w:val="24"/>
        </w:rPr>
        <w:t>Tabela 5: Razsežnost 2 – oblika financiranja</w:t>
      </w:r>
      <w:bookmarkEnd w:id="677"/>
    </w:p>
    <w:p w14:paraId="51ED548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49"/>
        <w:gridCol w:w="2353"/>
        <w:gridCol w:w="1708"/>
        <w:gridCol w:w="2439"/>
        <w:gridCol w:w="2661"/>
        <w:gridCol w:w="3462"/>
      </w:tblGrid>
      <w:tr w:rsidR="00823317" w14:paraId="180CC3D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D12B25"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70EB55"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00DAE5"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DA53D1"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CE3D7D"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199F9A" w14:textId="77777777" w:rsidR="00A77B3E" w:rsidRDefault="00B16CCF">
            <w:pPr>
              <w:spacing w:before="5pt"/>
              <w:jc w:val="center"/>
              <w:rPr>
                <w:color w:val="000000"/>
                <w:sz w:val="20"/>
              </w:rPr>
            </w:pPr>
            <w:r>
              <w:rPr>
                <w:color w:val="000000"/>
                <w:sz w:val="20"/>
              </w:rPr>
              <w:t>Znesek (v EUR)</w:t>
            </w:r>
          </w:p>
        </w:tc>
      </w:tr>
      <w:tr w:rsidR="00823317" w14:paraId="4C96477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C0FFD8" w14:textId="77777777" w:rsidR="00A77B3E" w:rsidRDefault="00B16CCF">
            <w:pPr>
              <w:spacing w:before="5pt"/>
              <w:rPr>
                <w:color w:val="000000"/>
                <w:sz w:val="20"/>
              </w:rPr>
            </w:pPr>
            <w:r>
              <w:rPr>
                <w:color w:val="000000"/>
                <w:sz w:val="20"/>
              </w:rPr>
              <w:lastRenderedPageBreak/>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23CFEB" w14:textId="77777777" w:rsidR="00A77B3E" w:rsidRDefault="00B16CCF">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EC4B08" w14:textId="77777777" w:rsidR="00A77B3E" w:rsidRDefault="00B16CCF">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073185"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039D52" w14:textId="77777777" w:rsidR="00A77B3E" w:rsidRDefault="00B16CCF">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B7431A" w14:textId="77777777" w:rsidR="00A77B3E" w:rsidRDefault="00B16CCF">
            <w:pPr>
              <w:spacing w:before="5pt"/>
              <w:jc w:val="end"/>
              <w:rPr>
                <w:color w:val="000000"/>
                <w:sz w:val="20"/>
              </w:rPr>
            </w:pPr>
            <w:r>
              <w:rPr>
                <w:color w:val="000000"/>
                <w:sz w:val="20"/>
              </w:rPr>
              <w:t>248.773.600,00</w:t>
            </w:r>
          </w:p>
        </w:tc>
      </w:tr>
      <w:tr w:rsidR="00823317" w14:paraId="1BE0661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3F6B6E" w14:textId="77777777" w:rsidR="00A77B3E" w:rsidRDefault="00B16CCF">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092955" w14:textId="77777777" w:rsidR="00A77B3E" w:rsidRDefault="00B16CCF">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83A1EE"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E8118F"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F67C95"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162D9C" w14:textId="77777777" w:rsidR="00A77B3E" w:rsidRDefault="00B16CCF">
            <w:pPr>
              <w:spacing w:before="5pt"/>
              <w:jc w:val="end"/>
              <w:rPr>
                <w:color w:val="000000"/>
                <w:sz w:val="20"/>
              </w:rPr>
            </w:pPr>
            <w:r>
              <w:rPr>
                <w:color w:val="000000"/>
                <w:sz w:val="20"/>
              </w:rPr>
              <w:t>248.773.600,00</w:t>
            </w:r>
          </w:p>
        </w:tc>
      </w:tr>
    </w:tbl>
    <w:p w14:paraId="0AB9E8A3" w14:textId="77777777" w:rsidR="00A77B3E" w:rsidRDefault="00A77B3E">
      <w:pPr>
        <w:spacing w:before="5pt"/>
        <w:rPr>
          <w:color w:val="000000"/>
          <w:sz w:val="20"/>
        </w:rPr>
      </w:pPr>
    </w:p>
    <w:p w14:paraId="191E6BFD" w14:textId="77777777" w:rsidR="00A77B3E" w:rsidRDefault="00B16CCF">
      <w:pPr>
        <w:pStyle w:val="Naslov5"/>
        <w:spacing w:before="5pt" w:after="0pt"/>
        <w:rPr>
          <w:b w:val="0"/>
          <w:i w:val="0"/>
          <w:color w:val="000000"/>
          <w:sz w:val="24"/>
        </w:rPr>
      </w:pPr>
      <w:bookmarkStart w:id="678" w:name="_Toc256001439"/>
      <w:r>
        <w:rPr>
          <w:b w:val="0"/>
          <w:i w:val="0"/>
          <w:color w:val="000000"/>
          <w:sz w:val="24"/>
        </w:rPr>
        <w:t>Tabela 6: Razsežnost 3 – mehanizem za ozemeljsko izvrševanje in ozemeljski pristop</w:t>
      </w:r>
      <w:bookmarkEnd w:id="678"/>
    </w:p>
    <w:p w14:paraId="3F219A4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85"/>
        <w:gridCol w:w="2293"/>
        <w:gridCol w:w="1665"/>
        <w:gridCol w:w="2377"/>
        <w:gridCol w:w="2978"/>
        <w:gridCol w:w="3374"/>
      </w:tblGrid>
      <w:tr w:rsidR="00823317" w14:paraId="670352C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28A00A"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9057FB"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88C0271"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E465CBF"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611853"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EF1B9D" w14:textId="77777777" w:rsidR="00A77B3E" w:rsidRDefault="00B16CCF">
            <w:pPr>
              <w:spacing w:before="5pt"/>
              <w:jc w:val="center"/>
              <w:rPr>
                <w:color w:val="000000"/>
                <w:sz w:val="20"/>
              </w:rPr>
            </w:pPr>
            <w:r>
              <w:rPr>
                <w:color w:val="000000"/>
                <w:sz w:val="20"/>
              </w:rPr>
              <w:t>Znesek (v EUR)</w:t>
            </w:r>
          </w:p>
        </w:tc>
      </w:tr>
      <w:tr w:rsidR="00823317" w14:paraId="3B8200F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8BF9C9" w14:textId="77777777" w:rsidR="00A77B3E" w:rsidRDefault="00B16CCF">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FA44CC" w14:textId="77777777" w:rsidR="00A77B3E" w:rsidRDefault="00B16CCF">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2E2977" w14:textId="77777777" w:rsidR="00A77B3E" w:rsidRDefault="00B16CCF">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F98E85"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DD91C8" w14:textId="77777777" w:rsidR="00A77B3E" w:rsidRDefault="00B16CCF">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2E7D19" w14:textId="77777777" w:rsidR="00A77B3E" w:rsidRDefault="00B16CCF">
            <w:pPr>
              <w:spacing w:before="5pt"/>
              <w:jc w:val="end"/>
              <w:rPr>
                <w:color w:val="000000"/>
                <w:sz w:val="20"/>
              </w:rPr>
            </w:pPr>
            <w:r>
              <w:rPr>
                <w:color w:val="000000"/>
                <w:sz w:val="20"/>
              </w:rPr>
              <w:t>248.773.600,00</w:t>
            </w:r>
          </w:p>
        </w:tc>
      </w:tr>
      <w:tr w:rsidR="00823317" w14:paraId="4FB2BD9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6B2E17" w14:textId="77777777" w:rsidR="00A77B3E" w:rsidRDefault="00B16CCF">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D3EA97" w14:textId="77777777" w:rsidR="00A77B3E" w:rsidRDefault="00B16CCF">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DB9294"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92E4A7"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5A8693"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E9A02D" w14:textId="77777777" w:rsidR="00A77B3E" w:rsidRDefault="00B16CCF">
            <w:pPr>
              <w:spacing w:before="5pt"/>
              <w:jc w:val="end"/>
              <w:rPr>
                <w:color w:val="000000"/>
                <w:sz w:val="20"/>
              </w:rPr>
            </w:pPr>
            <w:r>
              <w:rPr>
                <w:color w:val="000000"/>
                <w:sz w:val="20"/>
              </w:rPr>
              <w:t>248.773.600,00</w:t>
            </w:r>
          </w:p>
        </w:tc>
      </w:tr>
    </w:tbl>
    <w:p w14:paraId="171FD1CD" w14:textId="77777777" w:rsidR="00A77B3E" w:rsidRDefault="00A77B3E">
      <w:pPr>
        <w:spacing w:before="5pt"/>
        <w:rPr>
          <w:color w:val="000000"/>
          <w:sz w:val="20"/>
        </w:rPr>
      </w:pPr>
    </w:p>
    <w:p w14:paraId="3AC062B1" w14:textId="77777777" w:rsidR="00A77B3E" w:rsidRDefault="00B16CCF">
      <w:pPr>
        <w:pStyle w:val="Naslov5"/>
        <w:spacing w:before="5pt" w:after="0pt"/>
        <w:rPr>
          <w:b w:val="0"/>
          <w:i w:val="0"/>
          <w:color w:val="000000"/>
          <w:sz w:val="24"/>
        </w:rPr>
      </w:pPr>
      <w:bookmarkStart w:id="679" w:name="_Toc256001440"/>
      <w:r>
        <w:rPr>
          <w:b w:val="0"/>
          <w:i w:val="0"/>
          <w:color w:val="000000"/>
          <w:sz w:val="24"/>
        </w:rPr>
        <w:t>Tabela 7: Razsežnost 6 – sekundarna področja ESS+</w:t>
      </w:r>
      <w:bookmarkEnd w:id="679"/>
    </w:p>
    <w:p w14:paraId="0196E32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117"/>
        <w:gridCol w:w="2877"/>
        <w:gridCol w:w="1780"/>
        <w:gridCol w:w="2982"/>
        <w:gridCol w:w="2259"/>
        <w:gridCol w:w="2157"/>
      </w:tblGrid>
      <w:tr w:rsidR="00823317" w14:paraId="27055D2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949075"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768AB6"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B41B8E"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91F7F4"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AE23A3D"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E0ED88" w14:textId="77777777" w:rsidR="00A77B3E" w:rsidRDefault="00B16CCF">
            <w:pPr>
              <w:spacing w:before="5pt"/>
              <w:jc w:val="center"/>
              <w:rPr>
                <w:color w:val="000000"/>
                <w:sz w:val="20"/>
              </w:rPr>
            </w:pPr>
            <w:r>
              <w:rPr>
                <w:color w:val="000000"/>
                <w:sz w:val="20"/>
              </w:rPr>
              <w:t>Znesek (v EUR)</w:t>
            </w:r>
          </w:p>
        </w:tc>
      </w:tr>
    </w:tbl>
    <w:p w14:paraId="13D3D72C" w14:textId="77777777" w:rsidR="00A77B3E" w:rsidRDefault="00A77B3E">
      <w:pPr>
        <w:spacing w:before="5pt"/>
        <w:rPr>
          <w:color w:val="000000"/>
          <w:sz w:val="20"/>
        </w:rPr>
      </w:pPr>
    </w:p>
    <w:p w14:paraId="40F26E54" w14:textId="77777777" w:rsidR="00A77B3E" w:rsidRDefault="00B16CCF">
      <w:pPr>
        <w:pStyle w:val="Naslov5"/>
        <w:spacing w:before="5pt" w:after="0pt"/>
        <w:rPr>
          <w:b w:val="0"/>
          <w:i w:val="0"/>
          <w:color w:val="000000"/>
          <w:sz w:val="24"/>
        </w:rPr>
      </w:pPr>
      <w:bookmarkStart w:id="680" w:name="_Toc256001441"/>
      <w:r>
        <w:rPr>
          <w:b w:val="0"/>
          <w:i w:val="0"/>
          <w:color w:val="000000"/>
          <w:sz w:val="24"/>
        </w:rPr>
        <w:t>Tabela 8: Razsežnost 7 – razsežnost enakosti spolov v okviru ESS+*, ESRR, Kohezijskega sklada in SPP</w:t>
      </w:r>
      <w:bookmarkEnd w:id="680"/>
    </w:p>
    <w:p w14:paraId="2F7F60F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95"/>
        <w:gridCol w:w="2301"/>
        <w:gridCol w:w="1671"/>
        <w:gridCol w:w="2385"/>
        <w:gridCol w:w="2934"/>
        <w:gridCol w:w="3386"/>
      </w:tblGrid>
      <w:tr w:rsidR="00823317" w14:paraId="22576F4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B78C0B" w14:textId="77777777" w:rsidR="00A77B3E" w:rsidRDefault="00B16CCF">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845132" w14:textId="77777777" w:rsidR="00A77B3E" w:rsidRDefault="00B16CCF">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2BC4C6"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28E96C"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8FBA10" w14:textId="77777777" w:rsidR="00A77B3E" w:rsidRDefault="00B16CCF">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E1CBE1" w14:textId="77777777" w:rsidR="00A77B3E" w:rsidRDefault="00B16CCF">
            <w:pPr>
              <w:spacing w:before="5pt"/>
              <w:jc w:val="center"/>
              <w:rPr>
                <w:color w:val="000000"/>
                <w:sz w:val="20"/>
              </w:rPr>
            </w:pPr>
            <w:r>
              <w:rPr>
                <w:color w:val="000000"/>
                <w:sz w:val="20"/>
              </w:rPr>
              <w:t>Znesek (v EUR)</w:t>
            </w:r>
          </w:p>
        </w:tc>
      </w:tr>
      <w:tr w:rsidR="00823317" w14:paraId="5212680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559A6B" w14:textId="77777777" w:rsidR="00A77B3E" w:rsidRDefault="00B16CCF">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11AC3F" w14:textId="77777777" w:rsidR="00A77B3E" w:rsidRDefault="00B16CCF">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09E1A0" w14:textId="77777777" w:rsidR="00A77B3E" w:rsidRDefault="00B16CCF">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2190D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BD65AA" w14:textId="77777777" w:rsidR="00A77B3E" w:rsidRDefault="00B16CCF">
            <w:pPr>
              <w:spacing w:before="5pt"/>
              <w:rPr>
                <w:color w:val="000000"/>
                <w:sz w:val="20"/>
              </w:rPr>
            </w:pPr>
            <w:r>
              <w:rPr>
                <w:color w:val="000000"/>
                <w:sz w:val="20"/>
              </w:rPr>
              <w:t>02. Vključevanje vidika spola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F1E606" w14:textId="77777777" w:rsidR="00A77B3E" w:rsidRDefault="00B16CCF">
            <w:pPr>
              <w:spacing w:before="5pt"/>
              <w:jc w:val="end"/>
              <w:rPr>
                <w:color w:val="000000"/>
                <w:sz w:val="20"/>
              </w:rPr>
            </w:pPr>
            <w:r>
              <w:rPr>
                <w:color w:val="000000"/>
                <w:sz w:val="20"/>
              </w:rPr>
              <w:t>7.705.000,00</w:t>
            </w:r>
          </w:p>
        </w:tc>
      </w:tr>
      <w:tr w:rsidR="00823317" w14:paraId="4943832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2D5A9D" w14:textId="77777777" w:rsidR="00A77B3E" w:rsidRDefault="00B16CCF">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FA07DD" w14:textId="77777777" w:rsidR="00A77B3E" w:rsidRDefault="00B16CCF">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0C600F" w14:textId="77777777" w:rsidR="00A77B3E" w:rsidRDefault="00B16CCF">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CDF0D3"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9C8C2B" w14:textId="77777777" w:rsidR="00A77B3E" w:rsidRDefault="00B16CCF">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BA2C54" w14:textId="77777777" w:rsidR="00A77B3E" w:rsidRDefault="00B16CCF">
            <w:pPr>
              <w:spacing w:before="5pt"/>
              <w:jc w:val="end"/>
              <w:rPr>
                <w:color w:val="000000"/>
                <w:sz w:val="20"/>
              </w:rPr>
            </w:pPr>
            <w:r>
              <w:rPr>
                <w:color w:val="000000"/>
                <w:sz w:val="20"/>
              </w:rPr>
              <w:t>241.068.600,00</w:t>
            </w:r>
          </w:p>
        </w:tc>
      </w:tr>
      <w:tr w:rsidR="00823317" w14:paraId="7C4BE88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0A896A" w14:textId="77777777" w:rsidR="00A77B3E" w:rsidRDefault="00B16CCF">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468E16" w14:textId="77777777" w:rsidR="00A77B3E" w:rsidRDefault="00B16CCF">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C5AF04" w14:textId="77777777" w:rsidR="00A77B3E" w:rsidRDefault="00B16CCF">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D8222B"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A38CE2"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609BF6" w14:textId="77777777" w:rsidR="00A77B3E" w:rsidRDefault="00B16CCF">
            <w:pPr>
              <w:spacing w:before="5pt"/>
              <w:jc w:val="end"/>
              <w:rPr>
                <w:color w:val="000000"/>
                <w:sz w:val="20"/>
              </w:rPr>
            </w:pPr>
            <w:r>
              <w:rPr>
                <w:color w:val="000000"/>
                <w:sz w:val="20"/>
              </w:rPr>
              <w:t>248.773.600,00</w:t>
            </w:r>
          </w:p>
        </w:tc>
      </w:tr>
    </w:tbl>
    <w:p w14:paraId="0724A425" w14:textId="77777777" w:rsidR="00A77B3E" w:rsidRDefault="00B16CCF">
      <w:pPr>
        <w:spacing w:before="5pt"/>
        <w:rPr>
          <w:color w:val="000000"/>
          <w:sz w:val="20"/>
        </w:rPr>
      </w:pPr>
      <w:r>
        <w:rPr>
          <w:color w:val="000000"/>
          <w:sz w:val="20"/>
        </w:rPr>
        <w:t>* Načeloma 40 % za ESS+ prispeva k spremljanju enakosti spolov. 100 % se uporabi, kadar se država članica odloči za uporabo člena 6 uredbe o ESS+.</w:t>
      </w:r>
    </w:p>
    <w:p w14:paraId="23B9C0F0" w14:textId="77777777" w:rsidR="00A77B3E" w:rsidRDefault="00A77B3E">
      <w:pPr>
        <w:spacing w:before="5pt"/>
        <w:rPr>
          <w:color w:val="000000"/>
          <w:sz w:val="20"/>
        </w:rPr>
      </w:pPr>
    </w:p>
    <w:p w14:paraId="282B7215" w14:textId="77777777" w:rsidR="00A77B3E" w:rsidRDefault="00B16CCF">
      <w:pPr>
        <w:pStyle w:val="Naslov2"/>
        <w:spacing w:before="5pt" w:after="0pt"/>
        <w:rPr>
          <w:rFonts w:ascii="Times New Roman" w:hAnsi="Times New Roman" w:cs="Times New Roman"/>
          <w:b w:val="0"/>
          <w:i w:val="0"/>
          <w:color w:val="000000"/>
          <w:sz w:val="24"/>
        </w:rPr>
      </w:pPr>
      <w:r>
        <w:rPr>
          <w:rFonts w:ascii="Times New Roman" w:hAnsi="Times New Roman" w:cs="Times New Roman"/>
          <w:b w:val="0"/>
          <w:i w:val="0"/>
          <w:color w:val="000000"/>
          <w:sz w:val="20"/>
        </w:rPr>
        <w:br w:type="page"/>
      </w:r>
      <w:bookmarkStart w:id="681" w:name="_Toc256001442"/>
      <w:r>
        <w:rPr>
          <w:rFonts w:ascii="Times New Roman" w:hAnsi="Times New Roman" w:cs="Times New Roman"/>
          <w:b w:val="0"/>
          <w:i w:val="0"/>
          <w:color w:val="000000"/>
          <w:sz w:val="24"/>
        </w:rPr>
        <w:lastRenderedPageBreak/>
        <w:t>2.2. Prednostne naloge za tehnično pomoč</w:t>
      </w:r>
      <w:bookmarkEnd w:id="681"/>
    </w:p>
    <w:p w14:paraId="25C460A1" w14:textId="77777777" w:rsidR="00A77B3E" w:rsidRDefault="00A77B3E">
      <w:pPr>
        <w:spacing w:before="5pt"/>
        <w:rPr>
          <w:color w:val="000000"/>
          <w:sz w:val="0"/>
        </w:rPr>
      </w:pPr>
    </w:p>
    <w:p w14:paraId="79BBC186" w14:textId="77777777" w:rsidR="00A77B3E" w:rsidRDefault="00A77B3E">
      <w:pPr>
        <w:spacing w:before="5pt"/>
        <w:rPr>
          <w:color w:val="000000"/>
        </w:rPr>
        <w:sectPr w:rsidR="00A77B3E">
          <w:headerReference w:type="even" r:id="rId19"/>
          <w:headerReference w:type="default" r:id="rId20"/>
          <w:footerReference w:type="even" r:id="rId21"/>
          <w:footerReference w:type="default" r:id="rId22"/>
          <w:headerReference w:type="first" r:id="rId23"/>
          <w:footerReference w:type="first" r:id="rId24"/>
          <w:pgSz w:w="841.90pt" w:h="595.30pt" w:orient="landscape"/>
          <w:pgMar w:top="36pt" w:right="36pt" w:bottom="43.20pt" w:left="46.80pt" w:header="14.40pt" w:footer="3.60pt" w:gutter="0pt"/>
          <w:cols w:space="36pt"/>
          <w:noEndnote/>
          <w:docGrid w:linePitch="360"/>
        </w:sectPr>
      </w:pPr>
    </w:p>
    <w:p w14:paraId="32FC24FF" w14:textId="77777777" w:rsidR="00A77B3E" w:rsidRDefault="00B16CCF">
      <w:pPr>
        <w:pStyle w:val="Naslov1"/>
        <w:spacing w:before="5pt" w:after="0pt"/>
        <w:rPr>
          <w:rFonts w:ascii="Times New Roman" w:hAnsi="Times New Roman" w:cs="Times New Roman"/>
          <w:b w:val="0"/>
          <w:color w:val="000000"/>
          <w:sz w:val="24"/>
        </w:rPr>
      </w:pPr>
      <w:bookmarkStart w:id="682" w:name="_Toc256001443"/>
      <w:r>
        <w:rPr>
          <w:rFonts w:ascii="Times New Roman" w:hAnsi="Times New Roman" w:cs="Times New Roman"/>
          <w:b w:val="0"/>
          <w:color w:val="000000"/>
          <w:sz w:val="24"/>
        </w:rPr>
        <w:lastRenderedPageBreak/>
        <w:t>3. Načrt financiranja</w:t>
      </w:r>
      <w:bookmarkEnd w:id="682"/>
    </w:p>
    <w:p w14:paraId="0E241319" w14:textId="77777777" w:rsidR="00A77B3E" w:rsidRDefault="00B16CCF">
      <w:pPr>
        <w:spacing w:before="5pt"/>
        <w:rPr>
          <w:color w:val="000000"/>
        </w:rPr>
      </w:pPr>
      <w:r>
        <w:rPr>
          <w:color w:val="000000"/>
        </w:rPr>
        <w:t xml:space="preserve">Sklic: člen 22(3), točke (g)(i), (ii) in (iii), člen 112(1), (2) in (3) ter členi 14, 26 in 26a uredbe o skupnih določbah </w:t>
      </w:r>
    </w:p>
    <w:p w14:paraId="18FD4C00" w14:textId="77777777" w:rsidR="00A77B3E" w:rsidRDefault="00B16CCF">
      <w:pPr>
        <w:pStyle w:val="Naslov2"/>
        <w:spacing w:before="5pt" w:after="0pt"/>
        <w:rPr>
          <w:rFonts w:ascii="Times New Roman" w:hAnsi="Times New Roman" w:cs="Times New Roman"/>
          <w:b w:val="0"/>
          <w:i w:val="0"/>
          <w:color w:val="000000"/>
          <w:sz w:val="24"/>
        </w:rPr>
      </w:pPr>
      <w:bookmarkStart w:id="683" w:name="_Toc256001444"/>
      <w:r>
        <w:rPr>
          <w:rFonts w:ascii="Times New Roman" w:hAnsi="Times New Roman" w:cs="Times New Roman"/>
          <w:b w:val="0"/>
          <w:i w:val="0"/>
          <w:color w:val="000000"/>
          <w:sz w:val="24"/>
        </w:rPr>
        <w:t>3.1. Prerazporeditve in prispevki (1)</w:t>
      </w:r>
      <w:bookmarkEnd w:id="683"/>
    </w:p>
    <w:p w14:paraId="48594C07" w14:textId="77777777" w:rsidR="00A77B3E" w:rsidRDefault="00A77B3E">
      <w:pPr>
        <w:spacing w:before="5pt"/>
        <w:rPr>
          <w:color w:val="000000"/>
          <w:sz w:val="0"/>
        </w:rPr>
      </w:pPr>
    </w:p>
    <w:p w14:paraId="24C692F1" w14:textId="77777777" w:rsidR="00A77B3E" w:rsidRDefault="00B16CCF">
      <w:pPr>
        <w:spacing w:before="5pt"/>
        <w:rPr>
          <w:color w:val="000000"/>
          <w:sz w:val="16"/>
        </w:rPr>
      </w:pPr>
      <w:r>
        <w:rPr>
          <w:color w:val="000000"/>
        </w:rPr>
        <w:t>Sklic: členi 14, 26, 26a in 27 uredbe o skupnih določbah</w:t>
      </w:r>
    </w:p>
    <w:p w14:paraId="70FFFEB1" w14:textId="77777777" w:rsidR="00A77B3E" w:rsidRDefault="00A77B3E">
      <w:pPr>
        <w:spacing w:before="5pt"/>
        <w:rPr>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6645"/>
        <w:gridCol w:w="8527"/>
      </w:tblGrid>
      <w:tr w:rsidR="00823317" w14:paraId="6AF9DAFE" w14:textId="77777777">
        <w:trPr>
          <w:trHeight w:val="160"/>
        </w:trPr>
        <w:tc>
          <w:tcPr>
            <w:tcW w:w="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DAAFA8" w14:textId="77777777" w:rsidR="00A77B3E" w:rsidRDefault="00B16CCF">
            <w:pPr>
              <w:spacing w:before="5pt"/>
              <w:rPr>
                <w:color w:val="000000"/>
              </w:rPr>
            </w:pPr>
            <w:r>
              <w:rPr>
                <w:color w:val="000000"/>
              </w:rPr>
              <w:t>Sprememba programa v zvezi z</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91947B" w14:textId="77777777" w:rsidR="00A77B3E" w:rsidRDefault="00B16CCF">
            <w:pPr>
              <w:spacing w:before="5pt"/>
              <w:rPr>
                <w:color w:val="000000"/>
              </w:rPr>
            </w:pPr>
            <w:r>
              <w:rPr>
                <w:color w:val="000000"/>
              </w:rPr>
              <w:t xml:space="preserve">   </w:t>
            </w:r>
            <w:r>
              <w:rPr>
                <w:color w:val="000000"/>
              </w:rPr>
              <w:fldChar w:fldCharType="begin">
                <w:ffData>
                  <w:name w:val=""/>
                  <w:enabled/>
                  <w:calcOnExit w:val="0"/>
                  <w:checkBox>
                    <w:size w:val="10pt"/>
                    <w:default w:val="0"/>
                    <w:checked w:val="0"/>
                  </w:checkBox>
                </w:ffData>
              </w:fldChar>
            </w:r>
            <w:r>
              <w:rPr>
                <w:color w:val="000000"/>
              </w:rPr>
              <w:instrText xml:space="preserve"> FORMCHECKBOX </w:instrText>
            </w:r>
            <w:r w:rsidR="001D0AD2">
              <w:rPr>
                <w:color w:val="000000"/>
              </w:rPr>
            </w:r>
            <w:r w:rsidR="001D0AD2">
              <w:rPr>
                <w:color w:val="000000"/>
              </w:rPr>
              <w:fldChar w:fldCharType="separate"/>
            </w:r>
            <w:r>
              <w:rPr>
                <w:color w:val="000000"/>
              </w:rPr>
              <w:fldChar w:fldCharType="end"/>
            </w:r>
            <w:r>
              <w:rPr>
                <w:color w:val="000000"/>
              </w:rPr>
              <w:t xml:space="preserve"> prispevek v InvestEU</w:t>
            </w:r>
          </w:p>
        </w:tc>
      </w:tr>
      <w:tr w:rsidR="00823317" w14:paraId="5D41F40F" w14:textId="77777777">
        <w:trPr>
          <w:trHeight w:val="160"/>
        </w:trPr>
        <w:tc>
          <w:tcPr>
            <w:tcW w:w="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5337D7" w14:textId="77777777" w:rsidR="00A77B3E" w:rsidRDefault="00A77B3E">
            <w:pPr>
              <w:spacing w:before="5pt"/>
              <w:rPr>
                <w:color w:val="00000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91E66F" w14:textId="77777777" w:rsidR="00A77B3E" w:rsidRDefault="00B16CCF">
            <w:pPr>
              <w:spacing w:before="5pt"/>
              <w:rPr>
                <w:color w:val="000000"/>
              </w:rPr>
            </w:pPr>
            <w:r>
              <w:rPr>
                <w:color w:val="000000"/>
              </w:rPr>
              <w:t xml:space="preserve">   </w:t>
            </w:r>
            <w:r>
              <w:rPr>
                <w:color w:val="000000"/>
              </w:rPr>
              <w:fldChar w:fldCharType="begin">
                <w:ffData>
                  <w:name w:val=""/>
                  <w:enabled/>
                  <w:calcOnExit w:val="0"/>
                  <w:checkBox>
                    <w:size w:val="10pt"/>
                    <w:default w:val="0"/>
                    <w:checked w:val="0"/>
                  </w:checkBox>
                </w:ffData>
              </w:fldChar>
            </w:r>
            <w:r>
              <w:rPr>
                <w:color w:val="000000"/>
              </w:rPr>
              <w:instrText xml:space="preserve"> FORMCHECKBOX </w:instrText>
            </w:r>
            <w:r w:rsidR="001D0AD2">
              <w:rPr>
                <w:color w:val="000000"/>
              </w:rPr>
            </w:r>
            <w:r w:rsidR="001D0AD2">
              <w:rPr>
                <w:color w:val="000000"/>
              </w:rPr>
              <w:fldChar w:fldCharType="separate"/>
            </w:r>
            <w:r>
              <w:rPr>
                <w:color w:val="000000"/>
              </w:rPr>
              <w:fldChar w:fldCharType="end"/>
            </w:r>
            <w:r>
              <w:rPr>
                <w:color w:val="000000"/>
              </w:rPr>
              <w:t xml:space="preserve"> prerazporeditev v instrumente v okviru neposrednega ali posrednega upravljanja</w:t>
            </w:r>
          </w:p>
        </w:tc>
      </w:tr>
      <w:tr w:rsidR="00823317" w14:paraId="4C15D29B" w14:textId="77777777">
        <w:trPr>
          <w:trHeight w:val="160"/>
        </w:trPr>
        <w:tc>
          <w:tcPr>
            <w:tcW w:w="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3CC515" w14:textId="77777777" w:rsidR="00A77B3E" w:rsidRDefault="00A77B3E">
            <w:pPr>
              <w:spacing w:before="5pt"/>
              <w:rPr>
                <w:color w:val="00000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61841B" w14:textId="77777777" w:rsidR="00A77B3E" w:rsidRDefault="00B16CCF">
            <w:pPr>
              <w:spacing w:before="5pt"/>
              <w:rPr>
                <w:color w:val="000000"/>
              </w:rPr>
            </w:pPr>
            <w:r>
              <w:rPr>
                <w:color w:val="000000"/>
              </w:rPr>
              <w:t xml:space="preserve">   </w:t>
            </w:r>
            <w:r>
              <w:rPr>
                <w:color w:val="000000"/>
              </w:rPr>
              <w:fldChar w:fldCharType="begin">
                <w:ffData>
                  <w:name w:val=""/>
                  <w:enabled/>
                  <w:calcOnExit w:val="0"/>
                  <w:checkBox>
                    <w:size w:val="10pt"/>
                    <w:default w:val="0"/>
                    <w:checked w:val="0"/>
                  </w:checkBox>
                </w:ffData>
              </w:fldChar>
            </w:r>
            <w:r>
              <w:rPr>
                <w:color w:val="000000"/>
              </w:rPr>
              <w:instrText xml:space="preserve"> FORMCHECKBOX </w:instrText>
            </w:r>
            <w:r w:rsidR="001D0AD2">
              <w:rPr>
                <w:color w:val="000000"/>
              </w:rPr>
            </w:r>
            <w:r w:rsidR="001D0AD2">
              <w:rPr>
                <w:color w:val="000000"/>
              </w:rPr>
              <w:fldChar w:fldCharType="separate"/>
            </w:r>
            <w:r>
              <w:rPr>
                <w:color w:val="000000"/>
              </w:rPr>
              <w:fldChar w:fldCharType="end"/>
            </w:r>
            <w:r>
              <w:rPr>
                <w:color w:val="000000"/>
              </w:rPr>
              <w:t xml:space="preserve"> prerazporeditve med ESRR, ESS+ in Kohezijskim skladom ali v drugi sklad ali sklade</w:t>
            </w:r>
          </w:p>
        </w:tc>
      </w:tr>
      <w:tr w:rsidR="00823317" w14:paraId="5A70B8DB" w14:textId="77777777">
        <w:trPr>
          <w:trHeight w:val="160"/>
        </w:trPr>
        <w:tc>
          <w:tcPr>
            <w:tcW w:w="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3D5321" w14:textId="77777777" w:rsidR="00A77B3E" w:rsidRDefault="00A77B3E">
            <w:pPr>
              <w:spacing w:before="5pt"/>
              <w:rPr>
                <w:color w:val="00000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AB1C7C" w14:textId="77777777" w:rsidR="00A77B3E" w:rsidRDefault="00B16CCF">
            <w:pPr>
              <w:spacing w:before="5pt"/>
              <w:rPr>
                <w:color w:val="000000"/>
              </w:rPr>
            </w:pPr>
            <w:r>
              <w:rPr>
                <w:color w:val="000000"/>
              </w:rPr>
              <w:t xml:space="preserve">   </w:t>
            </w:r>
            <w:r>
              <w:rPr>
                <w:color w:val="000000"/>
              </w:rPr>
              <w:fldChar w:fldCharType="begin">
                <w:ffData>
                  <w:name w:val=""/>
                  <w:enabled/>
                  <w:calcOnExit w:val="0"/>
                  <w:checkBox>
                    <w:size w:val="10pt"/>
                    <w:default w:val="0"/>
                    <w:checked w:val="0"/>
                  </w:checkBox>
                </w:ffData>
              </w:fldChar>
            </w:r>
            <w:r>
              <w:rPr>
                <w:color w:val="000000"/>
              </w:rPr>
              <w:instrText xml:space="preserve"> FORMCHECKBOX </w:instrText>
            </w:r>
            <w:r w:rsidR="001D0AD2">
              <w:rPr>
                <w:color w:val="000000"/>
              </w:rPr>
            </w:r>
            <w:r w:rsidR="001D0AD2">
              <w:rPr>
                <w:color w:val="000000"/>
              </w:rPr>
              <w:fldChar w:fldCharType="separate"/>
            </w:r>
            <w:r>
              <w:rPr>
                <w:color w:val="000000"/>
              </w:rPr>
              <w:fldChar w:fldCharType="end"/>
            </w:r>
            <w:r>
              <w:rPr>
                <w:color w:val="000000"/>
              </w:rPr>
              <w:t xml:space="preserve"> Skladi, ki prispevajo k ciljem iz člena 21c(3) Uredbe (EU) 2021/241</w:t>
            </w:r>
          </w:p>
        </w:tc>
      </w:tr>
    </w:tbl>
    <w:p w14:paraId="31709468" w14:textId="77777777" w:rsidR="00A77B3E" w:rsidRDefault="00B16CCF">
      <w:pPr>
        <w:spacing w:before="5pt"/>
        <w:rPr>
          <w:color w:val="000000"/>
        </w:rPr>
      </w:pPr>
      <w:r>
        <w:rPr>
          <w:color w:val="000000"/>
        </w:rPr>
        <w:t xml:space="preserve">(1) Uporablja se samo za spremembe programov v skladu s členi 14, 26 in 26a, razen dopolnilnih prerazporeditev v SPP v skladu s členom 27 uredbe o skupnih določbah. Prerazporeditve ne vplivajo na letno razdelitev odobrenih finančnih sredstev na ravni večletnega finančnega okvira za posamezno državo članico. </w:t>
      </w:r>
    </w:p>
    <w:p w14:paraId="46FA345F" w14:textId="77777777" w:rsidR="00A77B3E" w:rsidRDefault="00A77B3E">
      <w:pPr>
        <w:spacing w:before="5pt"/>
        <w:rPr>
          <w:color w:val="000000"/>
        </w:rPr>
      </w:pPr>
    </w:p>
    <w:p w14:paraId="07B7EB25" w14:textId="77777777" w:rsidR="00A77B3E" w:rsidRDefault="00A77B3E">
      <w:pPr>
        <w:spacing w:before="5pt"/>
        <w:rPr>
          <w:color w:val="000000"/>
        </w:rPr>
      </w:pPr>
    </w:p>
    <w:p w14:paraId="35C49A9F" w14:textId="77777777" w:rsidR="00A77B3E" w:rsidRDefault="00B16CCF">
      <w:pPr>
        <w:pStyle w:val="Naslov4"/>
        <w:spacing w:before="5pt" w:after="0pt"/>
        <w:rPr>
          <w:b w:val="0"/>
          <w:color w:val="000000"/>
          <w:sz w:val="24"/>
        </w:rPr>
      </w:pPr>
      <w:bookmarkStart w:id="684" w:name="_Toc256001445"/>
      <w:r>
        <w:rPr>
          <w:b w:val="0"/>
          <w:color w:val="000000"/>
          <w:sz w:val="24"/>
        </w:rPr>
        <w:t>Tabela 15A: Prispevki v InvestEU* (razčlenitev po letih)</w:t>
      </w:r>
      <w:bookmarkEnd w:id="684"/>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64"/>
        <w:gridCol w:w="2118"/>
        <w:gridCol w:w="2313"/>
        <w:gridCol w:w="1141"/>
        <w:gridCol w:w="1142"/>
        <w:gridCol w:w="1142"/>
        <w:gridCol w:w="1142"/>
        <w:gridCol w:w="1142"/>
        <w:gridCol w:w="1142"/>
        <w:gridCol w:w="1142"/>
        <w:gridCol w:w="1484"/>
      </w:tblGrid>
      <w:tr w:rsidR="00823317" w14:paraId="389DC451" w14:textId="77777777">
        <w:trPr>
          <w:tblHeader/>
        </w:trPr>
        <w:tc>
          <w:tcPr>
            <w:tcW w:w="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6C97BC" w14:textId="77777777" w:rsidR="00A77B3E" w:rsidRDefault="00B16CCF">
            <w:pPr>
              <w:spacing w:before="5pt"/>
              <w:jc w:val="center"/>
              <w:rPr>
                <w:color w:val="000000"/>
                <w:sz w:val="20"/>
              </w:rPr>
            </w:pPr>
            <w:r>
              <w:rPr>
                <w:color w:val="000000"/>
                <w:sz w:val="20"/>
              </w:rPr>
              <w:t>Prispevek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05D633" w14:textId="77777777" w:rsidR="00A77B3E" w:rsidRDefault="00B16CCF">
            <w:pPr>
              <w:spacing w:before="5pt"/>
              <w:jc w:val="center"/>
              <w:rPr>
                <w:color w:val="000000"/>
                <w:sz w:val="20"/>
              </w:rPr>
            </w:pPr>
            <w:r>
              <w:rPr>
                <w:color w:val="000000"/>
                <w:sz w:val="20"/>
              </w:rPr>
              <w:t>Prispevanje k</w:t>
            </w:r>
          </w:p>
        </w:tc>
        <w:tc>
          <w:tcPr>
            <w:tcW w:w="0pt" w:type="dxa"/>
            <w:gridSpan w:val="8"/>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F72045" w14:textId="77777777" w:rsidR="00A77B3E" w:rsidRDefault="00B16CCF">
            <w:pPr>
              <w:spacing w:before="5pt"/>
              <w:jc w:val="center"/>
              <w:rPr>
                <w:color w:val="000000"/>
                <w:sz w:val="20"/>
              </w:rPr>
            </w:pPr>
            <w:r>
              <w:rPr>
                <w:color w:val="000000"/>
                <w:sz w:val="20"/>
              </w:rPr>
              <w:t>Razčlenitev po letih</w:t>
            </w:r>
          </w:p>
        </w:tc>
      </w:tr>
      <w:tr w:rsidR="00823317" w14:paraId="0ADD7910"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813BAF"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DB5D66"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9AEE12" w14:textId="77777777" w:rsidR="00A77B3E" w:rsidRDefault="00B16CCF">
            <w:pPr>
              <w:spacing w:before="5pt"/>
              <w:jc w:val="center"/>
              <w:rPr>
                <w:color w:val="000000"/>
                <w:sz w:val="20"/>
              </w:rPr>
            </w:pPr>
            <w:r>
              <w:rPr>
                <w:color w:val="000000"/>
                <w:sz w:val="20"/>
              </w:rPr>
              <w:t>Sklop InvestEU</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ABDE1D" w14:textId="77777777" w:rsidR="00A77B3E" w:rsidRDefault="00B16CCF">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74D382" w14:textId="77777777" w:rsidR="00A77B3E" w:rsidRDefault="00B16CCF">
            <w:pPr>
              <w:spacing w:before="5pt"/>
              <w:jc w:val="center"/>
              <w:rPr>
                <w:color w:val="000000"/>
                <w:sz w:val="20"/>
              </w:rPr>
            </w:pPr>
            <w:r>
              <w:rPr>
                <w:color w:val="000000"/>
                <w:sz w:val="2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E2D4F5" w14:textId="77777777" w:rsidR="00A77B3E" w:rsidRDefault="00B16CCF">
            <w:pPr>
              <w:spacing w:before="5pt"/>
              <w:jc w:val="center"/>
              <w:rPr>
                <w:color w:val="000000"/>
                <w:sz w:val="20"/>
              </w:rPr>
            </w:pPr>
            <w:r>
              <w:rPr>
                <w:color w:val="000000"/>
                <w:sz w:val="20"/>
              </w:rPr>
              <w:t>2023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106D5C" w14:textId="77777777" w:rsidR="00A77B3E" w:rsidRDefault="00B16CCF">
            <w:pPr>
              <w:spacing w:before="5pt"/>
              <w:jc w:val="center"/>
              <w:rPr>
                <w:color w:val="000000"/>
                <w:sz w:val="20"/>
              </w:rPr>
            </w:pPr>
            <w:r>
              <w:rPr>
                <w:color w:val="000000"/>
                <w:sz w:val="20"/>
              </w:rPr>
              <w:t>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40184B" w14:textId="77777777" w:rsidR="00A77B3E" w:rsidRDefault="00B16CCF">
            <w:pPr>
              <w:spacing w:before="5pt"/>
              <w:jc w:val="center"/>
              <w:rPr>
                <w:color w:val="000000"/>
                <w:sz w:val="20"/>
              </w:rPr>
            </w:pPr>
            <w:r>
              <w:rPr>
                <w:color w:val="000000"/>
                <w:sz w:val="20"/>
              </w:rPr>
              <w:t>2025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F0E616" w14:textId="77777777" w:rsidR="00A77B3E" w:rsidRDefault="00B16CCF">
            <w:pPr>
              <w:spacing w:before="5pt"/>
              <w:jc w:val="center"/>
              <w:rPr>
                <w:color w:val="000000"/>
                <w:sz w:val="20"/>
              </w:rPr>
            </w:pPr>
            <w:r>
              <w:rPr>
                <w:color w:val="000000"/>
                <w:sz w:val="20"/>
              </w:rPr>
              <w:t>2026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B7C91D" w14:textId="77777777" w:rsidR="00A77B3E" w:rsidRDefault="00B16CCF">
            <w:pPr>
              <w:spacing w:before="5pt"/>
              <w:jc w:val="center"/>
              <w:rPr>
                <w:color w:val="000000"/>
                <w:sz w:val="20"/>
              </w:rPr>
            </w:pPr>
            <w:r>
              <w:rPr>
                <w:color w:val="000000"/>
                <w:sz w:val="20"/>
              </w:rPr>
              <w:t>2027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AB1F52" w14:textId="77777777" w:rsidR="00A77B3E" w:rsidRDefault="00B16CCF">
            <w:pPr>
              <w:spacing w:before="5pt"/>
              <w:jc w:val="center"/>
              <w:rPr>
                <w:color w:val="000000"/>
                <w:sz w:val="16"/>
              </w:rPr>
            </w:pPr>
            <w:r>
              <w:rPr>
                <w:color w:val="000000"/>
                <w:sz w:val="20"/>
              </w:rPr>
              <w:t>Skupaj</w:t>
            </w:r>
          </w:p>
        </w:tc>
      </w:tr>
    </w:tbl>
    <w:p w14:paraId="6D7A2058" w14:textId="77777777" w:rsidR="00A77B3E" w:rsidRDefault="00B16CCF">
      <w:pPr>
        <w:spacing w:before="5pt"/>
        <w:rPr>
          <w:color w:val="000000"/>
          <w:sz w:val="20"/>
        </w:rPr>
      </w:pPr>
      <w:r>
        <w:rPr>
          <w:color w:val="000000"/>
          <w:sz w:val="20"/>
        </w:rPr>
        <w:t>* Pri vsakem novem zahtevku za prispevek se v spremembi programa določijo skupni zneski za vsako leto po skladih in kategorijah regij.</w:t>
      </w:r>
    </w:p>
    <w:p w14:paraId="0137BF64" w14:textId="77777777" w:rsidR="00A77B3E" w:rsidRDefault="00A77B3E">
      <w:pPr>
        <w:spacing w:before="5pt"/>
        <w:rPr>
          <w:color w:val="000000"/>
          <w:sz w:val="20"/>
        </w:rPr>
      </w:pPr>
    </w:p>
    <w:p w14:paraId="52B616B3" w14:textId="77777777" w:rsidR="00A77B3E" w:rsidRDefault="00B16CCF">
      <w:pPr>
        <w:pStyle w:val="Naslov4"/>
        <w:spacing w:before="5pt" w:after="0pt"/>
        <w:rPr>
          <w:b w:val="0"/>
          <w:color w:val="000000"/>
          <w:sz w:val="24"/>
        </w:rPr>
      </w:pPr>
      <w:bookmarkStart w:id="685" w:name="_Toc256001446"/>
      <w:r>
        <w:rPr>
          <w:b w:val="0"/>
          <w:color w:val="000000"/>
          <w:sz w:val="24"/>
        </w:rPr>
        <w:t>Tabela 15B: Prispevki v InvestEU* (povzetek)</w:t>
      </w:r>
      <w:bookmarkEnd w:id="685"/>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682"/>
        <w:gridCol w:w="2401"/>
        <w:gridCol w:w="3008"/>
        <w:gridCol w:w="2869"/>
        <w:gridCol w:w="1296"/>
        <w:gridCol w:w="2234"/>
        <w:gridCol w:w="1682"/>
      </w:tblGrid>
      <w:tr w:rsidR="00823317" w14:paraId="104DED1A"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91B3C9"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AAF465"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6EA062" w14:textId="77777777" w:rsidR="00A77B3E" w:rsidRDefault="00B16CCF">
            <w:pPr>
              <w:spacing w:before="5pt"/>
              <w:jc w:val="center"/>
              <w:rPr>
                <w:color w:val="000000"/>
                <w:sz w:val="20"/>
              </w:rPr>
            </w:pPr>
            <w:r>
              <w:rPr>
                <w:color w:val="000000"/>
                <w:sz w:val="20"/>
              </w:rPr>
              <w:t>Trajnostna infrastruktura (a)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0B9356" w14:textId="77777777" w:rsidR="00A77B3E" w:rsidRDefault="00B16CCF">
            <w:pPr>
              <w:spacing w:before="5pt"/>
              <w:jc w:val="center"/>
              <w:rPr>
                <w:color w:val="000000"/>
                <w:sz w:val="20"/>
              </w:rPr>
            </w:pPr>
            <w:r>
              <w:rPr>
                <w:color w:val="000000"/>
                <w:sz w:val="20"/>
              </w:rPr>
              <w:t>Inovacije in digitalizacija (b)</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202BDF" w14:textId="77777777" w:rsidR="00A77B3E" w:rsidRDefault="00B16CCF">
            <w:pPr>
              <w:spacing w:before="5pt"/>
              <w:jc w:val="center"/>
              <w:rPr>
                <w:color w:val="000000"/>
                <w:sz w:val="20"/>
              </w:rPr>
            </w:pPr>
            <w:r>
              <w:rPr>
                <w:color w:val="000000"/>
                <w:sz w:val="20"/>
              </w:rPr>
              <w:t>MSP (c)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3FFDDB" w14:textId="77777777" w:rsidR="00A77B3E" w:rsidRDefault="00B16CCF">
            <w:pPr>
              <w:spacing w:before="5pt"/>
              <w:jc w:val="center"/>
              <w:rPr>
                <w:color w:val="000000"/>
                <w:sz w:val="20"/>
              </w:rPr>
            </w:pPr>
            <w:r>
              <w:rPr>
                <w:color w:val="000000"/>
                <w:sz w:val="20"/>
              </w:rPr>
              <w:t>Socialne naložbe in spretnosti (d)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FA66FE" w14:textId="77777777" w:rsidR="00A77B3E" w:rsidRDefault="00B16CCF">
            <w:pPr>
              <w:spacing w:before="5pt"/>
              <w:jc w:val="center"/>
              <w:rPr>
                <w:color w:val="000000"/>
                <w:sz w:val="20"/>
              </w:rPr>
            </w:pPr>
            <w:r>
              <w:rPr>
                <w:color w:val="000000"/>
                <w:sz w:val="20"/>
              </w:rPr>
              <w:t>Skupaj (e) = (a) + (b) + (c) + (d)</w:t>
            </w:r>
          </w:p>
        </w:tc>
      </w:tr>
      <w:tr w:rsidR="00823317" w14:paraId="4029527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8DB538" w14:textId="77777777" w:rsidR="00A77B3E" w:rsidRDefault="00B16CCF">
            <w:pPr>
              <w:spacing w:before="5pt"/>
              <w:jc w:val="center"/>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6DF6B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9EAE5D" w14:textId="77777777" w:rsidR="00A77B3E" w:rsidRDefault="00A77B3E">
            <w:pPr>
              <w:spacing w:before="5pt"/>
              <w:jc w:val="end"/>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93DE22" w14:textId="77777777" w:rsidR="00A77B3E" w:rsidRDefault="00A77B3E">
            <w:pPr>
              <w:spacing w:before="5pt"/>
              <w:jc w:val="end"/>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BD889C" w14:textId="77777777" w:rsidR="00A77B3E" w:rsidRDefault="00A77B3E">
            <w:pPr>
              <w:spacing w:before="5pt"/>
              <w:jc w:val="end"/>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2E7C5F" w14:textId="77777777" w:rsidR="00A77B3E" w:rsidRDefault="00A77B3E">
            <w:pPr>
              <w:spacing w:before="5pt"/>
              <w:jc w:val="end"/>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662F16" w14:textId="77777777" w:rsidR="00A77B3E" w:rsidRDefault="00A77B3E">
            <w:pPr>
              <w:spacing w:before="5pt"/>
              <w:jc w:val="end"/>
              <w:rPr>
                <w:color w:val="000000"/>
                <w:sz w:val="20"/>
              </w:rPr>
            </w:pPr>
          </w:p>
        </w:tc>
      </w:tr>
    </w:tbl>
    <w:p w14:paraId="0C4D28D3" w14:textId="77777777" w:rsidR="00A77B3E" w:rsidRDefault="00B16CCF">
      <w:pPr>
        <w:spacing w:before="5pt"/>
        <w:rPr>
          <w:color w:val="000000"/>
          <w:sz w:val="20"/>
        </w:rPr>
      </w:pPr>
      <w:r>
        <w:rPr>
          <w:color w:val="000000"/>
          <w:sz w:val="20"/>
        </w:rPr>
        <w:t>* Kumulativni zneski za vse prispevke, izvedene s spremembami programa v programskem obdobju. Pri vsakem novem zahtevku za prispevek se v spremembi programa določijo skupni zneski za vsako leto po skladih in kategorijah regij.</w:t>
      </w:r>
    </w:p>
    <w:p w14:paraId="0723E3B9" w14:textId="77777777" w:rsidR="00A77B3E" w:rsidRDefault="00A77B3E">
      <w:pPr>
        <w:spacing w:before="5pt"/>
        <w:rPr>
          <w:color w:val="000000"/>
          <w:sz w:val="20"/>
        </w:rPr>
      </w:pPr>
    </w:p>
    <w:p w14:paraId="06E3E51C" w14:textId="77777777" w:rsidR="00A77B3E" w:rsidRDefault="00B16CCF">
      <w:pPr>
        <w:pStyle w:val="Naslov4"/>
        <w:spacing w:before="5pt" w:after="0pt"/>
        <w:rPr>
          <w:b w:val="0"/>
          <w:color w:val="000000"/>
          <w:sz w:val="24"/>
        </w:rPr>
      </w:pPr>
      <w:bookmarkStart w:id="686" w:name="_Toc256001447"/>
      <w:r>
        <w:rPr>
          <w:b w:val="0"/>
          <w:color w:val="000000"/>
          <w:sz w:val="24"/>
        </w:rPr>
        <w:lastRenderedPageBreak/>
        <w:t>Utemeljitev, ob upoštevanju, kako navedeni zneski prispevajo k doseganju ciljev politike, izbranih v programu v skladu s členom 10(1) uredbe o InvestEU</w:t>
      </w:r>
      <w:bookmarkEnd w:id="686"/>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1E6859E0"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D91FC9" w14:textId="77777777" w:rsidR="00A77B3E" w:rsidRDefault="00A77B3E">
            <w:pPr>
              <w:spacing w:before="5pt"/>
              <w:rPr>
                <w:color w:val="000000"/>
                <w:sz w:val="0"/>
              </w:rPr>
            </w:pPr>
          </w:p>
          <w:p w14:paraId="77A56032" w14:textId="77777777" w:rsidR="00A77B3E" w:rsidRDefault="00A77B3E">
            <w:pPr>
              <w:spacing w:before="5pt"/>
              <w:rPr>
                <w:color w:val="000000"/>
              </w:rPr>
            </w:pPr>
          </w:p>
        </w:tc>
      </w:tr>
    </w:tbl>
    <w:p w14:paraId="244C95A8" w14:textId="77777777" w:rsidR="00A77B3E" w:rsidRDefault="00A77B3E">
      <w:pPr>
        <w:spacing w:before="5pt"/>
        <w:rPr>
          <w:color w:val="000000"/>
        </w:rPr>
      </w:pPr>
    </w:p>
    <w:p w14:paraId="2916191C" w14:textId="77777777" w:rsidR="00A77B3E" w:rsidRDefault="00A77B3E">
      <w:pPr>
        <w:spacing w:before="5pt"/>
        <w:rPr>
          <w:color w:val="000000"/>
          <w:sz w:val="0"/>
        </w:rPr>
      </w:pPr>
    </w:p>
    <w:p w14:paraId="4FCE2129" w14:textId="77777777" w:rsidR="00A77B3E" w:rsidRDefault="00B16CCF">
      <w:pPr>
        <w:pStyle w:val="Naslov4"/>
        <w:spacing w:before="5pt" w:after="0pt"/>
        <w:rPr>
          <w:b w:val="0"/>
          <w:color w:val="000000"/>
          <w:sz w:val="24"/>
        </w:rPr>
      </w:pPr>
      <w:bookmarkStart w:id="687" w:name="_Toc256001448"/>
      <w:r>
        <w:rPr>
          <w:b w:val="0"/>
          <w:color w:val="000000"/>
          <w:sz w:val="24"/>
        </w:rPr>
        <w:t>Tabela 16A: Prerazporeditve v instrumente v okviru neposrednega ali posrednega upravljanja (razčlenitev po letih)</w:t>
      </w:r>
      <w:bookmarkEnd w:id="687"/>
    </w:p>
    <w:p w14:paraId="31DB018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07"/>
        <w:gridCol w:w="2021"/>
        <w:gridCol w:w="2905"/>
        <w:gridCol w:w="1089"/>
        <w:gridCol w:w="1089"/>
        <w:gridCol w:w="1089"/>
        <w:gridCol w:w="1089"/>
        <w:gridCol w:w="1089"/>
        <w:gridCol w:w="1089"/>
        <w:gridCol w:w="1089"/>
        <w:gridCol w:w="1416"/>
      </w:tblGrid>
      <w:tr w:rsidR="00823317" w14:paraId="63453E98" w14:textId="77777777">
        <w:trPr>
          <w:tblHeader/>
        </w:trPr>
        <w:tc>
          <w:tcPr>
            <w:tcW w:w="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D58303" w14:textId="77777777" w:rsidR="00A77B3E" w:rsidRDefault="00B16CCF">
            <w:pPr>
              <w:spacing w:before="5pt"/>
              <w:jc w:val="center"/>
              <w:rPr>
                <w:color w:val="000000"/>
                <w:sz w:val="20"/>
              </w:rPr>
            </w:pPr>
            <w:r>
              <w:rPr>
                <w:color w:val="000000"/>
                <w:sz w:val="20"/>
              </w:rPr>
              <w:t>Prerazporeditve iz</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0FD910" w14:textId="77777777" w:rsidR="00A77B3E" w:rsidRDefault="00B16CCF">
            <w:pPr>
              <w:spacing w:before="5pt"/>
              <w:jc w:val="center"/>
              <w:rPr>
                <w:color w:val="000000"/>
                <w:sz w:val="20"/>
              </w:rPr>
            </w:pPr>
            <w:r>
              <w:rPr>
                <w:color w:val="000000"/>
                <w:sz w:val="20"/>
              </w:rPr>
              <w:t>Prerazporeditve v</w:t>
            </w:r>
          </w:p>
        </w:tc>
        <w:tc>
          <w:tcPr>
            <w:tcW w:w="0pt" w:type="dxa"/>
            <w:gridSpan w:val="8"/>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0725E3" w14:textId="77777777" w:rsidR="00A77B3E" w:rsidRDefault="00B16CCF">
            <w:pPr>
              <w:spacing w:before="5pt"/>
              <w:jc w:val="center"/>
              <w:rPr>
                <w:color w:val="000000"/>
                <w:sz w:val="20"/>
              </w:rPr>
            </w:pPr>
            <w:r>
              <w:rPr>
                <w:color w:val="000000"/>
                <w:sz w:val="20"/>
              </w:rPr>
              <w:t>Razčlenitev po letih</w:t>
            </w:r>
          </w:p>
        </w:tc>
      </w:tr>
      <w:tr w:rsidR="00823317" w14:paraId="3017FC28"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7F31D8"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A82980"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4CDB0F" w14:textId="77777777" w:rsidR="00A77B3E" w:rsidRDefault="00B16CCF">
            <w:pPr>
              <w:spacing w:before="5pt"/>
              <w:jc w:val="center"/>
              <w:rPr>
                <w:color w:val="000000"/>
                <w:sz w:val="20"/>
              </w:rPr>
            </w:pPr>
            <w:r>
              <w:rPr>
                <w:color w:val="000000"/>
                <w:sz w:val="20"/>
              </w:rPr>
              <w:t>Instrument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97C93D6" w14:textId="77777777" w:rsidR="00A77B3E" w:rsidRDefault="00B16CCF">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4033DD" w14:textId="77777777" w:rsidR="00A77B3E" w:rsidRDefault="00B16CCF">
            <w:pPr>
              <w:spacing w:before="5pt"/>
              <w:jc w:val="center"/>
              <w:rPr>
                <w:color w:val="000000"/>
                <w:sz w:val="20"/>
              </w:rPr>
            </w:pPr>
            <w:r>
              <w:rPr>
                <w:color w:val="000000"/>
                <w:sz w:val="2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1264D3" w14:textId="77777777" w:rsidR="00A77B3E" w:rsidRDefault="00B16CCF">
            <w:pPr>
              <w:spacing w:before="5pt"/>
              <w:jc w:val="center"/>
              <w:rPr>
                <w:color w:val="000000"/>
                <w:sz w:val="20"/>
              </w:rPr>
            </w:pPr>
            <w:r>
              <w:rPr>
                <w:color w:val="000000"/>
                <w:sz w:val="20"/>
              </w:rPr>
              <w:t>2023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1B2CDB1" w14:textId="77777777" w:rsidR="00A77B3E" w:rsidRDefault="00B16CCF">
            <w:pPr>
              <w:spacing w:before="5pt"/>
              <w:jc w:val="center"/>
              <w:rPr>
                <w:color w:val="000000"/>
                <w:sz w:val="20"/>
              </w:rPr>
            </w:pPr>
            <w:r>
              <w:rPr>
                <w:color w:val="000000"/>
                <w:sz w:val="20"/>
              </w:rPr>
              <w:t>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89CD61" w14:textId="77777777" w:rsidR="00A77B3E" w:rsidRDefault="00B16CCF">
            <w:pPr>
              <w:spacing w:before="5pt"/>
              <w:jc w:val="center"/>
              <w:rPr>
                <w:color w:val="000000"/>
                <w:sz w:val="20"/>
              </w:rPr>
            </w:pPr>
            <w:r>
              <w:rPr>
                <w:color w:val="000000"/>
                <w:sz w:val="20"/>
              </w:rPr>
              <w:t>2025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98C00E" w14:textId="77777777" w:rsidR="00A77B3E" w:rsidRDefault="00B16CCF">
            <w:pPr>
              <w:spacing w:before="5pt"/>
              <w:jc w:val="center"/>
              <w:rPr>
                <w:color w:val="000000"/>
                <w:sz w:val="20"/>
              </w:rPr>
            </w:pPr>
            <w:r>
              <w:rPr>
                <w:color w:val="000000"/>
                <w:sz w:val="20"/>
              </w:rPr>
              <w:t>2026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0CAD4F" w14:textId="77777777" w:rsidR="00A77B3E" w:rsidRDefault="00B16CCF">
            <w:pPr>
              <w:spacing w:before="5pt"/>
              <w:jc w:val="center"/>
              <w:rPr>
                <w:color w:val="000000"/>
                <w:sz w:val="20"/>
              </w:rPr>
            </w:pPr>
            <w:r>
              <w:rPr>
                <w:color w:val="000000"/>
                <w:sz w:val="20"/>
              </w:rPr>
              <w:t>2027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616978" w14:textId="77777777" w:rsidR="00A77B3E" w:rsidRDefault="00B16CCF">
            <w:pPr>
              <w:spacing w:before="5pt"/>
              <w:jc w:val="center"/>
              <w:rPr>
                <w:color w:val="000000"/>
                <w:sz w:val="16"/>
              </w:rPr>
            </w:pPr>
            <w:r>
              <w:rPr>
                <w:color w:val="000000"/>
                <w:sz w:val="20"/>
              </w:rPr>
              <w:t>Skupaj</w:t>
            </w:r>
          </w:p>
        </w:tc>
      </w:tr>
    </w:tbl>
    <w:p w14:paraId="23316306" w14:textId="77777777" w:rsidR="00A77B3E" w:rsidRDefault="00A77B3E">
      <w:pPr>
        <w:spacing w:before="5pt"/>
        <w:rPr>
          <w:color w:val="000000"/>
          <w:sz w:val="20"/>
        </w:rPr>
      </w:pPr>
    </w:p>
    <w:p w14:paraId="38B0A483" w14:textId="77777777" w:rsidR="00A77B3E" w:rsidRDefault="00A77B3E">
      <w:pPr>
        <w:spacing w:before="5pt"/>
        <w:rPr>
          <w:color w:val="000000"/>
          <w:sz w:val="0"/>
        </w:rPr>
      </w:pPr>
    </w:p>
    <w:p w14:paraId="6BA40C6E" w14:textId="77777777" w:rsidR="00A77B3E" w:rsidRDefault="00B16CCF">
      <w:pPr>
        <w:pStyle w:val="Naslov4"/>
        <w:spacing w:before="5pt" w:after="0pt"/>
        <w:rPr>
          <w:b w:val="0"/>
          <w:color w:val="000000"/>
          <w:sz w:val="24"/>
        </w:rPr>
      </w:pPr>
      <w:bookmarkStart w:id="688" w:name="_Toc256001449"/>
      <w:r>
        <w:rPr>
          <w:b w:val="0"/>
          <w:color w:val="000000"/>
          <w:sz w:val="24"/>
        </w:rPr>
        <w:t>Tabela 16B: Prerazporeditve v instrumente v okviru neposrednega ali posrednega upravljanja* (povzetek)</w:t>
      </w:r>
      <w:bookmarkEnd w:id="688"/>
    </w:p>
    <w:p w14:paraId="0F7DC5C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4426"/>
        <w:gridCol w:w="6319"/>
        <w:gridCol w:w="4427"/>
      </w:tblGrid>
      <w:tr w:rsidR="00823317" w14:paraId="20F53211"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1A54C3"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32B060"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A55686" w14:textId="77777777" w:rsidR="00A77B3E" w:rsidRDefault="00B16CCF">
            <w:pPr>
              <w:spacing w:before="5pt"/>
              <w:jc w:val="center"/>
              <w:rPr>
                <w:color w:val="000000"/>
                <w:sz w:val="20"/>
              </w:rPr>
            </w:pPr>
            <w:r>
              <w:rPr>
                <w:color w:val="000000"/>
                <w:sz w:val="20"/>
              </w:rPr>
              <w:t>Skupaj</w:t>
            </w:r>
          </w:p>
        </w:tc>
      </w:tr>
      <w:tr w:rsidR="00823317" w14:paraId="63084B7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8E726A" w14:textId="77777777" w:rsidR="00A77B3E" w:rsidRDefault="00B16CCF">
            <w:pPr>
              <w:spacing w:before="5pt"/>
              <w:jc w:val="center"/>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C84E35" w14:textId="77777777" w:rsidR="00A77B3E" w:rsidRDefault="00A77B3E">
            <w:pPr>
              <w:spacing w:before="5pt"/>
              <w:jc w:val="center"/>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6D3146" w14:textId="77777777" w:rsidR="00A77B3E" w:rsidRDefault="00A77B3E">
            <w:pPr>
              <w:spacing w:before="5pt"/>
              <w:jc w:val="end"/>
              <w:rPr>
                <w:color w:val="000000"/>
                <w:sz w:val="20"/>
              </w:rPr>
            </w:pPr>
          </w:p>
        </w:tc>
      </w:tr>
    </w:tbl>
    <w:p w14:paraId="5043991A" w14:textId="77777777" w:rsidR="00A77B3E" w:rsidRDefault="00B16CCF">
      <w:pPr>
        <w:spacing w:before="5pt"/>
        <w:rPr>
          <w:color w:val="000000"/>
          <w:sz w:val="20"/>
        </w:rPr>
      </w:pPr>
      <w:r>
        <w:rPr>
          <w:color w:val="000000"/>
          <w:sz w:val="20"/>
        </w:rPr>
        <w:t>* Kumulativni zneski za vse prerazporeditve, izvedene s spremembami programa v programskem obdobju Pri vsakem novem zahtevku za prerazporeditev se v spremembi programa določijo skupni prerazporejeni zneski za vsako leto po skladih in kategorijah regij.</w:t>
      </w:r>
    </w:p>
    <w:p w14:paraId="4C554CDE" w14:textId="77777777" w:rsidR="00A77B3E" w:rsidRDefault="00A77B3E">
      <w:pPr>
        <w:spacing w:before="5pt"/>
        <w:rPr>
          <w:color w:val="000000"/>
          <w:sz w:val="20"/>
        </w:rPr>
      </w:pPr>
    </w:p>
    <w:p w14:paraId="7F72B2FE" w14:textId="77777777" w:rsidR="00A77B3E" w:rsidRDefault="00B16CCF">
      <w:pPr>
        <w:pStyle w:val="Naslov4"/>
        <w:spacing w:before="5pt" w:after="0pt"/>
        <w:rPr>
          <w:b w:val="0"/>
          <w:color w:val="000000"/>
          <w:sz w:val="24"/>
        </w:rPr>
      </w:pPr>
      <w:bookmarkStart w:id="689" w:name="_Toc256001450"/>
      <w:r>
        <w:rPr>
          <w:b w:val="0"/>
          <w:color w:val="000000"/>
          <w:sz w:val="24"/>
        </w:rPr>
        <w:t>Prerazporeditve v instrumente v okviru neposrednega ali posrednega upravljanja – utemeljitev</w:t>
      </w:r>
      <w:bookmarkEnd w:id="689"/>
    </w:p>
    <w:p w14:paraId="6E49AC0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61E26C80"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58E51B" w14:textId="77777777" w:rsidR="00A77B3E" w:rsidRDefault="00A77B3E">
            <w:pPr>
              <w:spacing w:before="5pt"/>
              <w:rPr>
                <w:color w:val="000000"/>
                <w:sz w:val="0"/>
              </w:rPr>
            </w:pPr>
          </w:p>
          <w:p w14:paraId="3C59F395" w14:textId="77777777" w:rsidR="00A77B3E" w:rsidRDefault="00A77B3E">
            <w:pPr>
              <w:spacing w:before="5pt"/>
              <w:rPr>
                <w:color w:val="000000"/>
              </w:rPr>
            </w:pPr>
          </w:p>
        </w:tc>
      </w:tr>
    </w:tbl>
    <w:p w14:paraId="46694E61" w14:textId="77777777" w:rsidR="00A77B3E" w:rsidRDefault="00A77B3E">
      <w:pPr>
        <w:spacing w:before="5pt"/>
        <w:rPr>
          <w:color w:val="000000"/>
        </w:rPr>
      </w:pPr>
    </w:p>
    <w:p w14:paraId="50F0BDF2" w14:textId="77777777" w:rsidR="00A77B3E" w:rsidRDefault="00A77B3E">
      <w:pPr>
        <w:spacing w:before="5pt"/>
        <w:rPr>
          <w:color w:val="000000"/>
        </w:rPr>
      </w:pPr>
    </w:p>
    <w:p w14:paraId="3EB3DD88" w14:textId="77777777" w:rsidR="00A77B3E" w:rsidRDefault="00B16CCF">
      <w:pPr>
        <w:pStyle w:val="Naslov4"/>
        <w:spacing w:before="5pt" w:after="0pt"/>
        <w:rPr>
          <w:b w:val="0"/>
          <w:color w:val="000000"/>
          <w:sz w:val="24"/>
        </w:rPr>
      </w:pPr>
      <w:bookmarkStart w:id="690" w:name="_Toc256001451"/>
      <w:r>
        <w:rPr>
          <w:b w:val="0"/>
          <w:color w:val="000000"/>
          <w:sz w:val="24"/>
        </w:rPr>
        <w:t>Tabela 17A: Prerazporeditve med skladi ESRR, ESS+ in Kohezijskim skladom ali v drugi sklad ali sklade (razčlenitev po letih)</w:t>
      </w:r>
      <w:bookmarkEnd w:id="690"/>
    </w:p>
    <w:p w14:paraId="1546847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185"/>
        <w:gridCol w:w="1945"/>
        <w:gridCol w:w="1185"/>
        <w:gridCol w:w="1945"/>
        <w:gridCol w:w="1075"/>
        <w:gridCol w:w="1076"/>
        <w:gridCol w:w="1076"/>
        <w:gridCol w:w="1076"/>
        <w:gridCol w:w="1076"/>
        <w:gridCol w:w="1076"/>
        <w:gridCol w:w="1076"/>
        <w:gridCol w:w="1381"/>
      </w:tblGrid>
      <w:tr w:rsidR="00823317" w14:paraId="015E253E" w14:textId="77777777">
        <w:trPr>
          <w:tblHeader/>
        </w:trPr>
        <w:tc>
          <w:tcPr>
            <w:tcW w:w="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54D62C" w14:textId="77777777" w:rsidR="00A77B3E" w:rsidRDefault="00B16CCF">
            <w:pPr>
              <w:spacing w:before="5pt"/>
              <w:jc w:val="center"/>
              <w:rPr>
                <w:color w:val="000000"/>
                <w:sz w:val="16"/>
              </w:rPr>
            </w:pPr>
            <w:r>
              <w:rPr>
                <w:color w:val="000000"/>
                <w:sz w:val="16"/>
              </w:rPr>
              <w:t>Prerazporeditve iz</w:t>
            </w:r>
          </w:p>
        </w:tc>
        <w:tc>
          <w:tcPr>
            <w:tcW w:w="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AA92303" w14:textId="77777777" w:rsidR="00A77B3E" w:rsidRDefault="00B16CCF">
            <w:pPr>
              <w:spacing w:before="5pt"/>
              <w:jc w:val="center"/>
              <w:rPr>
                <w:color w:val="000000"/>
                <w:sz w:val="16"/>
              </w:rPr>
            </w:pPr>
            <w:r>
              <w:rPr>
                <w:color w:val="000000"/>
                <w:sz w:val="16"/>
              </w:rPr>
              <w:t>Prerazporeditve v</w:t>
            </w:r>
          </w:p>
        </w:tc>
        <w:tc>
          <w:tcPr>
            <w:tcW w:w="0pt" w:type="dxa"/>
            <w:gridSpan w:val="8"/>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B0F970" w14:textId="77777777" w:rsidR="00A77B3E" w:rsidRDefault="00B16CCF">
            <w:pPr>
              <w:spacing w:before="5pt"/>
              <w:jc w:val="center"/>
              <w:rPr>
                <w:color w:val="000000"/>
                <w:sz w:val="16"/>
              </w:rPr>
            </w:pPr>
            <w:r>
              <w:rPr>
                <w:color w:val="000000"/>
                <w:sz w:val="16"/>
              </w:rPr>
              <w:t>Razčlenitev po letih</w:t>
            </w:r>
          </w:p>
        </w:tc>
      </w:tr>
      <w:tr w:rsidR="00823317" w14:paraId="6086A385"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3C7700D" w14:textId="77777777" w:rsidR="00A77B3E" w:rsidRDefault="00B16CCF">
            <w:pPr>
              <w:spacing w:before="5pt"/>
              <w:jc w:val="center"/>
              <w:rPr>
                <w:color w:val="000000"/>
                <w:sz w:val="16"/>
              </w:rPr>
            </w:pPr>
            <w:r>
              <w:rPr>
                <w:color w:val="000000"/>
                <w:sz w:val="16"/>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2262DC" w14:textId="77777777" w:rsidR="00A77B3E" w:rsidRDefault="00B16CCF">
            <w:pPr>
              <w:spacing w:before="5pt"/>
              <w:jc w:val="center"/>
              <w:rPr>
                <w:color w:val="000000"/>
                <w:sz w:val="16"/>
              </w:rPr>
            </w:pPr>
            <w:r>
              <w:rPr>
                <w:color w:val="000000"/>
                <w:sz w:val="16"/>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3789D8" w14:textId="77777777" w:rsidR="00A77B3E" w:rsidRDefault="00B16CCF">
            <w:pPr>
              <w:spacing w:before="5pt"/>
              <w:jc w:val="center"/>
              <w:rPr>
                <w:color w:val="000000"/>
                <w:sz w:val="16"/>
              </w:rPr>
            </w:pPr>
            <w:r>
              <w:rPr>
                <w:color w:val="000000"/>
                <w:sz w:val="16"/>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B005A0" w14:textId="77777777" w:rsidR="00A77B3E" w:rsidRDefault="00B16CCF">
            <w:pPr>
              <w:spacing w:before="5pt"/>
              <w:jc w:val="center"/>
              <w:rPr>
                <w:color w:val="000000"/>
                <w:sz w:val="16"/>
              </w:rPr>
            </w:pPr>
            <w:r>
              <w:rPr>
                <w:color w:val="000000"/>
                <w:sz w:val="16"/>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D4A32A" w14:textId="77777777" w:rsidR="00A77B3E" w:rsidRDefault="00B16CCF">
            <w:pPr>
              <w:spacing w:before="5pt"/>
              <w:jc w:val="center"/>
              <w:rPr>
                <w:color w:val="000000"/>
                <w:sz w:val="16"/>
              </w:rPr>
            </w:pPr>
            <w:r>
              <w:rPr>
                <w:color w:val="000000"/>
                <w:sz w:val="16"/>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846C81" w14:textId="77777777" w:rsidR="00A77B3E" w:rsidRDefault="00B16CCF">
            <w:pPr>
              <w:spacing w:before="5pt"/>
              <w:jc w:val="center"/>
              <w:rPr>
                <w:color w:val="000000"/>
                <w:sz w:val="16"/>
              </w:rPr>
            </w:pPr>
            <w:r>
              <w:rPr>
                <w:color w:val="000000"/>
                <w:sz w:val="16"/>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43806F" w14:textId="77777777" w:rsidR="00A77B3E" w:rsidRDefault="00B16CCF">
            <w:pPr>
              <w:spacing w:before="5pt"/>
              <w:jc w:val="center"/>
              <w:rPr>
                <w:color w:val="000000"/>
                <w:sz w:val="16"/>
              </w:rPr>
            </w:pPr>
            <w:r>
              <w:rPr>
                <w:color w:val="000000"/>
                <w:sz w:val="16"/>
              </w:rPr>
              <w:t>2023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A2E7A3" w14:textId="77777777" w:rsidR="00A77B3E" w:rsidRDefault="00B16CCF">
            <w:pPr>
              <w:spacing w:before="5pt"/>
              <w:jc w:val="center"/>
              <w:rPr>
                <w:color w:val="000000"/>
                <w:sz w:val="16"/>
              </w:rPr>
            </w:pPr>
            <w:r>
              <w:rPr>
                <w:color w:val="000000"/>
                <w:sz w:val="16"/>
              </w:rPr>
              <w:t>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9D0C5E" w14:textId="77777777" w:rsidR="00A77B3E" w:rsidRDefault="00B16CCF">
            <w:pPr>
              <w:spacing w:before="5pt"/>
              <w:jc w:val="center"/>
              <w:rPr>
                <w:color w:val="000000"/>
                <w:sz w:val="16"/>
              </w:rPr>
            </w:pPr>
            <w:r>
              <w:rPr>
                <w:color w:val="000000"/>
                <w:sz w:val="16"/>
              </w:rPr>
              <w:t>2025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F035CF" w14:textId="77777777" w:rsidR="00A77B3E" w:rsidRDefault="00B16CCF">
            <w:pPr>
              <w:spacing w:before="5pt"/>
              <w:jc w:val="center"/>
              <w:rPr>
                <w:color w:val="000000"/>
                <w:sz w:val="16"/>
              </w:rPr>
            </w:pPr>
            <w:r>
              <w:rPr>
                <w:color w:val="000000"/>
                <w:sz w:val="16"/>
              </w:rPr>
              <w:t>2026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4D20DD" w14:textId="77777777" w:rsidR="00A77B3E" w:rsidRDefault="00B16CCF">
            <w:pPr>
              <w:spacing w:before="5pt"/>
              <w:jc w:val="center"/>
              <w:rPr>
                <w:color w:val="000000"/>
                <w:sz w:val="16"/>
              </w:rPr>
            </w:pPr>
            <w:r>
              <w:rPr>
                <w:color w:val="000000"/>
                <w:sz w:val="16"/>
              </w:rPr>
              <w:t>2027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F28FE1" w14:textId="77777777" w:rsidR="00A77B3E" w:rsidRDefault="00B16CCF">
            <w:pPr>
              <w:spacing w:before="5pt"/>
              <w:jc w:val="center"/>
              <w:rPr>
                <w:color w:val="000000"/>
                <w:sz w:val="16"/>
              </w:rPr>
            </w:pPr>
            <w:r>
              <w:rPr>
                <w:color w:val="000000"/>
                <w:sz w:val="16"/>
              </w:rPr>
              <w:t>Skupaj</w:t>
            </w:r>
          </w:p>
        </w:tc>
      </w:tr>
    </w:tbl>
    <w:p w14:paraId="283C1E07" w14:textId="77777777" w:rsidR="00A77B3E" w:rsidRDefault="00B16CCF">
      <w:pPr>
        <w:spacing w:before="5pt"/>
        <w:rPr>
          <w:color w:val="000000"/>
          <w:sz w:val="16"/>
        </w:rPr>
      </w:pPr>
      <w:r>
        <w:rPr>
          <w:color w:val="000000"/>
          <w:sz w:val="16"/>
        </w:rPr>
        <w:t>* Prerazporeditev v druge programe. Prerazporeditve med skladoma ESRR in ESS+ se lahko izvedejo samo znotraj iste kategorije regij.</w:t>
      </w:r>
    </w:p>
    <w:p w14:paraId="2558BDEC" w14:textId="77777777" w:rsidR="00A77B3E" w:rsidRDefault="00A77B3E">
      <w:pPr>
        <w:spacing w:before="5pt"/>
        <w:rPr>
          <w:color w:val="000000"/>
          <w:sz w:val="16"/>
        </w:rPr>
      </w:pPr>
    </w:p>
    <w:p w14:paraId="587AD63B" w14:textId="77777777" w:rsidR="00A77B3E" w:rsidRDefault="00B16CCF">
      <w:pPr>
        <w:pStyle w:val="Naslov4"/>
        <w:spacing w:before="5pt" w:after="0pt"/>
        <w:rPr>
          <w:b w:val="0"/>
          <w:color w:val="000000"/>
          <w:sz w:val="24"/>
        </w:rPr>
      </w:pPr>
      <w:bookmarkStart w:id="691" w:name="_Toc256001452"/>
      <w:r>
        <w:rPr>
          <w:b w:val="0"/>
          <w:color w:val="000000"/>
          <w:sz w:val="24"/>
        </w:rPr>
        <w:t>Tabela 17B: Prerazporeditve med skladi ESRR, ESS+ in Kohezijskim skladom ali v drugi sklad ali sklade (povzetek)</w:t>
      </w:r>
      <w:bookmarkEnd w:id="691"/>
    </w:p>
    <w:p w14:paraId="7B798AE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959"/>
        <w:gridCol w:w="237"/>
        <w:gridCol w:w="943"/>
        <w:gridCol w:w="973"/>
        <w:gridCol w:w="943"/>
        <w:gridCol w:w="1252"/>
        <w:gridCol w:w="943"/>
        <w:gridCol w:w="973"/>
        <w:gridCol w:w="943"/>
        <w:gridCol w:w="1252"/>
        <w:gridCol w:w="1368"/>
        <w:gridCol w:w="856"/>
        <w:gridCol w:w="887"/>
        <w:gridCol w:w="755"/>
        <w:gridCol w:w="930"/>
        <w:gridCol w:w="958"/>
      </w:tblGrid>
      <w:tr w:rsidR="00823317" w14:paraId="0A68693F" w14:textId="77777777">
        <w:trPr>
          <w:tblHeader/>
        </w:trPr>
        <w:tc>
          <w:tcPr>
            <w:tcW w:w="0pt" w:type="dxa"/>
            <w:gridSpan w:val="2"/>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D35262" w14:textId="77777777" w:rsidR="00A77B3E" w:rsidRDefault="00A77B3E">
            <w:pPr>
              <w:spacing w:before="5pt"/>
              <w:jc w:val="center"/>
              <w:rPr>
                <w:color w:val="000000"/>
                <w:sz w:val="14"/>
              </w:rPr>
            </w:pPr>
          </w:p>
        </w:tc>
        <w:tc>
          <w:tcPr>
            <w:tcW w:w="0pt" w:type="dxa"/>
            <w:gridSpan w:val="4"/>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0C3A90" w14:textId="77777777" w:rsidR="00A77B3E" w:rsidRDefault="00B16CCF">
            <w:pPr>
              <w:spacing w:before="5pt"/>
              <w:jc w:val="center"/>
              <w:rPr>
                <w:color w:val="000000"/>
                <w:sz w:val="14"/>
              </w:rPr>
            </w:pPr>
            <w:r>
              <w:rPr>
                <w:color w:val="000000"/>
                <w:sz w:val="14"/>
              </w:rPr>
              <w:t>ESRR</w:t>
            </w:r>
          </w:p>
        </w:tc>
        <w:tc>
          <w:tcPr>
            <w:tcW w:w="0pt" w:type="dxa"/>
            <w:gridSpan w:val="4"/>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2F92A9" w14:textId="77777777" w:rsidR="00A77B3E" w:rsidRDefault="00B16CCF">
            <w:pPr>
              <w:spacing w:before="5pt"/>
              <w:jc w:val="center"/>
              <w:rPr>
                <w:color w:val="000000"/>
                <w:sz w:val="14"/>
              </w:rPr>
            </w:pPr>
            <w:r>
              <w:rPr>
                <w:color w:val="000000"/>
                <w:sz w:val="14"/>
              </w:rPr>
              <w:t>ESS+</w:t>
            </w:r>
          </w:p>
        </w:tc>
        <w:tc>
          <w:tcPr>
            <w:tcW w:w="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1A355C" w14:textId="77777777" w:rsidR="00A77B3E" w:rsidRDefault="00B16CCF">
            <w:pPr>
              <w:spacing w:before="5pt"/>
              <w:jc w:val="center"/>
              <w:rPr>
                <w:color w:val="000000"/>
                <w:sz w:val="14"/>
              </w:rPr>
            </w:pPr>
            <w:r>
              <w:rPr>
                <w:color w:val="000000"/>
                <w:sz w:val="14"/>
              </w:rPr>
              <w:t>Kohezijski sklad</w:t>
            </w:r>
          </w:p>
        </w:tc>
        <w:tc>
          <w:tcPr>
            <w:tcW w:w="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7DEDB4" w14:textId="77777777" w:rsidR="00A77B3E" w:rsidRDefault="00B16CCF">
            <w:pPr>
              <w:spacing w:before="5pt"/>
              <w:jc w:val="center"/>
              <w:rPr>
                <w:color w:val="000000"/>
                <w:sz w:val="14"/>
              </w:rPr>
            </w:pPr>
            <w:r>
              <w:rPr>
                <w:color w:val="000000"/>
                <w:sz w:val="14"/>
              </w:rPr>
              <w:t>ESPR</w:t>
            </w:r>
          </w:p>
        </w:tc>
        <w:tc>
          <w:tcPr>
            <w:tcW w:w="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14DFB7" w14:textId="77777777" w:rsidR="00A77B3E" w:rsidRDefault="00B16CCF">
            <w:pPr>
              <w:spacing w:before="5pt"/>
              <w:jc w:val="center"/>
              <w:rPr>
                <w:color w:val="000000"/>
                <w:sz w:val="14"/>
              </w:rPr>
            </w:pPr>
            <w:r>
              <w:rPr>
                <w:color w:val="000000"/>
                <w:sz w:val="14"/>
              </w:rPr>
              <w:t>AMIF</w:t>
            </w:r>
          </w:p>
        </w:tc>
        <w:tc>
          <w:tcPr>
            <w:tcW w:w="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D75AB4" w14:textId="77777777" w:rsidR="00A77B3E" w:rsidRDefault="00B16CCF">
            <w:pPr>
              <w:spacing w:before="5pt"/>
              <w:jc w:val="center"/>
              <w:rPr>
                <w:color w:val="000000"/>
                <w:sz w:val="14"/>
              </w:rPr>
            </w:pPr>
            <w:r>
              <w:rPr>
                <w:color w:val="000000"/>
                <w:sz w:val="14"/>
              </w:rPr>
              <w:t>SNV</w:t>
            </w:r>
          </w:p>
        </w:tc>
        <w:tc>
          <w:tcPr>
            <w:tcW w:w="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BF8275" w14:textId="77777777" w:rsidR="00A77B3E" w:rsidRDefault="00B16CCF">
            <w:pPr>
              <w:spacing w:before="5pt"/>
              <w:jc w:val="center"/>
              <w:rPr>
                <w:color w:val="000000"/>
                <w:sz w:val="14"/>
              </w:rPr>
            </w:pPr>
            <w:r>
              <w:rPr>
                <w:color w:val="000000"/>
                <w:sz w:val="14"/>
              </w:rPr>
              <w:t>IUMV</w:t>
            </w:r>
          </w:p>
        </w:tc>
        <w:tc>
          <w:tcPr>
            <w:tcW w:w="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FC9EE4" w14:textId="77777777" w:rsidR="00A77B3E" w:rsidRDefault="00B16CCF">
            <w:pPr>
              <w:spacing w:before="5pt"/>
              <w:jc w:val="center"/>
              <w:rPr>
                <w:color w:val="000000"/>
                <w:sz w:val="14"/>
              </w:rPr>
            </w:pPr>
            <w:r>
              <w:rPr>
                <w:color w:val="000000"/>
                <w:sz w:val="14"/>
              </w:rPr>
              <w:t>Skupaj</w:t>
            </w:r>
          </w:p>
        </w:tc>
      </w:tr>
      <w:tr w:rsidR="00823317" w14:paraId="5D796726" w14:textId="77777777">
        <w:trPr>
          <w:tblHeader/>
        </w:trPr>
        <w:tc>
          <w:tcPr>
            <w:tcW w:w="0pt" w:type="dxa"/>
            <w:gridSpan w:val="2"/>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9A5640" w14:textId="77777777" w:rsidR="00A77B3E" w:rsidRDefault="00A77B3E">
            <w:pPr>
              <w:spacing w:before="5pt"/>
              <w:jc w:val="center"/>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EBB036" w14:textId="77777777" w:rsidR="00A77B3E" w:rsidRDefault="00B16CCF">
            <w:pPr>
              <w:spacing w:before="5pt"/>
              <w:jc w:val="center"/>
              <w:rPr>
                <w:color w:val="000000"/>
                <w:sz w:val="14"/>
              </w:rPr>
            </w:pPr>
            <w:r>
              <w:rPr>
                <w:color w:val="000000"/>
                <w:sz w:val="14"/>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D3F516" w14:textId="77777777" w:rsidR="00A77B3E" w:rsidRDefault="00B16CCF">
            <w:pPr>
              <w:spacing w:before="5pt"/>
              <w:jc w:val="center"/>
              <w:rPr>
                <w:color w:val="000000"/>
                <w:sz w:val="14"/>
              </w:rPr>
            </w:pPr>
            <w:r>
              <w:rPr>
                <w:color w:val="000000"/>
                <w:sz w:val="14"/>
              </w:rPr>
              <w:t>Prehod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6E354B" w14:textId="77777777" w:rsidR="00A77B3E" w:rsidRDefault="00B16CCF">
            <w:pPr>
              <w:spacing w:before="5pt"/>
              <w:jc w:val="center"/>
              <w:rPr>
                <w:color w:val="000000"/>
                <w:sz w:val="14"/>
              </w:rPr>
            </w:pPr>
            <w:r>
              <w:rPr>
                <w:color w:val="000000"/>
                <w:sz w:val="14"/>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FF5217" w14:textId="77777777" w:rsidR="00A77B3E" w:rsidRDefault="00B16CCF">
            <w:pPr>
              <w:spacing w:before="5pt"/>
              <w:jc w:val="center"/>
              <w:rPr>
                <w:color w:val="000000"/>
                <w:sz w:val="14"/>
              </w:rPr>
            </w:pPr>
            <w:r>
              <w:rPr>
                <w:color w:val="000000"/>
                <w:sz w:val="14"/>
              </w:rPr>
              <w:t>Najbolj oddaljene ali severne redko poseljene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FD2003" w14:textId="77777777" w:rsidR="00A77B3E" w:rsidRDefault="00B16CCF">
            <w:pPr>
              <w:spacing w:before="5pt"/>
              <w:jc w:val="center"/>
              <w:rPr>
                <w:color w:val="000000"/>
                <w:sz w:val="14"/>
              </w:rPr>
            </w:pPr>
            <w:r>
              <w:rPr>
                <w:color w:val="000000"/>
                <w:sz w:val="14"/>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3C1DCE6" w14:textId="77777777" w:rsidR="00A77B3E" w:rsidRDefault="00B16CCF">
            <w:pPr>
              <w:spacing w:before="5pt"/>
              <w:jc w:val="center"/>
              <w:rPr>
                <w:color w:val="000000"/>
                <w:sz w:val="14"/>
              </w:rPr>
            </w:pPr>
            <w:r>
              <w:rPr>
                <w:color w:val="000000"/>
                <w:sz w:val="14"/>
              </w:rPr>
              <w:t>Prehod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4413D0" w14:textId="77777777" w:rsidR="00A77B3E" w:rsidRDefault="00B16CCF">
            <w:pPr>
              <w:spacing w:before="5pt"/>
              <w:jc w:val="center"/>
              <w:rPr>
                <w:color w:val="000000"/>
                <w:sz w:val="14"/>
              </w:rPr>
            </w:pPr>
            <w:r>
              <w:rPr>
                <w:color w:val="000000"/>
                <w:sz w:val="14"/>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B8C524" w14:textId="77777777" w:rsidR="00A77B3E" w:rsidRDefault="00B16CCF">
            <w:pPr>
              <w:spacing w:before="5pt"/>
              <w:jc w:val="center"/>
              <w:rPr>
                <w:color w:val="000000"/>
                <w:sz w:val="14"/>
              </w:rPr>
            </w:pPr>
            <w:r>
              <w:rPr>
                <w:color w:val="000000"/>
                <w:sz w:val="14"/>
              </w:rPr>
              <w:t>Najbolj oddaljene ali severne redko poseljene regije</w:t>
            </w:r>
          </w:p>
        </w:tc>
        <w:tc>
          <w:tcPr>
            <w:tcW w:w="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6FC0DB" w14:textId="77777777" w:rsidR="00A77B3E" w:rsidRDefault="00A77B3E">
            <w:pPr>
              <w:spacing w:before="5pt"/>
              <w:jc w:val="center"/>
              <w:rPr>
                <w:color w:val="000000"/>
                <w:sz w:val="14"/>
              </w:rPr>
            </w:pPr>
          </w:p>
        </w:tc>
        <w:tc>
          <w:tcPr>
            <w:tcW w:w="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46760A" w14:textId="77777777" w:rsidR="00A77B3E" w:rsidRDefault="00A77B3E">
            <w:pPr>
              <w:spacing w:before="5pt"/>
              <w:jc w:val="center"/>
              <w:rPr>
                <w:color w:val="000000"/>
                <w:sz w:val="14"/>
              </w:rPr>
            </w:pPr>
          </w:p>
        </w:tc>
        <w:tc>
          <w:tcPr>
            <w:tcW w:w="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2B275E" w14:textId="77777777" w:rsidR="00A77B3E" w:rsidRDefault="00A77B3E">
            <w:pPr>
              <w:spacing w:before="5pt"/>
              <w:jc w:val="center"/>
              <w:rPr>
                <w:color w:val="000000"/>
                <w:sz w:val="14"/>
              </w:rPr>
            </w:pPr>
          </w:p>
        </w:tc>
        <w:tc>
          <w:tcPr>
            <w:tcW w:w="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691EA70" w14:textId="77777777" w:rsidR="00A77B3E" w:rsidRDefault="00A77B3E">
            <w:pPr>
              <w:spacing w:before="5pt"/>
              <w:jc w:val="center"/>
              <w:rPr>
                <w:color w:val="000000"/>
                <w:sz w:val="14"/>
              </w:rPr>
            </w:pPr>
          </w:p>
        </w:tc>
        <w:tc>
          <w:tcPr>
            <w:tcW w:w="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DB8163" w14:textId="77777777" w:rsidR="00A77B3E" w:rsidRDefault="00A77B3E">
            <w:pPr>
              <w:spacing w:before="5pt"/>
              <w:jc w:val="center"/>
              <w:rPr>
                <w:color w:val="000000"/>
                <w:sz w:val="14"/>
              </w:rPr>
            </w:pPr>
          </w:p>
        </w:tc>
        <w:tc>
          <w:tcPr>
            <w:tcW w:w="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FF7D5E" w14:textId="77777777" w:rsidR="00A77B3E" w:rsidRDefault="00A77B3E">
            <w:pPr>
              <w:spacing w:before="5pt"/>
              <w:jc w:val="center"/>
              <w:rPr>
                <w:color w:val="000000"/>
                <w:sz w:val="14"/>
              </w:rPr>
            </w:pPr>
          </w:p>
        </w:tc>
      </w:tr>
      <w:tr w:rsidR="00823317" w14:paraId="3F8DF88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76FB24" w14:textId="77777777" w:rsidR="00A77B3E" w:rsidRDefault="00B16CCF">
            <w:pPr>
              <w:spacing w:before="5pt"/>
              <w:jc w:val="center"/>
              <w:rPr>
                <w:color w:val="000000"/>
                <w:sz w:val="14"/>
              </w:rPr>
            </w:pPr>
            <w:r>
              <w:rPr>
                <w:color w:val="000000"/>
                <w:sz w:val="14"/>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8D61DB" w14:textId="77777777" w:rsidR="00A77B3E" w:rsidRDefault="00A77B3E">
            <w:pPr>
              <w:spacing w:before="5pt"/>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EFD6DE" w14:textId="77777777" w:rsidR="00A77B3E" w:rsidRDefault="00A77B3E">
            <w:pPr>
              <w:spacing w:before="5pt"/>
              <w:jc w:val="end"/>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12C0FC" w14:textId="77777777" w:rsidR="00A77B3E" w:rsidRDefault="00A77B3E">
            <w:pPr>
              <w:spacing w:before="5pt"/>
              <w:jc w:val="end"/>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82888C" w14:textId="77777777" w:rsidR="00A77B3E" w:rsidRDefault="00A77B3E">
            <w:pPr>
              <w:spacing w:before="5pt"/>
              <w:jc w:val="end"/>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BD2639" w14:textId="77777777" w:rsidR="00A77B3E" w:rsidRDefault="00A77B3E">
            <w:pPr>
              <w:spacing w:before="5pt"/>
              <w:jc w:val="end"/>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70177F" w14:textId="77777777" w:rsidR="00A77B3E" w:rsidRDefault="00A77B3E">
            <w:pPr>
              <w:spacing w:before="5pt"/>
              <w:jc w:val="end"/>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424538" w14:textId="77777777" w:rsidR="00A77B3E" w:rsidRDefault="00A77B3E">
            <w:pPr>
              <w:spacing w:before="5pt"/>
              <w:jc w:val="end"/>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664644" w14:textId="77777777" w:rsidR="00A77B3E" w:rsidRDefault="00A77B3E">
            <w:pPr>
              <w:spacing w:before="5pt"/>
              <w:jc w:val="end"/>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A27F24" w14:textId="77777777" w:rsidR="00A77B3E" w:rsidRDefault="00A77B3E">
            <w:pPr>
              <w:spacing w:before="5pt"/>
              <w:jc w:val="end"/>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F432C9" w14:textId="77777777" w:rsidR="00A77B3E" w:rsidRDefault="00A77B3E">
            <w:pPr>
              <w:spacing w:before="5pt"/>
              <w:jc w:val="end"/>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4D3763" w14:textId="77777777" w:rsidR="00A77B3E" w:rsidRDefault="00A77B3E">
            <w:pPr>
              <w:spacing w:before="5pt"/>
              <w:jc w:val="end"/>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52C03B" w14:textId="77777777" w:rsidR="00A77B3E" w:rsidRDefault="00A77B3E">
            <w:pPr>
              <w:spacing w:before="5pt"/>
              <w:jc w:val="end"/>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A58D99" w14:textId="77777777" w:rsidR="00A77B3E" w:rsidRDefault="00A77B3E">
            <w:pPr>
              <w:spacing w:before="5pt"/>
              <w:jc w:val="end"/>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35EB4A" w14:textId="77777777" w:rsidR="00A77B3E" w:rsidRDefault="00A77B3E">
            <w:pPr>
              <w:spacing w:before="5pt"/>
              <w:jc w:val="end"/>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906560" w14:textId="77777777" w:rsidR="00A77B3E" w:rsidRDefault="00A77B3E">
            <w:pPr>
              <w:spacing w:before="5pt"/>
              <w:jc w:val="end"/>
              <w:rPr>
                <w:color w:val="000000"/>
                <w:sz w:val="14"/>
              </w:rPr>
            </w:pPr>
          </w:p>
        </w:tc>
      </w:tr>
    </w:tbl>
    <w:p w14:paraId="4483449B" w14:textId="77777777" w:rsidR="00A77B3E" w:rsidRDefault="00B16CCF">
      <w:pPr>
        <w:spacing w:before="5pt"/>
        <w:rPr>
          <w:color w:val="000000"/>
          <w:sz w:val="16"/>
        </w:rPr>
      </w:pPr>
      <w:r>
        <w:rPr>
          <w:color w:val="000000"/>
          <w:sz w:val="16"/>
        </w:rPr>
        <w:t>* Kumulativni zneski za vse prerazporeditve, izvedene s spremembami programa v programskem obdobju. Pri vsakem novem zahtevku za prerazporeditev se v spremembi programa določijo skupni prerazporejeni zneski za vsako leto po skladih in kategorijah regij.</w:t>
      </w:r>
    </w:p>
    <w:p w14:paraId="7AEBBCAE" w14:textId="77777777" w:rsidR="00A77B3E" w:rsidRDefault="00A77B3E">
      <w:pPr>
        <w:spacing w:before="5pt"/>
        <w:rPr>
          <w:color w:val="000000"/>
          <w:sz w:val="16"/>
        </w:rPr>
      </w:pPr>
    </w:p>
    <w:p w14:paraId="40B25F44" w14:textId="77777777" w:rsidR="00A77B3E" w:rsidRDefault="00B16CCF">
      <w:pPr>
        <w:pStyle w:val="Naslov4"/>
        <w:spacing w:before="5pt" w:after="0pt"/>
        <w:rPr>
          <w:b w:val="0"/>
          <w:color w:val="000000"/>
          <w:sz w:val="24"/>
        </w:rPr>
      </w:pPr>
      <w:bookmarkStart w:id="692" w:name="_Toc256001453"/>
      <w:r>
        <w:rPr>
          <w:b w:val="0"/>
          <w:color w:val="000000"/>
          <w:sz w:val="24"/>
        </w:rPr>
        <w:t>Prerazporeditve med skladi z deljenim upravljanjem, vključno med skladi kohezijske politike – utemeljitev</w:t>
      </w:r>
      <w:bookmarkEnd w:id="692"/>
    </w:p>
    <w:p w14:paraId="15FD778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68FE2A7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DEC531" w14:textId="77777777" w:rsidR="00A77B3E" w:rsidRDefault="00A77B3E">
            <w:pPr>
              <w:spacing w:before="5pt"/>
              <w:rPr>
                <w:color w:val="000000"/>
                <w:sz w:val="0"/>
              </w:rPr>
            </w:pPr>
          </w:p>
          <w:p w14:paraId="783FB227" w14:textId="77777777" w:rsidR="00A77B3E" w:rsidRDefault="00B16CCF">
            <w:pPr>
              <w:spacing w:before="5pt"/>
              <w:rPr>
                <w:color w:val="000000"/>
              </w:rPr>
            </w:pPr>
            <w:r>
              <w:rPr>
                <w:b/>
                <w:bCs/>
                <w:color w:val="000000"/>
              </w:rPr>
              <w:t>Priprava in izvajanje Akcijskega načrta za razvoj spretnosti</w:t>
            </w:r>
          </w:p>
          <w:p w14:paraId="3EA27BB4" w14:textId="77777777" w:rsidR="00A77B3E" w:rsidRDefault="00B16CCF">
            <w:pPr>
              <w:spacing w:before="5pt"/>
              <w:rPr>
                <w:color w:val="000000"/>
              </w:rPr>
            </w:pPr>
            <w:r>
              <w:rPr>
                <w:color w:val="000000"/>
              </w:rPr>
              <w:t>Ob upoštevanju posebnega priporočila za Slovenijo za leto 2025 na področju razvoja spretnosti ter uspešnosti države glede na kazalnike evropske socialne preglednice o izobraževanju odraslih in digitalnih spretnostih ter z ozirom na pobudo “Unija spretnosti” kot vodilni okvir politike EU, se Slovenija zavezuje k pripravi Akcijskega načrta. Ta bo skupaj z obstoječo Resolucijo o nacionalnem programu izobraževanja odraslih v RS za obdobje 2022–2030 stremel k doseganju cilja EU, da je do l. 2030 vsaj 60 % odraslih vključenih v izobraževanje.</w:t>
            </w:r>
          </w:p>
          <w:p w14:paraId="7A7073D7" w14:textId="77777777" w:rsidR="00A77B3E" w:rsidRDefault="00B16CCF">
            <w:pPr>
              <w:spacing w:before="5pt"/>
              <w:rPr>
                <w:color w:val="000000"/>
              </w:rPr>
            </w:pPr>
            <w:r>
              <w:rPr>
                <w:color w:val="000000"/>
              </w:rPr>
              <w:t>Načrt bo omogočil razmislek o potrebnih korakih za okrepitev podpore iz ESS+ pri razvoju in nadgradnji spretnosti, izobraževanju odraslih in digitalnih znanj kot del celovite slovenske strategije razvoja spretnosti.</w:t>
            </w:r>
          </w:p>
          <w:p w14:paraId="4718FBF0" w14:textId="77777777" w:rsidR="00A77B3E" w:rsidRDefault="00B16CCF">
            <w:pPr>
              <w:spacing w:before="5pt"/>
              <w:rPr>
                <w:color w:val="000000"/>
              </w:rPr>
            </w:pPr>
            <w:r>
              <w:rPr>
                <w:color w:val="000000"/>
              </w:rPr>
              <w:t>Načrt se bo pripravil v sodelovanju med Ministrstvom za vzgojo in izobraževanje, Ministrstvom za delo, družino, socialne zadeve in enake možnosti, Ministrstvom za gospodarski razvoj in tehnologijo, Ministrstvom za digitalno preobrazbo in drugimi pristojnimi ministrstvi, odgovornimi za razvoj spretnosti na svojih področjih. Ministrstvo za kohezijo in regionalni razvoj bo usklajevalo aktivnosti priprave in izvajanja načrta v okviru svoje vloge organa upravljanja slovenskega kohezijskega programa.</w:t>
            </w:r>
          </w:p>
          <w:p w14:paraId="2485F158" w14:textId="77777777" w:rsidR="00A77B3E" w:rsidRDefault="00B16CCF">
            <w:pPr>
              <w:spacing w:before="5pt"/>
              <w:rPr>
                <w:color w:val="000000"/>
              </w:rPr>
            </w:pPr>
            <w:r>
              <w:rPr>
                <w:color w:val="000000"/>
              </w:rPr>
              <w:t>Načrt je potrebno sprejeti s strani OzS najpozneje do konca leta 2026.</w:t>
            </w:r>
          </w:p>
          <w:p w14:paraId="41887790" w14:textId="77777777" w:rsidR="00A77B3E" w:rsidRDefault="00B16CCF">
            <w:pPr>
              <w:spacing w:before="5pt"/>
              <w:rPr>
                <w:color w:val="000000"/>
              </w:rPr>
            </w:pPr>
            <w:r>
              <w:rPr>
                <w:color w:val="000000"/>
              </w:rPr>
              <w:t>Zagotavljal bo bistven prispevek socialnih partnerjev, zlasti delodajalcev in sindikatov, ki sodelujejo v Ekonomsko-socialnem svetu Slovenije, Zavoda RS za zaposlovanje, predstavnikov izobraževalnih institucij, Centrom za poklicno izobraževanje ter drugih ustreznih deležnikov – da se zagotovi, da načrt odraža potrebe trga dela.</w:t>
            </w:r>
          </w:p>
          <w:p w14:paraId="2B5FAACD" w14:textId="77777777" w:rsidR="00A77B3E" w:rsidRDefault="00B16CCF">
            <w:pPr>
              <w:spacing w:before="5pt"/>
              <w:rPr>
                <w:color w:val="000000"/>
              </w:rPr>
            </w:pPr>
            <w:r>
              <w:rPr>
                <w:color w:val="000000"/>
              </w:rPr>
              <w:t>Načrt bo naslovil učinkovito uresničevanje naslednjih ciljev in načel:</w:t>
            </w:r>
          </w:p>
          <w:p w14:paraId="10284BFF" w14:textId="77777777" w:rsidR="00A77B3E" w:rsidRDefault="00B16CCF">
            <w:pPr>
              <w:spacing w:before="5pt"/>
              <w:rPr>
                <w:color w:val="000000"/>
              </w:rPr>
            </w:pPr>
            <w:r>
              <w:rPr>
                <w:color w:val="000000"/>
              </w:rPr>
              <w:t>(Obseg / usmeritev)</w:t>
            </w:r>
          </w:p>
          <w:p w14:paraId="74F84116" w14:textId="77777777" w:rsidR="00A77B3E" w:rsidRDefault="00B16CCF">
            <w:pPr>
              <w:numPr>
                <w:ilvl w:val="0"/>
                <w:numId w:val="39"/>
              </w:numPr>
              <w:spacing w:before="5pt"/>
              <w:rPr>
                <w:color w:val="000000"/>
              </w:rPr>
            </w:pPr>
            <w:r>
              <w:rPr>
                <w:color w:val="000000"/>
              </w:rPr>
              <w:t>Pregled uspešnosti tekočih operacij ESS+ na področju spretnosti v okviru posebnih ciljev (a) – aktivna politika trga dela (APTD), (e) – spretnosti in (g) – vseživljenjsko učenje.</w:t>
            </w:r>
          </w:p>
          <w:p w14:paraId="72E5E5D2" w14:textId="77777777" w:rsidR="00A77B3E" w:rsidRDefault="00B16CCF">
            <w:pPr>
              <w:numPr>
                <w:ilvl w:val="0"/>
                <w:numId w:val="39"/>
              </w:numPr>
              <w:spacing w:before="5pt"/>
              <w:rPr>
                <w:color w:val="000000"/>
              </w:rPr>
            </w:pPr>
            <w:r>
              <w:rPr>
                <w:color w:val="000000"/>
              </w:rPr>
              <w:t>Preusmeritev razpoložljivih virov drugih skladov v operacije s področja spretnosti v skladu s priporočili za posamezno državo (CSR), vključno z izobraževanjem odraslih in digitalnimi spretnostmi, ter prilagajanje potrebam trga dela, ob upoštevanju orodja za napovedovanje potreb po spretnostih, financiranega iz ESS+; ter vključitev širše delovne sile za prilagoditev zelenemu in digitalnemu prehodu.</w:t>
            </w:r>
          </w:p>
          <w:p w14:paraId="78AE9ACD" w14:textId="77777777" w:rsidR="00A77B3E" w:rsidRDefault="00B16CCF">
            <w:pPr>
              <w:numPr>
                <w:ilvl w:val="0"/>
                <w:numId w:val="39"/>
              </w:numPr>
              <w:spacing w:before="5pt"/>
              <w:rPr>
                <w:color w:val="000000"/>
              </w:rPr>
            </w:pPr>
            <w:r>
              <w:rPr>
                <w:color w:val="000000"/>
              </w:rPr>
              <w:lastRenderedPageBreak/>
              <w:t>Spodbujanje uporabe sorazmernega prispevka oz. pristopa (pro rata) v skladu s členom 63 Uredbe (EU) 2021/1060, da se zagotovi enak dostop do programov razvoja spretnosti v kohezijskih regijah vzhodne in zahodne Slovenije ter s tem prispeva k poenostavitvi izvajanja.</w:t>
            </w:r>
          </w:p>
          <w:p w14:paraId="5D75B1DE" w14:textId="77777777" w:rsidR="00A77B3E" w:rsidRDefault="00B16CCF">
            <w:pPr>
              <w:numPr>
                <w:ilvl w:val="0"/>
                <w:numId w:val="39"/>
              </w:numPr>
              <w:spacing w:before="5pt"/>
              <w:rPr>
                <w:color w:val="000000"/>
              </w:rPr>
            </w:pPr>
            <w:r>
              <w:rPr>
                <w:color w:val="000000"/>
              </w:rPr>
              <w:t>Posebna pozornost bo namenjena tudi razvoju spretnosti v zdravstvu in dolgotrajni oskrbi v okviru posebnega cilja (k).</w:t>
            </w:r>
          </w:p>
          <w:p w14:paraId="0735742F" w14:textId="77777777" w:rsidR="00A77B3E" w:rsidRDefault="00B16CCF">
            <w:pPr>
              <w:numPr>
                <w:ilvl w:val="0"/>
                <w:numId w:val="39"/>
              </w:numPr>
              <w:spacing w:before="5pt"/>
              <w:rPr>
                <w:color w:val="000000"/>
              </w:rPr>
            </w:pPr>
            <w:r>
              <w:rPr>
                <w:color w:val="000000"/>
              </w:rPr>
              <w:t>ESS+ bo podprl tudi razvoj spretnosti na področju civilne pripravljenosti, v obrambni industriji (vključno z dvojno rabo tehnologij) ter na področju kibernetske varnosti, skladno s spremembami Uredbe o ESS+ v okviru vmesnega pregleda (Mid-Term Review).</w:t>
            </w:r>
          </w:p>
          <w:p w14:paraId="28B6DD15" w14:textId="77777777" w:rsidR="00A77B3E" w:rsidRDefault="00B16CCF">
            <w:pPr>
              <w:numPr>
                <w:ilvl w:val="0"/>
                <w:numId w:val="39"/>
              </w:numPr>
              <w:spacing w:before="5pt"/>
              <w:rPr>
                <w:color w:val="000000"/>
              </w:rPr>
            </w:pPr>
            <w:r>
              <w:rPr>
                <w:color w:val="000000"/>
              </w:rPr>
              <w:t>Operacije ESS+ na področju spretnosti bodo prispevale k celoviti slovenski strategiji razvoja spretnosti in bodo zato komplementarne ukrepom poklicnega izobraževanja in usposabljanja ter drugim ukrepom, ki jih financirajo drugi skladi EU in nacionalni viri.</w:t>
            </w:r>
          </w:p>
          <w:p w14:paraId="0A4C3657" w14:textId="77777777" w:rsidR="00A77B3E" w:rsidRDefault="00B16CCF">
            <w:pPr>
              <w:spacing w:before="5pt"/>
              <w:rPr>
                <w:color w:val="000000"/>
              </w:rPr>
            </w:pPr>
            <w:r>
              <w:rPr>
                <w:color w:val="000000"/>
              </w:rPr>
              <w:t>(Način izvajanja)</w:t>
            </w:r>
          </w:p>
          <w:p w14:paraId="28CD5490" w14:textId="77777777" w:rsidR="00A77B3E" w:rsidRDefault="00B16CCF">
            <w:pPr>
              <w:spacing w:before="5pt"/>
              <w:rPr>
                <w:color w:val="000000"/>
              </w:rPr>
            </w:pPr>
            <w:r>
              <w:rPr>
                <w:color w:val="000000"/>
              </w:rPr>
              <w:t>7.Kot 1. korak naj bi se oblikovanje operacije ESS+ na področju spretnosti razširilo in poenostavilo z uporabo POS za usposabljanja, potrjenih s strani OU ter vključitvijo standardnih pavšalnih stopenj (off-the-shelf), kjer je to možno in ustrezno.</w:t>
            </w:r>
          </w:p>
          <w:p w14:paraId="6831F18D" w14:textId="77777777" w:rsidR="00A77B3E" w:rsidRDefault="00B16CCF">
            <w:pPr>
              <w:spacing w:before="5pt"/>
              <w:rPr>
                <w:color w:val="000000"/>
              </w:rPr>
            </w:pPr>
            <w:r>
              <w:rPr>
                <w:color w:val="000000"/>
              </w:rPr>
              <w:t>8.Povečati je treba privlačnost operacij ESS+ na področju spretnosti in zagotoviti, da bodo brezplačne za udeležence.</w:t>
            </w:r>
          </w:p>
          <w:p w14:paraId="5F0C94DF" w14:textId="77777777" w:rsidR="00A77B3E" w:rsidRDefault="00B16CCF">
            <w:pPr>
              <w:spacing w:before="5pt"/>
              <w:rPr>
                <w:color w:val="000000"/>
              </w:rPr>
            </w:pPr>
            <w:r>
              <w:rPr>
                <w:color w:val="000000"/>
              </w:rPr>
              <w:t>(Viri)</w:t>
            </w:r>
          </w:p>
          <w:p w14:paraId="00B82960" w14:textId="77777777" w:rsidR="00A77B3E" w:rsidRDefault="00B16CCF">
            <w:pPr>
              <w:spacing w:before="5pt"/>
              <w:rPr>
                <w:color w:val="000000"/>
              </w:rPr>
            </w:pPr>
            <w:r>
              <w:rPr>
                <w:color w:val="000000"/>
              </w:rPr>
              <w:t>9. Načrt mora zagotoviti ustrezne vire za krepitev izvajanja programa na področju veščin, da se dosežejo zgornji cilji tudi z oceno potreb in z razmislekom o ponovnem prenosu sredstev do konca leta 2026, če potrebno.</w:t>
            </w:r>
          </w:p>
          <w:p w14:paraId="3417ECBE" w14:textId="77777777" w:rsidR="00A77B3E" w:rsidRDefault="00B16CCF">
            <w:pPr>
              <w:spacing w:before="5pt"/>
              <w:rPr>
                <w:color w:val="000000"/>
              </w:rPr>
            </w:pPr>
            <w:r>
              <w:rPr>
                <w:color w:val="000000"/>
              </w:rPr>
              <w:t>(Spremljanje)</w:t>
            </w:r>
          </w:p>
          <w:p w14:paraId="14E1F697" w14:textId="77777777" w:rsidR="00A77B3E" w:rsidRDefault="00B16CCF">
            <w:pPr>
              <w:spacing w:before="5pt"/>
              <w:rPr>
                <w:color w:val="000000"/>
              </w:rPr>
            </w:pPr>
            <w:r>
              <w:rPr>
                <w:color w:val="000000"/>
              </w:rPr>
              <w:t>10. OU bo predvidoma dvakrat letno poročal o napredku za razpravo na OzS in na tej podlagi sprejel ukrepe za zagotovitev učinkovite izvedbe Načrta.</w:t>
            </w:r>
          </w:p>
          <w:p w14:paraId="3BBDBB5C" w14:textId="77777777" w:rsidR="00A77B3E" w:rsidRDefault="00A77B3E">
            <w:pPr>
              <w:spacing w:before="5pt"/>
              <w:rPr>
                <w:color w:val="000000"/>
                <w:sz w:val="6"/>
              </w:rPr>
            </w:pPr>
          </w:p>
          <w:p w14:paraId="78C998F7" w14:textId="77777777" w:rsidR="00A77B3E" w:rsidRDefault="00A77B3E">
            <w:pPr>
              <w:spacing w:before="5pt"/>
              <w:rPr>
                <w:color w:val="000000"/>
                <w:sz w:val="6"/>
              </w:rPr>
            </w:pPr>
          </w:p>
        </w:tc>
      </w:tr>
    </w:tbl>
    <w:p w14:paraId="79B04FC7" w14:textId="77777777" w:rsidR="00A77B3E" w:rsidRDefault="00A77B3E">
      <w:pPr>
        <w:spacing w:before="5pt"/>
        <w:rPr>
          <w:color w:val="000000"/>
        </w:rPr>
      </w:pPr>
    </w:p>
    <w:p w14:paraId="7BF16DBD" w14:textId="77777777" w:rsidR="00A77B3E" w:rsidRDefault="00B16CCF">
      <w:pPr>
        <w:pStyle w:val="Naslov4"/>
        <w:spacing w:before="5pt" w:after="0pt"/>
        <w:rPr>
          <w:b w:val="0"/>
          <w:color w:val="000000"/>
          <w:sz w:val="24"/>
        </w:rPr>
      </w:pPr>
      <w:bookmarkStart w:id="693" w:name="_Toc256001454"/>
      <w:r>
        <w:rPr>
          <w:b w:val="0"/>
          <w:color w:val="000000"/>
          <w:sz w:val="24"/>
        </w:rPr>
        <w:t>Preglednica 21: Sredstva, ki prispevajo k ciljem iz člena 21c(3) Uredbe (EU) 2021/241</w:t>
      </w:r>
      <w:bookmarkEnd w:id="693"/>
    </w:p>
    <w:p w14:paraId="780BF3F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006"/>
        <w:gridCol w:w="2619"/>
        <w:gridCol w:w="1448"/>
        <w:gridCol w:w="1448"/>
        <w:gridCol w:w="1448"/>
        <w:gridCol w:w="1448"/>
        <w:gridCol w:w="1448"/>
        <w:gridCol w:w="1448"/>
        <w:gridCol w:w="1859"/>
      </w:tblGrid>
      <w:tr w:rsidR="00823317" w14:paraId="6FDA253B"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9AC110" w14:textId="77777777" w:rsidR="00A77B3E" w:rsidRDefault="00B16CCF">
            <w:pPr>
              <w:spacing w:before="5pt"/>
              <w:jc w:val="center"/>
              <w:rPr>
                <w:color w:val="000000"/>
                <w:sz w:val="16"/>
              </w:rPr>
            </w:pPr>
            <w:r>
              <w:rPr>
                <w:color w:val="000000"/>
                <w:sz w:val="16"/>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ED7288" w14:textId="77777777" w:rsidR="00A77B3E" w:rsidRDefault="00B16CCF">
            <w:pPr>
              <w:spacing w:before="5pt"/>
              <w:jc w:val="center"/>
              <w:rPr>
                <w:color w:val="000000"/>
                <w:sz w:val="16"/>
              </w:rPr>
            </w:pPr>
            <w:r>
              <w:rPr>
                <w:color w:val="000000"/>
                <w:sz w:val="16"/>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4F9EA8" w14:textId="77777777" w:rsidR="00A77B3E" w:rsidRDefault="00B16CCF">
            <w:pPr>
              <w:spacing w:before="5pt"/>
              <w:jc w:val="center"/>
              <w:rPr>
                <w:color w:val="000000"/>
                <w:sz w:val="16"/>
              </w:rPr>
            </w:pPr>
            <w:r>
              <w:rPr>
                <w:color w:val="000000"/>
                <w:sz w:val="16"/>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863EF0" w14:textId="77777777" w:rsidR="00A77B3E" w:rsidRDefault="00B16CCF">
            <w:pPr>
              <w:spacing w:before="5pt"/>
              <w:jc w:val="center"/>
              <w:rPr>
                <w:color w:val="000000"/>
                <w:sz w:val="16"/>
              </w:rPr>
            </w:pPr>
            <w:r>
              <w:rPr>
                <w:color w:val="000000"/>
                <w:sz w:val="16"/>
              </w:rPr>
              <w:t>2023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22967F6" w14:textId="77777777" w:rsidR="00A77B3E" w:rsidRDefault="00B16CCF">
            <w:pPr>
              <w:spacing w:before="5pt"/>
              <w:jc w:val="center"/>
              <w:rPr>
                <w:color w:val="000000"/>
                <w:sz w:val="16"/>
              </w:rPr>
            </w:pPr>
            <w:r>
              <w:rPr>
                <w:color w:val="000000"/>
                <w:sz w:val="16"/>
              </w:rPr>
              <w:t>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861BFC" w14:textId="77777777" w:rsidR="00A77B3E" w:rsidRDefault="00B16CCF">
            <w:pPr>
              <w:spacing w:before="5pt"/>
              <w:jc w:val="center"/>
              <w:rPr>
                <w:color w:val="000000"/>
                <w:sz w:val="16"/>
              </w:rPr>
            </w:pPr>
            <w:r>
              <w:rPr>
                <w:color w:val="000000"/>
                <w:sz w:val="16"/>
              </w:rPr>
              <w:t>2025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EC87A9" w14:textId="77777777" w:rsidR="00A77B3E" w:rsidRDefault="00B16CCF">
            <w:pPr>
              <w:spacing w:before="5pt"/>
              <w:jc w:val="center"/>
              <w:rPr>
                <w:color w:val="000000"/>
                <w:sz w:val="16"/>
              </w:rPr>
            </w:pPr>
            <w:r>
              <w:rPr>
                <w:color w:val="000000"/>
                <w:sz w:val="16"/>
              </w:rPr>
              <w:t>2026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1D34A4" w14:textId="77777777" w:rsidR="00A77B3E" w:rsidRDefault="00B16CCF">
            <w:pPr>
              <w:spacing w:before="5pt"/>
              <w:jc w:val="center"/>
              <w:rPr>
                <w:color w:val="000000"/>
                <w:sz w:val="16"/>
              </w:rPr>
            </w:pPr>
            <w:r>
              <w:rPr>
                <w:color w:val="000000"/>
                <w:sz w:val="16"/>
              </w:rPr>
              <w:t>2027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792DAE" w14:textId="77777777" w:rsidR="00A77B3E" w:rsidRDefault="00B16CCF">
            <w:pPr>
              <w:spacing w:before="5pt"/>
              <w:jc w:val="center"/>
              <w:rPr>
                <w:color w:val="000000"/>
                <w:sz w:val="16"/>
              </w:rPr>
            </w:pPr>
            <w:r>
              <w:rPr>
                <w:color w:val="000000"/>
                <w:sz w:val="16"/>
              </w:rPr>
              <w:t>Skupaj</w:t>
            </w:r>
          </w:p>
        </w:tc>
      </w:tr>
      <w:tr w:rsidR="00823317" w14:paraId="3E86147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D32B0B" w14:textId="77777777" w:rsidR="00A77B3E" w:rsidRDefault="00B16CCF">
            <w:pPr>
              <w:spacing w:before="5pt"/>
              <w:rPr>
                <w:b/>
                <w:color w:val="000000"/>
                <w:sz w:val="16"/>
              </w:rPr>
            </w:pPr>
            <w:r>
              <w:rPr>
                <w:b/>
                <w:color w:val="000000"/>
                <w:sz w:val="16"/>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26F9F9" w14:textId="77777777" w:rsidR="00A77B3E" w:rsidRDefault="00A77B3E">
            <w:pPr>
              <w:spacing w:before="5pt"/>
              <w:rPr>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50890B" w14:textId="77777777" w:rsidR="00A77B3E" w:rsidRDefault="00A77B3E">
            <w:pPr>
              <w:spacing w:before="5pt"/>
              <w:jc w:val="end"/>
              <w:rPr>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A63EB0" w14:textId="77777777" w:rsidR="00A77B3E" w:rsidRDefault="00A77B3E">
            <w:pPr>
              <w:spacing w:before="5pt"/>
              <w:jc w:val="end"/>
              <w:rPr>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BFE205" w14:textId="77777777" w:rsidR="00A77B3E" w:rsidRDefault="00A77B3E">
            <w:pPr>
              <w:spacing w:before="5pt"/>
              <w:jc w:val="end"/>
              <w:rPr>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4EABDE" w14:textId="77777777" w:rsidR="00A77B3E" w:rsidRDefault="00A77B3E">
            <w:pPr>
              <w:spacing w:before="5pt"/>
              <w:jc w:val="end"/>
              <w:rPr>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241328" w14:textId="77777777" w:rsidR="00A77B3E" w:rsidRDefault="00A77B3E">
            <w:pPr>
              <w:spacing w:before="5pt"/>
              <w:jc w:val="end"/>
              <w:rPr>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FF9F27" w14:textId="77777777" w:rsidR="00A77B3E" w:rsidRDefault="00A77B3E">
            <w:pPr>
              <w:spacing w:before="5pt"/>
              <w:jc w:val="end"/>
              <w:rPr>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8968CA" w14:textId="77777777" w:rsidR="00A77B3E" w:rsidRDefault="00A77B3E">
            <w:pPr>
              <w:spacing w:before="5pt"/>
              <w:jc w:val="end"/>
              <w:rPr>
                <w:color w:val="000000"/>
                <w:sz w:val="16"/>
              </w:rPr>
            </w:pPr>
          </w:p>
        </w:tc>
      </w:tr>
    </w:tbl>
    <w:p w14:paraId="38CC7957" w14:textId="77777777" w:rsidR="00A77B3E" w:rsidRDefault="00A77B3E">
      <w:pPr>
        <w:spacing w:before="5pt"/>
        <w:rPr>
          <w:color w:val="000000"/>
          <w:sz w:val="16"/>
        </w:rPr>
      </w:pPr>
    </w:p>
    <w:p w14:paraId="1757E376" w14:textId="77777777" w:rsidR="00A77B3E" w:rsidRDefault="00A77B3E">
      <w:pPr>
        <w:spacing w:before="5pt"/>
        <w:rPr>
          <w:color w:val="000000"/>
          <w:sz w:val="16"/>
        </w:rPr>
      </w:pPr>
    </w:p>
    <w:p w14:paraId="21BDEC14" w14:textId="77777777" w:rsidR="00A77B3E" w:rsidRDefault="00B16CCF">
      <w:pPr>
        <w:pStyle w:val="Naslov2"/>
        <w:spacing w:before="5pt" w:after="0pt"/>
        <w:rPr>
          <w:rFonts w:ascii="Times New Roman" w:hAnsi="Times New Roman" w:cs="Times New Roman"/>
          <w:b w:val="0"/>
          <w:i w:val="0"/>
          <w:color w:val="000000"/>
          <w:sz w:val="24"/>
        </w:rPr>
      </w:pPr>
      <w:bookmarkStart w:id="694" w:name="_Toc256001455"/>
      <w:r>
        <w:rPr>
          <w:rFonts w:ascii="Times New Roman" w:hAnsi="Times New Roman" w:cs="Times New Roman"/>
          <w:b w:val="0"/>
          <w:i w:val="0"/>
          <w:color w:val="000000"/>
          <w:sz w:val="24"/>
        </w:rPr>
        <w:t>3.2. SPP: dodelitev v programu in prerazporeditve (1)</w:t>
      </w:r>
      <w:bookmarkEnd w:id="694"/>
    </w:p>
    <w:p w14:paraId="0E167650" w14:textId="77777777" w:rsidR="00A77B3E" w:rsidRDefault="00A77B3E">
      <w:pPr>
        <w:spacing w:before="5pt"/>
        <w:rPr>
          <w:color w:val="000000"/>
          <w:sz w:val="0"/>
        </w:rPr>
      </w:pPr>
    </w:p>
    <w:p w14:paraId="0EC593A3" w14:textId="77777777" w:rsidR="00A77B3E" w:rsidRDefault="00B16CCF">
      <w:pPr>
        <w:pStyle w:val="Naslov4"/>
        <w:spacing w:before="5pt" w:after="0pt"/>
        <w:rPr>
          <w:b w:val="0"/>
          <w:color w:val="000000"/>
          <w:sz w:val="24"/>
        </w:rPr>
      </w:pPr>
      <w:bookmarkStart w:id="695" w:name="_Toc256001456"/>
      <w:r>
        <w:rPr>
          <w:b w:val="0"/>
          <w:color w:val="000000"/>
          <w:sz w:val="24"/>
        </w:rPr>
        <w:t>3.2.1. Sredstva SPP, dodeljena programu pred prerazporeditvami po prednostnih nalogah (kjer je ustrezno) (2)</w:t>
      </w:r>
      <w:bookmarkEnd w:id="695"/>
    </w:p>
    <w:p w14:paraId="4CBD8D03" w14:textId="77777777" w:rsidR="00A77B3E" w:rsidRDefault="00B16CCF">
      <w:pPr>
        <w:spacing w:before="5pt"/>
        <w:rPr>
          <w:color w:val="000000"/>
        </w:rPr>
      </w:pPr>
      <w:r>
        <w:rPr>
          <w:color w:val="000000"/>
        </w:rPr>
        <w:t>Sklic: člen 27 uredbe o skupnih določbah</w:t>
      </w:r>
    </w:p>
    <w:p w14:paraId="1ED779CB" w14:textId="77777777" w:rsidR="00A77B3E" w:rsidRDefault="00B16CCF">
      <w:pPr>
        <w:pStyle w:val="Naslov4"/>
        <w:spacing w:before="5pt" w:after="0pt"/>
        <w:rPr>
          <w:b w:val="0"/>
          <w:color w:val="000000"/>
          <w:sz w:val="24"/>
        </w:rPr>
      </w:pPr>
      <w:bookmarkStart w:id="696" w:name="_Toc256001457"/>
      <w:r>
        <w:rPr>
          <w:b w:val="0"/>
          <w:color w:val="000000"/>
          <w:sz w:val="24"/>
        </w:rPr>
        <w:t>Tabela 18: Dodelitev iz SPP v program v skladu s členom 3 uredbe o SPP pred prerazporeditvami</w:t>
      </w:r>
      <w:bookmarkEnd w:id="696"/>
    </w:p>
    <w:p w14:paraId="4B68221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6416"/>
        <w:gridCol w:w="8756"/>
      </w:tblGrid>
      <w:tr w:rsidR="00823317" w14:paraId="58231E60" w14:textId="77777777">
        <w:trPr>
          <w:trHeight w:val="160"/>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4F06873" w14:textId="77777777" w:rsidR="00A77B3E" w:rsidRDefault="00B16CCF">
            <w:pPr>
              <w:spacing w:before="5pt"/>
              <w:rPr>
                <w:color w:val="000000"/>
              </w:rPr>
            </w:pPr>
            <w:r>
              <w:rPr>
                <w:color w:val="000000"/>
              </w:rPr>
              <w:lastRenderedPageBreak/>
              <w:t>Prednostna naloga 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E40867" w14:textId="77777777" w:rsidR="00A77B3E" w:rsidRDefault="00B16CCF">
            <w:pPr>
              <w:spacing w:before="5pt"/>
              <w:rPr>
                <w:color w:val="000000"/>
              </w:rPr>
            </w:pPr>
            <w:r>
              <w:rPr>
                <w:color w:val="000000"/>
              </w:rPr>
              <w:t>Dodelitev iz SPP</w:t>
            </w:r>
          </w:p>
        </w:tc>
      </w:tr>
      <w:tr w:rsidR="00823317" w14:paraId="7F9FCECA" w14:textId="77777777">
        <w:trPr>
          <w:trHeight w:val="160"/>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51233D" w14:textId="77777777" w:rsidR="00A77B3E" w:rsidRDefault="00B16CCF">
            <w:pPr>
              <w:spacing w:before="5pt"/>
              <w:rPr>
                <w:color w:val="000000"/>
              </w:rPr>
            </w:pPr>
            <w:r>
              <w:rPr>
                <w:color w:val="000000"/>
              </w:rPr>
              <w:t>Sklad za pravični prehod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C1B740" w14:textId="77777777" w:rsidR="00A77B3E" w:rsidRDefault="00B16CCF">
            <w:pPr>
              <w:spacing w:before="5pt"/>
              <w:jc w:val="end"/>
              <w:rPr>
                <w:color w:val="000000"/>
              </w:rPr>
            </w:pPr>
            <w:r>
              <w:rPr>
                <w:color w:val="000000"/>
              </w:rPr>
              <w:t>113.288.670,00</w:t>
            </w:r>
          </w:p>
        </w:tc>
      </w:tr>
      <w:tr w:rsidR="00823317" w14:paraId="6997C910" w14:textId="77777777">
        <w:trPr>
          <w:trHeight w:val="160"/>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CD1299" w14:textId="77777777" w:rsidR="00A77B3E" w:rsidRDefault="00B16CCF">
            <w:pPr>
              <w:spacing w:before="5pt"/>
              <w:rPr>
                <w:color w:val="000000"/>
              </w:rPr>
            </w:pPr>
            <w:r>
              <w:rPr>
                <w:color w:val="00000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4F41B0" w14:textId="77777777" w:rsidR="00A77B3E" w:rsidRDefault="00B16CCF">
            <w:pPr>
              <w:spacing w:before="5pt"/>
              <w:jc w:val="end"/>
              <w:rPr>
                <w:color w:val="000000"/>
              </w:rPr>
            </w:pPr>
            <w:r>
              <w:rPr>
                <w:color w:val="000000"/>
              </w:rPr>
              <w:t>113.288.670,00</w:t>
            </w:r>
          </w:p>
        </w:tc>
      </w:tr>
    </w:tbl>
    <w:p w14:paraId="7F0959A1" w14:textId="77777777" w:rsidR="00A77B3E" w:rsidRDefault="00B16CCF">
      <w:pPr>
        <w:spacing w:before="5pt"/>
        <w:rPr>
          <w:color w:val="000000"/>
        </w:rPr>
      </w:pPr>
      <w:r>
        <w:rPr>
          <w:color w:val="000000"/>
        </w:rPr>
        <w:t>(1) Prerazporeditve ne vplivajo na letno razdelitev odobrenih finančnih sredstev na ravni večletnega finančnega okvira za državo članico.</w:t>
      </w:r>
    </w:p>
    <w:p w14:paraId="24C06821" w14:textId="77777777" w:rsidR="00A77B3E" w:rsidRDefault="00B16CCF">
      <w:pPr>
        <w:spacing w:before="5pt"/>
        <w:rPr>
          <w:color w:val="000000"/>
        </w:rPr>
      </w:pPr>
      <w:r>
        <w:rPr>
          <w:color w:val="000000"/>
        </w:rPr>
        <w:t>(2) Velja za prvo sprejetje programov z dodelitvijo iz SPP.</w:t>
      </w:r>
    </w:p>
    <w:p w14:paraId="04679089" w14:textId="77777777" w:rsidR="00A77B3E" w:rsidRDefault="00A77B3E">
      <w:pPr>
        <w:spacing w:before="5pt"/>
        <w:rPr>
          <w:color w:val="000000"/>
        </w:rPr>
      </w:pPr>
    </w:p>
    <w:p w14:paraId="14208361" w14:textId="77777777" w:rsidR="00A77B3E" w:rsidRDefault="00B16CCF">
      <w:pPr>
        <w:pStyle w:val="Naslov4"/>
        <w:spacing w:before="5pt" w:after="0pt"/>
        <w:rPr>
          <w:b w:val="0"/>
          <w:color w:val="000000"/>
          <w:sz w:val="24"/>
        </w:rPr>
      </w:pPr>
      <w:bookmarkStart w:id="697" w:name="_Toc256001458"/>
      <w:r>
        <w:rPr>
          <w:b w:val="0"/>
          <w:color w:val="000000"/>
          <w:sz w:val="24"/>
        </w:rPr>
        <w:t>3.2.2. Prerazporeditve v SPP kot dopolnilna podpora (1) (kjer je ustrezno)</w:t>
      </w:r>
      <w:bookmarkEnd w:id="697"/>
    </w:p>
    <w:p w14:paraId="3E5CEF2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7619"/>
        <w:gridCol w:w="7553"/>
      </w:tblGrid>
      <w:tr w:rsidR="00823317" w14:paraId="5E540063" w14:textId="77777777">
        <w:tc>
          <w:tcPr>
            <w:tcW w:w="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4EF5D3" w14:textId="77777777" w:rsidR="00A77B3E" w:rsidRDefault="00B16CCF">
            <w:pPr>
              <w:spacing w:before="5pt"/>
              <w:rPr>
                <w:color w:val="000000"/>
              </w:rPr>
            </w:pPr>
            <w:r>
              <w:rPr>
                <w:color w:val="000000"/>
              </w:rPr>
              <w:t>Prerazporeditev v 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39468B" w14:textId="77777777" w:rsidR="00A77B3E" w:rsidRDefault="00B16CCF">
            <w:pPr>
              <w:spacing w:before="5pt"/>
              <w:rPr>
                <w:color w:val="000000"/>
              </w:rPr>
            </w:pPr>
            <w:r>
              <w:rPr>
                <w:color w:val="000000"/>
              </w:rPr>
              <w:t xml:space="preserve">   </w:t>
            </w:r>
            <w:r>
              <w:rPr>
                <w:color w:val="000000"/>
              </w:rPr>
              <w:fldChar w:fldCharType="begin">
                <w:ffData>
                  <w:name w:val=""/>
                  <w:enabled/>
                  <w:calcOnExit w:val="0"/>
                  <w:checkBox>
                    <w:size w:val="10pt"/>
                    <w:default w:val="0"/>
                    <w:checked w:val="0"/>
                  </w:checkBox>
                </w:ffData>
              </w:fldChar>
            </w:r>
            <w:r>
              <w:rPr>
                <w:color w:val="000000"/>
              </w:rPr>
              <w:instrText xml:space="preserve"> FORMCHECKBOX </w:instrText>
            </w:r>
            <w:r w:rsidR="001D0AD2">
              <w:rPr>
                <w:color w:val="000000"/>
              </w:rPr>
            </w:r>
            <w:r w:rsidR="001D0AD2">
              <w:rPr>
                <w:color w:val="000000"/>
              </w:rPr>
              <w:fldChar w:fldCharType="separate"/>
            </w:r>
            <w:r>
              <w:rPr>
                <w:color w:val="000000"/>
              </w:rPr>
              <w:fldChar w:fldCharType="end"/>
            </w:r>
            <w:r>
              <w:rPr>
                <w:color w:val="000000"/>
              </w:rPr>
              <w:t xml:space="preserve"> zadeva notranje prerazporeditve znotraj programa z dodelitvijo iz SPP</w:t>
            </w:r>
          </w:p>
        </w:tc>
      </w:tr>
      <w:tr w:rsidR="00823317" w14:paraId="78A61DA5" w14:textId="77777777">
        <w:tc>
          <w:tcPr>
            <w:tcW w:w="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9FB127" w14:textId="77777777" w:rsidR="00A77B3E" w:rsidRDefault="00A77B3E">
            <w:pPr>
              <w:spacing w:before="5pt"/>
              <w:rPr>
                <w:color w:val="00000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5C012F" w14:textId="77777777" w:rsidR="00A77B3E" w:rsidRDefault="00B16CCF">
            <w:pPr>
              <w:spacing w:before="5pt"/>
              <w:rPr>
                <w:color w:val="000000"/>
              </w:rPr>
            </w:pPr>
            <w:r>
              <w:rPr>
                <w:color w:val="000000"/>
              </w:rPr>
              <w:t xml:space="preserve">   </w:t>
            </w:r>
            <w:r>
              <w:rPr>
                <w:color w:val="000000"/>
              </w:rPr>
              <w:fldChar w:fldCharType="begin">
                <w:ffData>
                  <w:name w:val=""/>
                  <w:enabled/>
                  <w:calcOnExit w:val="0"/>
                  <w:checkBox>
                    <w:size w:val="10pt"/>
                    <w:default w:val="0"/>
                    <w:checked w:val="0"/>
                  </w:checkBox>
                </w:ffData>
              </w:fldChar>
            </w:r>
            <w:r>
              <w:rPr>
                <w:color w:val="000000"/>
              </w:rPr>
              <w:instrText xml:space="preserve"> FORMCHECKBOX </w:instrText>
            </w:r>
            <w:r w:rsidR="001D0AD2">
              <w:rPr>
                <w:color w:val="000000"/>
              </w:rPr>
            </w:r>
            <w:r w:rsidR="001D0AD2">
              <w:rPr>
                <w:color w:val="000000"/>
              </w:rPr>
              <w:fldChar w:fldCharType="separate"/>
            </w:r>
            <w:r>
              <w:rPr>
                <w:color w:val="000000"/>
              </w:rPr>
              <w:fldChar w:fldCharType="end"/>
            </w:r>
            <w:r>
              <w:rPr>
                <w:color w:val="000000"/>
              </w:rPr>
              <w:t xml:space="preserve"> zadeva prerazporeditve iz drugih programov v program z dodelitvijo iz SPP</w:t>
            </w:r>
          </w:p>
        </w:tc>
      </w:tr>
    </w:tbl>
    <w:p w14:paraId="17CC3E47" w14:textId="77777777" w:rsidR="00A77B3E" w:rsidRDefault="00B16CCF">
      <w:pPr>
        <w:spacing w:before="5pt"/>
        <w:rPr>
          <w:color w:val="000000"/>
        </w:rPr>
      </w:pPr>
      <w:r>
        <w:rPr>
          <w:color w:val="000000"/>
        </w:rPr>
        <w:t>(1) Oddelek se izpolni po programu, ki prejme podporo. Kadar program, ki ga podpira SPP, prejme dopolnilno podporo (glej člen 27 uredbe o skupnih določbah) v okviru programa in iz drugih programov, je treba izpolniti vse tabele v tem oddelku. Ob prvem sprejetju z dodelitvijo sredstev iz SPP je treba v tem oddelku potrditi ali popraviti predhodne prerazporeditve, predlagane v sporazumu o partnerstvu.</w:t>
      </w:r>
    </w:p>
    <w:p w14:paraId="117DDCAC" w14:textId="77777777" w:rsidR="00A77B3E" w:rsidRDefault="00A77B3E">
      <w:pPr>
        <w:spacing w:before="5pt"/>
        <w:rPr>
          <w:color w:val="000000"/>
        </w:rPr>
      </w:pPr>
    </w:p>
    <w:p w14:paraId="248772C6" w14:textId="77777777" w:rsidR="00A77B3E" w:rsidRDefault="00B16CCF">
      <w:pPr>
        <w:pStyle w:val="Naslov4"/>
        <w:spacing w:before="5pt" w:after="0pt"/>
        <w:rPr>
          <w:b w:val="0"/>
          <w:color w:val="000000"/>
          <w:sz w:val="24"/>
        </w:rPr>
      </w:pPr>
      <w:bookmarkStart w:id="698" w:name="_Toc256001459"/>
      <w:r>
        <w:rPr>
          <w:b w:val="0"/>
          <w:color w:val="000000"/>
          <w:sz w:val="24"/>
        </w:rPr>
        <w:t>Tabela 18A: Prerazporeditve v SPP v okviru programa (razčlenitev po letih)</w:t>
      </w:r>
      <w:bookmarkEnd w:id="698"/>
    </w:p>
    <w:p w14:paraId="7B4AE9E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07"/>
        <w:gridCol w:w="2021"/>
        <w:gridCol w:w="2905"/>
        <w:gridCol w:w="1089"/>
        <w:gridCol w:w="1089"/>
        <w:gridCol w:w="1089"/>
        <w:gridCol w:w="1089"/>
        <w:gridCol w:w="1089"/>
        <w:gridCol w:w="1089"/>
        <w:gridCol w:w="1089"/>
        <w:gridCol w:w="1416"/>
      </w:tblGrid>
      <w:tr w:rsidR="00823317" w14:paraId="3D18B2C0" w14:textId="77777777">
        <w:trPr>
          <w:tblHeader/>
        </w:trPr>
        <w:tc>
          <w:tcPr>
            <w:tcW w:w="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FCF454" w14:textId="77777777" w:rsidR="00A77B3E" w:rsidRDefault="00B16CCF">
            <w:pPr>
              <w:spacing w:before="5pt"/>
              <w:jc w:val="center"/>
              <w:rPr>
                <w:color w:val="000000"/>
                <w:sz w:val="20"/>
              </w:rPr>
            </w:pPr>
            <w:r>
              <w:rPr>
                <w:color w:val="000000"/>
                <w:sz w:val="20"/>
              </w:rPr>
              <w:t>Prerazporeditve iz</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35FC15" w14:textId="77777777" w:rsidR="00A77B3E" w:rsidRDefault="00B16CCF">
            <w:pPr>
              <w:spacing w:before="5pt"/>
              <w:jc w:val="center"/>
              <w:rPr>
                <w:color w:val="000000"/>
                <w:sz w:val="20"/>
              </w:rPr>
            </w:pPr>
            <w:r>
              <w:rPr>
                <w:color w:val="000000"/>
                <w:sz w:val="20"/>
              </w:rPr>
              <w:t>Prerazporeditve v</w:t>
            </w:r>
          </w:p>
        </w:tc>
        <w:tc>
          <w:tcPr>
            <w:tcW w:w="0pt" w:type="dxa"/>
            <w:gridSpan w:val="8"/>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1462A2" w14:textId="77777777" w:rsidR="00A77B3E" w:rsidRDefault="00B16CCF">
            <w:pPr>
              <w:spacing w:before="5pt"/>
              <w:jc w:val="center"/>
              <w:rPr>
                <w:color w:val="000000"/>
                <w:sz w:val="20"/>
              </w:rPr>
            </w:pPr>
            <w:r>
              <w:rPr>
                <w:color w:val="000000"/>
                <w:sz w:val="20"/>
              </w:rPr>
              <w:t>Razčlenitev po letih</w:t>
            </w:r>
          </w:p>
        </w:tc>
      </w:tr>
      <w:tr w:rsidR="00823317" w14:paraId="32FC1CFB"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8E37AE" w14:textId="77777777" w:rsidR="00A77B3E" w:rsidRDefault="00B16CCF">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FAF670" w14:textId="77777777" w:rsidR="00A77B3E" w:rsidRDefault="00B16CCF">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CCF3A4" w14:textId="77777777" w:rsidR="00A77B3E" w:rsidRDefault="00B16CCF">
            <w:pPr>
              <w:spacing w:before="5pt"/>
              <w:jc w:val="center"/>
              <w:rPr>
                <w:color w:val="000000"/>
                <w:sz w:val="20"/>
              </w:rPr>
            </w:pPr>
            <w:r>
              <w:rPr>
                <w:color w:val="000000"/>
                <w:sz w:val="20"/>
              </w:rPr>
              <w:t>Prednostna naloga 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ABA2F5" w14:textId="77777777" w:rsidR="00A77B3E" w:rsidRDefault="00B16CCF">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977CAD" w14:textId="77777777" w:rsidR="00A77B3E" w:rsidRDefault="00B16CCF">
            <w:pPr>
              <w:spacing w:before="5pt"/>
              <w:jc w:val="center"/>
              <w:rPr>
                <w:color w:val="000000"/>
                <w:sz w:val="20"/>
              </w:rPr>
            </w:pPr>
            <w:r>
              <w:rPr>
                <w:color w:val="000000"/>
                <w:sz w:val="2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96D36F" w14:textId="77777777" w:rsidR="00A77B3E" w:rsidRDefault="00B16CCF">
            <w:pPr>
              <w:spacing w:before="5pt"/>
              <w:jc w:val="center"/>
              <w:rPr>
                <w:color w:val="000000"/>
                <w:sz w:val="20"/>
              </w:rPr>
            </w:pPr>
            <w:r>
              <w:rPr>
                <w:color w:val="000000"/>
                <w:sz w:val="20"/>
              </w:rPr>
              <w:t>2023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3A3A51" w14:textId="77777777" w:rsidR="00A77B3E" w:rsidRDefault="00B16CCF">
            <w:pPr>
              <w:spacing w:before="5pt"/>
              <w:jc w:val="center"/>
              <w:rPr>
                <w:color w:val="000000"/>
                <w:sz w:val="20"/>
              </w:rPr>
            </w:pPr>
            <w:r>
              <w:rPr>
                <w:color w:val="000000"/>
                <w:sz w:val="20"/>
              </w:rPr>
              <w:t>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DC0BF8" w14:textId="77777777" w:rsidR="00A77B3E" w:rsidRDefault="00B16CCF">
            <w:pPr>
              <w:spacing w:before="5pt"/>
              <w:jc w:val="center"/>
              <w:rPr>
                <w:color w:val="000000"/>
                <w:sz w:val="20"/>
              </w:rPr>
            </w:pPr>
            <w:r>
              <w:rPr>
                <w:color w:val="000000"/>
                <w:sz w:val="20"/>
              </w:rPr>
              <w:t>2025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AC3FB11" w14:textId="77777777" w:rsidR="00A77B3E" w:rsidRDefault="00B16CCF">
            <w:pPr>
              <w:spacing w:before="5pt"/>
              <w:jc w:val="center"/>
              <w:rPr>
                <w:color w:val="000000"/>
                <w:sz w:val="20"/>
              </w:rPr>
            </w:pPr>
            <w:r>
              <w:rPr>
                <w:color w:val="000000"/>
                <w:sz w:val="20"/>
              </w:rPr>
              <w:t>2026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838A13" w14:textId="77777777" w:rsidR="00A77B3E" w:rsidRDefault="00B16CCF">
            <w:pPr>
              <w:spacing w:before="5pt"/>
              <w:jc w:val="center"/>
              <w:rPr>
                <w:color w:val="000000"/>
                <w:sz w:val="20"/>
              </w:rPr>
            </w:pPr>
            <w:r>
              <w:rPr>
                <w:color w:val="000000"/>
                <w:sz w:val="20"/>
              </w:rPr>
              <w:t>2027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54DF01" w14:textId="77777777" w:rsidR="00A77B3E" w:rsidRDefault="00B16CCF">
            <w:pPr>
              <w:spacing w:before="5pt"/>
              <w:jc w:val="center"/>
              <w:rPr>
                <w:color w:val="000000"/>
                <w:sz w:val="20"/>
              </w:rPr>
            </w:pPr>
            <w:r>
              <w:rPr>
                <w:color w:val="000000"/>
                <w:sz w:val="20"/>
              </w:rPr>
              <w:t>Skupaj</w:t>
            </w:r>
          </w:p>
        </w:tc>
      </w:tr>
    </w:tbl>
    <w:p w14:paraId="0CF08714" w14:textId="77777777" w:rsidR="00A77B3E" w:rsidRDefault="00B16CCF">
      <w:pPr>
        <w:spacing w:before="5pt"/>
        <w:rPr>
          <w:color w:val="000000"/>
          <w:sz w:val="20"/>
        </w:rPr>
      </w:pPr>
      <w:r>
        <w:rPr>
          <w:color w:val="000000"/>
          <w:sz w:val="20"/>
        </w:rPr>
        <w:t>* Sredstva SPP bi bilo treba dopolniti s sredstvi ESRR ali ESS+ v kategoriji regij, v kateri je zadevno ozemlje.</w:t>
      </w:r>
    </w:p>
    <w:p w14:paraId="027ABF18" w14:textId="77777777" w:rsidR="00A77B3E" w:rsidRDefault="00A77B3E">
      <w:pPr>
        <w:spacing w:before="5pt"/>
        <w:rPr>
          <w:color w:val="000000"/>
          <w:sz w:val="20"/>
        </w:rPr>
      </w:pPr>
    </w:p>
    <w:p w14:paraId="3A01B15E" w14:textId="77777777" w:rsidR="00A77B3E" w:rsidRDefault="00B16CCF">
      <w:pPr>
        <w:pStyle w:val="Naslov4"/>
        <w:spacing w:before="5pt" w:after="0pt"/>
        <w:rPr>
          <w:b w:val="0"/>
          <w:color w:val="000000"/>
          <w:sz w:val="20"/>
        </w:rPr>
      </w:pPr>
      <w:bookmarkStart w:id="699" w:name="_Toc256001460"/>
      <w:r>
        <w:rPr>
          <w:b w:val="0"/>
          <w:color w:val="000000"/>
          <w:sz w:val="20"/>
        </w:rPr>
        <w:t>Tabela 18B: Prerazporeditev sredstev ESRR in ESS+ v SPP v okviru programa</w:t>
      </w:r>
      <w:bookmarkEnd w:id="699"/>
    </w:p>
    <w:p w14:paraId="6DFE3F1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6834"/>
        <w:gridCol w:w="4946"/>
        <w:gridCol w:w="3392"/>
      </w:tblGrid>
      <w:tr w:rsidR="00823317" w14:paraId="571DB686" w14:textId="77777777">
        <w:trPr>
          <w:tblHeader/>
        </w:trPr>
        <w:tc>
          <w:tcPr>
            <w:tcW w:w="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C71AF7" w14:textId="77777777" w:rsidR="00A77B3E" w:rsidRDefault="00B16CCF">
            <w:pPr>
              <w:spacing w:before="5pt"/>
              <w:jc w:val="center"/>
              <w:rPr>
                <w:color w:val="000000"/>
              </w:rPr>
            </w:pPr>
            <w:r>
              <w:rPr>
                <w:color w:val="000000"/>
              </w:rPr>
              <w:t>Prerazporeditev v okviru programa* (dopolnilna podpora) po kategoriji regije</w:t>
            </w:r>
          </w:p>
        </w:tc>
        <w:tc>
          <w:tcPr>
            <w:tcW w:w="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6245D4" w14:textId="77777777" w:rsidR="00A77B3E" w:rsidRDefault="00B16CCF">
            <w:pPr>
              <w:spacing w:before="5pt"/>
              <w:jc w:val="center"/>
              <w:rPr>
                <w:color w:val="000000"/>
              </w:rPr>
            </w:pPr>
            <w:r>
              <w:rPr>
                <w:color w:val="000000"/>
              </w:rPr>
              <w:t>Dodelitev iz SPP v programu*, razčlenjena po kategoriji regije, v kateri je ozemlje** (po prednostnih nalogah SPP)</w:t>
            </w:r>
          </w:p>
        </w:tc>
      </w:tr>
      <w:tr w:rsidR="00823317" w14:paraId="701CDD67" w14:textId="77777777">
        <w:trPr>
          <w:tblHeader/>
        </w:trPr>
        <w:tc>
          <w:tcPr>
            <w:tcW w:w="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9F00AB9" w14:textId="77777777" w:rsidR="00A77B3E" w:rsidRDefault="00A77B3E">
            <w:pPr>
              <w:spacing w:before="5pt"/>
              <w:jc w:val="center"/>
              <w:rPr>
                <w:color w:val="00000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D81F17" w14:textId="77777777" w:rsidR="00A77B3E" w:rsidRDefault="00B16CCF">
            <w:pPr>
              <w:spacing w:before="5pt"/>
              <w:jc w:val="center"/>
              <w:rPr>
                <w:color w:val="000000"/>
              </w:rPr>
            </w:pPr>
            <w:r>
              <w:rPr>
                <w:color w:val="000000"/>
              </w:rPr>
              <w:t>Prednostna naloga 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2DA4ED" w14:textId="77777777" w:rsidR="00A77B3E" w:rsidRDefault="00B16CCF">
            <w:pPr>
              <w:spacing w:before="5pt"/>
              <w:jc w:val="center"/>
              <w:rPr>
                <w:color w:val="000000"/>
              </w:rPr>
            </w:pPr>
            <w:r>
              <w:rPr>
                <w:color w:val="000000"/>
              </w:rPr>
              <w:t>Znesek</w:t>
            </w:r>
          </w:p>
        </w:tc>
      </w:tr>
    </w:tbl>
    <w:p w14:paraId="1E66B94C" w14:textId="77777777" w:rsidR="00A77B3E" w:rsidRDefault="00B16CCF">
      <w:pPr>
        <w:spacing w:before="5pt"/>
        <w:rPr>
          <w:color w:val="000000"/>
        </w:rPr>
      </w:pPr>
      <w:r>
        <w:rPr>
          <w:color w:val="000000"/>
        </w:rPr>
        <w:t>* Program z dodelitvijo sredstev iz SPP</w:t>
      </w:r>
    </w:p>
    <w:p w14:paraId="65DF5C45" w14:textId="77777777" w:rsidR="00A77B3E" w:rsidRDefault="00B16CCF">
      <w:pPr>
        <w:spacing w:before="5pt"/>
        <w:rPr>
          <w:color w:val="000000"/>
        </w:rPr>
      </w:pPr>
      <w:r>
        <w:rPr>
          <w:color w:val="000000"/>
        </w:rPr>
        <w:t>** Sredstva SPP bi bilo treba dopolniti s sredstvi ESRR ali ESS+ v kategoriji regij, v kateri je zadevno ozemlje.</w:t>
      </w:r>
    </w:p>
    <w:p w14:paraId="44E39DBB" w14:textId="77777777" w:rsidR="00A77B3E" w:rsidRDefault="00A77B3E">
      <w:pPr>
        <w:spacing w:before="5pt"/>
        <w:rPr>
          <w:color w:val="000000"/>
        </w:rPr>
      </w:pPr>
    </w:p>
    <w:p w14:paraId="6B26E087" w14:textId="77777777" w:rsidR="00A77B3E" w:rsidRDefault="00B16CCF">
      <w:pPr>
        <w:pStyle w:val="Naslov4"/>
        <w:spacing w:before="5pt" w:after="0pt"/>
        <w:rPr>
          <w:b w:val="0"/>
          <w:color w:val="000000"/>
          <w:sz w:val="24"/>
        </w:rPr>
      </w:pPr>
      <w:bookmarkStart w:id="700" w:name="_Toc256001461"/>
      <w:r>
        <w:rPr>
          <w:b w:val="0"/>
          <w:color w:val="000000"/>
          <w:sz w:val="24"/>
        </w:rPr>
        <w:t>Tabela 18C: Prerazporeditve v SPP iz drugih programov (razčlenitev po letih)</w:t>
      </w:r>
      <w:bookmarkEnd w:id="700"/>
    </w:p>
    <w:p w14:paraId="4D8093D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10"/>
        <w:gridCol w:w="2023"/>
        <w:gridCol w:w="2929"/>
        <w:gridCol w:w="1072"/>
        <w:gridCol w:w="1072"/>
        <w:gridCol w:w="1072"/>
        <w:gridCol w:w="1072"/>
        <w:gridCol w:w="1072"/>
        <w:gridCol w:w="1072"/>
        <w:gridCol w:w="1072"/>
        <w:gridCol w:w="1406"/>
      </w:tblGrid>
      <w:tr w:rsidR="00823317" w14:paraId="03F61C9B" w14:textId="77777777">
        <w:trPr>
          <w:tblHeader/>
        </w:trPr>
        <w:tc>
          <w:tcPr>
            <w:tcW w:w="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B3FE5C" w14:textId="77777777" w:rsidR="00A77B3E" w:rsidRDefault="00B16CCF">
            <w:pPr>
              <w:spacing w:before="5pt"/>
              <w:jc w:val="center"/>
              <w:rPr>
                <w:color w:val="000000"/>
              </w:rPr>
            </w:pPr>
            <w:r>
              <w:rPr>
                <w:color w:val="000000"/>
              </w:rPr>
              <w:t>Prerazporeditve iz</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32012B" w14:textId="77777777" w:rsidR="00A77B3E" w:rsidRDefault="00B16CCF">
            <w:pPr>
              <w:spacing w:before="5pt"/>
              <w:jc w:val="center"/>
              <w:rPr>
                <w:color w:val="000000"/>
              </w:rPr>
            </w:pPr>
            <w:r>
              <w:rPr>
                <w:color w:val="000000"/>
              </w:rPr>
              <w:t>Prerazporeditve v</w:t>
            </w:r>
          </w:p>
        </w:tc>
        <w:tc>
          <w:tcPr>
            <w:tcW w:w="0pt" w:type="dxa"/>
            <w:gridSpan w:val="8"/>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6377C1" w14:textId="77777777" w:rsidR="00A77B3E" w:rsidRDefault="00B16CCF">
            <w:pPr>
              <w:spacing w:before="5pt"/>
              <w:jc w:val="center"/>
              <w:rPr>
                <w:color w:val="000000"/>
              </w:rPr>
            </w:pPr>
            <w:r>
              <w:rPr>
                <w:color w:val="000000"/>
              </w:rPr>
              <w:t>Razčlenitev po letih</w:t>
            </w:r>
          </w:p>
        </w:tc>
      </w:tr>
      <w:tr w:rsidR="00823317" w14:paraId="414AC81D"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3B41298" w14:textId="77777777" w:rsidR="00A77B3E" w:rsidRDefault="00B16CCF">
            <w:pPr>
              <w:spacing w:before="5pt"/>
              <w:jc w:val="center"/>
              <w:rPr>
                <w:color w:val="000000"/>
              </w:rPr>
            </w:pPr>
            <w:r>
              <w:rPr>
                <w:color w:val="000000"/>
              </w:rPr>
              <w:t>Iz sklada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E3A121A" w14:textId="77777777" w:rsidR="00A77B3E" w:rsidRDefault="00B16CCF">
            <w:pPr>
              <w:spacing w:before="5pt"/>
              <w:jc w:val="center"/>
              <w:rPr>
                <w:color w:val="000000"/>
              </w:rPr>
            </w:pPr>
            <w:r>
              <w:rPr>
                <w:color w:val="00000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D57B31" w14:textId="77777777" w:rsidR="00A77B3E" w:rsidRDefault="00B16CCF">
            <w:pPr>
              <w:spacing w:before="5pt"/>
              <w:jc w:val="center"/>
              <w:rPr>
                <w:color w:val="000000"/>
              </w:rPr>
            </w:pPr>
            <w:r>
              <w:rPr>
                <w:color w:val="000000"/>
              </w:rPr>
              <w:t>Prednostna naloga 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E3B122" w14:textId="77777777" w:rsidR="00A77B3E" w:rsidRDefault="00B16CCF">
            <w:pPr>
              <w:spacing w:before="5pt"/>
              <w:jc w:val="center"/>
              <w:rPr>
                <w:color w:val="000000"/>
              </w:rPr>
            </w:pPr>
            <w:r>
              <w:rPr>
                <w:color w:val="00000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0F573F" w14:textId="77777777" w:rsidR="00A77B3E" w:rsidRDefault="00B16CCF">
            <w:pPr>
              <w:spacing w:before="5pt"/>
              <w:jc w:val="center"/>
              <w:rPr>
                <w:color w:val="000000"/>
              </w:rPr>
            </w:pPr>
            <w:r>
              <w:rPr>
                <w:color w:val="00000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92C2F6" w14:textId="77777777" w:rsidR="00A77B3E" w:rsidRDefault="00B16CCF">
            <w:pPr>
              <w:spacing w:before="5pt"/>
              <w:jc w:val="center"/>
              <w:rPr>
                <w:color w:val="000000"/>
              </w:rPr>
            </w:pPr>
            <w:r>
              <w:rPr>
                <w:color w:val="000000"/>
              </w:rPr>
              <w:t>2023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4E1E40" w14:textId="77777777" w:rsidR="00A77B3E" w:rsidRDefault="00B16CCF">
            <w:pPr>
              <w:spacing w:before="5pt"/>
              <w:jc w:val="center"/>
              <w:rPr>
                <w:color w:val="000000"/>
              </w:rPr>
            </w:pPr>
            <w:r>
              <w:rPr>
                <w:color w:val="000000"/>
              </w:rPr>
              <w:t>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EB50A6" w14:textId="77777777" w:rsidR="00A77B3E" w:rsidRDefault="00B16CCF">
            <w:pPr>
              <w:spacing w:before="5pt"/>
              <w:jc w:val="center"/>
              <w:rPr>
                <w:color w:val="000000"/>
              </w:rPr>
            </w:pPr>
            <w:r>
              <w:rPr>
                <w:color w:val="000000"/>
              </w:rPr>
              <w:t>2025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81AA26" w14:textId="77777777" w:rsidR="00A77B3E" w:rsidRDefault="00B16CCF">
            <w:pPr>
              <w:spacing w:before="5pt"/>
              <w:jc w:val="center"/>
              <w:rPr>
                <w:color w:val="000000"/>
              </w:rPr>
            </w:pPr>
            <w:r>
              <w:rPr>
                <w:color w:val="000000"/>
              </w:rPr>
              <w:t>2026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695656" w14:textId="77777777" w:rsidR="00A77B3E" w:rsidRDefault="00B16CCF">
            <w:pPr>
              <w:spacing w:before="5pt"/>
              <w:jc w:val="center"/>
              <w:rPr>
                <w:color w:val="000000"/>
              </w:rPr>
            </w:pPr>
            <w:r>
              <w:rPr>
                <w:color w:val="000000"/>
              </w:rPr>
              <w:t>2027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220C9C" w14:textId="77777777" w:rsidR="00A77B3E" w:rsidRDefault="00B16CCF">
            <w:pPr>
              <w:spacing w:before="5pt"/>
              <w:jc w:val="center"/>
              <w:rPr>
                <w:color w:val="000000"/>
              </w:rPr>
            </w:pPr>
            <w:r>
              <w:rPr>
                <w:color w:val="000000"/>
              </w:rPr>
              <w:t>Skupaj</w:t>
            </w:r>
          </w:p>
        </w:tc>
      </w:tr>
    </w:tbl>
    <w:p w14:paraId="6CEBDBB8" w14:textId="77777777" w:rsidR="00A77B3E" w:rsidRDefault="00B16CCF">
      <w:pPr>
        <w:spacing w:before="5pt"/>
        <w:rPr>
          <w:color w:val="000000"/>
        </w:rPr>
      </w:pPr>
      <w:r>
        <w:rPr>
          <w:color w:val="000000"/>
        </w:rPr>
        <w:t>* Sredstva SPP bi bilo treba dopolniti s sredstvi ESRR ali ESS+ v kategoriji regij, v kateri je zadevno ozemlje.</w:t>
      </w:r>
    </w:p>
    <w:p w14:paraId="2F592438" w14:textId="77777777" w:rsidR="00A77B3E" w:rsidRDefault="00A77B3E">
      <w:pPr>
        <w:spacing w:before="5pt"/>
        <w:rPr>
          <w:color w:val="000000"/>
        </w:rPr>
      </w:pPr>
    </w:p>
    <w:p w14:paraId="09CF5449" w14:textId="77777777" w:rsidR="00A77B3E" w:rsidRDefault="00B16CCF">
      <w:pPr>
        <w:pStyle w:val="Naslov4"/>
        <w:spacing w:before="5pt" w:after="0pt"/>
        <w:rPr>
          <w:b w:val="0"/>
          <w:color w:val="000000"/>
          <w:sz w:val="24"/>
        </w:rPr>
      </w:pPr>
      <w:bookmarkStart w:id="701" w:name="_Toc256001462"/>
      <w:r>
        <w:rPr>
          <w:b w:val="0"/>
          <w:color w:val="000000"/>
          <w:sz w:val="24"/>
        </w:rPr>
        <w:t>Tabela 18D: Prerazporeditev sredstev ESRR in ESS+ iz drugih programov v SPP v tem programu</w:t>
      </w:r>
      <w:bookmarkEnd w:id="701"/>
    </w:p>
    <w:p w14:paraId="71E1231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6834"/>
        <w:gridCol w:w="4946"/>
        <w:gridCol w:w="3392"/>
      </w:tblGrid>
      <w:tr w:rsidR="00823317" w14:paraId="0BA1BE46" w14:textId="77777777">
        <w:trPr>
          <w:tblHeader/>
        </w:trPr>
        <w:tc>
          <w:tcPr>
            <w:tcW w:w="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0D5BB6" w14:textId="77777777" w:rsidR="00A77B3E" w:rsidRDefault="00B16CCF">
            <w:pPr>
              <w:spacing w:before="5pt"/>
              <w:jc w:val="center"/>
              <w:rPr>
                <w:color w:val="000000"/>
              </w:rPr>
            </w:pPr>
            <w:r>
              <w:rPr>
                <w:color w:val="000000"/>
              </w:rPr>
              <w:t>Prerazporeditve iz drugih programov** po kategoriji regije</w:t>
            </w:r>
          </w:p>
        </w:tc>
        <w:tc>
          <w:tcPr>
            <w:tcW w:w="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C845445" w14:textId="77777777" w:rsidR="00A77B3E" w:rsidRDefault="00B16CCF">
            <w:pPr>
              <w:spacing w:before="5pt"/>
              <w:jc w:val="center"/>
              <w:rPr>
                <w:color w:val="000000"/>
              </w:rPr>
            </w:pPr>
            <w:r>
              <w:rPr>
                <w:color w:val="000000"/>
              </w:rPr>
              <w:t>Dopolnilna podpora za SPP v tem programu* za ozemlje, ki je v *** v dani kategoriji regije (po prednostnih nalogah)</w:t>
            </w:r>
          </w:p>
        </w:tc>
      </w:tr>
      <w:tr w:rsidR="00823317" w14:paraId="3CAB813B" w14:textId="77777777">
        <w:trPr>
          <w:tblHeader/>
        </w:trPr>
        <w:tc>
          <w:tcPr>
            <w:tcW w:w="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0D49C9" w14:textId="77777777" w:rsidR="00A77B3E" w:rsidRDefault="00A77B3E">
            <w:pPr>
              <w:spacing w:before="5pt"/>
              <w:jc w:val="center"/>
              <w:rPr>
                <w:color w:val="00000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D4935D" w14:textId="77777777" w:rsidR="00A77B3E" w:rsidRDefault="00B16CCF">
            <w:pPr>
              <w:spacing w:before="5pt"/>
              <w:jc w:val="center"/>
              <w:rPr>
                <w:color w:val="000000"/>
              </w:rPr>
            </w:pPr>
            <w:r>
              <w:rPr>
                <w:color w:val="000000"/>
              </w:rPr>
              <w:t>Prednostna naloga 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262D79" w14:textId="77777777" w:rsidR="00A77B3E" w:rsidRDefault="00B16CCF">
            <w:pPr>
              <w:spacing w:before="5pt"/>
              <w:jc w:val="center"/>
              <w:rPr>
                <w:color w:val="000000"/>
              </w:rPr>
            </w:pPr>
            <w:r>
              <w:rPr>
                <w:color w:val="000000"/>
              </w:rPr>
              <w:t>Znesek</w:t>
            </w:r>
          </w:p>
        </w:tc>
      </w:tr>
    </w:tbl>
    <w:p w14:paraId="1A897B18" w14:textId="77777777" w:rsidR="00A77B3E" w:rsidRDefault="00B16CCF">
      <w:pPr>
        <w:spacing w:before="5pt"/>
        <w:rPr>
          <w:color w:val="000000"/>
        </w:rPr>
      </w:pPr>
      <w:r>
        <w:rPr>
          <w:color w:val="000000"/>
        </w:rPr>
        <w:t>* Program z dodelitvijo sredstev iz SPP, ki prejema dopolnilno podporo iz ESRR in ESS+</w:t>
      </w:r>
    </w:p>
    <w:p w14:paraId="27440636" w14:textId="77777777" w:rsidR="00A77B3E" w:rsidRDefault="00B16CCF">
      <w:pPr>
        <w:spacing w:before="5pt"/>
        <w:rPr>
          <w:color w:val="000000"/>
        </w:rPr>
      </w:pPr>
      <w:r>
        <w:rPr>
          <w:color w:val="000000"/>
        </w:rPr>
        <w:t>** Program, ki zagotavlja dopolnilno podporo iz ESRR in ESS+ (vir)</w:t>
      </w:r>
    </w:p>
    <w:p w14:paraId="77AF0BD2" w14:textId="77777777" w:rsidR="00A77B3E" w:rsidRDefault="00B16CCF">
      <w:pPr>
        <w:spacing w:before="5pt"/>
        <w:rPr>
          <w:color w:val="000000"/>
        </w:rPr>
      </w:pPr>
      <w:r>
        <w:rPr>
          <w:color w:val="000000"/>
        </w:rPr>
        <w:t>*** Sredstva SPP bi bilo treba dopolniti s sredstvi ESRR ali ESS+ v kategoriji regij, v kateri je zadevno ozemlje.</w:t>
      </w:r>
    </w:p>
    <w:p w14:paraId="11657F10" w14:textId="77777777" w:rsidR="00A77B3E" w:rsidRDefault="00A77B3E">
      <w:pPr>
        <w:spacing w:before="5pt"/>
        <w:rPr>
          <w:color w:val="000000"/>
        </w:rPr>
      </w:pPr>
    </w:p>
    <w:p w14:paraId="7DC84161" w14:textId="77777777" w:rsidR="00A77B3E" w:rsidRDefault="00B16CCF">
      <w:pPr>
        <w:spacing w:before="5pt"/>
        <w:rPr>
          <w:color w:val="000000"/>
          <w:sz w:val="0"/>
        </w:rPr>
      </w:pPr>
      <w:r>
        <w:rPr>
          <w:color w:val="000000"/>
        </w:rPr>
        <w:t>3.2.2. Prerazporeditve v SPP kot dopolnilna podpora (1) (kjer je ustrezno)</w:t>
      </w:r>
    </w:p>
    <w:p w14:paraId="06812BC4" w14:textId="77777777" w:rsidR="00A77B3E" w:rsidRDefault="00B16CCF">
      <w:pPr>
        <w:pStyle w:val="Naslov4"/>
        <w:spacing w:before="5pt" w:after="0pt"/>
        <w:rPr>
          <w:b w:val="0"/>
          <w:color w:val="000000"/>
          <w:sz w:val="24"/>
        </w:rPr>
      </w:pPr>
      <w:bookmarkStart w:id="702" w:name="_Toc256001463"/>
      <w:r>
        <w:rPr>
          <w:b w:val="0"/>
          <w:color w:val="000000"/>
          <w:sz w:val="24"/>
        </w:rPr>
        <w:t>Utemeljitev dopolnilne prerazporeditve iz ESRR in ESS+ na podlagi načrtovanih vrst ukrepov</w:t>
      </w:r>
      <w:bookmarkEnd w:id="702"/>
    </w:p>
    <w:p w14:paraId="2478A5B1" w14:textId="77777777" w:rsidR="00A77B3E" w:rsidRDefault="00A77B3E">
      <w:pPr>
        <w:spacing w:before="5pt"/>
        <w:rPr>
          <w:color w:val="000000"/>
          <w:sz w:val="0"/>
        </w:rPr>
      </w:pPr>
    </w:p>
    <w:p w14:paraId="43794693" w14:textId="77777777" w:rsidR="00A77B3E" w:rsidRDefault="00B16CCF">
      <w:pPr>
        <w:spacing w:before="5pt"/>
        <w:rPr>
          <w:color w:val="000000"/>
          <w:sz w:val="0"/>
        </w:rPr>
      </w:pPr>
      <w:r>
        <w:rPr>
          <w:color w:val="000000"/>
        </w:rPr>
        <w:t>Sklic: člen 22(3)(d)(ix) uredbe o skupnih določbah</w:t>
      </w: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823317" w14:paraId="2E93C4B7"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9555FD" w14:textId="77777777" w:rsidR="00A77B3E" w:rsidRDefault="00A77B3E">
            <w:pPr>
              <w:spacing w:before="5pt"/>
              <w:rPr>
                <w:color w:val="000000"/>
                <w:sz w:val="0"/>
              </w:rPr>
            </w:pPr>
          </w:p>
          <w:p w14:paraId="6210838E" w14:textId="77777777" w:rsidR="00A77B3E" w:rsidRDefault="00A77B3E">
            <w:pPr>
              <w:spacing w:before="5pt"/>
              <w:rPr>
                <w:color w:val="000000"/>
              </w:rPr>
            </w:pPr>
          </w:p>
        </w:tc>
      </w:tr>
    </w:tbl>
    <w:p w14:paraId="75EE6A0F" w14:textId="77777777" w:rsidR="00A77B3E" w:rsidRDefault="00A77B3E">
      <w:pPr>
        <w:spacing w:before="5pt"/>
        <w:rPr>
          <w:color w:val="000000"/>
        </w:rPr>
      </w:pPr>
    </w:p>
    <w:p w14:paraId="5667A986" w14:textId="77777777" w:rsidR="00A77B3E" w:rsidRDefault="00A77B3E">
      <w:pPr>
        <w:spacing w:before="5pt"/>
        <w:rPr>
          <w:color w:val="000000"/>
        </w:rPr>
      </w:pPr>
    </w:p>
    <w:p w14:paraId="61DF5F0E" w14:textId="77777777" w:rsidR="00A77B3E" w:rsidRDefault="00B16CCF">
      <w:pPr>
        <w:pStyle w:val="Naslov2"/>
        <w:spacing w:before="5pt" w:after="0pt"/>
        <w:rPr>
          <w:rFonts w:ascii="TimesNewRoman" w:eastAsia="TimesNewRoman" w:hAnsi="TimesNewRoman" w:cs="TimesNewRoman"/>
          <w:b w:val="0"/>
          <w:i w:val="0"/>
          <w:color w:val="000000"/>
          <w:sz w:val="24"/>
        </w:rPr>
      </w:pPr>
      <w:bookmarkStart w:id="703" w:name="_Toc256001464"/>
      <w:r>
        <w:rPr>
          <w:rFonts w:ascii="TimesNewRoman" w:eastAsia="TimesNewRoman" w:hAnsi="TimesNewRoman" w:cs="TimesNewRoman"/>
          <w:b w:val="0"/>
          <w:i w:val="0"/>
          <w:color w:val="000000"/>
          <w:sz w:val="24"/>
        </w:rPr>
        <w:t>3.3. Prerazporeditve med kategorijami regij na podlagi vmesnega pregleda</w:t>
      </w:r>
      <w:bookmarkEnd w:id="703"/>
    </w:p>
    <w:p w14:paraId="514E9312" w14:textId="77777777" w:rsidR="00A77B3E" w:rsidRDefault="00A77B3E">
      <w:pPr>
        <w:spacing w:before="5pt"/>
        <w:rPr>
          <w:rFonts w:ascii="TimesNewRoman" w:eastAsia="TimesNewRoman" w:hAnsi="TimesNewRoman" w:cs="TimesNewRoman"/>
          <w:color w:val="000000"/>
          <w:sz w:val="0"/>
        </w:rPr>
      </w:pPr>
    </w:p>
    <w:p w14:paraId="4E6D0476" w14:textId="77777777" w:rsidR="00A77B3E" w:rsidRDefault="00B16CCF">
      <w:pPr>
        <w:pStyle w:val="Naslov4"/>
        <w:spacing w:before="5pt" w:after="0pt"/>
        <w:rPr>
          <w:rFonts w:ascii="TimesNewRoman" w:eastAsia="TimesNewRoman" w:hAnsi="TimesNewRoman" w:cs="TimesNewRoman"/>
          <w:b w:val="0"/>
          <w:color w:val="000000"/>
          <w:sz w:val="24"/>
        </w:rPr>
      </w:pPr>
      <w:bookmarkStart w:id="704" w:name="_Toc256001465"/>
      <w:r>
        <w:rPr>
          <w:rFonts w:ascii="TimesNewRoman" w:eastAsia="TimesNewRoman" w:hAnsi="TimesNewRoman" w:cs="TimesNewRoman"/>
          <w:b w:val="0"/>
          <w:color w:val="000000"/>
          <w:sz w:val="24"/>
        </w:rPr>
        <w:t>Tabela 19A: Prerazporeditve med kategorijami regij na podlagi vmesnega pregleda v okviru programa (razčlenitev po letih)</w:t>
      </w:r>
      <w:bookmarkEnd w:id="704"/>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4142"/>
        <w:gridCol w:w="4141"/>
        <w:gridCol w:w="1608"/>
        <w:gridCol w:w="1608"/>
        <w:gridCol w:w="1608"/>
        <w:gridCol w:w="2065"/>
      </w:tblGrid>
      <w:tr w:rsidR="00823317" w14:paraId="1912D806"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51046C" w14:textId="77777777" w:rsidR="00A77B3E" w:rsidRDefault="00B16CCF">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Prerazporeditve iz</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23901C" w14:textId="77777777" w:rsidR="00A77B3E" w:rsidRDefault="00B16CCF">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Prerazporeditve v</w:t>
            </w:r>
          </w:p>
        </w:tc>
        <w:tc>
          <w:tcPr>
            <w:tcW w:w="0pt" w:type="dxa"/>
            <w:gridSpan w:val="4"/>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15C32BB" w14:textId="77777777" w:rsidR="00A77B3E" w:rsidRDefault="00B16CCF">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Razčlenitev po letih</w:t>
            </w:r>
          </w:p>
        </w:tc>
      </w:tr>
      <w:tr w:rsidR="00823317" w14:paraId="01EC91BE"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F6187A" w14:textId="77777777" w:rsidR="00A77B3E" w:rsidRDefault="00B16CCF">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15BFEF" w14:textId="77777777" w:rsidR="00A77B3E" w:rsidRDefault="00B16CCF">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7115D4" w14:textId="77777777" w:rsidR="00A77B3E" w:rsidRDefault="00B16CCF">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5F6D56" w14:textId="77777777" w:rsidR="00A77B3E" w:rsidRDefault="00B16CCF">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F257E1" w14:textId="77777777" w:rsidR="00A77B3E" w:rsidRDefault="00B16CCF">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223232" w14:textId="77777777" w:rsidR="00A77B3E" w:rsidRDefault="00B16CCF">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Skupaj</w:t>
            </w:r>
          </w:p>
        </w:tc>
      </w:tr>
    </w:tbl>
    <w:p w14:paraId="6B9FD6F3" w14:textId="77777777" w:rsidR="00A77B3E" w:rsidRDefault="00B16CCF">
      <w:pPr>
        <w:spacing w:before="5pt"/>
        <w:rPr>
          <w:rFonts w:ascii="TimesNewRoman" w:eastAsia="TimesNewRoman" w:hAnsi="TimesNewRoman" w:cs="TimesNewRoman"/>
          <w:color w:val="000000"/>
          <w:sz w:val="16"/>
        </w:rPr>
      </w:pPr>
      <w:r>
        <w:rPr>
          <w:rFonts w:ascii="TimesNewRoman" w:eastAsia="TimesNewRoman" w:hAnsi="TimesNewRoman" w:cs="TimesNewRoman"/>
          <w:color w:val="000000"/>
          <w:sz w:val="16"/>
        </w:rPr>
        <w:t>* Uporablja se samo za ESRR in ESS+.</w:t>
      </w:r>
    </w:p>
    <w:p w14:paraId="6E061992" w14:textId="77777777" w:rsidR="00A77B3E" w:rsidRDefault="00A77B3E">
      <w:pPr>
        <w:spacing w:before="5pt"/>
        <w:rPr>
          <w:rFonts w:ascii="TimesNewRoman" w:eastAsia="TimesNewRoman" w:hAnsi="TimesNewRoman" w:cs="TimesNewRoman"/>
          <w:color w:val="000000"/>
          <w:sz w:val="16"/>
        </w:rPr>
      </w:pPr>
    </w:p>
    <w:p w14:paraId="7B0FD92A" w14:textId="77777777" w:rsidR="00A77B3E" w:rsidRDefault="00B16CCF">
      <w:pPr>
        <w:pStyle w:val="Naslov4"/>
        <w:spacing w:before="5pt" w:after="0pt"/>
        <w:rPr>
          <w:rFonts w:ascii="TimesNewRoman" w:eastAsia="TimesNewRoman" w:hAnsi="TimesNewRoman" w:cs="TimesNewRoman"/>
          <w:b w:val="0"/>
          <w:color w:val="000000"/>
          <w:sz w:val="24"/>
        </w:rPr>
      </w:pPr>
      <w:bookmarkStart w:id="705" w:name="_Toc256001466"/>
      <w:r>
        <w:rPr>
          <w:rFonts w:ascii="TimesNewRoman" w:eastAsia="TimesNewRoman" w:hAnsi="TimesNewRoman" w:cs="TimesNewRoman"/>
          <w:b w:val="0"/>
          <w:color w:val="000000"/>
          <w:sz w:val="24"/>
        </w:rPr>
        <w:t>Tabela 19B: Prerazporeditve med kategorijami regij na podlagi vmesnega pregleda v druge programe (razčlenitev po letih)</w:t>
      </w:r>
      <w:bookmarkEnd w:id="705"/>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4142"/>
        <w:gridCol w:w="4141"/>
        <w:gridCol w:w="1608"/>
        <w:gridCol w:w="1608"/>
        <w:gridCol w:w="1608"/>
        <w:gridCol w:w="2065"/>
      </w:tblGrid>
      <w:tr w:rsidR="00823317" w14:paraId="20FB983E"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A0B2C73" w14:textId="77777777" w:rsidR="00A77B3E" w:rsidRDefault="00B16CCF">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Prerazporeditve iz</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B50BED" w14:textId="77777777" w:rsidR="00A77B3E" w:rsidRDefault="00B16CCF">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Prerazporeditve v</w:t>
            </w:r>
          </w:p>
        </w:tc>
        <w:tc>
          <w:tcPr>
            <w:tcW w:w="0pt" w:type="dxa"/>
            <w:gridSpan w:val="4"/>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9735E7" w14:textId="77777777" w:rsidR="00A77B3E" w:rsidRDefault="00B16CCF">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Razčlenitev po letih</w:t>
            </w:r>
          </w:p>
        </w:tc>
      </w:tr>
      <w:tr w:rsidR="00823317" w14:paraId="3ED63FAB"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0C3446" w14:textId="77777777" w:rsidR="00A77B3E" w:rsidRDefault="00B16CCF">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3E5E26" w14:textId="77777777" w:rsidR="00A77B3E" w:rsidRDefault="00B16CCF">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AEABA6" w14:textId="77777777" w:rsidR="00A77B3E" w:rsidRDefault="00B16CCF">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FBE2F5" w14:textId="77777777" w:rsidR="00A77B3E" w:rsidRDefault="00B16CCF">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3EC152" w14:textId="77777777" w:rsidR="00A77B3E" w:rsidRDefault="00B16CCF">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8B4B59" w14:textId="77777777" w:rsidR="00A77B3E" w:rsidRDefault="00B16CCF">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Skupaj</w:t>
            </w:r>
          </w:p>
        </w:tc>
      </w:tr>
    </w:tbl>
    <w:p w14:paraId="3C554EA6" w14:textId="77777777" w:rsidR="00A77B3E" w:rsidRDefault="00B16CCF">
      <w:pPr>
        <w:spacing w:before="5pt"/>
        <w:rPr>
          <w:rFonts w:ascii="TimesNewRoman" w:eastAsia="TimesNewRoman" w:hAnsi="TimesNewRoman" w:cs="TimesNewRoman"/>
          <w:color w:val="000000"/>
          <w:sz w:val="16"/>
        </w:rPr>
      </w:pPr>
      <w:r>
        <w:rPr>
          <w:rFonts w:ascii="TimesNewRoman" w:eastAsia="TimesNewRoman" w:hAnsi="TimesNewRoman" w:cs="TimesNewRoman"/>
          <w:color w:val="000000"/>
          <w:sz w:val="16"/>
        </w:rPr>
        <w:t>* Uporablja se samo za ESRR in ESS+.</w:t>
      </w:r>
    </w:p>
    <w:p w14:paraId="2FB713BE" w14:textId="77777777" w:rsidR="00A77B3E" w:rsidRDefault="00A77B3E">
      <w:pPr>
        <w:spacing w:before="5pt"/>
        <w:rPr>
          <w:rFonts w:ascii="TimesNewRoman" w:eastAsia="TimesNewRoman" w:hAnsi="TimesNewRoman" w:cs="TimesNewRoman"/>
          <w:color w:val="000000"/>
          <w:sz w:val="16"/>
        </w:rPr>
      </w:pPr>
    </w:p>
    <w:p w14:paraId="1D7D26E8" w14:textId="77777777" w:rsidR="00A77B3E" w:rsidRDefault="00B16CCF">
      <w:pPr>
        <w:pStyle w:val="Naslov2"/>
        <w:spacing w:before="5pt" w:after="0pt"/>
        <w:rPr>
          <w:rFonts w:ascii="TimesNewRoman" w:eastAsia="TimesNewRoman" w:hAnsi="TimesNewRoman" w:cs="TimesNewRoman"/>
          <w:b w:val="0"/>
          <w:i w:val="0"/>
          <w:color w:val="000000"/>
          <w:sz w:val="24"/>
        </w:rPr>
      </w:pPr>
      <w:bookmarkStart w:id="706" w:name="_Toc256001467"/>
      <w:r>
        <w:rPr>
          <w:rFonts w:ascii="TimesNewRoman" w:eastAsia="TimesNewRoman" w:hAnsi="TimesNewRoman" w:cs="TimesNewRoman"/>
          <w:b w:val="0"/>
          <w:i w:val="0"/>
          <w:color w:val="000000"/>
          <w:sz w:val="24"/>
        </w:rPr>
        <w:t>3.4. Prerazporeditve nazaj (1)</w:t>
      </w:r>
      <w:bookmarkEnd w:id="706"/>
    </w:p>
    <w:p w14:paraId="654A65AD" w14:textId="77777777" w:rsidR="00A77B3E" w:rsidRDefault="00B16CCF">
      <w:pPr>
        <w:pStyle w:val="Naslov4"/>
        <w:spacing w:before="5pt" w:after="0pt"/>
        <w:rPr>
          <w:rFonts w:ascii="TimesNewRoman" w:eastAsia="TimesNewRoman" w:hAnsi="TimesNewRoman" w:cs="TimesNewRoman"/>
          <w:b w:val="0"/>
          <w:color w:val="000000"/>
          <w:sz w:val="24"/>
        </w:rPr>
      </w:pPr>
      <w:bookmarkStart w:id="707" w:name="_Toc256001468"/>
      <w:r>
        <w:rPr>
          <w:rFonts w:ascii="TimesNewRoman" w:eastAsia="TimesNewRoman" w:hAnsi="TimesNewRoman" w:cs="TimesNewRoman"/>
          <w:b w:val="0"/>
          <w:color w:val="000000"/>
          <w:sz w:val="24"/>
        </w:rPr>
        <w:t>Tabela 20A: Prerazporeditve nazaj (razčlenitev po letih)</w:t>
      </w:r>
      <w:bookmarkEnd w:id="707"/>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836"/>
        <w:gridCol w:w="1214"/>
        <w:gridCol w:w="1993"/>
        <w:gridCol w:w="1102"/>
        <w:gridCol w:w="1102"/>
        <w:gridCol w:w="1102"/>
        <w:gridCol w:w="1102"/>
        <w:gridCol w:w="1102"/>
        <w:gridCol w:w="1102"/>
        <w:gridCol w:w="1102"/>
        <w:gridCol w:w="1415"/>
      </w:tblGrid>
      <w:tr w:rsidR="00823317" w14:paraId="04F19326"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2B7E0E" w14:textId="77777777" w:rsidR="00A77B3E" w:rsidRDefault="00B16CCF">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Prerazporeditve iz</w:t>
            </w:r>
          </w:p>
        </w:tc>
        <w:tc>
          <w:tcPr>
            <w:tcW w:w="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8FC19F" w14:textId="77777777" w:rsidR="00A77B3E" w:rsidRDefault="00B16CCF">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Prerazporeditve v</w:t>
            </w:r>
          </w:p>
        </w:tc>
        <w:tc>
          <w:tcPr>
            <w:tcW w:w="0pt" w:type="dxa"/>
            <w:gridSpan w:val="8"/>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039ED7" w14:textId="77777777" w:rsidR="00A77B3E" w:rsidRDefault="00B16CCF">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Razčlenitev po letih</w:t>
            </w:r>
          </w:p>
        </w:tc>
      </w:tr>
      <w:tr w:rsidR="00823317" w14:paraId="17AC3F28"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A6C1CA" w14:textId="77777777" w:rsidR="00A77B3E" w:rsidRDefault="00B16CCF">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Instrument InvestEU ali drugi instrumenti Unije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6549F0" w14:textId="77777777" w:rsidR="00A77B3E" w:rsidRDefault="00B16CCF">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D230B6" w14:textId="77777777" w:rsidR="00A77B3E" w:rsidRDefault="00B16CCF">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4A39C9E" w14:textId="77777777" w:rsidR="00A77B3E" w:rsidRDefault="00B16CCF">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BC45D1" w14:textId="77777777" w:rsidR="00A77B3E" w:rsidRDefault="00B16CCF">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CF5CC3" w14:textId="77777777" w:rsidR="00A77B3E" w:rsidRDefault="00B16CCF">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2665CD" w14:textId="77777777" w:rsidR="00A77B3E" w:rsidRDefault="00B16CCF">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1C55D1" w14:textId="77777777" w:rsidR="00A77B3E" w:rsidRDefault="00B16CCF">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1525CA" w14:textId="77777777" w:rsidR="00A77B3E" w:rsidRDefault="00B16CCF">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257A1AE" w14:textId="77777777" w:rsidR="00A77B3E" w:rsidRDefault="00B16CCF">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E26E3E" w14:textId="77777777" w:rsidR="00A77B3E" w:rsidRDefault="00B16CCF">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Skupaj</w:t>
            </w:r>
          </w:p>
        </w:tc>
      </w:tr>
    </w:tbl>
    <w:p w14:paraId="45FF93F5" w14:textId="77777777" w:rsidR="00A77B3E" w:rsidRDefault="00B16CCF">
      <w:pPr>
        <w:spacing w:before="5pt"/>
        <w:rPr>
          <w:rFonts w:ascii="TimesNewRoman" w:eastAsia="TimesNewRoman" w:hAnsi="TimesNewRoman" w:cs="TimesNewRoman"/>
          <w:color w:val="000000"/>
          <w:sz w:val="16"/>
        </w:rPr>
      </w:pPr>
      <w:r>
        <w:rPr>
          <w:rFonts w:ascii="TimesNewRoman" w:eastAsia="TimesNewRoman" w:hAnsi="TimesNewRoman" w:cs="TimesNewRoman"/>
          <w:color w:val="000000"/>
          <w:sz w:val="16"/>
        </w:rPr>
        <w:t>(1) Uporablja se samo za spremembe programov za sredstva, prerazporejena nazaj iz drugih instrumentov Unije, vključno z elementi AMIF, SNV in IUMV, v okviru neposrednega ali posrednega upravljanja ali iz instrumenta InvestEU.</w:t>
      </w:r>
    </w:p>
    <w:p w14:paraId="78DC0135" w14:textId="77777777" w:rsidR="00A77B3E" w:rsidRDefault="00B16CCF">
      <w:pPr>
        <w:pStyle w:val="Naslov4"/>
        <w:spacing w:before="5pt" w:after="0pt"/>
        <w:rPr>
          <w:b w:val="0"/>
          <w:color w:val="000000"/>
          <w:sz w:val="24"/>
        </w:rPr>
      </w:pPr>
      <w:bookmarkStart w:id="708" w:name="_Toc256001469"/>
      <w:r>
        <w:rPr>
          <w:b w:val="0"/>
          <w:color w:val="000000"/>
          <w:sz w:val="24"/>
        </w:rPr>
        <w:t>Tabela 20B: Prerazporeditve nazaj* (povzetek)</w:t>
      </w:r>
      <w:bookmarkEnd w:id="708"/>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354"/>
        <w:gridCol w:w="1675"/>
        <w:gridCol w:w="1721"/>
        <w:gridCol w:w="1837"/>
        <w:gridCol w:w="1674"/>
        <w:gridCol w:w="1721"/>
        <w:gridCol w:w="1837"/>
        <w:gridCol w:w="2353"/>
      </w:tblGrid>
      <w:tr w:rsidR="00823317" w14:paraId="0F67DC0A"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2B273AFA" w14:textId="77777777" w:rsidR="00A77B3E" w:rsidRDefault="00B16CCF">
            <w:pPr>
              <w:spacing w:before="5pt"/>
              <w:jc w:val="center"/>
              <w:rPr>
                <w:color w:val="000000"/>
                <w:sz w:val="16"/>
              </w:rPr>
            </w:pPr>
            <w:r>
              <w:rPr>
                <w:color w:val="000000"/>
                <w:sz w:val="16"/>
              </w:rPr>
              <w:t>Iz</w:t>
            </w:r>
          </w:p>
        </w:tc>
        <w:tc>
          <w:tcPr>
            <w:tcW w:w="0pt" w:type="dxa"/>
            <w:gridSpan w:val="7"/>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1B0E51E1" w14:textId="77777777" w:rsidR="00A77B3E" w:rsidRDefault="00B16CCF">
            <w:pPr>
              <w:spacing w:before="5pt"/>
              <w:jc w:val="center"/>
              <w:rPr>
                <w:color w:val="000000"/>
                <w:sz w:val="16"/>
              </w:rPr>
            </w:pPr>
            <w:r>
              <w:rPr>
                <w:color w:val="000000"/>
                <w:sz w:val="16"/>
              </w:rPr>
              <w:t>V</w:t>
            </w:r>
          </w:p>
        </w:tc>
      </w:tr>
      <w:tr w:rsidR="00823317" w14:paraId="3C0BB806" w14:textId="77777777">
        <w:trPr>
          <w:tblHeader/>
        </w:trPr>
        <w:tc>
          <w:tcPr>
            <w:tcW w:w="0pt" w:type="dxa"/>
            <w:vMerge w:val="restart"/>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1E71210F" w14:textId="77777777" w:rsidR="00A77B3E" w:rsidRDefault="00B16CCF">
            <w:pPr>
              <w:spacing w:before="5pt"/>
              <w:jc w:val="center"/>
              <w:rPr>
                <w:color w:val="000000"/>
                <w:sz w:val="16"/>
              </w:rPr>
            </w:pPr>
            <w:r>
              <w:rPr>
                <w:color w:val="000000"/>
                <w:sz w:val="16"/>
              </w:rPr>
              <w:t>InvestEU / Instrument</w:t>
            </w:r>
          </w:p>
        </w:tc>
        <w:tc>
          <w:tcPr>
            <w:tcW w:w="0pt" w:type="dxa"/>
            <w:gridSpan w:val="3"/>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750E037A" w14:textId="77777777" w:rsidR="00A77B3E" w:rsidRDefault="00B16CCF">
            <w:pPr>
              <w:spacing w:before="5pt"/>
              <w:jc w:val="center"/>
              <w:rPr>
                <w:color w:val="000000"/>
                <w:sz w:val="16"/>
              </w:rPr>
            </w:pPr>
            <w:r>
              <w:rPr>
                <w:color w:val="000000"/>
                <w:sz w:val="16"/>
              </w:rPr>
              <w:t>ESRR</w:t>
            </w:r>
          </w:p>
        </w:tc>
        <w:tc>
          <w:tcPr>
            <w:tcW w:w="0pt" w:type="dxa"/>
            <w:gridSpan w:val="3"/>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35A86704" w14:textId="77777777" w:rsidR="00A77B3E" w:rsidRDefault="00B16CCF">
            <w:pPr>
              <w:spacing w:before="5pt"/>
              <w:jc w:val="center"/>
              <w:rPr>
                <w:color w:val="000000"/>
                <w:sz w:val="16"/>
              </w:rPr>
            </w:pPr>
            <w:r>
              <w:rPr>
                <w:color w:val="000000"/>
                <w:sz w:val="16"/>
              </w:rPr>
              <w:t>ESS+</w:t>
            </w:r>
          </w:p>
        </w:tc>
        <w:tc>
          <w:tcPr>
            <w:tcW w:w="0pt" w:type="dxa"/>
            <w:vMerge w:val="restart"/>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1884DC7F" w14:textId="77777777" w:rsidR="00A77B3E" w:rsidRDefault="00B16CCF">
            <w:pPr>
              <w:spacing w:before="5pt"/>
              <w:jc w:val="center"/>
              <w:rPr>
                <w:color w:val="000000"/>
                <w:sz w:val="16"/>
              </w:rPr>
            </w:pPr>
            <w:r>
              <w:rPr>
                <w:color w:val="000000"/>
                <w:sz w:val="16"/>
              </w:rPr>
              <w:t>Kohezijski sklad</w:t>
            </w:r>
          </w:p>
        </w:tc>
      </w:tr>
      <w:tr w:rsidR="00823317" w14:paraId="076F0F23" w14:textId="77777777">
        <w:trPr>
          <w:tblHeader/>
        </w:trPr>
        <w:tc>
          <w:tcPr>
            <w:tcW w:w="0pt" w:type="dxa"/>
            <w:vMerge/>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289F8763" w14:textId="77777777" w:rsidR="00A77B3E" w:rsidRDefault="00A77B3E">
            <w:pPr>
              <w:spacing w:before="5pt"/>
              <w:jc w:val="center"/>
              <w:rPr>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0B19A634" w14:textId="77777777" w:rsidR="00A77B3E" w:rsidRDefault="00B16CCF">
            <w:pPr>
              <w:spacing w:before="5pt"/>
              <w:jc w:val="center"/>
              <w:rPr>
                <w:color w:val="000000"/>
                <w:sz w:val="16"/>
              </w:rPr>
            </w:pPr>
            <w:r>
              <w:rPr>
                <w:color w:val="000000"/>
                <w:sz w:val="16"/>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7209C612" w14:textId="77777777" w:rsidR="00A77B3E" w:rsidRDefault="00B16CCF">
            <w:pPr>
              <w:spacing w:before="5pt"/>
              <w:jc w:val="center"/>
              <w:rPr>
                <w:color w:val="000000"/>
                <w:sz w:val="16"/>
              </w:rPr>
            </w:pPr>
            <w:r>
              <w:rPr>
                <w:color w:val="000000"/>
                <w:sz w:val="16"/>
              </w:rPr>
              <w:t>Prehod</w:t>
            </w:r>
          </w:p>
        </w:tc>
        <w:tc>
          <w:tcPr>
            <w:tcW w:w="0pt" w:type="dxa"/>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7C008EAE" w14:textId="77777777" w:rsidR="00A77B3E" w:rsidRDefault="00B16CCF">
            <w:pPr>
              <w:spacing w:before="5pt"/>
              <w:jc w:val="center"/>
              <w:rPr>
                <w:color w:val="000000"/>
                <w:sz w:val="16"/>
              </w:rPr>
            </w:pPr>
            <w:r>
              <w:rPr>
                <w:color w:val="000000"/>
                <w:sz w:val="16"/>
              </w:rPr>
              <w:t>Razvito</w:t>
            </w:r>
          </w:p>
        </w:tc>
        <w:tc>
          <w:tcPr>
            <w:tcW w:w="0pt" w:type="dxa"/>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3C6EAA03" w14:textId="77777777" w:rsidR="00A77B3E" w:rsidRDefault="00B16CCF">
            <w:pPr>
              <w:spacing w:before="5pt"/>
              <w:jc w:val="center"/>
              <w:rPr>
                <w:color w:val="000000"/>
                <w:sz w:val="16"/>
              </w:rPr>
            </w:pPr>
            <w:r>
              <w:rPr>
                <w:color w:val="000000"/>
                <w:sz w:val="16"/>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7C7D1837" w14:textId="77777777" w:rsidR="00A77B3E" w:rsidRDefault="00B16CCF">
            <w:pPr>
              <w:spacing w:before="5pt"/>
              <w:jc w:val="center"/>
              <w:rPr>
                <w:color w:val="000000"/>
                <w:sz w:val="16"/>
              </w:rPr>
            </w:pPr>
            <w:r>
              <w:rPr>
                <w:color w:val="000000"/>
                <w:sz w:val="16"/>
              </w:rPr>
              <w:t>Prehod</w:t>
            </w:r>
          </w:p>
        </w:tc>
        <w:tc>
          <w:tcPr>
            <w:tcW w:w="0pt" w:type="dxa"/>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66170218" w14:textId="77777777" w:rsidR="00A77B3E" w:rsidRDefault="00B16CCF">
            <w:pPr>
              <w:spacing w:before="5pt"/>
              <w:jc w:val="center"/>
              <w:rPr>
                <w:color w:val="000000"/>
                <w:sz w:val="16"/>
              </w:rPr>
            </w:pPr>
            <w:r>
              <w:rPr>
                <w:color w:val="000000"/>
                <w:sz w:val="16"/>
              </w:rPr>
              <w:t>Razvito</w:t>
            </w:r>
          </w:p>
        </w:tc>
        <w:tc>
          <w:tcPr>
            <w:tcW w:w="0pt" w:type="dxa"/>
            <w:vMerge/>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1BB84656" w14:textId="77777777" w:rsidR="00A77B3E" w:rsidRDefault="00A77B3E">
            <w:pPr>
              <w:spacing w:before="5pt"/>
              <w:jc w:val="center"/>
              <w:rPr>
                <w:color w:val="000000"/>
                <w:sz w:val="16"/>
              </w:rPr>
            </w:pPr>
          </w:p>
        </w:tc>
      </w:tr>
    </w:tbl>
    <w:p w14:paraId="4AA4668A" w14:textId="77777777" w:rsidR="00A77B3E" w:rsidRDefault="00B16CCF">
      <w:pPr>
        <w:spacing w:before="5pt"/>
        <w:rPr>
          <w:color w:val="000000"/>
          <w:sz w:val="16"/>
        </w:rPr>
      </w:pPr>
      <w:r>
        <w:rPr>
          <w:color w:val="000000"/>
          <w:sz w:val="16"/>
        </w:rPr>
        <w:t>* Kumulativni zneski za vse prerazporeditve, izvedene s spremembami programa v programskem obdobju. Pri vsakem novem zahtevku za prerazporeditev se v spremembi programa določijo skupni prerazporejeni zneski za vsako leto po skladih in kategorijah regij.</w:t>
      </w:r>
    </w:p>
    <w:p w14:paraId="1FFE9826" w14:textId="77777777" w:rsidR="00A77B3E" w:rsidRDefault="00A77B3E">
      <w:pPr>
        <w:spacing w:before="5pt"/>
        <w:rPr>
          <w:color w:val="000000"/>
          <w:sz w:val="16"/>
        </w:rPr>
      </w:pPr>
    </w:p>
    <w:p w14:paraId="051F9F62" w14:textId="77777777" w:rsidR="00A77B3E" w:rsidRDefault="00B16CCF">
      <w:pPr>
        <w:pStyle w:val="Naslov2"/>
        <w:spacing w:before="5pt" w:after="0pt"/>
        <w:rPr>
          <w:rFonts w:ascii="TimesNewRoman" w:eastAsia="TimesNewRoman" w:hAnsi="TimesNewRoman" w:cs="TimesNewRoman"/>
          <w:b w:val="0"/>
          <w:i w:val="0"/>
          <w:color w:val="000000"/>
          <w:sz w:val="24"/>
        </w:rPr>
      </w:pPr>
      <w:r>
        <w:rPr>
          <w:rFonts w:ascii="Times New Roman" w:hAnsi="Times New Roman" w:cs="Times New Roman"/>
          <w:b w:val="0"/>
          <w:i w:val="0"/>
          <w:color w:val="000000"/>
          <w:sz w:val="24"/>
        </w:rPr>
        <w:br w:type="page"/>
      </w:r>
      <w:bookmarkStart w:id="709" w:name="_Toc256001470"/>
      <w:r>
        <w:rPr>
          <w:rFonts w:ascii="TimesNewRoman" w:eastAsia="TimesNewRoman" w:hAnsi="TimesNewRoman" w:cs="TimesNewRoman"/>
          <w:b w:val="0"/>
          <w:i w:val="0"/>
          <w:color w:val="000000"/>
          <w:sz w:val="24"/>
        </w:rPr>
        <w:lastRenderedPageBreak/>
        <w:t>3.5. Finančna sredstva po letih</w:t>
      </w:r>
      <w:bookmarkEnd w:id="709"/>
    </w:p>
    <w:p w14:paraId="29322135" w14:textId="77777777" w:rsidR="00A77B3E" w:rsidRDefault="00A77B3E">
      <w:pPr>
        <w:spacing w:before="5pt"/>
        <w:rPr>
          <w:rFonts w:ascii="TimesNewRoman" w:eastAsia="TimesNewRoman" w:hAnsi="TimesNewRoman" w:cs="TimesNewRoman"/>
          <w:color w:val="000000"/>
          <w:sz w:val="12"/>
        </w:rPr>
      </w:pPr>
    </w:p>
    <w:p w14:paraId="0330C759"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t>Sklic: člen 22(3)(g)(i) uredbe o skupnih določbah ter členi 3, 4 in 7 uredbe o SPP</w:t>
      </w:r>
    </w:p>
    <w:p w14:paraId="015C53B0" w14:textId="77777777" w:rsidR="00A77B3E" w:rsidRDefault="00B16CCF">
      <w:pPr>
        <w:pStyle w:val="Naslov4"/>
        <w:spacing w:before="5pt" w:after="0pt"/>
        <w:rPr>
          <w:rFonts w:ascii="TimesNewRoman" w:eastAsia="TimesNewRoman" w:hAnsi="TimesNewRoman" w:cs="TimesNewRoman"/>
          <w:b w:val="0"/>
          <w:color w:val="000000"/>
          <w:sz w:val="24"/>
        </w:rPr>
      </w:pPr>
      <w:bookmarkStart w:id="710" w:name="_Toc256001471"/>
      <w:r>
        <w:rPr>
          <w:rFonts w:ascii="TimesNewRoman" w:eastAsia="TimesNewRoman" w:hAnsi="TimesNewRoman" w:cs="TimesNewRoman"/>
          <w:b w:val="0"/>
          <w:color w:val="000000"/>
          <w:sz w:val="24"/>
        </w:rPr>
        <w:t>Tabela 10: Finančna sredstva po letih</w:t>
      </w:r>
      <w:bookmarkEnd w:id="710"/>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16"/>
        <w:gridCol w:w="1516"/>
        <w:gridCol w:w="1214"/>
        <w:gridCol w:w="1214"/>
        <w:gridCol w:w="1214"/>
        <w:gridCol w:w="1214"/>
        <w:gridCol w:w="1214"/>
        <w:gridCol w:w="1214"/>
        <w:gridCol w:w="1214"/>
        <w:gridCol w:w="1214"/>
        <w:gridCol w:w="1214"/>
        <w:gridCol w:w="1214"/>
      </w:tblGrid>
      <w:tr w:rsidR="00823317" w14:paraId="102A229B" w14:textId="77777777">
        <w:trPr>
          <w:tblHeader/>
        </w:trPr>
        <w:tc>
          <w:tcPr>
            <w:tcW w:w="7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033CD0" w14:textId="77777777" w:rsidR="00A77B3E" w:rsidRDefault="00B16CCF">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Sklad</w:t>
            </w:r>
          </w:p>
        </w:tc>
        <w:tc>
          <w:tcPr>
            <w:tcW w:w="7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40D909" w14:textId="77777777" w:rsidR="00A77B3E" w:rsidRDefault="00B16CCF">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Kategorija regije</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D3276D" w14:textId="77777777" w:rsidR="00A77B3E" w:rsidRDefault="00B16CCF">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2021</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9C75DD" w14:textId="77777777" w:rsidR="00A77B3E" w:rsidRDefault="00B16CCF">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2022</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625D19" w14:textId="77777777" w:rsidR="00A77B3E" w:rsidRDefault="00B16CCF">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2023</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9A82AB" w14:textId="77777777" w:rsidR="00A77B3E" w:rsidRDefault="00B16CCF">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2024</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9393E5" w14:textId="77777777" w:rsidR="00A77B3E" w:rsidRDefault="00B16CCF">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2025</w:t>
            </w:r>
          </w:p>
        </w:tc>
        <w:tc>
          <w:tcPr>
            <w:tcW w:w="12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9D6D65" w14:textId="77777777" w:rsidR="00A77B3E" w:rsidRDefault="00B16CCF">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2026</w:t>
            </w:r>
          </w:p>
        </w:tc>
        <w:tc>
          <w:tcPr>
            <w:tcW w:w="12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7A6DD1" w14:textId="77777777" w:rsidR="00A77B3E" w:rsidRDefault="00B16CCF">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2027</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D3D89F" w14:textId="77777777" w:rsidR="00A77B3E" w:rsidRDefault="00B16CCF">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r>
      <w:tr w:rsidR="00823317" w14:paraId="250FE448" w14:textId="77777777">
        <w:trPr>
          <w:tblHeader/>
        </w:trPr>
        <w:tc>
          <w:tcPr>
            <w:tcW w:w="7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7E5BCA" w14:textId="77777777" w:rsidR="00A77B3E" w:rsidRDefault="00A77B3E">
            <w:pPr>
              <w:spacing w:before="5pt"/>
              <w:jc w:val="center"/>
              <w:rPr>
                <w:rFonts w:ascii="TimesNewRoman" w:eastAsia="TimesNewRoman" w:hAnsi="TimesNewRoman" w:cs="TimesNewRoman"/>
                <w:color w:val="000000"/>
                <w:sz w:val="10"/>
              </w:rPr>
            </w:pPr>
          </w:p>
        </w:tc>
        <w:tc>
          <w:tcPr>
            <w:tcW w:w="7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943928" w14:textId="77777777" w:rsidR="00A77B3E" w:rsidRDefault="00A77B3E">
            <w:pPr>
              <w:spacing w:before="5pt"/>
              <w:jc w:val="center"/>
              <w:rPr>
                <w:rFonts w:ascii="TimesNewRoman" w:eastAsia="TimesNewRoman" w:hAnsi="TimesNewRoman" w:cs="TimesNewRoman"/>
                <w:color w:val="000000"/>
                <w:sz w:val="10"/>
              </w:rPr>
            </w:pP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61BF7F" w14:textId="77777777" w:rsidR="00A77B3E" w:rsidRDefault="00A77B3E">
            <w:pPr>
              <w:spacing w:before="5pt"/>
              <w:jc w:val="center"/>
              <w:rPr>
                <w:rFonts w:ascii="TimesNewRoman" w:eastAsia="TimesNewRoman" w:hAnsi="TimesNewRoman" w:cs="TimesNewRoman"/>
                <w:color w:val="000000"/>
                <w:sz w:val="10"/>
              </w:rPr>
            </w:pP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FC50AA" w14:textId="77777777" w:rsidR="00A77B3E" w:rsidRDefault="00A77B3E">
            <w:pPr>
              <w:spacing w:before="5pt"/>
              <w:jc w:val="center"/>
              <w:rPr>
                <w:rFonts w:ascii="TimesNewRoman" w:eastAsia="TimesNewRoman" w:hAnsi="TimesNewRoman" w:cs="TimesNewRoman"/>
                <w:color w:val="000000"/>
                <w:sz w:val="10"/>
              </w:rPr>
            </w:pP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0AF6852" w14:textId="77777777" w:rsidR="00A77B3E" w:rsidRDefault="00A77B3E">
            <w:pPr>
              <w:spacing w:before="5pt"/>
              <w:jc w:val="center"/>
              <w:rPr>
                <w:rFonts w:ascii="TimesNewRoman" w:eastAsia="TimesNewRoman" w:hAnsi="TimesNewRoman" w:cs="TimesNewRoman"/>
                <w:color w:val="000000"/>
                <w:sz w:val="10"/>
              </w:rPr>
            </w:pP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41CE1C" w14:textId="77777777" w:rsidR="00A77B3E" w:rsidRDefault="00A77B3E">
            <w:pPr>
              <w:spacing w:before="5pt"/>
              <w:jc w:val="center"/>
              <w:rPr>
                <w:rFonts w:ascii="TimesNewRoman" w:eastAsia="TimesNewRoman" w:hAnsi="TimesNewRoman" w:cs="TimesNewRoman"/>
                <w:color w:val="000000"/>
                <w:sz w:val="10"/>
              </w:rPr>
            </w:pP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8CC41D" w14:textId="77777777" w:rsidR="00A77B3E" w:rsidRDefault="00A77B3E">
            <w:pPr>
              <w:spacing w:before="5pt"/>
              <w:jc w:val="center"/>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4C725E" w14:textId="77777777" w:rsidR="00A77B3E" w:rsidRDefault="00B16CCF">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Odobrena finančna sredstva brez zneska prožnosti</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CC2DEF" w14:textId="77777777" w:rsidR="00A77B3E" w:rsidRDefault="00B16CCF">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Znesek prožnosti</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0ADCA0" w14:textId="77777777" w:rsidR="00A77B3E" w:rsidRDefault="00B16CCF">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Odobrena finančna sredstva brez zneska prožnosti</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BEC5CF" w14:textId="77777777" w:rsidR="00A77B3E" w:rsidRDefault="00B16CCF">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Znesek prožnosti</w:t>
            </w: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B76E50" w14:textId="77777777" w:rsidR="00A77B3E" w:rsidRDefault="00A77B3E">
            <w:pPr>
              <w:spacing w:before="5pt"/>
              <w:jc w:val="center"/>
              <w:rPr>
                <w:rFonts w:ascii="TimesNewRoman" w:eastAsia="TimesNewRoman" w:hAnsi="TimesNewRoman" w:cs="TimesNewRoman"/>
                <w:color w:val="000000"/>
                <w:sz w:val="10"/>
              </w:rPr>
            </w:pPr>
          </w:p>
        </w:tc>
      </w:tr>
      <w:tr w:rsidR="00823317" w14:paraId="23A968F1" w14:textId="77777777">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B56350"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AFE700"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Bolj razvite regije</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3DDD6B"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64135D"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70.408.132,00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4780D2"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71.421.682,00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25CE4E"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65.044.910,00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687442"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66.099.685,00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40CD6F"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27.387.417,00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1603C6"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27.387.417,00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9BA4B6"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27.936.114,00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0AB588"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27.936.115,00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E2ECF6"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383.621.472,00</w:t>
            </w:r>
          </w:p>
        </w:tc>
      </w:tr>
      <w:tr w:rsidR="00823317" w14:paraId="0EE90A17" w14:textId="77777777">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2BBBA5"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CA7777"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Manj razvite regije</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55F7DC"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126E6A"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223.212.956,00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22BAE3"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226.426.485,00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688344"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206.216.785,00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807149"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209.557.165,00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86F674"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86.823.679,00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A9A093"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86.823.679,00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81F87A"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88.551.541,00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262855"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88.551.540,00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E5E75A"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1.216.163.830,00</w:t>
            </w:r>
          </w:p>
        </w:tc>
      </w:tr>
      <w:tr w:rsidR="00823317" w14:paraId="7F92B2D4" w14:textId="77777777">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34D625"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 ESRR</w:t>
            </w: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081ADB"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FAF161"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0ADFB4"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293.621.088,00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34ED3C"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297.848.167,00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7DDF68"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271.261.695,00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F04CA1"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275.656.850,00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B8B101"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114.211.096,00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6B383A"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114.211.096,00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58B9C6"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116.487.655,00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DBBD52"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116.487.655,00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FAA4D7"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1.599.785.302,00</w:t>
            </w:r>
          </w:p>
        </w:tc>
      </w:tr>
      <w:tr w:rsidR="00823317" w14:paraId="67EF1453" w14:textId="77777777">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E37058"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ESS+*</w:t>
            </w: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59A739"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Bolj razvite regije</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712BF2"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AFAE83"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20.415.639,00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C6E25C"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20.894.675,00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E6A630"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28.794.253,00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822CD8"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29.292.738,00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FF3728"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11.968.911,00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F3C775"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11.968.910,00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37A9BE"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12.228.224,00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77E0DA"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12.228.224,00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F9C45D"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147.791.574,00</w:t>
            </w:r>
          </w:p>
        </w:tc>
      </w:tr>
      <w:tr w:rsidR="00823317" w14:paraId="59BCED1F" w14:textId="77777777">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EBADC2"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ESS+*</w:t>
            </w: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75E41D"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Manj razvite regije</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BCF0F1"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74478A"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67.995.674,00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E92185"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69.514.319,00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B7C17D"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94.557.707,00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86878A"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96.138.019,00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0A9CA3"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39.580.881,00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281273"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39.580.881,00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589B93"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40.402.970,00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55090D"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40.402.970,00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492FD5"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488.173.421,00</w:t>
            </w:r>
          </w:p>
        </w:tc>
      </w:tr>
      <w:tr w:rsidR="00823317" w14:paraId="6A95BA31" w14:textId="77777777">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E1AA15"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 ESS+</w:t>
            </w: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46D014"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A9710B"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62B4C7"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88.411.313,00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BDDA7C"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90.408.994,00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7396A0"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123.351.960,00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663351"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125.430.757,00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CB974C"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51.549.792,00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781587"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51.549.791,00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DEAA7E"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52.631.194,00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3F846E"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52.631.194,00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C855F0"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635.964.995,00</w:t>
            </w:r>
          </w:p>
        </w:tc>
      </w:tr>
      <w:tr w:rsidR="00823317" w14:paraId="0E391084" w14:textId="77777777">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14DA1F"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SPP* - Sredstva SPP iz člena 3</w:t>
            </w: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009573"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7253D6"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072AB6"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19.353.124,00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FE4629"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19.663.993,00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D655A8"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19.981.080,00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A0E1CD"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20.304.509,00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035228"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8.412.367,00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73BCD1"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8.412.368,00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1F9A89"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8.580.614,00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782FDF"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8.580.615,00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D13708"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113.288.670,00</w:t>
            </w:r>
          </w:p>
        </w:tc>
      </w:tr>
      <w:tr w:rsidR="00823317" w14:paraId="4EDB7B40" w14:textId="77777777">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3B4CEE"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SPP - Sredstva SPP iz člena 4</w:t>
            </w: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030A0D"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A5420F"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E3E8CD"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72.138.556,00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66F8E2"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73.297.317,00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66CC0B"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AEA8F2"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943BC8"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C648C4"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E24A43"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47DBFB"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CF1EC0"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145.435.873,00</w:t>
            </w:r>
          </w:p>
        </w:tc>
      </w:tr>
      <w:tr w:rsidR="00823317" w14:paraId="5F271E4B" w14:textId="77777777">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141560"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SPP - Sredstva SPP iz člena 7, povezana s sredstvi SPP iz člena 3</w:t>
            </w: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84D684"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269391"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F80734"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393474"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9E0274"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D124D0"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7DFF06"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AD839D"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9EF03C"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72EB3E"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B75AE6" w14:textId="77777777" w:rsidR="00A77B3E" w:rsidRDefault="00A77B3E">
            <w:pPr>
              <w:spacing w:before="5pt"/>
              <w:jc w:val="end"/>
              <w:rPr>
                <w:rFonts w:ascii="TimesNewRoman" w:eastAsia="TimesNewRoman" w:hAnsi="TimesNewRoman" w:cs="TimesNewRoman"/>
                <w:color w:val="000000"/>
                <w:sz w:val="10"/>
              </w:rPr>
            </w:pPr>
          </w:p>
        </w:tc>
      </w:tr>
      <w:tr w:rsidR="00823317" w14:paraId="2A7BB23F" w14:textId="77777777">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C1FCEF"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SPP - Sredstva SPP iz člena 7, povezana s sredstvi SPP iz člena 4</w:t>
            </w: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1146EB"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DAAD5D"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39BCB3"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08F8CB"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3D4E72"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F76F49"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7537BC"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E7F693"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EB1FA0"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28F5C5"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696CB2" w14:textId="77777777" w:rsidR="00A77B3E" w:rsidRDefault="00A77B3E">
            <w:pPr>
              <w:spacing w:before="5pt"/>
              <w:jc w:val="end"/>
              <w:rPr>
                <w:rFonts w:ascii="TimesNewRoman" w:eastAsia="TimesNewRoman" w:hAnsi="TimesNewRoman" w:cs="TimesNewRoman"/>
                <w:color w:val="000000"/>
                <w:sz w:val="10"/>
              </w:rPr>
            </w:pPr>
          </w:p>
        </w:tc>
      </w:tr>
      <w:tr w:rsidR="00823317" w14:paraId="36B4AB19" w14:textId="77777777">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71DC99"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 SPP</w:t>
            </w: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28BEE3"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2FD41E"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E971F2"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91.491.680,00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C50BE2"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92.961.310,00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65B511"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19.981.080,00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E03075"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20.304.509,00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AFC5D5"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8.412.367,00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45413E"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8.412.368,00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E4983A"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8.580.614,00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B0C574"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8.580.615,00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93F1EC"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258.724.543,00</w:t>
            </w:r>
          </w:p>
        </w:tc>
      </w:tr>
      <w:tr w:rsidR="00823317" w14:paraId="09D9317C" w14:textId="77777777">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14B90B"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Kohezijski sklad</w:t>
            </w: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0BC877"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166588"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41E640"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122.688.976,00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2B08E9"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124.659.728,00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017616"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126.669.895,00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1C009C"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128.720.267,00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50399D"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53.330.135,00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BF06D1"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53.330.136,00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753E0B"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54.396.738,00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D9F5B9"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54.396.738,00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B4B039"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718.192.613,00</w:t>
            </w:r>
          </w:p>
        </w:tc>
      </w:tr>
      <w:tr w:rsidR="00823317" w14:paraId="224F8A0D" w14:textId="77777777">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4C0D0E"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 Kohezijski sklad</w:t>
            </w: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9DB5F7"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5AA385"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3FD02C"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122.688.976,00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22244B"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124.659.728,00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D711E9"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126.669.895,00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D6E81E"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128.720.267,00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93A3E3"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53.330.135,00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02FEE7"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53.330.136,00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F9A9AE"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54.396.738,00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EF2FCF"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54.396.738,00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09E980"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718.192.613,00</w:t>
            </w:r>
          </w:p>
        </w:tc>
      </w:tr>
      <w:tr w:rsidR="00823317" w14:paraId="1E55F167" w14:textId="77777777">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6FD130"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B90EAE"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7506CC"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9294ED"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596.213.057,00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68399D"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605.878.199,00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771D12"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541.264.630,00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A2F7A2"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550.112.383,00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02CF41"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227.503.390,00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D5BC71"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227.503.391,00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AB0E00"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232.096.201,00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44CC67"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232.096.202,00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6239F3"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3.212.667.453,00</w:t>
            </w:r>
          </w:p>
        </w:tc>
      </w:tr>
    </w:tbl>
    <w:p w14:paraId="621ABE5A"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 zneski po dopolnilni prerazporeditvi v SPP.</w:t>
      </w:r>
    </w:p>
    <w:p w14:paraId="37057CE7" w14:textId="77777777" w:rsidR="00A77B3E" w:rsidRDefault="00B16CCF">
      <w:pPr>
        <w:pStyle w:val="Naslov2"/>
        <w:spacing w:before="5pt" w:after="0pt"/>
        <w:rPr>
          <w:rFonts w:ascii="TimesNewRoman" w:eastAsia="TimesNewRoman" w:hAnsi="TimesNewRoman" w:cs="TimesNewRoman"/>
          <w:b w:val="0"/>
          <w:i w:val="0"/>
          <w:color w:val="000000"/>
          <w:sz w:val="24"/>
        </w:rPr>
      </w:pPr>
      <w:r>
        <w:rPr>
          <w:rFonts w:ascii="TimesNewRoman" w:eastAsia="TimesNewRoman" w:hAnsi="TimesNewRoman" w:cs="TimesNewRoman"/>
          <w:b w:val="0"/>
          <w:i w:val="0"/>
          <w:color w:val="000000"/>
          <w:sz w:val="24"/>
        </w:rPr>
        <w:br w:type="page"/>
      </w:r>
      <w:bookmarkStart w:id="711" w:name="_Toc256001472"/>
      <w:r>
        <w:rPr>
          <w:rFonts w:ascii="TimesNewRoman" w:eastAsia="TimesNewRoman" w:hAnsi="TimesNewRoman" w:cs="TimesNewRoman"/>
          <w:b w:val="0"/>
          <w:i w:val="0"/>
          <w:color w:val="000000"/>
          <w:sz w:val="24"/>
        </w:rPr>
        <w:lastRenderedPageBreak/>
        <w:t>3.6. Skupna finančna sredstva po skladih in nacionalno sofinanciranje</w:t>
      </w:r>
      <w:bookmarkEnd w:id="711"/>
    </w:p>
    <w:p w14:paraId="68958D92" w14:textId="77777777" w:rsidR="00A77B3E" w:rsidRDefault="00A77B3E">
      <w:pPr>
        <w:spacing w:before="5pt"/>
        <w:rPr>
          <w:rFonts w:ascii="TimesNewRoman" w:eastAsia="TimesNewRoman" w:hAnsi="TimesNewRoman" w:cs="TimesNewRoman"/>
          <w:color w:val="000000"/>
        </w:rPr>
      </w:pPr>
    </w:p>
    <w:p w14:paraId="4C650A35"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t>Sklic: člen 22(3)(g)(ii), člen 22(6) in člen 36 uredbe o skupnih določbah</w:t>
      </w:r>
    </w:p>
    <w:p w14:paraId="5B4569DF" w14:textId="77777777" w:rsidR="00A77B3E" w:rsidRDefault="00A77B3E">
      <w:pPr>
        <w:spacing w:before="5pt"/>
        <w:rPr>
          <w:rFonts w:ascii="TimesNewRoman" w:eastAsia="TimesNewRoman" w:hAnsi="TimesNewRoman" w:cs="TimesNewRoman"/>
          <w:color w:val="000000"/>
          <w:sz w:val="0"/>
        </w:rPr>
      </w:pPr>
    </w:p>
    <w:p w14:paraId="10FB68F4"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t>Za cilj „naložbe za delovna mesta in rast“: programi, ki uporabljajo tehnično pomoč v skladu s členom 36(5) uredbe o skupnih določbah v skladu z odločitvijo iz sporazuma o partnerstvu.</w:t>
      </w:r>
    </w:p>
    <w:p w14:paraId="17F6236C" w14:textId="77777777" w:rsidR="00A77B3E" w:rsidRDefault="00B16CCF">
      <w:pPr>
        <w:pStyle w:val="Naslov4"/>
        <w:spacing w:before="5pt" w:after="0pt"/>
        <w:rPr>
          <w:rFonts w:ascii="TimesNewRoman" w:eastAsia="TimesNewRoman" w:hAnsi="TimesNewRoman" w:cs="TimesNewRoman"/>
          <w:b w:val="0"/>
          <w:color w:val="000000"/>
          <w:sz w:val="24"/>
        </w:rPr>
      </w:pPr>
      <w:bookmarkStart w:id="712" w:name="_Toc256001473"/>
      <w:r>
        <w:rPr>
          <w:rFonts w:ascii="TimesNewRoman" w:eastAsia="TimesNewRoman" w:hAnsi="TimesNewRoman" w:cs="TimesNewRoman"/>
          <w:b w:val="0"/>
          <w:color w:val="000000"/>
          <w:sz w:val="24"/>
        </w:rPr>
        <w:t>Tabela 11: Skupne finančne dodelitve po skladih in nacionalni prispevek</w:t>
      </w:r>
      <w:bookmarkEnd w:id="712"/>
    </w:p>
    <w:p w14:paraId="58B9A459" w14:textId="77777777" w:rsidR="00A77B3E" w:rsidRDefault="00A77B3E">
      <w:pPr>
        <w:spacing w:before="5pt"/>
        <w:rPr>
          <w:rFonts w:ascii="TimesNewRoman" w:eastAsia="TimesNewRoman" w:hAnsi="TimesNewRoman" w:cs="TimesNewRoman"/>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012"/>
        <w:gridCol w:w="1012"/>
        <w:gridCol w:w="1012"/>
        <w:gridCol w:w="1012"/>
        <w:gridCol w:w="1012"/>
        <w:gridCol w:w="1012"/>
        <w:gridCol w:w="1012"/>
        <w:gridCol w:w="1011"/>
        <w:gridCol w:w="1011"/>
        <w:gridCol w:w="1011"/>
        <w:gridCol w:w="1011"/>
        <w:gridCol w:w="1011"/>
        <w:gridCol w:w="1011"/>
        <w:gridCol w:w="1011"/>
        <w:gridCol w:w="1011"/>
      </w:tblGrid>
      <w:tr w:rsidR="00823317" w14:paraId="18ED148A" w14:textId="77777777">
        <w:trPr>
          <w:tblHeader/>
        </w:trPr>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4E2DA6C" w14:textId="77777777" w:rsidR="00A77B3E" w:rsidRDefault="00B16CCF">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Številka specifičnega cilja politike / SPP ali tehnična pomoč</w:t>
            </w: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E2573E" w14:textId="77777777" w:rsidR="00A77B3E" w:rsidRDefault="00B16CCF">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Prednostna naloga</w:t>
            </w: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39E8F3" w14:textId="77777777" w:rsidR="00A77B3E" w:rsidRDefault="00B16CCF">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Osnova za izračun podpore Unije (skupni upravičeni stroški ali javni prispevek)</w:t>
            </w: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AA7CD6" w14:textId="77777777" w:rsidR="00A77B3E" w:rsidRDefault="00B16CCF">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Sklad</w:t>
            </w: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83C6F4" w14:textId="77777777" w:rsidR="00A77B3E" w:rsidRDefault="00B16CCF">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Kategorija regije*</w:t>
            </w: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7454BC" w14:textId="77777777" w:rsidR="00A77B3E" w:rsidRDefault="00B16CCF">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Prispevek Unije (a) = (b) + (c) + (i) + (j)</w:t>
            </w:r>
          </w:p>
        </w:tc>
        <w:tc>
          <w:tcPr>
            <w:tcW w:w="200pt" w:type="dxa"/>
            <w:gridSpan w:val="4"/>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1E37ED3" w14:textId="77777777" w:rsidR="00A77B3E" w:rsidRDefault="00B16CCF">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Razčlenitev prispevka Unije</w:t>
            </w: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8525EA" w14:textId="77777777" w:rsidR="00A77B3E" w:rsidRDefault="00B16CCF">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Nacionalni prispevek (d) = (e) + (f)</w:t>
            </w:r>
          </w:p>
        </w:tc>
        <w:tc>
          <w:tcPr>
            <w:tcW w:w="1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0C63DE" w14:textId="77777777" w:rsidR="00A77B3E" w:rsidRDefault="00B16CCF">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Okvirna razčlenitev nacionalnega prispevka</w:t>
            </w: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5FF7AC" w14:textId="77777777" w:rsidR="00A77B3E" w:rsidRDefault="00B16CCF">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Skupaj (g)=(a)+(d)</w:t>
            </w: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AD218D" w14:textId="77777777" w:rsidR="00A77B3E" w:rsidRDefault="00B16CCF">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Stopnja sofinanciranja (h) = (a)/(g)</w:t>
            </w:r>
          </w:p>
        </w:tc>
      </w:tr>
      <w:tr w:rsidR="00823317" w14:paraId="6616D01F" w14:textId="77777777">
        <w:trPr>
          <w:tblHeader/>
        </w:trPr>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39ACCD" w14:textId="77777777" w:rsidR="00A77B3E" w:rsidRDefault="00A77B3E">
            <w:pPr>
              <w:spacing w:before="5pt"/>
              <w:jc w:val="center"/>
              <w:rPr>
                <w:rFonts w:ascii="TimesNewRoman" w:eastAsia="TimesNewRoman" w:hAnsi="TimesNewRoman" w:cs="TimesNewRoman"/>
                <w:color w:val="000000"/>
                <w:sz w:val="1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A716ED" w14:textId="77777777" w:rsidR="00A77B3E" w:rsidRDefault="00A77B3E">
            <w:pPr>
              <w:spacing w:before="5pt"/>
              <w:jc w:val="center"/>
              <w:rPr>
                <w:rFonts w:ascii="TimesNewRoman" w:eastAsia="TimesNewRoman" w:hAnsi="TimesNewRoman" w:cs="TimesNewRoman"/>
                <w:color w:val="000000"/>
                <w:sz w:val="1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22775DD" w14:textId="77777777" w:rsidR="00A77B3E" w:rsidRDefault="00A77B3E">
            <w:pPr>
              <w:spacing w:before="5pt"/>
              <w:jc w:val="center"/>
              <w:rPr>
                <w:rFonts w:ascii="TimesNewRoman" w:eastAsia="TimesNewRoman" w:hAnsi="TimesNewRoman" w:cs="TimesNewRoman"/>
                <w:color w:val="000000"/>
                <w:sz w:val="1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E16B30" w14:textId="77777777" w:rsidR="00A77B3E" w:rsidRDefault="00A77B3E">
            <w:pPr>
              <w:spacing w:before="5pt"/>
              <w:jc w:val="center"/>
              <w:rPr>
                <w:rFonts w:ascii="TimesNewRoman" w:eastAsia="TimesNewRoman" w:hAnsi="TimesNewRoman" w:cs="TimesNewRoman"/>
                <w:color w:val="000000"/>
                <w:sz w:val="1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D9EA5B" w14:textId="77777777" w:rsidR="00A77B3E" w:rsidRDefault="00A77B3E">
            <w:pPr>
              <w:spacing w:before="5pt"/>
              <w:jc w:val="center"/>
              <w:rPr>
                <w:rFonts w:ascii="TimesNewRoman" w:eastAsia="TimesNewRoman" w:hAnsi="TimesNewRoman" w:cs="TimesNewRoman"/>
                <w:color w:val="000000"/>
                <w:sz w:val="1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005755" w14:textId="77777777" w:rsidR="00A77B3E" w:rsidRDefault="00A77B3E">
            <w:pPr>
              <w:spacing w:before="5pt"/>
              <w:jc w:val="center"/>
              <w:rPr>
                <w:rFonts w:ascii="TimesNewRoman" w:eastAsia="TimesNewRoman" w:hAnsi="TimesNewRoman" w:cs="TimesNewRoman"/>
                <w:color w:val="000000"/>
                <w:sz w:val="10"/>
              </w:rPr>
            </w:pPr>
          </w:p>
        </w:tc>
        <w:tc>
          <w:tcPr>
            <w:tcW w:w="1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235382" w14:textId="77777777" w:rsidR="00A77B3E" w:rsidRDefault="00B16CCF">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Prispevek Unije</w:t>
            </w:r>
          </w:p>
        </w:tc>
        <w:tc>
          <w:tcPr>
            <w:tcW w:w="1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479758" w14:textId="77777777" w:rsidR="00A77B3E" w:rsidRDefault="00B16CCF">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Znesek prilagodljivosti</w:t>
            </w: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285BAC6" w14:textId="77777777" w:rsidR="00A77B3E" w:rsidRDefault="00A77B3E">
            <w:pPr>
              <w:spacing w:before="5pt"/>
              <w:jc w:val="center"/>
              <w:rPr>
                <w:rFonts w:ascii="TimesNewRoman" w:eastAsia="TimesNewRoman" w:hAnsi="TimesNewRoman" w:cs="TimesNewRoman"/>
                <w:color w:val="000000"/>
                <w:sz w:val="1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5B136C" w14:textId="77777777" w:rsidR="00A77B3E" w:rsidRDefault="00B16CCF">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Javno (e)</w:t>
            </w: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405053D" w14:textId="77777777" w:rsidR="00A77B3E" w:rsidRDefault="00B16CCF">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Zasebno (f)</w:t>
            </w: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A6E600" w14:textId="77777777" w:rsidR="00A77B3E" w:rsidRDefault="00A77B3E">
            <w:pPr>
              <w:spacing w:before="5pt"/>
              <w:jc w:val="center"/>
              <w:rPr>
                <w:rFonts w:ascii="TimesNewRoman" w:eastAsia="TimesNewRoman" w:hAnsi="TimesNewRoman" w:cs="TimesNewRoman"/>
                <w:color w:val="000000"/>
                <w:sz w:val="1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D27D1E" w14:textId="77777777" w:rsidR="00A77B3E" w:rsidRDefault="00A77B3E">
            <w:pPr>
              <w:spacing w:before="5pt"/>
              <w:jc w:val="center"/>
              <w:rPr>
                <w:rFonts w:ascii="TimesNewRoman" w:eastAsia="TimesNewRoman" w:hAnsi="TimesNewRoman" w:cs="TimesNewRoman"/>
                <w:color w:val="000000"/>
                <w:sz w:val="10"/>
              </w:rPr>
            </w:pPr>
          </w:p>
        </w:tc>
      </w:tr>
      <w:tr w:rsidR="00823317" w14:paraId="6D0FDD24" w14:textId="77777777">
        <w:trPr>
          <w:tblHeader/>
        </w:trPr>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3B2881" w14:textId="77777777" w:rsidR="00A77B3E" w:rsidRDefault="00A77B3E">
            <w:pPr>
              <w:spacing w:before="5pt"/>
              <w:jc w:val="center"/>
              <w:rPr>
                <w:rFonts w:ascii="TimesNewRoman" w:eastAsia="TimesNewRoman" w:hAnsi="TimesNewRoman" w:cs="TimesNewRoman"/>
                <w:color w:val="000000"/>
                <w:sz w:val="1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8D9E47" w14:textId="77777777" w:rsidR="00A77B3E" w:rsidRDefault="00A77B3E">
            <w:pPr>
              <w:spacing w:before="5pt"/>
              <w:jc w:val="center"/>
              <w:rPr>
                <w:rFonts w:ascii="TimesNewRoman" w:eastAsia="TimesNewRoman" w:hAnsi="TimesNewRoman" w:cs="TimesNewRoman"/>
                <w:color w:val="000000"/>
                <w:sz w:val="1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FDD33A" w14:textId="77777777" w:rsidR="00A77B3E" w:rsidRDefault="00A77B3E">
            <w:pPr>
              <w:spacing w:before="5pt"/>
              <w:jc w:val="center"/>
              <w:rPr>
                <w:rFonts w:ascii="TimesNewRoman" w:eastAsia="TimesNewRoman" w:hAnsi="TimesNewRoman" w:cs="TimesNewRoman"/>
                <w:color w:val="000000"/>
                <w:sz w:val="1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9D0BD8" w14:textId="77777777" w:rsidR="00A77B3E" w:rsidRDefault="00A77B3E">
            <w:pPr>
              <w:spacing w:before="5pt"/>
              <w:jc w:val="center"/>
              <w:rPr>
                <w:rFonts w:ascii="TimesNewRoman" w:eastAsia="TimesNewRoman" w:hAnsi="TimesNewRoman" w:cs="TimesNewRoman"/>
                <w:color w:val="000000"/>
                <w:sz w:val="1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DC4B04" w14:textId="77777777" w:rsidR="00A77B3E" w:rsidRDefault="00A77B3E">
            <w:pPr>
              <w:spacing w:before="5pt"/>
              <w:jc w:val="center"/>
              <w:rPr>
                <w:rFonts w:ascii="TimesNewRoman" w:eastAsia="TimesNewRoman" w:hAnsi="TimesNewRoman" w:cs="TimesNewRoman"/>
                <w:color w:val="000000"/>
                <w:sz w:val="1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36A15C" w14:textId="77777777" w:rsidR="00A77B3E" w:rsidRDefault="00A77B3E">
            <w:pPr>
              <w:spacing w:before="5pt"/>
              <w:jc w:val="center"/>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D91626" w14:textId="77777777" w:rsidR="00A77B3E" w:rsidRDefault="00B16CCF">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brez tehnične pomoči na podlagi člena 36(5)</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336D78" w14:textId="77777777" w:rsidR="00A77B3E" w:rsidRDefault="00B16CCF">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za tehnično pomoč na podlagi člena 36(5)</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FB813E" w14:textId="77777777" w:rsidR="00A77B3E" w:rsidRDefault="00B16CCF">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brez tehnične pomoči na podlagi člena 36(5)</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99E989" w14:textId="77777777" w:rsidR="00A77B3E" w:rsidRDefault="00B16CCF">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za tehnično pomoč na podlagi člena 36(5)</w:t>
            </w: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A10796" w14:textId="77777777" w:rsidR="00A77B3E" w:rsidRDefault="00A77B3E">
            <w:pPr>
              <w:spacing w:before="5pt"/>
              <w:jc w:val="center"/>
              <w:rPr>
                <w:rFonts w:ascii="TimesNewRoman" w:eastAsia="TimesNewRoman" w:hAnsi="TimesNewRoman" w:cs="TimesNewRoman"/>
                <w:color w:val="000000"/>
                <w:sz w:val="1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ACBEA9" w14:textId="77777777" w:rsidR="00A77B3E" w:rsidRDefault="00A77B3E">
            <w:pPr>
              <w:spacing w:before="5pt"/>
              <w:jc w:val="center"/>
              <w:rPr>
                <w:rFonts w:ascii="TimesNewRoman" w:eastAsia="TimesNewRoman" w:hAnsi="TimesNewRoman" w:cs="TimesNewRoman"/>
                <w:color w:val="000000"/>
                <w:sz w:val="1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1B49EF" w14:textId="77777777" w:rsidR="00A77B3E" w:rsidRDefault="00A77B3E">
            <w:pPr>
              <w:spacing w:before="5pt"/>
              <w:jc w:val="center"/>
              <w:rPr>
                <w:rFonts w:ascii="TimesNewRoman" w:eastAsia="TimesNewRoman" w:hAnsi="TimesNewRoman" w:cs="TimesNewRoman"/>
                <w:color w:val="000000"/>
                <w:sz w:val="1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F04F6E" w14:textId="77777777" w:rsidR="00A77B3E" w:rsidRDefault="00A77B3E">
            <w:pPr>
              <w:spacing w:before="5pt"/>
              <w:jc w:val="center"/>
              <w:rPr>
                <w:rFonts w:ascii="TimesNewRoman" w:eastAsia="TimesNewRoman" w:hAnsi="TimesNewRoman" w:cs="TimesNewRoman"/>
                <w:color w:val="000000"/>
                <w:sz w:val="1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3242799" w14:textId="77777777" w:rsidR="00A77B3E" w:rsidRDefault="00A77B3E">
            <w:pPr>
              <w:spacing w:before="5pt"/>
              <w:jc w:val="center"/>
              <w:rPr>
                <w:rFonts w:ascii="TimesNewRoman" w:eastAsia="TimesNewRoman" w:hAnsi="TimesNewRoman" w:cs="TimesNewRoman"/>
                <w:color w:val="000000"/>
                <w:sz w:val="10"/>
              </w:rPr>
            </w:pPr>
          </w:p>
        </w:tc>
      </w:tr>
      <w:tr w:rsidR="00823317" w14:paraId="32563981" w14:textId="77777777">
        <w:trPr>
          <w:tblHeader/>
        </w:trPr>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A38FA3" w14:textId="77777777" w:rsidR="00A77B3E" w:rsidRDefault="00A77B3E">
            <w:pPr>
              <w:spacing w:before="5pt"/>
              <w:jc w:val="center"/>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CA26DF" w14:textId="77777777" w:rsidR="00A77B3E" w:rsidRDefault="00A77B3E">
            <w:pPr>
              <w:spacing w:before="5pt"/>
              <w:jc w:val="center"/>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421DDE" w14:textId="77777777" w:rsidR="00A77B3E" w:rsidRDefault="00A77B3E">
            <w:pPr>
              <w:spacing w:before="5pt"/>
              <w:jc w:val="center"/>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8093DB" w14:textId="77777777" w:rsidR="00A77B3E" w:rsidRDefault="00A77B3E">
            <w:pPr>
              <w:spacing w:before="5pt"/>
              <w:jc w:val="center"/>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B519F6" w14:textId="77777777" w:rsidR="00A77B3E" w:rsidRDefault="00A77B3E">
            <w:pPr>
              <w:spacing w:before="5pt"/>
              <w:jc w:val="center"/>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B1F7AA" w14:textId="77777777" w:rsidR="00A77B3E" w:rsidRDefault="00A77B3E">
            <w:pPr>
              <w:spacing w:before="5pt"/>
              <w:jc w:val="center"/>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7713FF" w14:textId="77777777" w:rsidR="00A77B3E" w:rsidRDefault="00B16CCF">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(b)</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46CBF1" w14:textId="77777777" w:rsidR="00A77B3E" w:rsidRDefault="00B16CCF">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(c)</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0AC021" w14:textId="77777777" w:rsidR="00A77B3E" w:rsidRDefault="00B16CCF">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(i)</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799B31" w14:textId="77777777" w:rsidR="00A77B3E" w:rsidRDefault="00B16CCF">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435B2D" w14:textId="77777777" w:rsidR="00A77B3E" w:rsidRDefault="00A77B3E">
            <w:pPr>
              <w:spacing w:before="5pt"/>
              <w:jc w:val="center"/>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0DA5E9" w14:textId="77777777" w:rsidR="00A77B3E" w:rsidRDefault="00A77B3E">
            <w:pPr>
              <w:spacing w:before="5pt"/>
              <w:jc w:val="center"/>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A2D050" w14:textId="77777777" w:rsidR="00A77B3E" w:rsidRDefault="00A77B3E">
            <w:pPr>
              <w:spacing w:before="5pt"/>
              <w:jc w:val="center"/>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41E397E" w14:textId="77777777" w:rsidR="00A77B3E" w:rsidRDefault="00A77B3E">
            <w:pPr>
              <w:spacing w:before="5pt"/>
              <w:jc w:val="center"/>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908BF6" w14:textId="77777777" w:rsidR="00A77B3E" w:rsidRDefault="00A77B3E">
            <w:pPr>
              <w:spacing w:before="5pt"/>
              <w:jc w:val="center"/>
              <w:rPr>
                <w:rFonts w:ascii="TimesNewRoman" w:eastAsia="TimesNewRoman" w:hAnsi="TimesNewRoman" w:cs="TimesNewRoman"/>
                <w:color w:val="000000"/>
                <w:sz w:val="10"/>
              </w:rPr>
            </w:pPr>
          </w:p>
        </w:tc>
      </w:tr>
      <w:tr w:rsidR="00823317" w14:paraId="14417E55"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E8DB3D"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1</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2F70AC"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1</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027B8E"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4AE734"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948FF5"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Bolj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636A38"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221.311.316,00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EEB360"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182.990.491,00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6412DC"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6.404.665,00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346979"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30.836.868,00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BF21D9"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1.079.292,00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8241F9"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333.603.243,00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29B384"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137.096.037,00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D8A26D"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196.507.206,00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DBF06A"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554.914.559,00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A2CA8E"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39,8820525450%</w:t>
            </w:r>
          </w:p>
        </w:tc>
      </w:tr>
      <w:tr w:rsidR="00823317" w14:paraId="2FC5D025"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984711"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1</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EB15E3"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1</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B3A6F0"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184099"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72E75B"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Manj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224342"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428.162.641,00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7B1377"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354.029.025,00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A6B563"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12.391.015,00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898C26"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59.654.687,00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D2914F"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2.087.914,00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1D2EC8"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75.567.501,00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989981"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31.167.380,00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45C473"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44.400.121,00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8E60C5"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503.730.142,00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233C1C"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84,9984158780%</w:t>
            </w:r>
          </w:p>
        </w:tc>
      </w:tr>
      <w:tr w:rsidR="00823317" w14:paraId="543B6F9A"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CEEA57"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1</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00EFB5"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2</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F8E65F"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AA8867"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3FB29B"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Bolj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B3C052"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4.221.500,00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E5E5BB"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3.490.532,00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AAE58A"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122.169,00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34B839"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588.212,00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8C3B6D"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20.587,00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D07A7A"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6.332.250,00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F73E70"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6.118.116,00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23174C"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214.134,00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417276"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10.553.750,00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D0E704"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40,0000000000%</w:t>
            </w:r>
          </w:p>
        </w:tc>
      </w:tr>
      <w:tr w:rsidR="00823317" w14:paraId="6F73E86E"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35370C"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1</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8D8182"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2</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AE09E8"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BECD2B"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D1B3D3"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Manj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EC913F"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16.129.440,00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8D17CB"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13.336.730,00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D6B4F7"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466.786,00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E9490F"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2.247.270,00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A4C2C8"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78.654,00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D12F94"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2.846.372,00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1AE7BB"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2.750.118,00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38B5CA"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96.254,00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A303D1"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18.975.812,00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D61F19"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84,9999989460%</w:t>
            </w:r>
          </w:p>
        </w:tc>
      </w:tr>
      <w:tr w:rsidR="00823317" w14:paraId="69DF16E2"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A8C8CF"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1</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2C88FE"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11</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9018F2"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19B6E3"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89EB11"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Bolj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0BB243"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29.911.899,00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C2A481"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24.732.550,00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2DE5D8"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865.639,00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D76869"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4.167.836,00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CD4EEC"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145.874,00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599837"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313FB6"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65F8C5"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055443"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29.911.899,00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7E7F1C"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100,0000000000%</w:t>
            </w:r>
          </w:p>
        </w:tc>
      </w:tr>
      <w:tr w:rsidR="00823317" w14:paraId="13E2ADC3"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7DC168"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1</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717C70"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11</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BF9D5F"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050055"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EA86E8"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Manj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4674CE"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73.588.100,00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FBECDB"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60.846.793,00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BA8E96"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2.129.637,00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FCE23E"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10.252.821,00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801E84"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358.849,00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1F9E6C"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0D615C"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5CF53E"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3917CC"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73.588.100,00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52E9DD"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100,0000000000%</w:t>
            </w:r>
          </w:p>
        </w:tc>
      </w:tr>
      <w:tr w:rsidR="00823317" w14:paraId="0A094537"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30C9A8"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2</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B53E99"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3</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2F4422"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5589F2"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99C83A"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Bolj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A34591"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92.704.549,00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B0B481"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76.652.435,00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0970C3"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2.682.835,00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37AFA6"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12.917.178,00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5A3FBB"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452.101,00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4BCD44"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147.595.574,00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0E6580"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63.591.320,00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589107"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84.004.254,00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C095DC"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240.300.123,00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41C402"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38,5786523297%</w:t>
            </w:r>
          </w:p>
        </w:tc>
      </w:tr>
      <w:tr w:rsidR="00823317" w14:paraId="7B5D16D9"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B10335"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2</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D4D2E2"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3</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AAFEA5"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F7D1E9"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3CCCE8"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Manj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8DC462"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345.705.036,00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B3D738"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285.848.427,00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543D3D"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10.004.695,00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BE01FC"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48.166.101,00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5F0810"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1.685.813,00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C511FF"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63.655.154,00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5048B7"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36.333.408,00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026FAC"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27.321.746,00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82CF22"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409.360.190,00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51274A"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84,4500868538%</w:t>
            </w:r>
          </w:p>
        </w:tc>
      </w:tr>
      <w:tr w:rsidR="00823317" w14:paraId="3883536E"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428249"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2</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8D034F"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3</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C4D0E8"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8F1AA4"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Kohezijski sklad</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FDCE8E"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EA1AA3"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312.853.616,00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0CE57C"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259.454.401,00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CCB311"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6.486.011,00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FE781C"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45.768.640,00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5270FC"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1.144.564,00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C550D5"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55.209.466,00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BADAB0"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55.209.466,00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646D93"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CC7FDC"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368.063.082,00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52047E"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84,9999989947%</w:t>
            </w:r>
          </w:p>
        </w:tc>
      </w:tr>
      <w:tr w:rsidR="00823317" w14:paraId="62508B29"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246DF7"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2</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9B6FC1"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4</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1AFC7B"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54CB74"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0E19FF"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Bolj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084B51"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17.227.256,00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3E29B0"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14.244.297,00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D1EE74"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498.550,00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B57D61"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2.400.395,00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97D6A4"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84.014,00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1251C7"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25.840.884,00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D83754"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25.840.884,00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CF6AE9"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451483"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43.068.140,00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308AFA"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40,0000000000%</w:t>
            </w:r>
          </w:p>
        </w:tc>
      </w:tr>
      <w:tr w:rsidR="00823317" w14:paraId="661FFB8D"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F7932A"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2</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D581FC"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4</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E85E36"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732A44"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2934DD"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Manj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DDEB08"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38.577.100,00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8E8F90"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31.897.723,00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26523D"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1.116.420,00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2DE094"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5.374.838,00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0D4F40"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188.119,00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A64103"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6.807.724,00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18E62F"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6.807.724,00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43679A"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EA4035"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45.384.824,00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AE131C"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84,9999991186%</w:t>
            </w:r>
          </w:p>
        </w:tc>
      </w:tr>
      <w:tr w:rsidR="00823317" w14:paraId="0F73D90A"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023D04"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2</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EBB8C5"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12</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1C09DA"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B2B115"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405801"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Bolj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7D156D"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ABC234"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4602EF"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EB4D96"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0C4743"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16B208"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B88479"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BEC5D7"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B87F34"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F4CD47" w14:textId="77777777" w:rsidR="00A77B3E" w:rsidRDefault="00A77B3E">
            <w:pPr>
              <w:spacing w:before="5pt"/>
              <w:jc w:val="end"/>
              <w:rPr>
                <w:rFonts w:ascii="TimesNewRoman" w:eastAsia="TimesNewRoman" w:hAnsi="TimesNewRoman" w:cs="TimesNewRoman"/>
                <w:color w:val="000000"/>
                <w:sz w:val="10"/>
              </w:rPr>
            </w:pPr>
          </w:p>
        </w:tc>
      </w:tr>
      <w:tr w:rsidR="00823317" w14:paraId="588BF625"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5A099B"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2</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2F6943"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12</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E5DCAD"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4F8835"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2904EF"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Manj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AF410F"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5FA188"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C4CA61"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94BB43"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E0D2E2"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06DDE6"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7BAA6E"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461627"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CCA7FE"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557C3C" w14:textId="77777777" w:rsidR="00A77B3E" w:rsidRDefault="00A77B3E">
            <w:pPr>
              <w:spacing w:before="5pt"/>
              <w:jc w:val="end"/>
              <w:rPr>
                <w:rFonts w:ascii="TimesNewRoman" w:eastAsia="TimesNewRoman" w:hAnsi="TimesNewRoman" w:cs="TimesNewRoman"/>
                <w:color w:val="000000"/>
                <w:sz w:val="10"/>
              </w:rPr>
            </w:pPr>
          </w:p>
        </w:tc>
      </w:tr>
      <w:tr w:rsidR="00823317" w14:paraId="5D2B0019"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6EC169"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2</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FE9611"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12</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CFB124"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CB76F1"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Kohezijski sklad</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9EAC40"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431600"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AFD67E"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C4671A"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B44DA6"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13C726"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CBE196"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99F6BB"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9B4977"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5E126E"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F5C247" w14:textId="77777777" w:rsidR="00A77B3E" w:rsidRDefault="00A77B3E">
            <w:pPr>
              <w:spacing w:before="5pt"/>
              <w:jc w:val="end"/>
              <w:rPr>
                <w:rFonts w:ascii="TimesNewRoman" w:eastAsia="TimesNewRoman" w:hAnsi="TimesNewRoman" w:cs="TimesNewRoman"/>
                <w:color w:val="000000"/>
                <w:sz w:val="10"/>
              </w:rPr>
            </w:pPr>
          </w:p>
        </w:tc>
      </w:tr>
      <w:tr w:rsidR="00823317" w14:paraId="78C0CBFF"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AFA4E9"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3</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5652B7"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5</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B008AD"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49B8A7"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3DB669"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Manj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8BA885"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109.594.577,00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CCD002"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90.618.980,00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54A076"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3.171.663,00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9CB07F"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15.269.501,00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2BEBFB"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534.433,00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08A8C4"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19.340.220,00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3F43F7"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19.340.220,00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1F3E03"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9AC66B"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128.934.797,00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BABBBB"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84,9999996510%</w:t>
            </w:r>
          </w:p>
        </w:tc>
      </w:tr>
      <w:tr w:rsidR="00823317" w14:paraId="7CC070E7"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5EF864"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3</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6BC675"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5</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A93DD7"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B61196"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Kohezijski sklad</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CD6EFA"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272B3D"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405.338.997,00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B28266"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336.122.611,00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416895"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8.402.716,00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55FAB0"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59.330.069,00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7F149F"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1.483.601,00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46D3B5"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73.283.162,00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348639"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73.283.162,00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0DE669"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4D42B4"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478.622.159,00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04D732"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84,6887235323%</w:t>
            </w:r>
          </w:p>
        </w:tc>
      </w:tr>
      <w:tr w:rsidR="00823317" w14:paraId="1A997E37"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B842A7"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3</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E200DF"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13</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483CC3"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4FBED7"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58E1D9"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Bolj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DD0DF6"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6D75D4"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4E0939"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C4CD4A"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0453D7"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1155A4"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0F5C0E"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4B5902"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A265FD"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2F6099" w14:textId="77777777" w:rsidR="00A77B3E" w:rsidRDefault="00A77B3E">
            <w:pPr>
              <w:spacing w:before="5pt"/>
              <w:jc w:val="end"/>
              <w:rPr>
                <w:rFonts w:ascii="TimesNewRoman" w:eastAsia="TimesNewRoman" w:hAnsi="TimesNewRoman" w:cs="TimesNewRoman"/>
                <w:color w:val="000000"/>
                <w:sz w:val="10"/>
              </w:rPr>
            </w:pPr>
          </w:p>
        </w:tc>
      </w:tr>
      <w:tr w:rsidR="00823317" w14:paraId="394D1AB6"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8BB30A"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3</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603CCE"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13</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099130"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13BCEC"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438573"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Manj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634CD7"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87B990"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E688ED"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1FCE1B"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32ABC3"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F43C66"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BDBF63"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642ADB"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CCF0FF"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462D84" w14:textId="77777777" w:rsidR="00A77B3E" w:rsidRDefault="00A77B3E">
            <w:pPr>
              <w:spacing w:before="5pt"/>
              <w:jc w:val="end"/>
              <w:rPr>
                <w:rFonts w:ascii="TimesNewRoman" w:eastAsia="TimesNewRoman" w:hAnsi="TimesNewRoman" w:cs="TimesNewRoman"/>
                <w:color w:val="000000"/>
                <w:sz w:val="10"/>
              </w:rPr>
            </w:pPr>
          </w:p>
        </w:tc>
      </w:tr>
      <w:tr w:rsidR="00823317" w14:paraId="0FFDA9C2"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069853"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4</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0E8AAF"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6</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EB2FF1"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9B1E9F"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F28D14"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Manj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1B37DF"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33.948.063,00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3B2661"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28.070.174,00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3C0BD7"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982.456,00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9EFE37"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4.729.887,00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8B45EB"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165.546,00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061C38"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5.990.835,00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754DA2"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5.990.835,00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303005"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AF11E5"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39.938.898,00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4E757A"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84,9999992489%</w:t>
            </w:r>
          </w:p>
        </w:tc>
      </w:tr>
      <w:tr w:rsidR="00823317" w14:paraId="3A35FD65"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662230"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4</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3A5372"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6</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A0053E"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F60AA4"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ESS+</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031DBB"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Bolj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9854D8"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93.655.414,00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FBA800"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75.309.335,00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68F76C"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3.012.373,00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E8A187"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14.743.948,00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89BA31"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589.758,00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B8D745"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140.483.121,00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275A5E"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140.483.121,00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C29BFF"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E742ED"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234.138.535,00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FF6E44"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40,0000000000%</w:t>
            </w:r>
          </w:p>
        </w:tc>
      </w:tr>
      <w:tr w:rsidR="00823317" w14:paraId="4F59AB0F"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46EB9A"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4</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C9399A"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6</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B3ADCD"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1F57D5"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ESS+</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794F5C"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Manj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E6531C"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329.233.341,00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0F5F72"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264.702.623,00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CD5F13"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10.588.104,00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C51A65"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51.867.898,00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925AE6"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2.074.716,00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B60AF7"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58.100.002,00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CF5E4E"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58.100.002,00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618F21"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BCD90E"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387.333.343,00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DFAF6C"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84,9999998580%</w:t>
            </w:r>
          </w:p>
        </w:tc>
      </w:tr>
      <w:tr w:rsidR="00823317" w14:paraId="271454E6"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043CC9"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lastRenderedPageBreak/>
              <w:t>4</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9CB8CC"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7</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6A326A"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1CF135"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5E8341"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Manj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DE17F9"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80.140.050,00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4A909C"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66.264.314,00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9A92C1"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2.319.251,00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FCC709"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11.165.686,00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6C84B5"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390.799,00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2BBE77"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14.142.362,00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36A33D"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14.142.362,00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213AFF"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E10853"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94.282.412,00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094121"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84,9999997879%</w:t>
            </w:r>
          </w:p>
        </w:tc>
      </w:tr>
      <w:tr w:rsidR="00823317" w14:paraId="675DE8BB"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09C116"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4</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415869"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7</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E991CD"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8B67A0"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ESS+</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132C3B"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Bolj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94BBBD"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54.136.160,00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F2EF25"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43.531.473,00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CD1BBC"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1.741.259,00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ADC519"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8.522.527,00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6F4D11"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340.901,00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EC37C1"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81.204.240,00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23B1E5"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81.204.240,00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6C5C4E"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1E0C6D"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135.340.400,00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CFA79D"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40,0000000000%</w:t>
            </w:r>
          </w:p>
        </w:tc>
      </w:tr>
      <w:tr w:rsidR="00823317" w14:paraId="51CE5273"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B63EB4"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4</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904108"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7</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1B87E1"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389084"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ESS+</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0CE042"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Manj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0428AE"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158.940.080,00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9979D9"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127.787.350,00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E43D1E"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5.111.493,00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098616"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25.039.651,00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69B9D4"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1.001.586,00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0AF0ED"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28.048.250,00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C9980D"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28.048.250,00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DB1067"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11058D"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186.988.330,00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0ECCAA"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84,9999997326%</w:t>
            </w:r>
          </w:p>
        </w:tc>
      </w:tr>
      <w:tr w:rsidR="00823317" w14:paraId="53C7A217"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3DE48F"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4</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763989"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8</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8A12B6"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FCB711"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07F70B"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Manj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9D422E"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20.349.913,00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00A8BE"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16.826.456,00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56462F"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588.926,00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CF45A7"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2.835.296,00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AFFA92"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99.235,00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2CAA3F"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3.591.162,00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8C32C9"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3.591.162,00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854B9E"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B2DD51"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23.941.075,00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E13C00"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84,9999968673%</w:t>
            </w:r>
          </w:p>
        </w:tc>
      </w:tr>
      <w:tr w:rsidR="00823317" w14:paraId="3BFACBA2"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A2413F"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4</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ADCF26"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14</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F0C6AA"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0223C6"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234FBA"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Bolj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B66286"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EE5AE4"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2196C0"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A106E4"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9202B7"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7EFA0F"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4BFF4B"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8DC506"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CC5CC8"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104A2E" w14:textId="77777777" w:rsidR="00A77B3E" w:rsidRDefault="00A77B3E">
            <w:pPr>
              <w:spacing w:before="5pt"/>
              <w:jc w:val="end"/>
              <w:rPr>
                <w:rFonts w:ascii="TimesNewRoman" w:eastAsia="TimesNewRoman" w:hAnsi="TimesNewRoman" w:cs="TimesNewRoman"/>
                <w:color w:val="000000"/>
                <w:sz w:val="10"/>
              </w:rPr>
            </w:pPr>
          </w:p>
        </w:tc>
      </w:tr>
      <w:tr w:rsidR="00823317" w14:paraId="3932C62E"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62E8AF"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4</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854B74"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14</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AC7EBB"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867A63"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12197C"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Manj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6864A3"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E9C312"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ED34C6"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0E625A"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DFE90B"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FC1660"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F33060"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93A1FF"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BAACA5"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7E1D32" w14:textId="77777777" w:rsidR="00A77B3E" w:rsidRDefault="00A77B3E">
            <w:pPr>
              <w:spacing w:before="5pt"/>
              <w:jc w:val="end"/>
              <w:rPr>
                <w:rFonts w:ascii="TimesNewRoman" w:eastAsia="TimesNewRoman" w:hAnsi="TimesNewRoman" w:cs="TimesNewRoman"/>
                <w:color w:val="000000"/>
                <w:sz w:val="10"/>
              </w:rPr>
            </w:pPr>
          </w:p>
        </w:tc>
      </w:tr>
      <w:tr w:rsidR="00823317" w14:paraId="31D41962"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E9A355"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5</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2BDECC"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9</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0F401B"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1B195C"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A8B830"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Bolj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AED425"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18.244.952,00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0D4696"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15.085.775,00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59DCB4"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528.002,00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74DB1B"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2.542.198,00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065BFF"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88.977,00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042087"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27.367.428,00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609B2F"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27.367.428,00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2E2021"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938BD3"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45.612.380,00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67DE9E"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40,0000000000%</w:t>
            </w:r>
          </w:p>
        </w:tc>
      </w:tr>
      <w:tr w:rsidR="00823317" w14:paraId="7343E7C2"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DE911B"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5</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717DBE"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9</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F1C00F"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61D7B7"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9D6046"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Manj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831A46"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69.968.910,00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93B5CA"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57.854.242,00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B1CF5D"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2.024.898,00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6CF97A"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9.748.570,00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AB9D3B"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341.200,00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BBA717"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12.347.455,00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060235"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12.347.455,00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8F97D3"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C05B10"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82.316.365,00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722D62"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84,9999996963%</w:t>
            </w:r>
          </w:p>
        </w:tc>
      </w:tr>
      <w:tr w:rsidR="00823317" w14:paraId="69716681"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1EF1B2"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8</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2AE2A7"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10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45E1DB"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F66972"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SPP** - Sredstva SPP iz člena 3</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3820EB"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539D6F"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113.288.670,00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CB586F"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92.592.007,00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0C5B23"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3.703.680,00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113A82"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16.339.407,00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FE838B"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653.576,00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0917C7"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19.992.119,00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E2148B"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5.766.957,00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3AFDDF"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14.225.162,00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2A4B00"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133.280.789,00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8C038F"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84,9999995123%</w:t>
            </w:r>
          </w:p>
        </w:tc>
      </w:tr>
      <w:tr w:rsidR="00823317" w14:paraId="686BE304"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764FE2"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8</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E375F4"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10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30FE36"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953F06"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SPP** - Sredstva SPP iz člena 4</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9FA81E"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013FB1"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145.435.873,00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F55D5D"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139.842.186,00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0BA07D"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5.593.687,00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189DDF"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6D5245"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FA0E3D"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25.665.155,00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0106AA"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7.403.410,00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696CB2"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18.261.745,00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7BA056"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171.101.028,00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C2DB82"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84,9999995324%</w:t>
            </w:r>
          </w:p>
        </w:tc>
      </w:tr>
      <w:tr w:rsidR="00823317" w14:paraId="7D37CB87"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F0F3A9"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8</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C060C0"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10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4C9518"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009090"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SPP**</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B6ABCC"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E96F87"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258.724.543,00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684D48"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232.434.193,00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69A8AF"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9.297.367,00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792021"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16.339.407,00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D29B07"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653.576,00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92644A"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45.657.274,00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1E3164"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13.170.367,00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59A040"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32.486.907,00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655F56"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304.381.817,00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0746E6"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84,9999995236%</w:t>
            </w:r>
          </w:p>
        </w:tc>
      </w:tr>
      <w:tr w:rsidR="00823317" w14:paraId="27097D8F"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880269"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D16676"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54A16B"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C17CEF"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E2A85A"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Bolj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616223"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383.621.472,00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FE793C"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317.196.080,00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7DC631"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11.101.860,00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293465"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53.452.687,00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CBE46D"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1.870.845,00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070C5B"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540.739.379,00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71C1F9"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260.013.785,00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2B28CD"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280.725.594,00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C914EB"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924.360.851,00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344A0C"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41,5012677771%</w:t>
            </w:r>
          </w:p>
        </w:tc>
      </w:tr>
      <w:tr w:rsidR="00823317" w14:paraId="7A6EEA82"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22B091"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DC6771"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793FCD"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918F17"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2B233F"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Manj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F40313"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1.216.163.830,00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26CBEB"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1.005.592.864,00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69ABF3"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35.195.747,00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F637E1"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169.444.657,00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CAB230"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5.930.562,00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22DA97"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204.288.785,00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28B623"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132.470.664,00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E02A0B"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71.818.121,00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B9ACDB"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1.420.452.615,00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2924A0"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85,6180499904%</w:t>
            </w:r>
          </w:p>
        </w:tc>
      </w:tr>
      <w:tr w:rsidR="00823317" w14:paraId="3C193782"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277C02"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CD1917"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486252"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F0AAE6"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ESS+</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D8FB7E"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Bolj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34E49E"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147.791.574,00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33650E"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118.840.808,00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B8940A"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4.753.632,00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142831"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23.266.475,00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568A23"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930.659,00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FE2C40"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221.687.361,00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F43AF6"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221.687.361,00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86D38C"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6E7627"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369.478.935,00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B79D45"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40,0000000000%</w:t>
            </w:r>
          </w:p>
        </w:tc>
      </w:tr>
      <w:tr w:rsidR="00823317" w14:paraId="23E9ABC0"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734F18"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AE0F88"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9696A4"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1E014B"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ESS+</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2493C8"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Manj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462B1D"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488.173.421,00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F0A7A4"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392.489.973,00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5C0996"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15.699.597,00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E86C27"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76.907.549,00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89D189"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3.076.302,00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38458B"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86.148.252,00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D0B7FE"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86.148.252,00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2F6497"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32BC1E"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574.321.673,00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677469"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84,9999998172%</w:t>
            </w:r>
          </w:p>
        </w:tc>
      </w:tr>
      <w:tr w:rsidR="00823317" w14:paraId="28207127"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6EA2CA"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680881"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1B36FF"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19B178"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SPP** - Sredstva SPP iz člena 3</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BA4AD1"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D52871"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113.288.670,00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7D3BD6"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92.592.007,00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6D50D7"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3.703.680,00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C3289E"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16.339.407,00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F9E713"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653.576,00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22AE26"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19.992.119,00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7FD787"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5.766.957,00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7C02D9"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14.225.162,00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86307F"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133.280.789,00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FF6707"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84,9999995123%</w:t>
            </w:r>
          </w:p>
        </w:tc>
      </w:tr>
      <w:tr w:rsidR="00823317" w14:paraId="07AB7C27"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A1B783"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0A0E54"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D4A286"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6BF22D"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SPP** - Sredstva SPP iz člena 4</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36A029"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AB0974"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145.435.873,00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9688B2"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139.842.186,00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070189"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5.593.687,00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D2BBB0"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771D63"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AF3FA0"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25.665.155,00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289CBD"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7.403.410,00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11E0AA"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18.261.745,00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E4CA12"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171.101.028,00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291F89"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84,9999995324%</w:t>
            </w:r>
          </w:p>
        </w:tc>
      </w:tr>
      <w:tr w:rsidR="00823317" w14:paraId="690CBE7B"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C68C2E"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FC9A66"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BC2528"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EA2ACC"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Kohezijski sklad</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78C7F3"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9B883A"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718.192.613,00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C5CF77"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595.577.012,00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B5037D"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14.888.727,00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53A487"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105.098.709,00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DBD23F"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2.628.165,00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1D7075"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128.492.628,00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7033D6"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128.492.628,00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8171D6"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F8D119"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846.685.241,00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7A61F4"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84,8240382874%</w:t>
            </w:r>
          </w:p>
        </w:tc>
      </w:tr>
      <w:tr w:rsidR="00823317" w14:paraId="3CDE7B7B"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F463A7"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9FD7E2"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29C741"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CDCD66"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4D9227"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ECC2AD"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3.212.667.453,00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F53EE3"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2.662.130.930,00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7A74B8"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90.936.930,00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DC59B0"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444.509.484,00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697A2C"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15.090.109,00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80D489"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1.227.013.679,00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664A7D"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841.983.057,00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445229"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385.030.622,00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10C3F0"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4.439.681.132,00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39AE3F" w14:textId="77777777" w:rsidR="00A77B3E" w:rsidRDefault="00B16CC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72,3625719389%</w:t>
            </w:r>
          </w:p>
        </w:tc>
      </w:tr>
    </w:tbl>
    <w:p w14:paraId="3E33FA4C"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 Za ESRR in ESS+: manj razvite regije, regije v prehodu, bolj razvite regije in, kjer je to ustrezno, posebna dodelitev za najbolj oddaljene in severne redko poseljene regije. Za Kohezijski sklad: ni relevantno. Za tehnično pomoč je uporaba kategorij regij odvisna od izbora sklada.</w:t>
      </w:r>
    </w:p>
    <w:p w14:paraId="6B15FC90" w14:textId="77777777" w:rsidR="00A77B3E" w:rsidRDefault="00B16CC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 Navedite skupna sredstva SPP, vključno z dopolnilno podporo, prerazporejeno iz ESRR in ESS+. Tabela ne vključuje zneskov v skladu s členom 7 uredbe o SPP. V primeru tehnične pomoči, ki se financira iz SPP, bi bilo treba sredstva SPP razdeliti na sredstva, povezana s členoma 3 in 4 uredbe o SPP. Za člen 4 uredbe o SPP ni zneska prilagodljivosti.</w:t>
      </w:r>
    </w:p>
    <w:p w14:paraId="4587210A" w14:textId="77777777" w:rsidR="00A77B3E" w:rsidRDefault="00A77B3E">
      <w:pPr>
        <w:spacing w:before="5pt"/>
        <w:rPr>
          <w:rFonts w:ascii="TimesNewRoman" w:eastAsia="TimesNewRoman" w:hAnsi="TimesNewRoman" w:cs="TimesNewRoman"/>
          <w:color w:val="000000"/>
          <w:sz w:val="10"/>
        </w:rPr>
        <w:sectPr w:rsidR="00A77B3E">
          <w:headerReference w:type="even" r:id="rId25"/>
          <w:headerReference w:type="default" r:id="rId26"/>
          <w:footerReference w:type="even" r:id="rId27"/>
          <w:footerReference w:type="default" r:id="rId28"/>
          <w:headerReference w:type="first" r:id="rId29"/>
          <w:footerReference w:type="first" r:id="rId30"/>
          <w:pgSz w:w="841.90pt" w:h="595.30pt" w:orient="landscape"/>
          <w:pgMar w:top="36pt" w:right="36pt" w:bottom="43.20pt" w:left="46.80pt" w:header="14.40pt" w:footer="3.60pt" w:gutter="0pt"/>
          <w:cols w:space="36pt"/>
          <w:noEndnote/>
          <w:docGrid w:linePitch="360"/>
        </w:sectPr>
      </w:pPr>
    </w:p>
    <w:p w14:paraId="6C0B58DE" w14:textId="77777777" w:rsidR="00A77B3E" w:rsidRDefault="00B16CCF">
      <w:pPr>
        <w:pStyle w:val="Naslov1"/>
        <w:spacing w:before="5pt" w:after="0pt"/>
        <w:rPr>
          <w:rFonts w:ascii="Times New Roman" w:hAnsi="Times New Roman" w:cs="Times New Roman"/>
          <w:b w:val="0"/>
          <w:color w:val="000000"/>
          <w:sz w:val="24"/>
        </w:rPr>
      </w:pPr>
      <w:bookmarkStart w:id="713" w:name="_Toc256001474"/>
      <w:r>
        <w:rPr>
          <w:rFonts w:ascii="Times New Roman" w:hAnsi="Times New Roman" w:cs="Times New Roman"/>
          <w:b w:val="0"/>
          <w:color w:val="000000"/>
          <w:sz w:val="24"/>
        </w:rPr>
        <w:lastRenderedPageBreak/>
        <w:t>4. Omogočitveni pogoji</w:t>
      </w:r>
      <w:bookmarkEnd w:id="713"/>
    </w:p>
    <w:p w14:paraId="0A5D2D7E" w14:textId="77777777" w:rsidR="00A77B3E" w:rsidRDefault="00B16CCF">
      <w:pPr>
        <w:spacing w:before="5pt"/>
        <w:rPr>
          <w:color w:val="000000"/>
          <w:sz w:val="0"/>
        </w:rPr>
      </w:pPr>
      <w:r>
        <w:rPr>
          <w:color w:val="000000"/>
        </w:rPr>
        <w:t>Sklic: člen 22(3)(i) uredbe o skupnih določbah</w:t>
      </w:r>
    </w:p>
    <w:p w14:paraId="33A70388" w14:textId="77777777" w:rsidR="00A77B3E" w:rsidRDefault="00B16CCF">
      <w:pPr>
        <w:spacing w:before="5pt"/>
        <w:rPr>
          <w:color w:val="000000"/>
        </w:rPr>
      </w:pPr>
      <w:r>
        <w:rPr>
          <w:color w:val="000000"/>
        </w:rPr>
        <w:t>Tabela 12: Omogočitveni pogoji</w:t>
      </w:r>
    </w:p>
    <w:p w14:paraId="293F3A32" w14:textId="77777777" w:rsidR="00A77B3E" w:rsidRDefault="00A77B3E">
      <w:pPr>
        <w:spacing w:before="5pt"/>
        <w:rPr>
          <w:color w:val="000000"/>
          <w:sz w:val="12"/>
        </w:rPr>
      </w:pP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600"/>
        <w:gridCol w:w="800"/>
        <w:gridCol w:w="1600"/>
        <w:gridCol w:w="1000"/>
        <w:gridCol w:w="2800"/>
        <w:gridCol w:w="1000"/>
        <w:gridCol w:w="3400"/>
        <w:gridCol w:w="3400"/>
      </w:tblGrid>
      <w:tr w:rsidR="00823317" w14:paraId="333880D5" w14:textId="77777777">
        <w:trPr>
          <w:tblHeader/>
        </w:trPr>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A85612" w14:textId="77777777" w:rsidR="00A77B3E" w:rsidRDefault="00B16CCF">
            <w:pPr>
              <w:spacing w:before="5pt"/>
              <w:jc w:val="center"/>
              <w:rPr>
                <w:color w:val="000000"/>
                <w:sz w:val="20"/>
              </w:rPr>
            </w:pPr>
            <w:r>
              <w:rPr>
                <w:color w:val="000000"/>
                <w:sz w:val="20"/>
              </w:rPr>
              <w:t>Omogočitveni pogoj</w:t>
            </w:r>
          </w:p>
        </w:tc>
        <w:tc>
          <w:tcPr>
            <w:tcW w:w="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FADC6F" w14:textId="77777777" w:rsidR="00A77B3E" w:rsidRDefault="00B16CCF">
            <w:pPr>
              <w:spacing w:before="5pt"/>
              <w:jc w:val="center"/>
              <w:rPr>
                <w:color w:val="000000"/>
                <w:sz w:val="20"/>
              </w:rPr>
            </w:pPr>
            <w:r>
              <w:rPr>
                <w:color w:val="000000"/>
                <w:sz w:val="20"/>
              </w:rPr>
              <w:t>Sklad</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E77DBE" w14:textId="77777777" w:rsidR="00A77B3E" w:rsidRDefault="00B16CCF">
            <w:pPr>
              <w:spacing w:before="5pt"/>
              <w:jc w:val="center"/>
              <w:rPr>
                <w:color w:val="000000"/>
                <w:sz w:val="20"/>
              </w:rPr>
            </w:pPr>
            <w:r>
              <w:rPr>
                <w:color w:val="000000"/>
                <w:sz w:val="20"/>
              </w:rPr>
              <w:t>Specifični cilj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CFBFAF" w14:textId="77777777" w:rsidR="00A77B3E" w:rsidRDefault="00B16CCF">
            <w:pPr>
              <w:spacing w:before="5pt"/>
              <w:jc w:val="center"/>
              <w:rPr>
                <w:color w:val="000000"/>
                <w:sz w:val="20"/>
              </w:rPr>
            </w:pPr>
            <w:r>
              <w:rPr>
                <w:color w:val="000000"/>
                <w:sz w:val="20"/>
              </w:rPr>
              <w:t>Izpolnjevanje omogočitvenega pogoja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AF9785D" w14:textId="77777777" w:rsidR="00A77B3E" w:rsidRDefault="00B16CCF">
            <w:pPr>
              <w:spacing w:before="5pt"/>
              <w:jc w:val="center"/>
              <w:rPr>
                <w:color w:val="000000"/>
                <w:sz w:val="20"/>
              </w:rPr>
            </w:pPr>
            <w:r>
              <w:rPr>
                <w:color w:val="000000"/>
                <w:sz w:val="20"/>
              </w:rPr>
              <w:t>Merila</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8B4ED1" w14:textId="77777777" w:rsidR="00A77B3E" w:rsidRDefault="00B16CCF">
            <w:pPr>
              <w:spacing w:before="5pt"/>
              <w:jc w:val="center"/>
              <w:rPr>
                <w:color w:val="000000"/>
                <w:sz w:val="20"/>
              </w:rPr>
            </w:pPr>
            <w:r>
              <w:rPr>
                <w:color w:val="000000"/>
                <w:sz w:val="20"/>
              </w:rPr>
              <w:t>Izpolnjevanje meril</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5B8942" w14:textId="77777777" w:rsidR="00A77B3E" w:rsidRDefault="00B16CCF">
            <w:pPr>
              <w:spacing w:before="5pt"/>
              <w:jc w:val="center"/>
              <w:rPr>
                <w:color w:val="000000"/>
                <w:sz w:val="20"/>
              </w:rPr>
            </w:pPr>
            <w:r>
              <w:rPr>
                <w:color w:val="000000"/>
                <w:sz w:val="20"/>
              </w:rPr>
              <w:t>Sklic na zadevne dokumente</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AD80F0" w14:textId="77777777" w:rsidR="00A77B3E" w:rsidRDefault="00B16CCF">
            <w:pPr>
              <w:spacing w:before="5pt"/>
              <w:jc w:val="center"/>
              <w:rPr>
                <w:color w:val="000000"/>
                <w:sz w:val="20"/>
              </w:rPr>
            </w:pPr>
            <w:r>
              <w:rPr>
                <w:color w:val="000000"/>
                <w:sz w:val="20"/>
              </w:rPr>
              <w:t>Utemeljitev</w:t>
            </w:r>
          </w:p>
        </w:tc>
      </w:tr>
      <w:tr w:rsidR="00823317" w14:paraId="16DA3A10"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B338C8" w14:textId="77777777" w:rsidR="00A77B3E" w:rsidRDefault="00B16CCF">
            <w:pPr>
              <w:spacing w:before="5pt"/>
              <w:rPr>
                <w:color w:val="000000"/>
                <w:sz w:val="20"/>
              </w:rPr>
            </w:pPr>
            <w:r>
              <w:rPr>
                <w:color w:val="000000"/>
                <w:sz w:val="20"/>
              </w:rPr>
              <w:t>1. Učinkoviti mehanizmi spremljanja trga javnih naročil</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961C7D"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CF93FF" w14:textId="77777777" w:rsidR="00A77B3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6D5408" w14:textId="77777777" w:rsidR="00A77B3E" w:rsidRDefault="00B16CCF">
            <w:pPr>
              <w:spacing w:before="5pt"/>
              <w:jc w:val="center"/>
              <w:rPr>
                <w:color w:val="000000"/>
                <w:sz w:val="20"/>
              </w:rPr>
            </w:pPr>
            <w:r>
              <w:rPr>
                <w:color w:val="000000"/>
                <w:sz w:val="20"/>
              </w:rPr>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3DB229" w14:textId="77777777" w:rsidR="00A77B3E" w:rsidRDefault="00B16CCF">
            <w:pPr>
              <w:spacing w:before="5pt"/>
              <w:rPr>
                <w:color w:val="000000"/>
                <w:sz w:val="20"/>
              </w:rPr>
            </w:pPr>
            <w:r>
              <w:rPr>
                <w:color w:val="000000"/>
                <w:sz w:val="20"/>
              </w:rPr>
              <w:t>Vzpostavljeni so mehanizmi za spremljanje, ki zajemajo vse javne pogodbe in njihova javna naročila v okviru skladov v skladu z zakonodajo Unije o javnih naročilih. Ta zahteva vključuje:1. ureditve za zagotovitev zbiranja učinkovitih in zanesljivih podatkov o postopkih javnega naročanja nad mejnimi vrednostmi Unije v skladu z obveznostmi poročanja iz členov 83 in 84 Direktive 2014/24/EU ter členov 99 in 100 Direktive 2014/25/EU;</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E8C775" w14:textId="77777777" w:rsidR="00A77B3E" w:rsidRDefault="00B16CC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389106" w14:textId="77777777" w:rsidR="00A77B3E" w:rsidRDefault="00B16CCF">
            <w:pPr>
              <w:spacing w:before="5pt"/>
              <w:rPr>
                <w:color w:val="000000"/>
                <w:sz w:val="20"/>
              </w:rPr>
            </w:pPr>
            <w:r>
              <w:rPr>
                <w:color w:val="000000"/>
                <w:sz w:val="20"/>
              </w:rPr>
              <w:t xml:space="preserve">Zakon o javnem naročanju (v nadaljevanju ZJN-3: http://www.pisrs.si/Pis.web/pregledPredpisa?id=ZAKO7086) in z njim povezani podzakonski predpisi, predvsem Pravilnik o vrstah in načinu zbiranja podatkov za letno statistično poročilo o oddaji javnih naročil (http://www.pisrs.si/Pis.web/pregledPredpisa?id=PRAV12700). Oba predpisa sta dostopna tudi na: https://ejn.gov.si/sistem/zakonodaja/veljavni-predpisi.html </w:t>
            </w:r>
          </w:p>
          <w:p w14:paraId="1E204B87" w14:textId="77777777" w:rsidR="00A77B3E" w:rsidRDefault="00B16CCF">
            <w:pPr>
              <w:spacing w:before="5pt"/>
              <w:rPr>
                <w:color w:val="000000"/>
                <w:sz w:val="20"/>
              </w:rPr>
            </w:pPr>
            <w:r>
              <w:rPr>
                <w:color w:val="000000"/>
                <w:sz w:val="20"/>
              </w:rPr>
              <w:t>Statistična poročila za vsako posamezno leto so do dostopna na: https://ejn.gov.si/direktorat/porocila-in-analize.html</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FE444C" w14:textId="77777777" w:rsidR="00A77B3E" w:rsidRDefault="00B16CCF">
            <w:pPr>
              <w:spacing w:before="5pt"/>
              <w:rPr>
                <w:color w:val="000000"/>
                <w:sz w:val="20"/>
              </w:rPr>
            </w:pPr>
            <w:r>
              <w:rPr>
                <w:color w:val="000000"/>
                <w:sz w:val="20"/>
              </w:rPr>
              <w:t>V skladu s 114. členom ZJN-3 ministrstvo, pristojno za javna naročila, zagotavlja spremljanje uporabe pravil o javnem naročanju. Kadar ugotovi ali prejme podatke, ki kažejo na posamezne kršitve ali sistemske težave obvesti Urad RS za nadzor proračuna, Računsko sodišče RS, Državno revizijsko komisijo, Agencijo RS za varstvo konkurence ali Komisijo za preprečevanje korupcije. Poleg tega ministrstvo vsaka tri leta poroča o rezultatih tega spremljanja EK. Poročilo je informacija javnega značajajavna informacija.</w:t>
            </w:r>
          </w:p>
          <w:p w14:paraId="508EF1AC" w14:textId="77777777" w:rsidR="00A77B3E" w:rsidRDefault="00B16CCF">
            <w:pPr>
              <w:spacing w:before="5pt"/>
              <w:rPr>
                <w:color w:val="000000"/>
                <w:sz w:val="20"/>
              </w:rPr>
            </w:pPr>
            <w:r>
              <w:rPr>
                <w:color w:val="000000"/>
                <w:sz w:val="20"/>
              </w:rPr>
              <w:t xml:space="preserve">V skladu s 106. - 108. členom ZJN-3 ministrstvo, pristojno za javna naročila, pripravi letno statistično poročilo o javnih naročilih, oddanih v Republiki Sloveniji na podlagi obvestil o oddanih javnih naročilih v preteklem letu, objavljenih na portalu javnih naročil oziroma v Uradnem listu Evropske unije, in iz sporočenih statističnih podatkov o evidenčnih naročilih. ZJN-3 določa tudi vsebino statističnega poročila in razčlenitev podatkov. </w:t>
            </w:r>
          </w:p>
        </w:tc>
      </w:tr>
      <w:tr w:rsidR="00823317" w14:paraId="3D93843C"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F244D7"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47BB75"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EF38B1"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5EB931"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F34CF1" w14:textId="77777777" w:rsidR="00A77B3E" w:rsidRDefault="00B16CCF">
            <w:pPr>
              <w:spacing w:before="5pt"/>
              <w:rPr>
                <w:color w:val="000000"/>
                <w:sz w:val="20"/>
              </w:rPr>
            </w:pPr>
            <w:r>
              <w:rPr>
                <w:color w:val="000000"/>
                <w:sz w:val="20"/>
              </w:rPr>
              <w:t xml:space="preserve">2. ureditve za zagotovitev, da podatki zajemajo vsaj naslednje elemente: </w:t>
            </w:r>
          </w:p>
          <w:p w14:paraId="17DB7F9D" w14:textId="77777777" w:rsidR="00A77B3E" w:rsidRDefault="00B16CCF">
            <w:pPr>
              <w:spacing w:before="5pt"/>
              <w:rPr>
                <w:color w:val="000000"/>
                <w:sz w:val="20"/>
              </w:rPr>
            </w:pPr>
            <w:r>
              <w:rPr>
                <w:color w:val="000000"/>
                <w:sz w:val="20"/>
              </w:rPr>
              <w:lastRenderedPageBreak/>
              <w:t xml:space="preserve">(a) kakovost in intenzivnost konkurence: imena izbranega ponudnika, število prvotnih ponudnikov in pogodbena vrednost, </w:t>
            </w:r>
          </w:p>
          <w:p w14:paraId="5ABB5724" w14:textId="77777777" w:rsidR="00A77B3E" w:rsidRDefault="00B16CCF">
            <w:pPr>
              <w:spacing w:before="5pt"/>
              <w:rPr>
                <w:color w:val="000000"/>
                <w:sz w:val="20"/>
              </w:rPr>
            </w:pPr>
            <w:r>
              <w:rPr>
                <w:color w:val="000000"/>
                <w:sz w:val="20"/>
              </w:rPr>
              <w:t>(b) informacije o končni ceni po dokončanju in o udeležbi MSP kot neposrednih ponudnikov, kadar nacionalni sistemi zagotavljajo take informacije;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0AE741" w14:textId="77777777" w:rsidR="00A77B3E" w:rsidRDefault="00B16CCF">
            <w:pPr>
              <w:spacing w:before="5pt"/>
              <w:jc w:val="center"/>
              <w:rPr>
                <w:color w:val="000000"/>
                <w:sz w:val="20"/>
              </w:rPr>
            </w:pPr>
            <w:r>
              <w:rPr>
                <w:color w:val="000000"/>
                <w:sz w:val="20"/>
              </w:rPr>
              <w:lastRenderedPageBreak/>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568706" w14:textId="77777777" w:rsidR="00A77B3E" w:rsidRDefault="00B16CCF">
            <w:pPr>
              <w:spacing w:before="5pt"/>
              <w:rPr>
                <w:color w:val="000000"/>
                <w:sz w:val="20"/>
              </w:rPr>
            </w:pPr>
            <w:r>
              <w:rPr>
                <w:color w:val="000000"/>
                <w:sz w:val="20"/>
              </w:rPr>
              <w:t xml:space="preserve">Vsi zahtevani podatki so del obvestil o oddaji javnih naročil, ki jih naročniki objavljajo na portalu javnih naročil, ki </w:t>
            </w:r>
            <w:r>
              <w:rPr>
                <w:color w:val="000000"/>
                <w:sz w:val="20"/>
              </w:rPr>
              <w:lastRenderedPageBreak/>
              <w:t>predstavlja enoten dostop do informacij o javnem naročanju in zagotavlja objavo vseh bistvenih podatkov v zvezi s postopkom oddaje javnega naročila (tj. obvestila o javnih naročilih, razpisna dokumentacija, odločitve o oddaji naročila, obvestila o oddaji naročil, ki vsebujejo tudi informacije o sodelovanju MSP itd.).</w:t>
            </w:r>
          </w:p>
          <w:p w14:paraId="1B86C5ED" w14:textId="77777777" w:rsidR="00A77B3E" w:rsidRDefault="00B16CCF">
            <w:pPr>
              <w:spacing w:before="5pt"/>
              <w:rPr>
                <w:color w:val="000000"/>
                <w:sz w:val="20"/>
              </w:rPr>
            </w:pPr>
            <w:r>
              <w:rPr>
                <w:color w:val="000000"/>
                <w:sz w:val="20"/>
              </w:rPr>
              <w:t>Portal javnih naročil: https://www.enarocanje.si/</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63D949" w14:textId="77777777" w:rsidR="00A77B3E" w:rsidRDefault="00B16CCF">
            <w:pPr>
              <w:spacing w:before="5pt"/>
              <w:rPr>
                <w:color w:val="000000"/>
                <w:sz w:val="20"/>
              </w:rPr>
            </w:pPr>
            <w:r>
              <w:rPr>
                <w:color w:val="000000"/>
                <w:sz w:val="20"/>
              </w:rPr>
              <w:lastRenderedPageBreak/>
              <w:t xml:space="preserve">Vsi zahtevani podatki so del obvestil o oddaji javnih naročil, ki jih naročniki objavljajo na portalu javnih naročil, ki </w:t>
            </w:r>
            <w:r>
              <w:rPr>
                <w:color w:val="000000"/>
                <w:sz w:val="20"/>
              </w:rPr>
              <w:lastRenderedPageBreak/>
              <w:t>predstavlja enoten dostop do informacij o javnem naročanju in zagotavlja objavo vseh bistvenih podatkov v zvezi s postopkom oddaje javnega naročila (tj. obvestila o javnih naročilih, razpisna dokumentacija, odločitve o oddaji naročila, obvestila o oddaji naročil, ki vsebujejo tudi informacije o sodelovanju MSP itd.).</w:t>
            </w:r>
          </w:p>
        </w:tc>
      </w:tr>
      <w:tr w:rsidR="00823317" w14:paraId="1BC32651"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44CCE8"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75DBB0"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79CEFE"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06E162"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0130CA" w14:textId="77777777" w:rsidR="00A77B3E" w:rsidRDefault="00B16CCF">
            <w:pPr>
              <w:spacing w:before="5pt"/>
              <w:rPr>
                <w:color w:val="000000"/>
                <w:sz w:val="20"/>
              </w:rPr>
            </w:pPr>
            <w:r>
              <w:rPr>
                <w:color w:val="000000"/>
                <w:sz w:val="20"/>
              </w:rPr>
              <w:t>3. ureditve za zagotovitev spremljanja in analize podatkov s strani pristojnih nacionalnih organov v skladu s členom 83(2) Direktive 2014/24/EU in členom 99(2) Direktive 2014/25/EU;</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B9741A" w14:textId="77777777" w:rsidR="00A77B3E" w:rsidRDefault="00B16CC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A7BE32" w14:textId="77777777" w:rsidR="00A77B3E" w:rsidRDefault="00B16CCF">
            <w:pPr>
              <w:spacing w:before="5pt"/>
              <w:rPr>
                <w:color w:val="000000"/>
                <w:sz w:val="20"/>
              </w:rPr>
            </w:pPr>
            <w:r>
              <w:rPr>
                <w:color w:val="000000"/>
                <w:sz w:val="20"/>
              </w:rPr>
              <w:t>Zakon o javnem naročanju (http://www.pisrs.si/Pis.web/pregledPredpisa?id=ZAKO7086)</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385935" w14:textId="77777777" w:rsidR="00A77B3E" w:rsidRDefault="00B16CCF">
            <w:pPr>
              <w:spacing w:before="5pt"/>
              <w:rPr>
                <w:color w:val="000000"/>
                <w:sz w:val="20"/>
              </w:rPr>
            </w:pPr>
            <w:r>
              <w:rPr>
                <w:color w:val="000000"/>
                <w:sz w:val="20"/>
              </w:rPr>
              <w:t>V skladu s prvim odstavkom 114. člena ZJN-3 je spremljanje uporabe pravil javnega naročanja v pristojnosti Ministrstva za javno upravo, ki v primeru, ko ugotovi ali prejme podatke, ki kažejo na posamezne kršitve ali sistemske težave, o njih obvesti pristojne nacionalne organe, ki jih ustrezno obravnavajo. Te informacije se zbirajo in po potrebi identificirajo na različne načine, npr. preko letnega statističnega poročanja; različnih vrst iniciativ različnih deležnikov, predvsem na različnih dogodkih, kot so izobraževanja in usposabljanja; preko vzpostavljene enotne kontaktne točke za pomoč naročnikom in gospodarskim subjektom, (t.i.  Help center), enotnega kontaktnega centra državne uprave za tehnično pomoč int.i.  Enotnega kontaktnega centra državne uprave in; preko telefonskih in pisnih svetovanj itd.</w:t>
            </w:r>
          </w:p>
        </w:tc>
      </w:tr>
      <w:tr w:rsidR="00823317" w14:paraId="3EBE5C76"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A19FA9"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76CCA4"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959CE5"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B0FDEB"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09FC9C" w14:textId="77777777" w:rsidR="00A77B3E" w:rsidRDefault="00B16CCF">
            <w:pPr>
              <w:spacing w:before="5pt"/>
              <w:rPr>
                <w:color w:val="000000"/>
                <w:sz w:val="20"/>
              </w:rPr>
            </w:pPr>
            <w:r>
              <w:rPr>
                <w:color w:val="000000"/>
                <w:sz w:val="20"/>
              </w:rPr>
              <w:t xml:space="preserve">4. ureditve za dajanje izidov analize na razpolago javnosti v skladu s členom 83(3) Direktive </w:t>
            </w:r>
            <w:r>
              <w:rPr>
                <w:color w:val="000000"/>
                <w:sz w:val="20"/>
              </w:rPr>
              <w:lastRenderedPageBreak/>
              <w:t>2014/24/EU in členom 99(3) Direktive 2014/25/EU;</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2CB727" w14:textId="77777777" w:rsidR="00A77B3E" w:rsidRDefault="00B16CCF">
            <w:pPr>
              <w:spacing w:before="5pt"/>
              <w:jc w:val="center"/>
              <w:rPr>
                <w:color w:val="000000"/>
                <w:sz w:val="20"/>
              </w:rPr>
            </w:pPr>
            <w:r>
              <w:rPr>
                <w:color w:val="000000"/>
                <w:sz w:val="20"/>
              </w:rPr>
              <w:lastRenderedPageBreak/>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7B1BC5" w14:textId="77777777" w:rsidR="00A77B3E" w:rsidRDefault="00B16CCF">
            <w:pPr>
              <w:spacing w:before="5pt"/>
              <w:rPr>
                <w:color w:val="000000"/>
                <w:sz w:val="20"/>
              </w:rPr>
            </w:pPr>
            <w:r>
              <w:rPr>
                <w:color w:val="000000"/>
                <w:sz w:val="20"/>
              </w:rPr>
              <w:t xml:space="preserve">Slovensko poročilo je skupaj s poročili drugih držav članic na voljo na spletni strani Evropske Komisije: </w:t>
            </w:r>
            <w:r>
              <w:rPr>
                <w:color w:val="000000"/>
                <w:sz w:val="20"/>
              </w:rPr>
              <w:lastRenderedPageBreak/>
              <w:t>https://ec.europa.eu/growth/single-market/public-procurement/country-reports_en.</w:t>
            </w:r>
          </w:p>
          <w:p w14:paraId="03E55526" w14:textId="77777777" w:rsidR="00A77B3E" w:rsidRDefault="00B16CCF">
            <w:pPr>
              <w:spacing w:before="5pt"/>
              <w:rPr>
                <w:color w:val="000000"/>
                <w:sz w:val="20"/>
              </w:rPr>
            </w:pPr>
            <w:r>
              <w:rPr>
                <w:color w:val="000000"/>
                <w:sz w:val="20"/>
              </w:rPr>
              <w:t xml:space="preserve">Vsa državna statistična poročila o oddanih javnih naročilih v Republiki Sloveniji, v katerih Ministrstvo za javno upravo analizira stanje javnega naročanja za vsako posamezno leto, so dostopna na https:// ejn.gov.si/direktorat/porocila-in-analize.html. </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003A98" w14:textId="77777777" w:rsidR="00A77B3E" w:rsidRDefault="00B16CCF">
            <w:pPr>
              <w:spacing w:before="5pt"/>
              <w:rPr>
                <w:color w:val="000000"/>
                <w:sz w:val="20"/>
              </w:rPr>
            </w:pPr>
            <w:r>
              <w:rPr>
                <w:color w:val="000000"/>
                <w:sz w:val="20"/>
              </w:rPr>
              <w:lastRenderedPageBreak/>
              <w:t xml:space="preserve">Rezultati spremljanja uporabe pravil javnega naročanja so del nacionalnega poročanja Evropski komisiji, ki poteka </w:t>
            </w:r>
            <w:r>
              <w:rPr>
                <w:color w:val="000000"/>
                <w:sz w:val="20"/>
              </w:rPr>
              <w:lastRenderedPageBreak/>
              <w:t xml:space="preserve">vsaka 3 leta. Poročilo je informacija javnega značaja. Za večjo preglednost rezultatov spremljanja bo Ministrstvo za javno upravo na svojih spletnih straneh v delu Poročila in analize (skupaj z nacionalnimi letnimi statističnimi poročili, ki so že objavljena z vsebino, kot predstavljeno v točki 1) objavilo tudi povezavo na omenjeno spletno stran Komisije. </w:t>
            </w:r>
          </w:p>
          <w:p w14:paraId="73D49E00" w14:textId="77777777" w:rsidR="00A77B3E" w:rsidRDefault="00B16CCF">
            <w:pPr>
              <w:spacing w:before="5pt"/>
              <w:rPr>
                <w:color w:val="000000"/>
                <w:sz w:val="20"/>
              </w:rPr>
            </w:pPr>
            <w:r>
              <w:rPr>
                <w:color w:val="000000"/>
                <w:sz w:val="20"/>
              </w:rPr>
              <w:t>Sicer pa so običajno vse odločitve in poročila, ki jih sprejmejo različni državni organi (Državna revizijska komisija za revizijo postopkov oddaje javnih naročil, Komisija za preprečevanje korupcije, Računsko sodišče Republike Slovenije), vsak v okviru svoje pristojnosti na področju javnih naročil kot t.i. zagovorniki javnega interesa na podlagi zakona, ki ureja pravno varstvo v postopkih javnega naročanja, objavljeni na njihovih spletnih straneh. Poročila poleg ugotovitev vsebujejo tudi priporočila za izboljšanje sistemske ureditve javnega naročanja.</w:t>
            </w:r>
          </w:p>
        </w:tc>
      </w:tr>
      <w:tr w:rsidR="00823317" w14:paraId="5E196F8D"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EDFB74"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D449C9"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1F8A26"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039D75"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BC808C" w14:textId="77777777" w:rsidR="00A77B3E" w:rsidRDefault="00B16CCF">
            <w:pPr>
              <w:spacing w:before="5pt"/>
              <w:rPr>
                <w:color w:val="000000"/>
                <w:sz w:val="20"/>
              </w:rPr>
            </w:pPr>
            <w:r>
              <w:rPr>
                <w:color w:val="000000"/>
                <w:sz w:val="20"/>
              </w:rPr>
              <w:t>5. ureditve za zagotovitev, da se vse informacije, ki kažejo na domnevne primere manipulacij pri razpisnih postopkih, sporočijo pristojnim nacionalnim telesom v skladu s členom 83(2) Direktive 2014/24/EU in členom 99(2) Direktive 2014/25/EU.</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9C5C0B" w14:textId="77777777" w:rsidR="00A77B3E" w:rsidRDefault="00B16CC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83DC07" w14:textId="77777777" w:rsidR="00A77B3E" w:rsidRDefault="00B16CCF">
            <w:pPr>
              <w:spacing w:before="5pt"/>
              <w:rPr>
                <w:color w:val="000000"/>
                <w:sz w:val="20"/>
              </w:rPr>
            </w:pPr>
            <w:r>
              <w:rPr>
                <w:color w:val="000000"/>
                <w:sz w:val="20"/>
              </w:rPr>
              <w:t>Zakon o javnem naročanju (http://www.pisrs.si/Pis.web/pregledPredpisa?id=ZAKO7086)</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9CBDB3" w14:textId="77777777" w:rsidR="00A77B3E" w:rsidRDefault="00B16CCF">
            <w:pPr>
              <w:spacing w:before="5pt"/>
              <w:rPr>
                <w:color w:val="000000"/>
                <w:sz w:val="20"/>
              </w:rPr>
            </w:pPr>
            <w:r>
              <w:rPr>
                <w:color w:val="000000"/>
                <w:sz w:val="20"/>
              </w:rPr>
              <w:t xml:space="preserve">V skladu z ZJN-3 (114. člen) MJU zagotavlja spremljanje uporabe pravil o javnem naročanju (JN). Ko ugotovi ali prejme podatke, ki kažejo na posamezne kršitve ali sistemske težave, obvesti pristojne organe (Urad RS za nadzor proračuna, Računsko sodišče RS, Državno revizijsko komisijo, Agencijo RS za varstvo konkurence (AVK) ali Komisijo za preprečevanje korupcije), ki vsak v ustrezno ukrepajo. Ta obveznost </w:t>
            </w:r>
            <w:r>
              <w:rPr>
                <w:color w:val="000000"/>
                <w:sz w:val="20"/>
              </w:rPr>
              <w:lastRenderedPageBreak/>
              <w:t>izhaja iz zakona, zato dodatni dogovori niso sklenjeni. Državni organi so dolžni spoštovati vso relevantno pozitivno zakonodajo, vključno s pravili poslovanja in postopkovnimi pravili. ZJN-3 opredeljuje izključitvene razloge, povezane z omejevanjem konkurence (75. člen).</w:t>
            </w:r>
          </w:p>
          <w:p w14:paraId="28266EF8" w14:textId="77777777" w:rsidR="00A77B3E" w:rsidRDefault="00B16CCF">
            <w:pPr>
              <w:spacing w:before="5pt"/>
              <w:rPr>
                <w:color w:val="000000"/>
                <w:sz w:val="20"/>
              </w:rPr>
            </w:pPr>
            <w:r>
              <w:rPr>
                <w:color w:val="000000"/>
                <w:sz w:val="20"/>
              </w:rPr>
              <w:t>Preventivno vpliva tudi informatizacija postopka JN. Visoka transparentnost (objava obvestil, sklepov o oddaji, pogodb, razpisnih cen) je eden ključnih ukrepov v boju proti nedovoljenem dogovarjanju. MJU in AVK redno izvajata pregled stanja sistema JN. AVK izvaja zagovorništvo javnega interesa glede konkurence in svetuje naročnikom. Izvedeno je bilo izobraževanje o prepoznavanju in poročanju o usklajenih ravnanjih v postopkih JN, ki je javno dostopno.</w:t>
            </w:r>
          </w:p>
          <w:p w14:paraId="657BEBFF" w14:textId="77777777" w:rsidR="00A77B3E" w:rsidRDefault="00B16CCF">
            <w:pPr>
              <w:spacing w:before="5pt"/>
              <w:rPr>
                <w:color w:val="000000"/>
                <w:sz w:val="20"/>
              </w:rPr>
            </w:pPr>
            <w:r>
              <w:rPr>
                <w:color w:val="000000"/>
                <w:sz w:val="20"/>
              </w:rPr>
              <w:t>Glej merili 1 in 3.</w:t>
            </w:r>
          </w:p>
        </w:tc>
      </w:tr>
      <w:tr w:rsidR="00823317" w14:paraId="2DEF6870"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D94CDE" w14:textId="77777777" w:rsidR="00A77B3E" w:rsidRDefault="00B16CCF">
            <w:pPr>
              <w:spacing w:before="5pt"/>
              <w:rPr>
                <w:color w:val="000000"/>
                <w:sz w:val="20"/>
              </w:rPr>
            </w:pPr>
            <w:r>
              <w:rPr>
                <w:color w:val="000000"/>
                <w:sz w:val="20"/>
              </w:rPr>
              <w:lastRenderedPageBreak/>
              <w:t>2. Orodja in zmogljivosti za učinkovito uporabo pravil o državni pomoči</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668F8D"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9E0930" w14:textId="77777777" w:rsidR="00A77B3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D33EBE" w14:textId="77777777" w:rsidR="00A77B3E" w:rsidRDefault="00B16CCF">
            <w:pPr>
              <w:spacing w:before="5pt"/>
              <w:jc w:val="center"/>
              <w:rPr>
                <w:color w:val="000000"/>
                <w:sz w:val="20"/>
              </w:rPr>
            </w:pPr>
            <w:r>
              <w:rPr>
                <w:color w:val="000000"/>
                <w:sz w:val="20"/>
              </w:rPr>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1AE3BA" w14:textId="77777777" w:rsidR="00A77B3E" w:rsidRDefault="00B16CCF">
            <w:pPr>
              <w:spacing w:before="5pt"/>
              <w:rPr>
                <w:color w:val="000000"/>
                <w:sz w:val="20"/>
              </w:rPr>
            </w:pPr>
            <w:r>
              <w:rPr>
                <w:color w:val="000000"/>
                <w:sz w:val="20"/>
              </w:rPr>
              <w:t xml:space="preserve">Organi upravljanja imajo orodja in zmogljivosti za preverjanje skladnosti s pravili o državni pomoči: </w:t>
            </w:r>
          </w:p>
          <w:p w14:paraId="129F3535" w14:textId="77777777" w:rsidR="00A77B3E" w:rsidRDefault="00B16CCF">
            <w:pPr>
              <w:spacing w:before="5pt"/>
              <w:rPr>
                <w:color w:val="000000"/>
                <w:sz w:val="20"/>
              </w:rPr>
            </w:pPr>
            <w:r>
              <w:rPr>
                <w:color w:val="000000"/>
                <w:sz w:val="20"/>
              </w:rPr>
              <w:t>1. za podjetja v težavah in za podjetja, za katera velja zahteva za vračilo;</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C8F58B" w14:textId="77777777" w:rsidR="00A77B3E" w:rsidRDefault="00B16CC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808D52" w14:textId="77777777" w:rsidR="00A77B3E" w:rsidRDefault="00B16CCF">
            <w:pPr>
              <w:spacing w:before="5pt"/>
              <w:rPr>
                <w:color w:val="000000"/>
                <w:sz w:val="20"/>
              </w:rPr>
            </w:pPr>
            <w:r>
              <w:rPr>
                <w:color w:val="000000"/>
                <w:sz w:val="20"/>
              </w:rPr>
              <w:t xml:space="preserve">Zakon o spremljanju državnih pomoči (http://www.pisrs.si/Pis.web/pregledPredpisa?id=ZAKO3849), </w:t>
            </w:r>
          </w:p>
          <w:p w14:paraId="36BA42A1" w14:textId="77777777" w:rsidR="00A77B3E" w:rsidRDefault="00B16CCF">
            <w:pPr>
              <w:spacing w:before="5pt"/>
              <w:rPr>
                <w:color w:val="000000"/>
                <w:sz w:val="20"/>
              </w:rPr>
            </w:pPr>
            <w:r>
              <w:rPr>
                <w:color w:val="000000"/>
                <w:sz w:val="20"/>
              </w:rPr>
              <w:t>Recovery of unlawful aid (https://competition-policy.ec.europa.eu/state-aid/procedures/recovery-unlawful-aid_en)</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9AF681" w14:textId="77777777" w:rsidR="00A77B3E" w:rsidRDefault="00B16CCF">
            <w:pPr>
              <w:spacing w:before="5pt"/>
              <w:rPr>
                <w:color w:val="000000"/>
                <w:sz w:val="20"/>
              </w:rPr>
            </w:pPr>
            <w:r>
              <w:rPr>
                <w:color w:val="000000"/>
                <w:sz w:val="20"/>
              </w:rPr>
              <w:t xml:space="preserve">Pred dodelitvijo pomoči mora upravičenec predložiti izjavo, da ni podjetje v težavah. Dajalci pomoči imajo različne metode za preverjanje ali je upravičenec podjetje, ki ni v težavah. Najpogosteje uporabljena je izjava upravičenca, da ni podjetje v težavah. Vsi dajalci izvajajo naknadno kontrolo (naključno ali sistematično). Nekateri imajo vnaprej pripravljene tabele z vsemi podatki iz člena 2(18) GBER. Večina dajalcev pred dodelitvijo pomoči vnaprej preveri finančne izkaze. V primerih, ko je vlog veliko (npr. 100) in </w:t>
            </w:r>
            <w:r>
              <w:rPr>
                <w:color w:val="000000"/>
                <w:sz w:val="20"/>
              </w:rPr>
              <w:lastRenderedPageBreak/>
              <w:t>je težko vnaprej preveriti izkaze, dajalec z naknadno kontrolo preveri izjavo upravičenca. Vse sheme v pravnih podlagah vsebujejo določbo o naknadnem nadzoru – če je upravičenec posredoval napačne/neresnične podatke, mora pomoč vrniti. Tudi Služba za notranjo revizijo oz. Urad za nadzor proračuna v naključno izbranih primerih preverjata izpolnjevanje pogojev za dodelitev pomoči, tudi status podjetja v težavah. SSDP bo obveznost nadzora nad statusom podjetja v težavah vključil kot obvezen element priglasitve. Organi upravljanja pri SSDP dobijo informacije glede zahteva za izterjavo. Register državnih pomoči je odprt za širšo javnost</w:t>
            </w:r>
          </w:p>
        </w:tc>
      </w:tr>
      <w:tr w:rsidR="00823317" w14:paraId="303E95B2"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8665A8"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F6B71F"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DBF8FB"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EB6B0F"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76E8EE" w14:textId="77777777" w:rsidR="00A77B3E" w:rsidRDefault="00B16CCF">
            <w:pPr>
              <w:spacing w:before="5pt"/>
              <w:rPr>
                <w:color w:val="000000"/>
                <w:sz w:val="20"/>
              </w:rPr>
            </w:pPr>
            <w:r>
              <w:rPr>
                <w:color w:val="000000"/>
                <w:sz w:val="20"/>
              </w:rPr>
              <w:t>2. prek dostopa do strokovnih nasvetov in smernic o zadevah v zvezi z državno pomočjo, ki jih zagotavljajo strokovnjaki lokalnih ali nacionalnih teles za državno pomoč.</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D2BB12" w14:textId="77777777" w:rsidR="00A77B3E" w:rsidRDefault="00B16CC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5F5564" w14:textId="77777777" w:rsidR="00A77B3E" w:rsidRDefault="00B16CCF">
            <w:pPr>
              <w:spacing w:before="5pt"/>
              <w:rPr>
                <w:color w:val="000000"/>
                <w:sz w:val="20"/>
              </w:rPr>
            </w:pPr>
            <w:r>
              <w:rPr>
                <w:color w:val="000000"/>
                <w:sz w:val="20"/>
              </w:rPr>
              <w:t>Več informacij na spletni strani Sektorja za spremljanje državnih pomoči: https://www.gov.si/drzavni-organi/ministrstva/ministrstvo-za-finance/o-ministrstvu/direktorat-za-javno-premozenje/sektor-za-spremljanje-drzavnih-pomoci/</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5BAB7B" w14:textId="77777777" w:rsidR="00A77B3E" w:rsidRDefault="00B16CCF">
            <w:pPr>
              <w:spacing w:before="5pt"/>
              <w:rPr>
                <w:color w:val="000000"/>
                <w:sz w:val="20"/>
              </w:rPr>
            </w:pPr>
            <w:r>
              <w:rPr>
                <w:color w:val="000000"/>
                <w:sz w:val="20"/>
              </w:rPr>
              <w:t>Sektor za spremljanje državnih pomoči (MF) redno izvaja usposabljanja o vprašanjih državnih pomoči za dajalce pomoči na centralni in lokalni ravni. Izobraževanja zajemajo osnove državnih pomoči in splošnih postopkov (priglasitev pomoči MF, poročanje o državnih pomočeh) ter ciljna izobraževanja o posebnih temah, to so državne pomoči in kohezijska politika, infrastrukturna pomoč, reševanje in prestrukturiranje.</w:t>
            </w:r>
          </w:p>
          <w:p w14:paraId="32CE5278" w14:textId="77777777" w:rsidR="00A77B3E" w:rsidRDefault="00B16CCF">
            <w:pPr>
              <w:spacing w:before="5pt"/>
              <w:rPr>
                <w:color w:val="000000"/>
                <w:sz w:val="20"/>
              </w:rPr>
            </w:pPr>
            <w:r>
              <w:rPr>
                <w:color w:val="000000"/>
                <w:sz w:val="20"/>
              </w:rPr>
              <w:t xml:space="preserve">Vzpostavljena je mreža kontaktnih točk v vseh večjih organih dodeljevanja sredstev (ministrstva, javni skladi in javne agencije). Namen kontaktne točke je vzpostaviti povezavo med Sektorjem za spremljanje državnih pomoči (strokovnjaki za državno pomoč, ki so </w:t>
            </w:r>
            <w:r>
              <w:rPr>
                <w:color w:val="000000"/>
                <w:sz w:val="20"/>
              </w:rPr>
              <w:lastRenderedPageBreak/>
              <w:t>odgovorni za določeno področje oz. raziskave, razvoj in inovacije) in posameznim organom, ki dodeljuje (tj. Ministrstvo za izobraževanje, znanost in šport), da bi zagotovili medsebojno izmenjavo informacij o aktualnih vprašanja, izmenjavo znanja, svetovanje in omogočanje hitrega reševanja odprtih vprašanj.</w:t>
            </w:r>
          </w:p>
        </w:tc>
      </w:tr>
      <w:tr w:rsidR="00823317" w14:paraId="396D45F3"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0187CE" w14:textId="77777777" w:rsidR="00A77B3E" w:rsidRDefault="00B16CCF">
            <w:pPr>
              <w:spacing w:before="5pt"/>
              <w:rPr>
                <w:color w:val="000000"/>
                <w:sz w:val="20"/>
              </w:rPr>
            </w:pPr>
            <w:r>
              <w:rPr>
                <w:color w:val="000000"/>
                <w:sz w:val="20"/>
              </w:rPr>
              <w:lastRenderedPageBreak/>
              <w:t>3. Učinkovita uporaba in izvajanje Listine o temeljnih pravicah</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C3E83E"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B1567C" w14:textId="77777777" w:rsidR="00A77B3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4FA338" w14:textId="77777777" w:rsidR="00A77B3E" w:rsidRDefault="00B16CCF">
            <w:pPr>
              <w:spacing w:before="5pt"/>
              <w:jc w:val="center"/>
              <w:rPr>
                <w:color w:val="000000"/>
                <w:sz w:val="20"/>
              </w:rPr>
            </w:pPr>
            <w:r>
              <w:rPr>
                <w:color w:val="000000"/>
                <w:sz w:val="20"/>
              </w:rPr>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3582D2" w14:textId="77777777" w:rsidR="00A77B3E" w:rsidRDefault="00B16CCF">
            <w:pPr>
              <w:spacing w:before="5pt"/>
              <w:rPr>
                <w:color w:val="000000"/>
                <w:sz w:val="20"/>
              </w:rPr>
            </w:pPr>
            <w:r>
              <w:rPr>
                <w:color w:val="000000"/>
                <w:sz w:val="20"/>
              </w:rPr>
              <w:t xml:space="preserve">Vzpostavljeni so učinkoviti mehanizmi za zagotavljanje skladnosti z Listino Evropske unije o temeljnih pravicah (v nadaljevanju: Listina), ki vključujejo: </w:t>
            </w:r>
          </w:p>
          <w:p w14:paraId="0EE88636" w14:textId="77777777" w:rsidR="00A77B3E" w:rsidRDefault="00B16CCF">
            <w:pPr>
              <w:spacing w:before="5pt"/>
              <w:rPr>
                <w:color w:val="000000"/>
                <w:sz w:val="20"/>
              </w:rPr>
            </w:pPr>
            <w:r>
              <w:rPr>
                <w:color w:val="000000"/>
                <w:sz w:val="20"/>
              </w:rPr>
              <w:t>1. ureditve za zagotovitev skladnosti programov, ki jih podpirajo skladi, in njihovega izvajanja z ustreznimi določbami Listine;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7189E1" w14:textId="77777777" w:rsidR="00A77B3E" w:rsidRDefault="00B16CC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C3426B" w14:textId="77777777" w:rsidR="00A77B3E" w:rsidRDefault="00B16CCF">
            <w:pPr>
              <w:spacing w:before="5pt"/>
              <w:rPr>
                <w:color w:val="000000"/>
                <w:sz w:val="20"/>
              </w:rPr>
            </w:pPr>
            <w:r>
              <w:rPr>
                <w:color w:val="000000"/>
                <w:sz w:val="20"/>
              </w:rPr>
              <w:t>Postopkovnik za zagotavljanje horizontalnega omogočitvenega pogoja »Učinkovita uporaba in izvajanje Listine o temeljnih pravicah« (poslan Evropski komisiji)</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D8003A" w14:textId="77777777" w:rsidR="00A77B3E" w:rsidRDefault="00B16CCF">
            <w:pPr>
              <w:spacing w:before="5pt"/>
              <w:rPr>
                <w:color w:val="000000"/>
                <w:sz w:val="20"/>
              </w:rPr>
            </w:pPr>
            <w:r>
              <w:rPr>
                <w:color w:val="000000"/>
                <w:sz w:val="20"/>
              </w:rPr>
              <w:t>Postopkovnik konkretizira izvedbeni okvir tega pogoja, ki smo ga izvajali v fazi programiranja in ga bomo spremljali v vseh fazah implementacije (vključno s kontrolo, vrednotenjem itd.). Ukrepi postopkovnika bodo vključeni v pripravo nacionalnih predpisov (npr. slovensko uredbo o izvajanju EKP 21-27, ki opredeljuje pravila porabe sredstev EU, poslovnik o ustanovitvi OzS), pravila in dokumente OU (opis sistema upravljanja in nadzora, navodila in usmeritve, kontrolni list) in druge dejavnosti upravljanja.</w:t>
            </w:r>
          </w:p>
          <w:p w14:paraId="7D8D867C" w14:textId="77777777" w:rsidR="00A77B3E" w:rsidRDefault="00B16CCF">
            <w:pPr>
              <w:spacing w:before="5pt"/>
              <w:rPr>
                <w:color w:val="000000"/>
                <w:sz w:val="20"/>
              </w:rPr>
            </w:pPr>
            <w:r>
              <w:rPr>
                <w:color w:val="000000"/>
                <w:sz w:val="20"/>
              </w:rPr>
              <w:t xml:space="preserve">Pri tem bodo Center za človekove pravice in druge relevantne institucije (npr. Sektor za človekove pravice na MZZ, Zagovornika načela enakosti, Informacijski pooblaščenec ipd.) člani medresorske komisije/projektne skupine, ki bo ves čas sodelovala pri obravnavanju pritožb in njihovem reševanju (glej merilo 2). Kršitve bodo obravnavane v skladu z veljavnimi postopki varstva človekovih pravic. Osebe, ki bodo sodelovale pri spremljanju izvajanja Listine, bodo v skladu z Načrtom za krepitev upravnih </w:t>
            </w:r>
            <w:r>
              <w:rPr>
                <w:color w:val="000000"/>
                <w:sz w:val="20"/>
              </w:rPr>
              <w:lastRenderedPageBreak/>
              <w:t>zmogljivosti skozi celotno obdobje deležne ustreznega izobraževanja, ki bo predvidoma organizirano v sodelovanju s Centrom za človekove pravice.</w:t>
            </w:r>
          </w:p>
        </w:tc>
      </w:tr>
      <w:tr w:rsidR="00823317" w14:paraId="5BF22E4D"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213B58"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EE5E10"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9B3D0B"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818F6F"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687741" w14:textId="77777777" w:rsidR="00A77B3E" w:rsidRDefault="00B16CCF">
            <w:pPr>
              <w:spacing w:before="5pt"/>
              <w:rPr>
                <w:color w:val="000000"/>
                <w:sz w:val="20"/>
              </w:rPr>
            </w:pPr>
            <w:r>
              <w:rPr>
                <w:color w:val="000000"/>
                <w:sz w:val="20"/>
              </w:rPr>
              <w:t>2. ureditve poročanja odboru za spremljanje o primerih neskladnosti operacij, ki jih podpirajo skladi, z Listino in pritožbah glede Listine, predloženih v skladu z ureditvami na podlagi člena 69(7).</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B3E20A" w14:textId="77777777" w:rsidR="00A77B3E" w:rsidRDefault="00B16CC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F362FD" w14:textId="77777777" w:rsidR="00A77B3E" w:rsidRDefault="00B16CCF">
            <w:pPr>
              <w:spacing w:before="5pt"/>
              <w:rPr>
                <w:color w:val="000000"/>
                <w:sz w:val="20"/>
              </w:rPr>
            </w:pPr>
            <w:r>
              <w:rPr>
                <w:color w:val="000000"/>
                <w:sz w:val="20"/>
              </w:rPr>
              <w:t>Postopkovnik za zagotavljanje horizontalnega omogočitvenega pogoja »Učinkovita uporaba in izvajanje Listine o temeljnih pravicah«</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295716" w14:textId="77777777" w:rsidR="00A77B3E" w:rsidRDefault="00B16CCF">
            <w:pPr>
              <w:spacing w:before="5pt"/>
              <w:rPr>
                <w:color w:val="000000"/>
                <w:sz w:val="20"/>
              </w:rPr>
            </w:pPr>
            <w:r>
              <w:rPr>
                <w:color w:val="000000"/>
                <w:sz w:val="20"/>
              </w:rPr>
              <w:t xml:space="preserve">V sestavi OzS se zagotovijo predstavniki organov za varovanje človekovih pravic in/ali organov za enakost. </w:t>
            </w:r>
          </w:p>
          <w:p w14:paraId="40FE8BEF" w14:textId="77777777" w:rsidR="00A77B3E" w:rsidRDefault="00B16CCF">
            <w:pPr>
              <w:spacing w:before="5pt"/>
              <w:rPr>
                <w:color w:val="000000"/>
                <w:sz w:val="20"/>
              </w:rPr>
            </w:pPr>
            <w:r>
              <w:rPr>
                <w:color w:val="000000"/>
                <w:sz w:val="20"/>
              </w:rPr>
              <w:t>Poslovnik določa, da se OzS enkrat letno predvidoma na svoji redni seji seznani s poročilom o številu pritožbami in njihovoi vsebinoi ter ugotovljenih neskladij v okviru operacij, ki jih podpirajo skladi, ter ustreznimi popravljalni ukrepi, ki bodo sprejeti z namenom preprečevanja ponavljanja kršitev.</w:t>
            </w:r>
          </w:p>
          <w:p w14:paraId="004B185C" w14:textId="77777777" w:rsidR="00A77B3E" w:rsidRDefault="00B16CCF">
            <w:pPr>
              <w:spacing w:before="5pt"/>
              <w:rPr>
                <w:color w:val="000000"/>
                <w:sz w:val="20"/>
              </w:rPr>
            </w:pPr>
            <w:r>
              <w:rPr>
                <w:color w:val="000000"/>
                <w:sz w:val="20"/>
              </w:rPr>
              <w:t xml:space="preserve">OzS-ju bo poročala odgovorna oseba OU, ki bo pripravila poročilo na podlagi informacij, zbranih med upravljavskimi preverjanji in ugotovitvami revizijskih postopkov in EU/nacionalnih nadzornih institucij in drugih virov, v okviru poročil o kršitvah Listine in pritožb na Listino ter na pobudo in ob pomoči članov medresorske/projektne skupine, ki se bo sestala predvidoma 2x letno (glej merilo 1). Nacionalna uredba, ki opredeljuje pravila porabe sredstev Evropske unije, vzpostavlja pravno podlago za zagotavljanje učinkovitega pravnega varstva v primeru neskladnosti poslovanja z Listino. Spletna stran SVRK se nadgrajuje s spletnim obrazcem za pritožbe na podlagi 7. </w:t>
            </w:r>
            <w:r>
              <w:rPr>
                <w:color w:val="000000"/>
                <w:sz w:val="20"/>
              </w:rPr>
              <w:lastRenderedPageBreak/>
              <w:t>odstavka 69. člena Uredbe (EU) 2021/1060.</w:t>
            </w:r>
          </w:p>
        </w:tc>
      </w:tr>
      <w:tr w:rsidR="00823317" w14:paraId="64D6BCBC"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E7389B" w14:textId="77777777" w:rsidR="00A77B3E" w:rsidRDefault="00B16CCF">
            <w:pPr>
              <w:spacing w:before="5pt"/>
              <w:rPr>
                <w:color w:val="000000"/>
                <w:sz w:val="20"/>
              </w:rPr>
            </w:pPr>
            <w:r>
              <w:rPr>
                <w:color w:val="000000"/>
                <w:sz w:val="20"/>
              </w:rPr>
              <w:lastRenderedPageBreak/>
              <w:t>4. Izvajanje in uporaba Konvencije Združenih narodov o pravicah invalidov v skladu s Sklepom Sveta 2010/48/ES</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738B77"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BA497F" w14:textId="77777777" w:rsidR="00A77B3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A24AE1" w14:textId="77777777" w:rsidR="00A77B3E" w:rsidRDefault="00B16CCF">
            <w:pPr>
              <w:spacing w:before="5pt"/>
              <w:jc w:val="center"/>
              <w:rPr>
                <w:color w:val="000000"/>
                <w:sz w:val="20"/>
              </w:rPr>
            </w:pPr>
            <w:r>
              <w:rPr>
                <w:color w:val="000000"/>
                <w:sz w:val="20"/>
              </w:rPr>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1F66FD" w14:textId="77777777" w:rsidR="00A77B3E" w:rsidRDefault="00B16CCF">
            <w:pPr>
              <w:spacing w:before="5pt"/>
              <w:rPr>
                <w:color w:val="000000"/>
                <w:sz w:val="20"/>
              </w:rPr>
            </w:pPr>
            <w:r>
              <w:rPr>
                <w:color w:val="000000"/>
                <w:sz w:val="20"/>
              </w:rPr>
              <w:t xml:space="preserve">Vzpostavljen je nacionalni okvir za izvajanje Konvencije Združenih narodov o pravicah invalidov, ki vključuje: </w:t>
            </w:r>
          </w:p>
          <w:p w14:paraId="61BEDC2A" w14:textId="77777777" w:rsidR="00A77B3E" w:rsidRDefault="00B16CCF">
            <w:pPr>
              <w:spacing w:before="5pt"/>
              <w:rPr>
                <w:color w:val="000000"/>
                <w:sz w:val="20"/>
              </w:rPr>
            </w:pPr>
            <w:r>
              <w:rPr>
                <w:color w:val="000000"/>
                <w:sz w:val="20"/>
              </w:rPr>
              <w:t>1. cilje z merljivimi vrednostmi, zbiranje podatkov in mehanizme spremljanja;</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111271" w14:textId="77777777" w:rsidR="00A77B3E" w:rsidRDefault="00B16CC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FD7B6E" w14:textId="77777777" w:rsidR="00A77B3E" w:rsidRDefault="00B16CCF">
            <w:pPr>
              <w:spacing w:before="5pt"/>
              <w:rPr>
                <w:color w:val="000000"/>
                <w:sz w:val="20"/>
              </w:rPr>
            </w:pPr>
            <w:r>
              <w:rPr>
                <w:color w:val="000000"/>
                <w:sz w:val="20"/>
              </w:rPr>
              <w:t xml:space="preserve">Akcijski program za invalide 2022-2030 (API): (https://view.officeapps.live.com/op/view.aspx?src=https%3A%2F%2Fwww.gov.si%2Fassets%2Fministrstva%2FMDDSZ%2FInvalidi%2FAPI-2022-2030%2FAction_programme_for_Persons_with_Disabilities_2022_2030.docx&amp;wdOrigin=BROWSELINK), </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74E088" w14:textId="77777777" w:rsidR="00A77B3E" w:rsidRDefault="00B16CCF">
            <w:pPr>
              <w:spacing w:before="5pt"/>
              <w:rPr>
                <w:color w:val="000000"/>
                <w:sz w:val="20"/>
              </w:rPr>
            </w:pPr>
            <w:r>
              <w:rPr>
                <w:color w:val="000000"/>
                <w:sz w:val="20"/>
              </w:rPr>
              <w:t>Vlada RS je oktobra 2021 sprejela Akcijski program za invalide 2022-2030 (API), katerega namen je spodbujati, varovati in zagotavljati polnopravno in enakovredno uživanje človekovih pravic invalidov in spodbujanje njihovega dostojanstva. 7. 4. 2022 je bila imenovana Komisija za spremljanje API. Sestavljena je iz skupine predstavnikov vseh resornih ministrstev, strokovnih organizacij, Nacionalnega sveta invalidskih organizacij Slovenije ter drugih invalidskih organizacij in Zveze društev upokojencev. Naloga Komisije je priprava letnega poročila o izvajanju API za Vlado RS. Poročevalci beležijo vse dejavnosti, ki so bile izvedene v letu v okviru predvidenih 13 ciljev in 120 ukrepov API. Mnenje na letno poročilo Komisije poda Svet za invalide (posvetovalni, neodvisen tripartitni organ, ustanovljen na podlagi 33. člena Konvencije ZN o pravicah invalidov in EU strategije za invalide 2021-30), ki je med drugim zadolžen za spodbujanje in spremljanje izvajanja Zakona o ratifikaciji Konvencije kot tudi za spremljanje implementacije API.</w:t>
            </w:r>
          </w:p>
        </w:tc>
      </w:tr>
      <w:tr w:rsidR="00823317" w14:paraId="4E655E33"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1377E7"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EB9936"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615A3F"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D0147A"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AE743F" w14:textId="77777777" w:rsidR="00A77B3E" w:rsidRDefault="00B16CCF">
            <w:pPr>
              <w:spacing w:before="5pt"/>
              <w:rPr>
                <w:color w:val="000000"/>
                <w:sz w:val="20"/>
              </w:rPr>
            </w:pPr>
            <w:r>
              <w:rPr>
                <w:color w:val="000000"/>
                <w:sz w:val="20"/>
              </w:rPr>
              <w:t>2. ureditve za zagotovitev, da se politika, zakonodaja in standardi dostopnosti ustrezno upoštevajo pri pripravi in izvajanju programov;</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AE6C41" w14:textId="77777777" w:rsidR="00A77B3E" w:rsidRDefault="00B16CC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7BCB83" w14:textId="77777777" w:rsidR="00A77B3E" w:rsidRDefault="00B16CCF">
            <w:pPr>
              <w:spacing w:before="5pt"/>
              <w:rPr>
                <w:color w:val="000000"/>
                <w:sz w:val="20"/>
              </w:rPr>
            </w:pPr>
            <w:r>
              <w:rPr>
                <w:color w:val="000000"/>
                <w:sz w:val="20"/>
              </w:rPr>
              <w:t>Akcijski program za invalide 2022–2030 (API) (https://view.officeapps.live.com/op/view.aspx?src=https%3A%2F%2Fwww.gov.si%2Fassets%2Fministrstva%2FMDDSZ%2FInvalidi%2FAPI-2022-</w:t>
            </w:r>
            <w:r>
              <w:rPr>
                <w:color w:val="000000"/>
                <w:sz w:val="20"/>
              </w:rPr>
              <w:lastRenderedPageBreak/>
              <w:t xml:space="preserve">2030%2FAction_programme_for_Persons_with_Disabilities_2022_2030.docx&amp;wdOrigin=BROWSELINK), </w:t>
            </w:r>
          </w:p>
          <w:p w14:paraId="263B2886" w14:textId="77777777" w:rsidR="00A77B3E" w:rsidRDefault="00B16CCF">
            <w:pPr>
              <w:spacing w:before="5pt"/>
              <w:rPr>
                <w:color w:val="000000"/>
                <w:sz w:val="20"/>
              </w:rPr>
            </w:pPr>
            <w:r>
              <w:rPr>
                <w:color w:val="000000"/>
                <w:sz w:val="20"/>
              </w:rPr>
              <w:t>Zakon o izenačevanju možnosti invalidov (http://www.pisrs.si/Pis.web/pregledPredpisa?id=ZAKO4342)</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8E5E8B" w14:textId="77777777" w:rsidR="00A77B3E" w:rsidRDefault="00B16CCF">
            <w:pPr>
              <w:spacing w:before="5pt"/>
              <w:rPr>
                <w:color w:val="000000"/>
                <w:sz w:val="20"/>
              </w:rPr>
            </w:pPr>
            <w:r>
              <w:rPr>
                <w:color w:val="000000"/>
                <w:sz w:val="20"/>
              </w:rPr>
              <w:lastRenderedPageBreak/>
              <w:t xml:space="preserve">Pri izvajanju, spremljanju in vrednotenju Programa so/bodo sodelovale  organizacije, ki so pristojne za spremljanje izvajanja Konvencije. Preverjanje skladnosti s Konvencijo je bila zagotovljena tudi v procesu </w:t>
            </w:r>
            <w:r>
              <w:rPr>
                <w:color w:val="000000"/>
                <w:sz w:val="20"/>
              </w:rPr>
              <w:lastRenderedPageBreak/>
              <w:t>programiranja, saj so bile v pripravo Programa vključene različne organizacije s tega področja (glej načelo partnerstva).</w:t>
            </w:r>
          </w:p>
          <w:p w14:paraId="5ECDC75F" w14:textId="77777777" w:rsidR="00A77B3E" w:rsidRDefault="00B16CCF">
            <w:pPr>
              <w:spacing w:before="5pt"/>
              <w:rPr>
                <w:color w:val="000000"/>
                <w:sz w:val="20"/>
              </w:rPr>
            </w:pPr>
            <w:r>
              <w:rPr>
                <w:color w:val="000000"/>
                <w:sz w:val="20"/>
              </w:rPr>
              <w:t>Skladnost operacij s Konvencijo bomo preverjali na podlagi meril v kontrolnih  listih, ki bodo opredeljena v Navodilih OU. Postopki in naloge organov bodo določeni v Opisu sistema upravljanja in nadzora nad izvajanjem Programa.</w:t>
            </w:r>
          </w:p>
          <w:p w14:paraId="17666F4A" w14:textId="77777777" w:rsidR="00A77B3E" w:rsidRDefault="00B16CCF">
            <w:pPr>
              <w:spacing w:before="5pt"/>
              <w:rPr>
                <w:color w:val="000000"/>
                <w:sz w:val="20"/>
              </w:rPr>
            </w:pPr>
            <w:r>
              <w:rPr>
                <w:color w:val="000000"/>
                <w:sz w:val="20"/>
              </w:rPr>
              <w:t xml:space="preserve">V načrtu za krepitev upravne zmogljivosti smo predvideli usposabljanja in izobraževanja ključnih deležnikov na tem področju, ki bo pripravljeno v sodelovanju s Komisijo </w:t>
            </w:r>
          </w:p>
          <w:p w14:paraId="4FC83350" w14:textId="77777777" w:rsidR="00A77B3E" w:rsidRDefault="00B16CCF">
            <w:pPr>
              <w:spacing w:before="5pt"/>
              <w:rPr>
                <w:color w:val="000000"/>
                <w:sz w:val="20"/>
              </w:rPr>
            </w:pPr>
            <w:r>
              <w:rPr>
                <w:color w:val="000000"/>
                <w:sz w:val="20"/>
              </w:rPr>
              <w:t xml:space="preserve">za spremljanje API in ostalimi relevantnimi strokovnjaki. </w:t>
            </w:r>
          </w:p>
        </w:tc>
      </w:tr>
      <w:tr w:rsidR="00823317" w14:paraId="563C8794"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DBB813"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3179D0"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1AC9EC"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C146C3"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C4937B" w14:textId="77777777" w:rsidR="00A77B3E" w:rsidRDefault="00B16CCF">
            <w:pPr>
              <w:spacing w:before="5pt"/>
              <w:rPr>
                <w:color w:val="000000"/>
                <w:sz w:val="20"/>
              </w:rPr>
            </w:pPr>
            <w:r>
              <w:rPr>
                <w:color w:val="000000"/>
                <w:sz w:val="20"/>
              </w:rPr>
              <w:t>3. ureditve poročanja odboru za spremljanje o primerih neskladnosti operacij, ki jih podpirajo skladi, s Konvencijo Združenih narodov o pravicah invalidov in pritožbah glede navedene konvencije, predloženih v skladu z ureditvami na podlagi člena 69(7).</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5AE46B" w14:textId="77777777" w:rsidR="00A77B3E" w:rsidRDefault="00B16CC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F9DE20" w14:textId="77777777" w:rsidR="00A77B3E" w:rsidRDefault="00B16CCF">
            <w:pPr>
              <w:spacing w:before="5pt"/>
              <w:rPr>
                <w:color w:val="000000"/>
                <w:sz w:val="20"/>
              </w:rPr>
            </w:pPr>
            <w:r>
              <w:rPr>
                <w:color w:val="000000"/>
                <w:sz w:val="20"/>
              </w:rPr>
              <w:t>Akcijski program za invalide 2022–2030 (API) (https://view.officeapps.live.com/op/view.aspx?src=https%3A%2F%2Fwww.gov.si%2Fassets%2Fministrstva%2FMDDSZ%2FInvalidi%2FAPI-2022-2030%2FAction_programme_for_Persons_with_Disabilities_2022_2030.docx&amp;wdOrigin=BROWSELINK)</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CB31D7" w14:textId="77777777" w:rsidR="00A77B3E" w:rsidRDefault="00B16CCF">
            <w:pPr>
              <w:spacing w:before="5pt"/>
              <w:rPr>
                <w:color w:val="000000"/>
                <w:sz w:val="20"/>
              </w:rPr>
            </w:pPr>
            <w:r>
              <w:rPr>
                <w:color w:val="000000"/>
                <w:sz w:val="20"/>
              </w:rPr>
              <w:t>Organ upravljanja bo imenoval odgovorno osebo, ki bo zadolžena za spremljanje in pripravo letnega poročila o ugotovljenih neskladjih v postopkih upravljalnih preverjanj, revizij, vloženih spletnih pritožb, ugotovitvah Komisije za spremljanje API, ter o izvedenih popravljalnih ukrepih. Organ upravljanja bo v sodelovanju z MDDSZ in drugimi resorji poročilo predstavil na letnem OzS.</w:t>
            </w:r>
          </w:p>
          <w:p w14:paraId="0843D223" w14:textId="77777777" w:rsidR="00A77B3E" w:rsidRDefault="00B16CCF">
            <w:pPr>
              <w:spacing w:before="5pt"/>
              <w:rPr>
                <w:color w:val="000000"/>
                <w:sz w:val="20"/>
              </w:rPr>
            </w:pPr>
            <w:r>
              <w:rPr>
                <w:color w:val="000000"/>
                <w:sz w:val="20"/>
              </w:rPr>
              <w:t>Poročilo bo vsebovalo informacijo o ugotovljenih neskladjih in pritožbah, vsebini in izvedenih popravljalnih ukrepih.</w:t>
            </w:r>
          </w:p>
          <w:p w14:paraId="2CE131B4" w14:textId="77777777" w:rsidR="00A77B3E" w:rsidRDefault="00B16CCF">
            <w:pPr>
              <w:spacing w:before="5pt"/>
              <w:rPr>
                <w:color w:val="000000"/>
                <w:sz w:val="20"/>
              </w:rPr>
            </w:pPr>
            <w:r>
              <w:rPr>
                <w:color w:val="000000"/>
                <w:sz w:val="20"/>
              </w:rPr>
              <w:t xml:space="preserve">Pritožbe bo zbiral tudi OU, zato bo na njegovi spletni strani objavljen obrazec </w:t>
            </w:r>
            <w:r>
              <w:rPr>
                <w:color w:val="000000"/>
                <w:sz w:val="20"/>
              </w:rPr>
              <w:lastRenderedPageBreak/>
              <w:t xml:space="preserve">za pritožbe na podlagi 7. odstavka 69. člena Uredbe (EU) 2021/1060. </w:t>
            </w:r>
          </w:p>
        </w:tc>
      </w:tr>
      <w:tr w:rsidR="00823317" w14:paraId="5C2C079E"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2A13A7" w14:textId="77777777" w:rsidR="00A77B3E" w:rsidRDefault="00B16CCF">
            <w:pPr>
              <w:spacing w:before="5pt"/>
              <w:rPr>
                <w:color w:val="000000"/>
                <w:sz w:val="20"/>
              </w:rPr>
            </w:pPr>
            <w:r>
              <w:rPr>
                <w:color w:val="000000"/>
                <w:sz w:val="20"/>
              </w:rPr>
              <w:lastRenderedPageBreak/>
              <w:t>1.1. Dobro upravljanje nacionalne ali regionalne strategije pametne specializacije</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40D42B" w14:textId="77777777" w:rsidR="00A77B3E" w:rsidRDefault="00A77B3E">
            <w:pPr>
              <w:spacing w:before="5pt"/>
              <w:rPr>
                <w:color w:val="000000"/>
                <w:sz w:val="20"/>
              </w:rPr>
            </w:pPr>
          </w:p>
          <w:p w14:paraId="7A18620A" w14:textId="77777777" w:rsidR="00A77B3E" w:rsidRDefault="00B16CCF">
            <w:pPr>
              <w:spacing w:before="5pt"/>
              <w:rPr>
                <w:color w:val="000000"/>
                <w:sz w:val="20"/>
                <w:szCs w:val="20"/>
              </w:rPr>
            </w:pPr>
            <w:r>
              <w:rPr>
                <w:color w:val="000000"/>
                <w:sz w:val="20"/>
                <w:szCs w:val="20"/>
              </w:rPr>
              <w:t>ESRR</w:t>
            </w:r>
          </w:p>
          <w:p w14:paraId="14761378"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D5A38F" w14:textId="77777777" w:rsidR="00A77B3E" w:rsidRDefault="00A77B3E">
            <w:pPr>
              <w:spacing w:before="5pt"/>
              <w:rPr>
                <w:color w:val="000000"/>
                <w:sz w:val="20"/>
              </w:rPr>
            </w:pPr>
          </w:p>
          <w:p w14:paraId="6EF06AEE" w14:textId="77777777" w:rsidR="00A77B3E" w:rsidRDefault="00B16CCF">
            <w:pPr>
              <w:spacing w:before="5pt"/>
              <w:rPr>
                <w:color w:val="000000"/>
                <w:sz w:val="20"/>
                <w:szCs w:val="20"/>
              </w:rPr>
            </w:pPr>
            <w:r>
              <w:rPr>
                <w:color w:val="000000"/>
                <w:sz w:val="20"/>
                <w:szCs w:val="20"/>
              </w:rPr>
              <w:t>RSO1.1. Razvoj in izboljšanje raziskovalne in inovacijske zmogljivosti ter uvajanje naprednih tehnologij</w:t>
            </w:r>
            <w:r>
              <w:rPr>
                <w:color w:val="000000"/>
                <w:sz w:val="20"/>
                <w:szCs w:val="20"/>
              </w:rPr>
              <w:br/>
              <w:t>RSO1.4. Razvoj znanj in spretnosti za pametno specializacijo, industrijski prehod in podjetništvo</w:t>
            </w:r>
          </w:p>
          <w:p w14:paraId="18431F54" w14:textId="77777777" w:rsidR="00A77B3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159E86" w14:textId="77777777" w:rsidR="00A77B3E" w:rsidRDefault="00B16CCF">
            <w:pPr>
              <w:spacing w:before="5pt"/>
              <w:jc w:val="center"/>
              <w:rPr>
                <w:color w:val="000000"/>
                <w:sz w:val="20"/>
              </w:rPr>
            </w:pPr>
            <w:r>
              <w:rPr>
                <w:color w:val="000000"/>
                <w:sz w:val="20"/>
              </w:rPr>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6F5FAE" w14:textId="77777777" w:rsidR="00A77B3E" w:rsidRDefault="00B16CCF">
            <w:pPr>
              <w:spacing w:before="5pt"/>
              <w:rPr>
                <w:color w:val="000000"/>
                <w:sz w:val="20"/>
              </w:rPr>
            </w:pPr>
            <w:r>
              <w:rPr>
                <w:color w:val="000000"/>
                <w:sz w:val="20"/>
              </w:rPr>
              <w:t xml:space="preserve">Strategijo oziroma strategije pametne specializacije podpirajo: </w:t>
            </w:r>
          </w:p>
          <w:p w14:paraId="35B690B8" w14:textId="77777777" w:rsidR="00A77B3E" w:rsidRDefault="00B16CCF">
            <w:pPr>
              <w:spacing w:before="5pt"/>
              <w:rPr>
                <w:color w:val="000000"/>
                <w:sz w:val="20"/>
              </w:rPr>
            </w:pPr>
            <w:r>
              <w:rPr>
                <w:color w:val="000000"/>
                <w:sz w:val="20"/>
              </w:rPr>
              <w:t>1. najnovejša analiza izzivov za razširjanje inovacij in digitalizacijo;</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DABC16" w14:textId="77777777" w:rsidR="00A77B3E" w:rsidRDefault="00B16CC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6E5847" w14:textId="77777777" w:rsidR="00A77B3E" w:rsidRDefault="00B16CCF">
            <w:pPr>
              <w:spacing w:before="5pt"/>
              <w:rPr>
                <w:color w:val="000000"/>
                <w:sz w:val="20"/>
              </w:rPr>
            </w:pPr>
            <w:r>
              <w:rPr>
                <w:color w:val="000000"/>
                <w:sz w:val="20"/>
              </w:rPr>
              <w:t>Strokovna analiza kot podlaga za Strategijo pametne specializacije, Končno poročilo, 23. 12. 2020 (https://www.gov.si/assets/vladne-sluzbe/SVRK/S4-Slovenska-strategija-pametne-specializacije/Studijakonkurencnosti-slovenskega-gospodarstva-po-panogah_dejavnostih-in-raziskovalnih-dejavnosti-na-podlagi-najnovejsih-podatkov.pdf), Empirically Led Internationalisation of S3, An Investigation Based on Micro-Data for the Country of Slovenia, 5. 3. 2020 (https://www.gov.si/assets/vladne-sluzbe/SVRK/)</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3D9626" w14:textId="77777777" w:rsidR="00A77B3E" w:rsidRDefault="00B16CCF">
            <w:pPr>
              <w:spacing w:before="5pt"/>
              <w:rPr>
                <w:color w:val="000000"/>
                <w:sz w:val="20"/>
              </w:rPr>
            </w:pPr>
            <w:r>
              <w:rPr>
                <w:color w:val="000000"/>
                <w:sz w:val="20"/>
              </w:rPr>
              <w:t>Namen analize je z novejšimi podatki posodobiti izračune, kot so bili narejeni že v dveh dosedanjih analitičnih podlagah za oblikovanje oziroma revizijo Strategije pametne specializacije.</w:t>
            </w:r>
          </w:p>
          <w:p w14:paraId="6EB62165" w14:textId="77777777" w:rsidR="00A77B3E" w:rsidRDefault="00B16CCF">
            <w:pPr>
              <w:spacing w:before="5pt"/>
              <w:rPr>
                <w:color w:val="000000"/>
                <w:sz w:val="20"/>
              </w:rPr>
            </w:pPr>
            <w:r>
              <w:rPr>
                <w:color w:val="000000"/>
                <w:sz w:val="20"/>
              </w:rPr>
              <w:t>Druga študija je imela cilj analizirati področja znanja, proizvodov in veščin v RS ter tako identificirati glavne nacionalne in mednarodne igralce, ki lahko sodelujejo pri razvoju RS v skladu s S5.</w:t>
            </w:r>
          </w:p>
        </w:tc>
      </w:tr>
      <w:tr w:rsidR="00823317" w14:paraId="7C754BAD"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2D0FD8"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C583F8"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64AB44"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0B3861"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7EB190" w14:textId="77777777" w:rsidR="00A77B3E" w:rsidRDefault="00B16CCF">
            <w:pPr>
              <w:spacing w:before="5pt"/>
              <w:rPr>
                <w:color w:val="000000"/>
                <w:sz w:val="20"/>
              </w:rPr>
            </w:pPr>
            <w:r>
              <w:rPr>
                <w:color w:val="000000"/>
                <w:sz w:val="20"/>
              </w:rPr>
              <w:t>2. obstoj pristojne regionalne ali nacionalne institucije ali telesa, odgovornega za upravljanje strategije pametne specializacije;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6EB05E" w14:textId="77777777" w:rsidR="00A77B3E" w:rsidRDefault="00B16CC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70AB77" w14:textId="77777777" w:rsidR="00A77B3E" w:rsidRDefault="00B16CCF">
            <w:pPr>
              <w:spacing w:before="5pt"/>
              <w:rPr>
                <w:color w:val="000000"/>
                <w:sz w:val="20"/>
              </w:rPr>
            </w:pPr>
            <w:r>
              <w:rPr>
                <w:color w:val="000000"/>
                <w:sz w:val="20"/>
              </w:rPr>
              <w:t>Sistemizacija SVRK</w:t>
            </w:r>
          </w:p>
          <w:p w14:paraId="6E6EB93D" w14:textId="77777777" w:rsidR="00A77B3E" w:rsidRDefault="00B16CCF">
            <w:pPr>
              <w:spacing w:before="5pt"/>
              <w:rPr>
                <w:color w:val="000000"/>
                <w:sz w:val="20"/>
              </w:rPr>
            </w:pPr>
            <w:r>
              <w:rPr>
                <w:color w:val="000000"/>
                <w:sz w:val="20"/>
              </w:rPr>
              <w:t>Vir: Kadrovska služba SVRK</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C53E2A" w14:textId="77777777" w:rsidR="00A77B3E" w:rsidRDefault="00B16CCF">
            <w:pPr>
              <w:spacing w:before="5pt"/>
              <w:rPr>
                <w:color w:val="000000"/>
                <w:sz w:val="20"/>
              </w:rPr>
            </w:pPr>
            <w:r>
              <w:rPr>
                <w:color w:val="000000"/>
                <w:sz w:val="20"/>
              </w:rPr>
              <w:t>Pomanjkljivosti, ki jih ima Slovenija glede drugega in tretjega kriterija omogočanja dobrega upravljanja nacionalne strategije pametne specializacije bodo odpravljene v skladu s pripravljenim akcijskim načrtom (Priloga Akcijski načrt S5), ki določa korake, institucije in mejnike za izvedbo.</w:t>
            </w:r>
          </w:p>
          <w:p w14:paraId="31EEA567" w14:textId="77777777" w:rsidR="00A77B3E" w:rsidRDefault="00B16CCF">
            <w:pPr>
              <w:spacing w:before="5pt"/>
              <w:rPr>
                <w:color w:val="000000"/>
                <w:sz w:val="20"/>
              </w:rPr>
            </w:pPr>
            <w:r>
              <w:rPr>
                <w:color w:val="000000"/>
                <w:sz w:val="20"/>
              </w:rPr>
              <w:t xml:space="preserve">Večje spremembe so posledica novega Zakona o znanstvenoraziskovalni in inovacijski dejavnosti (sprejet novembra 2021). Poleg tega so predvidene bistvene spremembe v skladu s priporočili EK »TF Reform Contract REFORM/SC2020/100 implementing framework contract No SRSS/2018/01/FWC/002 of Slovenia’s </w:t>
            </w:r>
            <w:r>
              <w:rPr>
                <w:color w:val="000000"/>
                <w:sz w:val="20"/>
              </w:rPr>
              <w:lastRenderedPageBreak/>
              <w:t>innovation ecosystem«. Dodatno se v okviru SVRK načrtuje okrepitev skupine S5 z večjim fokusom na analitičnih veščinah.</w:t>
            </w:r>
          </w:p>
          <w:p w14:paraId="2B4C3996" w14:textId="77777777" w:rsidR="00A77B3E" w:rsidRDefault="00A77B3E">
            <w:pPr>
              <w:spacing w:before="5pt"/>
              <w:rPr>
                <w:color w:val="000000"/>
                <w:sz w:val="20"/>
              </w:rPr>
            </w:pPr>
          </w:p>
          <w:p w14:paraId="2649E8D0" w14:textId="77777777" w:rsidR="00A77B3E" w:rsidRDefault="00A77B3E">
            <w:pPr>
              <w:spacing w:before="5pt"/>
              <w:rPr>
                <w:color w:val="000000"/>
                <w:sz w:val="20"/>
              </w:rPr>
            </w:pPr>
          </w:p>
        </w:tc>
      </w:tr>
      <w:tr w:rsidR="00823317" w14:paraId="42F4B707"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E51D11"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98DA57"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FCE1D2"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700131"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EAA5B7" w14:textId="77777777" w:rsidR="00A77B3E" w:rsidRDefault="00B16CCF">
            <w:pPr>
              <w:spacing w:before="5pt"/>
              <w:rPr>
                <w:color w:val="000000"/>
                <w:sz w:val="20"/>
              </w:rPr>
            </w:pPr>
            <w:r>
              <w:rPr>
                <w:color w:val="000000"/>
                <w:sz w:val="20"/>
              </w:rPr>
              <w:t>3. orodja za spremljanje in vrednotenje za merjenje uspešnosti pri doseganju ciljev strategije;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E4536A" w14:textId="77777777" w:rsidR="00A77B3E" w:rsidRDefault="00B16CC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61061D" w14:textId="77777777" w:rsidR="00A77B3E" w:rsidRDefault="00B16CCF">
            <w:pPr>
              <w:spacing w:before="5pt"/>
              <w:rPr>
                <w:color w:val="000000"/>
                <w:sz w:val="20"/>
              </w:rPr>
            </w:pPr>
            <w:r>
              <w:rPr>
                <w:color w:val="000000"/>
                <w:sz w:val="20"/>
              </w:rPr>
              <w:t>Ciljni raziskovalni program 2019 (CRP 2019) "Spremljanje in presoja učinkov strateških razvojno inovacijskih partnerstev" (Vir: SVRK)</w:t>
            </w:r>
          </w:p>
          <w:p w14:paraId="4E3462FF" w14:textId="77777777" w:rsidR="00A77B3E" w:rsidRDefault="00B16CCF">
            <w:pPr>
              <w:spacing w:before="5pt"/>
              <w:rPr>
                <w:color w:val="000000"/>
                <w:sz w:val="20"/>
              </w:rPr>
            </w:pPr>
            <w:r>
              <w:rPr>
                <w:color w:val="000000"/>
                <w:sz w:val="20"/>
              </w:rPr>
              <w:t>Ciljni raziskovalni program 2021 (CRP 2021): Priprava metodologije in in presoja učinkovitosti</w:t>
            </w:r>
          </w:p>
          <w:p w14:paraId="4AC6B005" w14:textId="77777777" w:rsidR="00A77B3E" w:rsidRDefault="00B16CCF">
            <w:pPr>
              <w:spacing w:before="5pt"/>
              <w:rPr>
                <w:color w:val="000000"/>
                <w:sz w:val="20"/>
              </w:rPr>
            </w:pPr>
            <w:r>
              <w:rPr>
                <w:color w:val="000000"/>
                <w:sz w:val="20"/>
              </w:rPr>
              <w:t>ukrepov iz naslova S4/5, (Vir: SVRK)</w:t>
            </w:r>
          </w:p>
          <w:p w14:paraId="435B926C" w14:textId="77777777" w:rsidR="00A77B3E" w:rsidRDefault="00B16CCF">
            <w:pPr>
              <w:spacing w:before="5pt"/>
              <w:rPr>
                <w:color w:val="000000"/>
                <w:sz w:val="20"/>
              </w:rPr>
            </w:pPr>
            <w:r>
              <w:rPr>
                <w:color w:val="000000"/>
                <w:sz w:val="20"/>
              </w:rPr>
              <w:t>eMA 2 – Računalniški sistem</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0D1493" w14:textId="77777777" w:rsidR="00A77B3E" w:rsidRDefault="00B16CCF">
            <w:pPr>
              <w:spacing w:before="5pt"/>
              <w:rPr>
                <w:color w:val="000000"/>
                <w:sz w:val="20"/>
              </w:rPr>
            </w:pPr>
            <w:r>
              <w:rPr>
                <w:color w:val="000000"/>
                <w:sz w:val="20"/>
              </w:rPr>
              <w:t>Izvajanje se spremlja in vrednoti preko instrumenta Ciljnih raziskovalnih programov, kjer sodelujemo SVRK, MGRT in MIZŠ.</w:t>
            </w:r>
          </w:p>
          <w:p w14:paraId="2FDB0EFD" w14:textId="77777777" w:rsidR="00A77B3E" w:rsidRDefault="00B16CCF">
            <w:pPr>
              <w:spacing w:before="5pt"/>
              <w:rPr>
                <w:color w:val="000000"/>
                <w:sz w:val="20"/>
              </w:rPr>
            </w:pPr>
            <w:r>
              <w:rPr>
                <w:color w:val="000000"/>
                <w:sz w:val="20"/>
              </w:rPr>
              <w:t>Izvajanje, spremljanje in na podlagi tega tudi vrednotenje je in bo omogočeno v krovnem informacijskem sistemu e-MA.</w:t>
            </w:r>
          </w:p>
          <w:p w14:paraId="01DAD39C" w14:textId="77777777" w:rsidR="00A77B3E" w:rsidRDefault="00B16CCF">
            <w:pPr>
              <w:spacing w:before="5pt"/>
              <w:rPr>
                <w:color w:val="000000"/>
                <w:sz w:val="20"/>
              </w:rPr>
            </w:pPr>
            <w:r>
              <w:rPr>
                <w:color w:val="000000"/>
                <w:sz w:val="20"/>
              </w:rPr>
              <w:t>S5 pokriva ne samo sredstva EKP, temveč tudi druge vire financiranja: nacionalna sredstva – javna in privatna, kar je prikazano v tekstu S5. Podatki, ki niso del EKP, temeljijo na ocenah pristojnih resorjev po posameznih področjih. Spremljanje izvajanja S5 se bo izvajalo preko sistema e-MA2 v delu EKP in na podlagi poročanja posameznih resorjev, ki so prispevali ocene za poglavje 7. Finance Slovenske strategije pametne specializacije.</w:t>
            </w:r>
          </w:p>
        </w:tc>
      </w:tr>
      <w:tr w:rsidR="00823317" w14:paraId="34989405"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1E5998"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5FE2BA"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89D07D"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1019DD"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BCED94" w14:textId="77777777" w:rsidR="00A77B3E" w:rsidRDefault="00B16CCF">
            <w:pPr>
              <w:spacing w:before="5pt"/>
              <w:rPr>
                <w:color w:val="000000"/>
                <w:sz w:val="20"/>
              </w:rPr>
            </w:pPr>
            <w:r>
              <w:rPr>
                <w:color w:val="000000"/>
                <w:sz w:val="20"/>
              </w:rPr>
              <w:t>4. delovanje sodelovanja deležnikov („proces podjetniškega odkrivanja“);</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F32CBF" w14:textId="77777777" w:rsidR="00A77B3E" w:rsidRDefault="00B16CC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085708" w14:textId="77777777" w:rsidR="00A77B3E" w:rsidRDefault="00B16CCF">
            <w:pPr>
              <w:spacing w:before="5pt"/>
              <w:rPr>
                <w:color w:val="000000"/>
                <w:sz w:val="20"/>
              </w:rPr>
            </w:pPr>
            <w:r>
              <w:rPr>
                <w:color w:val="000000"/>
                <w:sz w:val="20"/>
              </w:rPr>
              <w:t>Spletne delavnice Slovenske strategije pametne specializacije uspešno zaključene - preko 900 udeležencev aktivno sodelovalo pri oblikovanju prenovljene S5 (https://www.eu-skladi.si/portal/sl/po-2020/priprava-programskih-dokumentov-1/slovenska-strategija-pametne-specializacije)</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FF97DD" w14:textId="77777777" w:rsidR="00A77B3E" w:rsidRDefault="00B16CCF">
            <w:pPr>
              <w:spacing w:before="5pt"/>
              <w:rPr>
                <w:color w:val="000000"/>
                <w:sz w:val="20"/>
              </w:rPr>
            </w:pPr>
            <w:r>
              <w:rPr>
                <w:color w:val="000000"/>
                <w:sz w:val="20"/>
              </w:rPr>
              <w:t xml:space="preserve">Deležniki so bili od vsega začetka procesa junija 2020 povabljeni k prenovi S5 in so vseskozi sodelovali, izpostavljamo 10 javnih webinarjev po posameznih prioritetnih področjih S5 – posnetki so dosegljivi. </w:t>
            </w:r>
          </w:p>
          <w:p w14:paraId="5B71B779" w14:textId="77777777" w:rsidR="00A77B3E" w:rsidRDefault="00B16CCF">
            <w:pPr>
              <w:spacing w:before="5pt"/>
              <w:rPr>
                <w:color w:val="000000"/>
                <w:sz w:val="20"/>
              </w:rPr>
            </w:pPr>
            <w:r>
              <w:rPr>
                <w:color w:val="000000"/>
                <w:sz w:val="20"/>
              </w:rPr>
              <w:t xml:space="preserve">Proces je stalno odprt za vse zainteresirane deležnike preko posebnega elektronskega naslova </w:t>
            </w:r>
            <w:r>
              <w:rPr>
                <w:color w:val="000000"/>
                <w:sz w:val="20"/>
              </w:rPr>
              <w:lastRenderedPageBreak/>
              <w:t>s5.svrk@gov.si kamor lahko pošljejo predloge, mnenja, kritike in komentarje.</w:t>
            </w:r>
          </w:p>
        </w:tc>
      </w:tr>
      <w:tr w:rsidR="00823317" w14:paraId="2A5AAEF0"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734F58"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B7C067"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5D1CA9"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217927"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31AD73" w14:textId="77777777" w:rsidR="00A77B3E" w:rsidRDefault="00B16CCF">
            <w:pPr>
              <w:spacing w:before="5pt"/>
              <w:rPr>
                <w:color w:val="000000"/>
                <w:sz w:val="20"/>
              </w:rPr>
            </w:pPr>
            <w:r>
              <w:rPr>
                <w:color w:val="000000"/>
                <w:sz w:val="20"/>
              </w:rPr>
              <w:t>5. ukrepi, potrebni za izboljšanje nacionalnih ali regionalnih raziskovalnih in inovacijskih sistemov, kjer je to ustrezno;</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D7FE46" w14:textId="77777777" w:rsidR="00A77B3E" w:rsidRDefault="00B16CC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42BA0B" w14:textId="77777777" w:rsidR="00A77B3E" w:rsidRDefault="00B16CCF">
            <w:pPr>
              <w:spacing w:before="5pt"/>
              <w:rPr>
                <w:color w:val="000000"/>
                <w:sz w:val="20"/>
              </w:rPr>
            </w:pPr>
            <w:r>
              <w:rPr>
                <w:color w:val="000000"/>
                <w:sz w:val="20"/>
              </w:rPr>
              <w:t>Končno poročilo projekta REFORM »Strengthening the Innovation Ecosystem in Slovenia«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E80027" w14:textId="77777777" w:rsidR="00A77B3E" w:rsidRDefault="00B16CCF">
            <w:pPr>
              <w:spacing w:before="5pt"/>
              <w:rPr>
                <w:color w:val="000000"/>
                <w:sz w:val="20"/>
              </w:rPr>
            </w:pPr>
            <w:r>
              <w:rPr>
                <w:color w:val="000000"/>
                <w:sz w:val="20"/>
              </w:rPr>
              <w:t>Izvedba projekta REFORM »Strengthening the Innovation Ecosystem in Slovenia« - na podlagi končne verzije priporočil zaključenega projekta bo sledila  izvedba priporočil. Tudi besedilo S5 je usklajeno z ugotovitvami projekta.</w:t>
            </w:r>
          </w:p>
        </w:tc>
      </w:tr>
      <w:tr w:rsidR="00823317" w14:paraId="2AC4F268"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F5EDB3"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ACD4ED"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716D53"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7BF234"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0781B2" w14:textId="77777777" w:rsidR="00A77B3E" w:rsidRDefault="00B16CCF">
            <w:pPr>
              <w:spacing w:before="5pt"/>
              <w:rPr>
                <w:color w:val="000000"/>
                <w:sz w:val="20"/>
              </w:rPr>
            </w:pPr>
            <w:r>
              <w:rPr>
                <w:color w:val="000000"/>
                <w:sz w:val="20"/>
              </w:rPr>
              <w:t>6. ukrepi v podporo industrijski tranziciji, kjer je to ustrezno;</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07441B" w14:textId="77777777" w:rsidR="00A77B3E" w:rsidRDefault="00B16CC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CCB3BA" w14:textId="77777777" w:rsidR="00A77B3E" w:rsidRDefault="00B16CCF">
            <w:pPr>
              <w:spacing w:before="5pt"/>
              <w:rPr>
                <w:color w:val="000000"/>
                <w:sz w:val="20"/>
              </w:rPr>
            </w:pPr>
            <w:r>
              <w:rPr>
                <w:color w:val="000000"/>
                <w:sz w:val="20"/>
              </w:rPr>
              <w:t>Projekt: Nacionalni demonstracijski center Pametne Tovarne (Vir: SVRK)</w:t>
            </w:r>
          </w:p>
          <w:p w14:paraId="511799F8" w14:textId="77777777" w:rsidR="00A77B3E" w:rsidRDefault="00B16CCF">
            <w:pPr>
              <w:spacing w:before="5pt"/>
              <w:rPr>
                <w:color w:val="000000"/>
                <w:sz w:val="20"/>
              </w:rPr>
            </w:pPr>
            <w:r>
              <w:rPr>
                <w:color w:val="000000"/>
                <w:sz w:val="20"/>
              </w:rPr>
              <w:t>Pravični prehod v Zasavju in SAŠA regiji – Območna načrta za pravični prehod (oba v pripravi)</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7AB02A" w14:textId="77777777" w:rsidR="00A77B3E" w:rsidRDefault="00B16CCF">
            <w:pPr>
              <w:spacing w:before="5pt"/>
              <w:rPr>
                <w:color w:val="000000"/>
                <w:sz w:val="20"/>
              </w:rPr>
            </w:pPr>
            <w:r>
              <w:rPr>
                <w:color w:val="000000"/>
                <w:sz w:val="20"/>
              </w:rPr>
              <w:t>Nacionalni demonstracijski center Pametne Tovarne (NDC PT) je strateški instrument zasnovan na distribuiranem delovanju, ki bo podjetjem, predvsem MSP omogočal učinkovit dostop do novih tehnologij, praktično usposabljanje in prenos znanj iz znanstveno-razvojnih okolij v realno industrijsko okolje, upoštevajoč načelo dobrih praks. NDC PT bo predstavljal demonstracijsko okolje uporabe in implementacije principov industrije 4.0 ter ključnih omogočitvenih tehnologij ter razvojno in testno okolje za visokotehnološke produkte, tehnologije in storitve za proizvodna in zagonska podjetja ter raziskovalne institucije.</w:t>
            </w:r>
          </w:p>
        </w:tc>
      </w:tr>
      <w:tr w:rsidR="00823317" w14:paraId="01181366"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944DA1"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730F20"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181F35"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721343"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59D777" w14:textId="77777777" w:rsidR="00A77B3E" w:rsidRDefault="00B16CCF">
            <w:pPr>
              <w:spacing w:before="5pt"/>
              <w:rPr>
                <w:color w:val="000000"/>
                <w:sz w:val="20"/>
              </w:rPr>
            </w:pPr>
            <w:r>
              <w:rPr>
                <w:color w:val="000000"/>
                <w:sz w:val="20"/>
              </w:rPr>
              <w:t>7. ukrepi za okrepitev sodelovanja s partnerji zunaj zadevne države članice na prednostnih področjih, ki jih podpira strategija pametne specializacije.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ABE02C" w14:textId="77777777" w:rsidR="00A77B3E" w:rsidRDefault="00B16CC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C3E035" w14:textId="77777777" w:rsidR="00A77B3E" w:rsidRDefault="00B16CCF">
            <w:pPr>
              <w:spacing w:before="5pt"/>
              <w:rPr>
                <w:color w:val="000000"/>
                <w:sz w:val="20"/>
              </w:rPr>
            </w:pPr>
            <w:r>
              <w:rPr>
                <w:color w:val="000000"/>
                <w:sz w:val="20"/>
              </w:rPr>
              <w:t>Podporni dokument prenovljene S5: Analiza mednarodnega sodelovanja (Vir: SVRK)</w:t>
            </w:r>
          </w:p>
          <w:p w14:paraId="6A7D447E" w14:textId="77777777" w:rsidR="00A77B3E" w:rsidRDefault="00B16CCF">
            <w:pPr>
              <w:spacing w:before="5pt"/>
              <w:rPr>
                <w:color w:val="000000"/>
                <w:sz w:val="20"/>
              </w:rPr>
            </w:pPr>
            <w:r>
              <w:rPr>
                <w:color w:val="000000"/>
                <w:sz w:val="20"/>
              </w:rPr>
              <w:t>Posebno poglavje S5</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B97DB2" w14:textId="77777777" w:rsidR="00A77B3E" w:rsidRDefault="00B16CCF">
            <w:pPr>
              <w:spacing w:before="5pt"/>
              <w:rPr>
                <w:color w:val="000000"/>
                <w:sz w:val="20"/>
              </w:rPr>
            </w:pPr>
            <w:r>
              <w:rPr>
                <w:color w:val="000000"/>
                <w:sz w:val="20"/>
              </w:rPr>
              <w:t xml:space="preserve">Dokument popisuje, kako je Slovenija v obdobju od leta 2014 do leta 2021, s ciljem močnejšega pozicioniranja slovenskih inovacijskih deležnikov v regionalnih in globalnih verigah vrednosti (internacionalizacija navzven) in krepitve raziskovalno-razvojnih oddelkov in kompetenc zaposlenih v podjetjih in institucijah znanja ter privabljanja tujih vrhunskih kadrov in </w:t>
            </w:r>
            <w:r>
              <w:rPr>
                <w:color w:val="000000"/>
                <w:sz w:val="20"/>
              </w:rPr>
              <w:lastRenderedPageBreak/>
              <w:t>visokotehnoloških podjetij (internacionalizacija navznoter), okrepila mednarodno večstransko in dvostransko mednarodno sodelovanje na strateški, programski in projektni ravni.</w:t>
            </w:r>
          </w:p>
        </w:tc>
      </w:tr>
      <w:tr w:rsidR="00823317" w14:paraId="76B9C5B7"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ACDB97" w14:textId="77777777" w:rsidR="00A77B3E" w:rsidRDefault="00B16CCF">
            <w:pPr>
              <w:spacing w:before="5pt"/>
              <w:rPr>
                <w:color w:val="000000"/>
                <w:sz w:val="20"/>
              </w:rPr>
            </w:pPr>
            <w:r>
              <w:rPr>
                <w:color w:val="000000"/>
                <w:sz w:val="20"/>
              </w:rPr>
              <w:lastRenderedPageBreak/>
              <w:t>1.2. Nacionalni ali regionalni načrt za širokopasovna omrežja</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70F7C9" w14:textId="77777777" w:rsidR="00A77B3E" w:rsidRDefault="00A77B3E">
            <w:pPr>
              <w:spacing w:before="5pt"/>
              <w:rPr>
                <w:color w:val="000000"/>
                <w:sz w:val="20"/>
              </w:rPr>
            </w:pPr>
          </w:p>
          <w:p w14:paraId="2DDECDBF" w14:textId="77777777" w:rsidR="00A77B3E" w:rsidRDefault="00B16CCF">
            <w:pPr>
              <w:spacing w:before="5pt"/>
              <w:rPr>
                <w:color w:val="000000"/>
                <w:sz w:val="20"/>
                <w:szCs w:val="20"/>
              </w:rPr>
            </w:pPr>
            <w:r>
              <w:rPr>
                <w:color w:val="000000"/>
                <w:sz w:val="20"/>
                <w:szCs w:val="20"/>
              </w:rPr>
              <w:t>ESRR</w:t>
            </w:r>
          </w:p>
          <w:p w14:paraId="5787F3F3"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A689C5" w14:textId="77777777" w:rsidR="00A77B3E" w:rsidRDefault="00A77B3E">
            <w:pPr>
              <w:spacing w:before="5pt"/>
              <w:rPr>
                <w:color w:val="000000"/>
                <w:sz w:val="20"/>
              </w:rPr>
            </w:pPr>
          </w:p>
          <w:p w14:paraId="310011E6" w14:textId="77777777" w:rsidR="00A77B3E" w:rsidRDefault="00B16CCF">
            <w:pPr>
              <w:spacing w:before="5pt"/>
              <w:rPr>
                <w:color w:val="000000"/>
                <w:sz w:val="20"/>
                <w:szCs w:val="20"/>
              </w:rPr>
            </w:pPr>
            <w:r>
              <w:rPr>
                <w:color w:val="000000"/>
                <w:sz w:val="20"/>
                <w:szCs w:val="20"/>
              </w:rPr>
              <w:t>RSO1.5. Izboljšanje digitalne povezljivosti</w:t>
            </w:r>
          </w:p>
          <w:p w14:paraId="6ABB7B65" w14:textId="77777777" w:rsidR="00A77B3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79BF8A" w14:textId="77777777" w:rsidR="00A77B3E" w:rsidRDefault="00B16CCF">
            <w:pPr>
              <w:spacing w:before="5pt"/>
              <w:jc w:val="center"/>
              <w:rPr>
                <w:color w:val="000000"/>
                <w:sz w:val="20"/>
              </w:rPr>
            </w:pPr>
            <w:r>
              <w:rPr>
                <w:color w:val="000000"/>
                <w:sz w:val="20"/>
              </w:rPr>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B5CF8D" w14:textId="77777777" w:rsidR="00A77B3E" w:rsidRDefault="00B16CCF">
            <w:pPr>
              <w:spacing w:before="5pt"/>
              <w:rPr>
                <w:color w:val="000000"/>
                <w:sz w:val="20"/>
              </w:rPr>
            </w:pPr>
            <w:r>
              <w:rPr>
                <w:color w:val="000000"/>
                <w:sz w:val="20"/>
              </w:rPr>
              <w:t>Oblikovan je nacionalni ali regionalni načrt za širokopasovna omrežja, ki vključuje:1. oceno naložbene vrzeli, ki jo je treba obravnavati, da se zagotovi, da imajo vsi državljani Unije dostop do zelo visoko zmogljivih omrežij, na podlagi:(a) najnovejšega kartiranja obstoječih javnih in zasebnih infrastruktur ter kakovosti storitev z uporabo standardnih kazalnikov za kartiranje širokopasovnih omrežij,(b) posvetovanja o načrtovanih naložbah v skladu z zahtevami glede državne pomoči;</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E81376" w14:textId="77777777" w:rsidR="00A77B3E" w:rsidRDefault="00B16CC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3F7B66" w14:textId="77777777" w:rsidR="00A77B3E" w:rsidRDefault="00B16CCF">
            <w:pPr>
              <w:spacing w:before="5pt"/>
              <w:rPr>
                <w:color w:val="000000"/>
                <w:sz w:val="20"/>
              </w:rPr>
            </w:pPr>
            <w:r>
              <w:rPr>
                <w:color w:val="000000"/>
                <w:sz w:val="20"/>
              </w:rPr>
              <w:t xml:space="preserve">Kartiranje državne regulatorja AKOS: https://gis.akos-rs.si/, </w:t>
            </w:r>
          </w:p>
          <w:p w14:paraId="1B6DB041" w14:textId="77777777" w:rsidR="00A77B3E" w:rsidRDefault="00B16CCF">
            <w:pPr>
              <w:spacing w:before="5pt"/>
              <w:rPr>
                <w:color w:val="000000"/>
                <w:sz w:val="20"/>
              </w:rPr>
            </w:pPr>
            <w:r>
              <w:rPr>
                <w:color w:val="000000"/>
                <w:sz w:val="20"/>
              </w:rPr>
              <w:t xml:space="preserve">Kartiranje Geodetske uprave: https://egp.gu.gov.si/egp/, </w:t>
            </w:r>
          </w:p>
          <w:p w14:paraId="5A0F69EE" w14:textId="77777777" w:rsidR="00A77B3E" w:rsidRDefault="00B16CCF">
            <w:pPr>
              <w:spacing w:before="5pt"/>
              <w:rPr>
                <w:color w:val="000000"/>
                <w:sz w:val="20"/>
              </w:rPr>
            </w:pPr>
            <w:r>
              <w:rPr>
                <w:color w:val="000000"/>
                <w:sz w:val="20"/>
              </w:rPr>
              <w:t xml:space="preserve">Javna posvetovanja o državnih pomočeh za 2019 in 2021: https://www.gov.si/teme/elektronske-komunikacije/, </w:t>
            </w:r>
          </w:p>
          <w:p w14:paraId="1C5FB1C5" w14:textId="77777777" w:rsidR="00A77B3E" w:rsidRDefault="00B16CCF">
            <w:pPr>
              <w:spacing w:before="5pt"/>
              <w:rPr>
                <w:color w:val="000000"/>
                <w:sz w:val="20"/>
              </w:rPr>
            </w:pPr>
            <w:r>
              <w:rPr>
                <w:color w:val="000000"/>
                <w:sz w:val="20"/>
              </w:rPr>
              <w:t>Načrt razvoja gigabitne infrastrukture do leta 2030: https://www.gov.si/assets/vladne-sluzbe/SDP/Dokumenti/Nacrt.pdf</w:t>
            </w:r>
          </w:p>
          <w:p w14:paraId="1E339208" w14:textId="77777777" w:rsidR="00A77B3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7610FA" w14:textId="77777777" w:rsidR="00A77B3E" w:rsidRDefault="00B16CCF">
            <w:pPr>
              <w:spacing w:before="5pt"/>
              <w:rPr>
                <w:color w:val="000000"/>
                <w:sz w:val="20"/>
              </w:rPr>
            </w:pPr>
            <w:r>
              <w:rPr>
                <w:color w:val="000000"/>
                <w:sz w:val="20"/>
              </w:rPr>
              <w:t xml:space="preserve">Ocena naložbene vrzeli je del Načrta razvoja gigabitne infrastrukture do leta 2030, ki ga je Vlada RS sprejela 25. 8. 2022. </w:t>
            </w:r>
          </w:p>
          <w:p w14:paraId="3B761904" w14:textId="77777777" w:rsidR="00A77B3E" w:rsidRDefault="00B16CCF">
            <w:pPr>
              <w:spacing w:before="5pt"/>
              <w:rPr>
                <w:color w:val="000000"/>
                <w:sz w:val="20"/>
              </w:rPr>
            </w:pPr>
            <w:r>
              <w:rPr>
                <w:color w:val="000000"/>
                <w:sz w:val="20"/>
              </w:rPr>
              <w:t xml:space="preserve">Kartiranje in javna posvetovanja o načrtovanih naložbah se sicer izvajajo zlasti pred vsakim javnim razpisom za sofinanciranje gradnje širokopasovnih omrežij naslednje generacije oziroma bodo izvedena pred izvedbo drugih ukrepov za spodbujanje povezljivosti, ki bodo sofinancirani iz javnih sredstev. </w:t>
            </w:r>
          </w:p>
          <w:p w14:paraId="3CAA9242" w14:textId="77777777" w:rsidR="00A77B3E" w:rsidRDefault="00A77B3E">
            <w:pPr>
              <w:spacing w:before="5pt"/>
              <w:rPr>
                <w:color w:val="000000"/>
                <w:sz w:val="20"/>
              </w:rPr>
            </w:pPr>
          </w:p>
        </w:tc>
      </w:tr>
      <w:tr w:rsidR="00823317" w14:paraId="6DF4DEAF"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E2F238"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73282F"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D964BE"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FACCC6"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8EBC98" w14:textId="77777777" w:rsidR="00A77B3E" w:rsidRDefault="00B16CCF">
            <w:pPr>
              <w:spacing w:before="5pt"/>
              <w:rPr>
                <w:color w:val="000000"/>
                <w:sz w:val="20"/>
              </w:rPr>
            </w:pPr>
            <w:r>
              <w:rPr>
                <w:color w:val="000000"/>
                <w:sz w:val="20"/>
              </w:rPr>
              <w:t xml:space="preserve">2. utemeljitev načrtovane javne intervencije na podlagi modelov trajnostnih naložb za:(a) okrepitev cenovne dostopnosti in razpoložljivosti odprtih, kakovostnih in na prihodnost pripravljenih infrastrukture in storitev,(b) prilagoditev oblik finančne pomoči ugotovljenim nedelovanjem trga,(c) omogočanje dopolnilne uporabe različnih oblik financiranja s </w:t>
            </w:r>
            <w:r>
              <w:rPr>
                <w:color w:val="000000"/>
                <w:sz w:val="20"/>
              </w:rPr>
              <w:lastRenderedPageBreak/>
              <w:t>strani Unije, nacionalnih ali regionalnih virov;</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E5E604" w14:textId="77777777" w:rsidR="00A77B3E" w:rsidRDefault="00B16CCF">
            <w:pPr>
              <w:spacing w:before="5pt"/>
              <w:jc w:val="center"/>
              <w:rPr>
                <w:color w:val="000000"/>
                <w:sz w:val="20"/>
              </w:rPr>
            </w:pPr>
            <w:r>
              <w:rPr>
                <w:color w:val="000000"/>
                <w:sz w:val="20"/>
              </w:rPr>
              <w:lastRenderedPageBreak/>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B5F648" w14:textId="77777777" w:rsidR="00A77B3E" w:rsidRDefault="00B16CCF">
            <w:pPr>
              <w:spacing w:before="5pt"/>
              <w:rPr>
                <w:color w:val="000000"/>
                <w:sz w:val="20"/>
              </w:rPr>
            </w:pPr>
            <w:r>
              <w:rPr>
                <w:color w:val="000000"/>
                <w:sz w:val="20"/>
              </w:rPr>
              <w:t>Predlog novega Zakona o elektronskih komunikacijah (ZEKom-2) - osnutek v obravnavi: https://www.dz-rs.si/wps/portal/Home/zakonodaja/izbran/!ut/p/z1/04_Sj9CPykssy0xPLMnMz0vMAfIjo8zivSy9Hb283Q0N3E3dLQwCQ7z9g7w8nAwsnMz1w9EUGAWZGgS6GDn5BhsYGwQHG-pHEaPfAAdwNCBOPx4FUfiNL8gNDQ11VFQEAAXcoa4!/dz/d5/L2dBISEvZ0FBIS9nQSEh/?uid=1D2556C0C73D5B29C1258841006E12CA&amp;db=pre_zak&amp;mandat=IX&amp;tip=doc</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B5DEED" w14:textId="77777777" w:rsidR="00A77B3E" w:rsidRDefault="00B16CCF">
            <w:pPr>
              <w:spacing w:before="5pt"/>
              <w:rPr>
                <w:color w:val="000000"/>
                <w:sz w:val="20"/>
              </w:rPr>
            </w:pPr>
            <w:r>
              <w:rPr>
                <w:color w:val="000000"/>
                <w:sz w:val="20"/>
              </w:rPr>
              <w:t>Tržna analiza potreb še poteka.</w:t>
            </w:r>
          </w:p>
          <w:p w14:paraId="253621D6" w14:textId="77777777" w:rsidR="00A77B3E" w:rsidRDefault="00B16CCF">
            <w:pPr>
              <w:spacing w:before="5pt"/>
              <w:rPr>
                <w:color w:val="000000"/>
                <w:sz w:val="20"/>
              </w:rPr>
            </w:pPr>
            <w:r>
              <w:rPr>
                <w:color w:val="000000"/>
                <w:sz w:val="20"/>
              </w:rPr>
              <w:t>Na podlagi tržnega zanimanja in rezultatov javnih razpisov se bo z ukrepi, ki so predlagani v Programu EKP 21-27, povečal dostop do odprte, kakovostne infrastrukture in storitev. AKOS bo spremljal odprtost infrastrukture. Osnutek novega Zakona o elektronskih komunikacijah (ZEK) vključuje potrebne določbe, tudi z vidika provizij.</w:t>
            </w:r>
          </w:p>
          <w:p w14:paraId="28BCCC43" w14:textId="77777777" w:rsidR="00A77B3E" w:rsidRDefault="00B16CCF">
            <w:pPr>
              <w:spacing w:before="5pt"/>
              <w:rPr>
                <w:color w:val="000000"/>
                <w:sz w:val="20"/>
              </w:rPr>
            </w:pPr>
            <w:r>
              <w:rPr>
                <w:color w:val="000000"/>
                <w:sz w:val="20"/>
              </w:rPr>
              <w:t xml:space="preserve">Sredstva so predvidena, poleg teh v VFO 2021–2027, tudi v NOO. Ukrepi za </w:t>
            </w:r>
            <w:r>
              <w:rPr>
                <w:color w:val="000000"/>
                <w:sz w:val="20"/>
              </w:rPr>
              <w:lastRenderedPageBreak/>
              <w:t>preprečevanje dvojnega financiranja se bodo izvajali sistematično.</w:t>
            </w:r>
          </w:p>
        </w:tc>
      </w:tr>
      <w:tr w:rsidR="00823317" w14:paraId="342FEFEB"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0FD030"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B2C1F1"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C701BB"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9A5234"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5064B0" w14:textId="77777777" w:rsidR="00A77B3E" w:rsidRDefault="00B16CCF">
            <w:pPr>
              <w:spacing w:before="5pt"/>
              <w:rPr>
                <w:color w:val="000000"/>
                <w:sz w:val="20"/>
              </w:rPr>
            </w:pPr>
            <w:r>
              <w:rPr>
                <w:color w:val="000000"/>
                <w:sz w:val="20"/>
              </w:rPr>
              <w:t>3. ukrepe v podporo povpraševanju in uporabi zelo visoko zmogljivih omrežij, vključno z ukrepi za olajšanje njihove uvedbe, zlasti z učinkovitim izvajanjem Direktive 2014/61/EU Evropskega parlamenta in Sveta;</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339EEF" w14:textId="77777777" w:rsidR="00A77B3E" w:rsidRDefault="00B16CC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651F5A" w14:textId="77777777" w:rsidR="00A77B3E" w:rsidRDefault="00B16CCF">
            <w:pPr>
              <w:spacing w:before="5pt"/>
              <w:rPr>
                <w:color w:val="000000"/>
                <w:sz w:val="20"/>
              </w:rPr>
            </w:pPr>
            <w:r>
              <w:rPr>
                <w:color w:val="000000"/>
                <w:sz w:val="20"/>
              </w:rPr>
              <w:t>Trenutno veljavni ZEKom-1: http://pisrs.si/Pis.web/pregledPredpisa?id=ZAKO6405,, Connectivity Toolbox</w:t>
            </w:r>
          </w:p>
          <w:p w14:paraId="63708214" w14:textId="77777777" w:rsidR="00A77B3E" w:rsidRDefault="00B16CCF">
            <w:pPr>
              <w:spacing w:before="5pt"/>
              <w:rPr>
                <w:color w:val="000000"/>
                <w:sz w:val="20"/>
              </w:rPr>
            </w:pPr>
            <w:r>
              <w:rPr>
                <w:color w:val="000000"/>
                <w:sz w:val="20"/>
              </w:rPr>
              <w:t>Implementation Report of</w:t>
            </w:r>
          </w:p>
          <w:p w14:paraId="6E3B36EB" w14:textId="77777777" w:rsidR="00A77B3E" w:rsidRDefault="00B16CCF">
            <w:pPr>
              <w:spacing w:before="5pt"/>
              <w:rPr>
                <w:color w:val="000000"/>
                <w:sz w:val="20"/>
              </w:rPr>
            </w:pPr>
            <w:r>
              <w:rPr>
                <w:color w:val="000000"/>
                <w:sz w:val="20"/>
              </w:rPr>
              <w:t>the Republic of Slovenia: http://pisrs.si/Pis.web/pregledPredpisa?id=ZAKO6405</w:t>
            </w:r>
          </w:p>
          <w:p w14:paraId="70B6C6A9" w14:textId="77777777" w:rsidR="00A77B3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F033D0" w14:textId="77777777" w:rsidR="00A77B3E" w:rsidRDefault="00B16CCF">
            <w:pPr>
              <w:spacing w:before="5pt"/>
              <w:rPr>
                <w:color w:val="000000"/>
                <w:sz w:val="20"/>
              </w:rPr>
            </w:pPr>
            <w:r>
              <w:rPr>
                <w:color w:val="000000"/>
                <w:sz w:val="20"/>
              </w:rPr>
              <w:t>Direktiva 2014/61/EU</w:t>
            </w:r>
          </w:p>
          <w:p w14:paraId="50007420" w14:textId="77777777" w:rsidR="00A77B3E" w:rsidRDefault="00B16CCF">
            <w:pPr>
              <w:spacing w:before="5pt"/>
              <w:rPr>
                <w:color w:val="000000"/>
                <w:sz w:val="20"/>
              </w:rPr>
            </w:pPr>
            <w:r>
              <w:rPr>
                <w:color w:val="000000"/>
                <w:sz w:val="20"/>
              </w:rPr>
              <w:t xml:space="preserve">Evropskega parlamenta in Sveta je bila v slovenski pravi red prenesena s trenutno veljavnim ZEKom-1. </w:t>
            </w:r>
          </w:p>
          <w:p w14:paraId="3C73C6FE" w14:textId="77777777" w:rsidR="00A77B3E" w:rsidRDefault="00B16CCF">
            <w:pPr>
              <w:spacing w:before="5pt"/>
              <w:rPr>
                <w:color w:val="000000"/>
                <w:sz w:val="20"/>
              </w:rPr>
            </w:pPr>
            <w:r>
              <w:rPr>
                <w:color w:val="000000"/>
                <w:sz w:val="20"/>
              </w:rPr>
              <w:t>Evropski zakonik o elektronskih komunikacijah bo v slovenski pravni red prenesen z ZEKom-2, ki je trenutno v prvi obravnavi rednega zakonodajnega postopka v DZ. Po izvedeni splošni razpravi 1. 7. 2022 je DZ sprejel sklep, da je predlog ZEKom-2 primeren za nadaljnjo obravnavo, tako da se zakonodajni postopek nadaljuje, predlog zakona pa bo predvidoma sprejet v prihodnjih mesecih.</w:t>
            </w:r>
          </w:p>
          <w:p w14:paraId="40A5D02C" w14:textId="77777777" w:rsidR="00A77B3E" w:rsidRDefault="00B16CCF">
            <w:pPr>
              <w:spacing w:before="5pt"/>
              <w:rPr>
                <w:color w:val="000000"/>
                <w:sz w:val="20"/>
              </w:rPr>
            </w:pPr>
            <w:r>
              <w:rPr>
                <w:color w:val="000000"/>
                <w:sz w:val="20"/>
              </w:rPr>
              <w:t>Popolno poročilo o ukrepih v podporo povpraševanju in uporabi zelo visoko zmogljivih omrežij je na voljo v okviru poročila »Connectivity Toolbx Implementation Report of the Republic of Slovenia«.</w:t>
            </w:r>
          </w:p>
        </w:tc>
      </w:tr>
      <w:tr w:rsidR="00823317" w14:paraId="1DC47AF4"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13CC3C"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8EE6AC"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343C43"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F89FC5"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1622B5" w14:textId="77777777" w:rsidR="00A77B3E" w:rsidRDefault="00B16CCF">
            <w:pPr>
              <w:spacing w:before="5pt"/>
              <w:rPr>
                <w:color w:val="000000"/>
                <w:sz w:val="20"/>
              </w:rPr>
            </w:pPr>
            <w:r>
              <w:rPr>
                <w:color w:val="000000"/>
                <w:sz w:val="20"/>
              </w:rPr>
              <w:t>4. mehanizme za tehnično pomoč in strokovno svetovanje, kot je urad, pristojen za širokopasovne povezave, za krepitev zmogljivosti lokalnih deležnikov in svetovanje nosilcem projektov;</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3E40EF" w14:textId="77777777" w:rsidR="00A77B3E" w:rsidRDefault="00B16CC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4E0019" w14:textId="77777777" w:rsidR="00A77B3E" w:rsidRDefault="00B16CCF">
            <w:pPr>
              <w:spacing w:before="5pt"/>
              <w:rPr>
                <w:color w:val="000000"/>
                <w:sz w:val="20"/>
              </w:rPr>
            </w:pPr>
            <w:r>
              <w:rPr>
                <w:color w:val="000000"/>
                <w:sz w:val="20"/>
              </w:rPr>
              <w:t>Urad za širokopasovne kompetence: https://www.gov.si/teme/elektronske-komunikacije/</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666885" w14:textId="77777777" w:rsidR="00A77B3E" w:rsidRDefault="00B16CCF">
            <w:pPr>
              <w:spacing w:before="5pt"/>
              <w:rPr>
                <w:color w:val="000000"/>
                <w:sz w:val="20"/>
              </w:rPr>
            </w:pPr>
            <w:r>
              <w:rPr>
                <w:color w:val="000000"/>
                <w:sz w:val="20"/>
              </w:rPr>
              <w:t xml:space="preserve">Urad za širokopasovne kompetence (Broadband Competence Office – BCO) že deluje v okviru Službe Vlade RS za digitalno preobrazbo. Njegov cilj je zagotoviti podporo lokalnim deležnikom na področju širokopasovne infrastrukture. </w:t>
            </w:r>
          </w:p>
        </w:tc>
      </w:tr>
      <w:tr w:rsidR="00823317" w14:paraId="6F5E4843"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ADA4CE"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983539"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3EA301"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0001EF"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56D383" w14:textId="77777777" w:rsidR="00A77B3E" w:rsidRDefault="00B16CCF">
            <w:pPr>
              <w:spacing w:before="5pt"/>
              <w:rPr>
                <w:color w:val="000000"/>
                <w:sz w:val="20"/>
              </w:rPr>
            </w:pPr>
            <w:r>
              <w:rPr>
                <w:color w:val="000000"/>
                <w:sz w:val="20"/>
              </w:rPr>
              <w:t>5. mehanizem spremljanja, ki temelji na standardnih kazalnikih za kartiranje širokopasovnih omrežij.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FD3070" w14:textId="77777777" w:rsidR="00A77B3E" w:rsidRDefault="00B16CC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382F72" w14:textId="77777777" w:rsidR="00A77B3E" w:rsidRDefault="00B16CCF">
            <w:pPr>
              <w:spacing w:before="5pt"/>
              <w:rPr>
                <w:color w:val="000000"/>
                <w:sz w:val="20"/>
              </w:rPr>
            </w:pPr>
            <w:r>
              <w:rPr>
                <w:color w:val="000000"/>
                <w:sz w:val="20"/>
              </w:rPr>
              <w:t>Kartiranje Geodetske uprave: https://egp.gu.gov.si/egp/</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8124E0" w14:textId="77777777" w:rsidR="00A77B3E" w:rsidRDefault="00B16CCF">
            <w:pPr>
              <w:spacing w:before="5pt"/>
              <w:rPr>
                <w:color w:val="000000"/>
                <w:sz w:val="20"/>
              </w:rPr>
            </w:pPr>
            <w:r>
              <w:rPr>
                <w:color w:val="000000"/>
                <w:sz w:val="20"/>
              </w:rPr>
              <w:t xml:space="preserve">Mehanizem spremljanja, ki temelji na standardnih kazalnikih za </w:t>
            </w:r>
          </w:p>
          <w:p w14:paraId="00704D9E" w14:textId="77777777" w:rsidR="00A77B3E" w:rsidRDefault="00B16CCF">
            <w:pPr>
              <w:spacing w:before="5pt"/>
              <w:rPr>
                <w:color w:val="000000"/>
                <w:sz w:val="20"/>
              </w:rPr>
            </w:pPr>
            <w:r>
              <w:rPr>
                <w:color w:val="000000"/>
                <w:sz w:val="20"/>
              </w:rPr>
              <w:t xml:space="preserve">kartiranje širokopasovnih omrežij, je že vzpostavljen in prosto dostopen. </w:t>
            </w:r>
          </w:p>
        </w:tc>
      </w:tr>
      <w:tr w:rsidR="00823317" w14:paraId="2CFDF0DF"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073671" w14:textId="77777777" w:rsidR="00A77B3E" w:rsidRDefault="00B16CCF">
            <w:pPr>
              <w:spacing w:before="5pt"/>
              <w:rPr>
                <w:color w:val="000000"/>
                <w:sz w:val="20"/>
              </w:rPr>
            </w:pPr>
            <w:r>
              <w:rPr>
                <w:color w:val="000000"/>
                <w:sz w:val="20"/>
              </w:rPr>
              <w:lastRenderedPageBreak/>
              <w:t>2.1. Strateški okvir politike za podporo prenove za večjo energijsko učinkovitost stanovanjskih in nestanovanjskih stavb</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C0550F" w14:textId="77777777" w:rsidR="00A77B3E" w:rsidRDefault="00A77B3E">
            <w:pPr>
              <w:spacing w:before="5pt"/>
              <w:rPr>
                <w:color w:val="000000"/>
                <w:sz w:val="20"/>
              </w:rPr>
            </w:pPr>
          </w:p>
          <w:p w14:paraId="478BE948" w14:textId="77777777" w:rsidR="00A77B3E" w:rsidRDefault="00B16CCF">
            <w:pPr>
              <w:spacing w:before="5pt"/>
              <w:rPr>
                <w:color w:val="000000"/>
                <w:sz w:val="20"/>
                <w:szCs w:val="20"/>
              </w:rPr>
            </w:pPr>
            <w:r>
              <w:rPr>
                <w:color w:val="000000"/>
                <w:sz w:val="20"/>
                <w:szCs w:val="20"/>
              </w:rPr>
              <w:t>ESRR</w:t>
            </w:r>
            <w:r>
              <w:rPr>
                <w:color w:val="000000"/>
                <w:sz w:val="20"/>
                <w:szCs w:val="20"/>
              </w:rPr>
              <w:br/>
              <w:t>Kohezijski sklad</w:t>
            </w:r>
          </w:p>
          <w:p w14:paraId="5D8137E9"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4ACDCC" w14:textId="77777777" w:rsidR="00A77B3E" w:rsidRDefault="00A77B3E">
            <w:pPr>
              <w:spacing w:before="5pt"/>
              <w:rPr>
                <w:color w:val="000000"/>
                <w:sz w:val="20"/>
              </w:rPr>
            </w:pPr>
          </w:p>
          <w:p w14:paraId="6DC5D104" w14:textId="77777777" w:rsidR="00A77B3E" w:rsidRDefault="00B16CCF">
            <w:pPr>
              <w:spacing w:before="5pt"/>
              <w:rPr>
                <w:color w:val="000000"/>
                <w:sz w:val="20"/>
                <w:szCs w:val="20"/>
              </w:rPr>
            </w:pPr>
            <w:r>
              <w:rPr>
                <w:color w:val="000000"/>
                <w:sz w:val="20"/>
                <w:szCs w:val="20"/>
              </w:rPr>
              <w:t>RSO2.1. Spodbujanje energijske učinkovitosti in zmanjševanje emisij toplogrednih plinov</w:t>
            </w:r>
          </w:p>
          <w:p w14:paraId="58F07259" w14:textId="77777777" w:rsidR="00A77B3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5FAFC1" w14:textId="77777777" w:rsidR="00A77B3E" w:rsidRDefault="00B16CCF">
            <w:pPr>
              <w:spacing w:before="5pt"/>
              <w:jc w:val="center"/>
              <w:rPr>
                <w:color w:val="000000"/>
                <w:sz w:val="20"/>
              </w:rPr>
            </w:pPr>
            <w:r>
              <w:rPr>
                <w:color w:val="000000"/>
                <w:sz w:val="20"/>
              </w:rPr>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E63669" w14:textId="77777777" w:rsidR="00A77B3E" w:rsidRDefault="00B16CCF">
            <w:pPr>
              <w:spacing w:before="5pt"/>
              <w:rPr>
                <w:color w:val="000000"/>
                <w:sz w:val="20"/>
              </w:rPr>
            </w:pPr>
            <w:r>
              <w:rPr>
                <w:color w:val="000000"/>
                <w:sz w:val="20"/>
              </w:rPr>
              <w:t>1. Sprejme se nacionalna dolgoročna strategija prenove za podporo prenove nacionalnega fonda stanovanjskih in nestanovanjskih stavb v skladu z zahtevami iz Direktive 2010/31/EU Evropskega parlamenta in Sveta, ki:(a) vključuje okvirne mejnike za leta 2030, 2040 in 2050;(b) zagotavlja okvirni pregled finančnih sredstev v podporo izvajanju strategije;(c) opredeljuje učinkovite mehanizme za spodbujanje naložb v prenovo stavb.</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C235EE" w14:textId="77777777" w:rsidR="00A77B3E" w:rsidRDefault="00B16CC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9BD8DB" w14:textId="77777777" w:rsidR="00A77B3E" w:rsidRDefault="00B16CCF">
            <w:pPr>
              <w:spacing w:before="5pt"/>
              <w:rPr>
                <w:color w:val="000000"/>
                <w:sz w:val="20"/>
              </w:rPr>
            </w:pPr>
            <w:r>
              <w:rPr>
                <w:color w:val="000000"/>
                <w:sz w:val="20"/>
              </w:rPr>
              <w:t>Dolgoročna strategija energetske prenove stavb do leta 2050: https://www.energetika-portal.si/fileadmin/dokumenti/publikacije/dseps/dseps_2050_final.pdf</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DB2AE4" w14:textId="77777777" w:rsidR="00A77B3E" w:rsidRDefault="00B16CCF">
            <w:pPr>
              <w:spacing w:before="5pt"/>
              <w:rPr>
                <w:color w:val="000000"/>
                <w:sz w:val="20"/>
              </w:rPr>
            </w:pPr>
            <w:r>
              <w:rPr>
                <w:color w:val="000000"/>
                <w:sz w:val="20"/>
              </w:rPr>
              <w:t>a)</w:t>
            </w:r>
            <w:r>
              <w:rPr>
                <w:color w:val="000000"/>
                <w:sz w:val="20"/>
              </w:rPr>
              <w:tab/>
              <w:t>Dokument določa kazalnike in mejnike za leta 2030, 2040 in 2050. Vključeni so tudi mejniki, ki prispevajo k ciljem Unije glede energetske učinkovitosti v skladu z Direktivo 2012/27/EU. Mejniki so opredeljeni v dokumentu na strani 11 in 12.</w:t>
            </w:r>
          </w:p>
          <w:p w14:paraId="530944CB" w14:textId="77777777" w:rsidR="00A77B3E" w:rsidRDefault="00B16CCF">
            <w:pPr>
              <w:spacing w:before="5pt"/>
              <w:rPr>
                <w:color w:val="000000"/>
                <w:sz w:val="20"/>
              </w:rPr>
            </w:pPr>
            <w:r>
              <w:rPr>
                <w:color w:val="000000"/>
                <w:sz w:val="20"/>
              </w:rPr>
              <w:t>b)</w:t>
            </w:r>
            <w:r>
              <w:rPr>
                <w:color w:val="000000"/>
                <w:sz w:val="20"/>
              </w:rPr>
              <w:tab/>
              <w:t>V strategiji so navedene naložbe in viri financiranja po posameznih sektorjih. Poleg obstoječih instrumentov so predvideni tudi novi za doseganje zahtevnih ciljev NEPN. Finančna sredstva opredeljena na strani 86 in se nanašajo na državna in druga sredstva.</w:t>
            </w:r>
          </w:p>
          <w:p w14:paraId="25A10307" w14:textId="77777777" w:rsidR="00A77B3E" w:rsidRDefault="00B16CCF">
            <w:pPr>
              <w:spacing w:before="5pt"/>
              <w:rPr>
                <w:color w:val="000000"/>
                <w:sz w:val="20"/>
              </w:rPr>
            </w:pPr>
            <w:r>
              <w:rPr>
                <w:color w:val="000000"/>
                <w:sz w:val="20"/>
              </w:rPr>
              <w:t>c)</w:t>
            </w:r>
            <w:r>
              <w:rPr>
                <w:color w:val="000000"/>
                <w:sz w:val="20"/>
              </w:rPr>
              <w:tab/>
              <w:t>V strategiji so opredeljeni mehanizmi promocije in ozaveščanja. Poglavje 4 strategije določa politike in ukrepe za spodbujanje energetsko učinkovitih prenov. Ukrepi imajo tudi promocijske aktivnosti.</w:t>
            </w:r>
          </w:p>
        </w:tc>
      </w:tr>
      <w:tr w:rsidR="00823317" w14:paraId="1FC2CC89"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0E5FDF"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80C514"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156CA6"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F61B15"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79DB5A" w14:textId="77777777" w:rsidR="00A77B3E" w:rsidRDefault="00B16CCF">
            <w:pPr>
              <w:spacing w:before="5pt"/>
              <w:rPr>
                <w:color w:val="000000"/>
                <w:sz w:val="20"/>
              </w:rPr>
            </w:pPr>
            <w:r>
              <w:rPr>
                <w:color w:val="000000"/>
                <w:sz w:val="20"/>
              </w:rPr>
              <w:t>2. Ukrepi za izboljšanje energijske učinkovitosti za doseganje potrebnih prihrankov energije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E10D05" w14:textId="77777777" w:rsidR="00A77B3E" w:rsidRDefault="00B16CC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BD6649" w14:textId="77777777" w:rsidR="00A77B3E" w:rsidRDefault="00B16CCF">
            <w:pPr>
              <w:spacing w:before="5pt"/>
              <w:rPr>
                <w:color w:val="000000"/>
                <w:sz w:val="20"/>
              </w:rPr>
            </w:pPr>
            <w:r>
              <w:rPr>
                <w:color w:val="000000"/>
                <w:sz w:val="20"/>
              </w:rPr>
              <w:t>Celoviti nacionalni energetski in podnebni načrt Republike Slovenije (NEPN), str. 89.: https://www.gov.si/zbirke/projekti-in-programi/nacionalni-energetski-in-podnebni-nacrt/</w:t>
            </w:r>
          </w:p>
          <w:p w14:paraId="1809E6D3" w14:textId="77777777" w:rsidR="00A77B3E" w:rsidRDefault="00B16CCF">
            <w:pPr>
              <w:spacing w:before="5pt"/>
              <w:rPr>
                <w:color w:val="000000"/>
                <w:sz w:val="20"/>
              </w:rPr>
            </w:pPr>
            <w:r>
              <w:rPr>
                <w:color w:val="000000"/>
                <w:sz w:val="20"/>
              </w:rPr>
              <w:t>https://www.energetika-portal.si/fileadmin/dokumenti/publikacije/nepn/dokumenti/nepn2024_final_dec2024.pdf</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E8DA22" w14:textId="77777777" w:rsidR="00A77B3E" w:rsidRDefault="00B16CCF">
            <w:pPr>
              <w:spacing w:before="5pt"/>
              <w:rPr>
                <w:color w:val="000000"/>
                <w:sz w:val="20"/>
              </w:rPr>
            </w:pPr>
            <w:r>
              <w:rPr>
                <w:color w:val="000000"/>
                <w:sz w:val="20"/>
              </w:rPr>
              <w:t xml:space="preserve">NEPN opredeljuje politike in ukrepe za spodbujanje energetsko učinkovitih prenov na osnovi pravnih in strateških podlag za oblikovanje ciljev. Opredeljeni so razvojni ukrepi, in sicer horizontalni ter specifični za stanovanjske stavbe, javne stavbe, stavbe zasebnega storitvenega sektorja ter dopolnilne politike. </w:t>
            </w:r>
          </w:p>
          <w:p w14:paraId="56052E01" w14:textId="77777777" w:rsidR="00A77B3E" w:rsidRDefault="00B16CCF">
            <w:pPr>
              <w:spacing w:before="5pt"/>
              <w:rPr>
                <w:color w:val="000000"/>
                <w:sz w:val="20"/>
              </w:rPr>
            </w:pPr>
            <w:r>
              <w:rPr>
                <w:color w:val="000000"/>
                <w:sz w:val="20"/>
              </w:rPr>
              <w:t>Vključen je tudi pregled politik in ukrepov na področju širše prenove, ki zajema spodbujanje energetske učinkovitosti in rabe obnovljivih virov energije v stavbah na splošno, v gospodinjstvih in v javnih stavbah.</w:t>
            </w:r>
          </w:p>
        </w:tc>
      </w:tr>
      <w:tr w:rsidR="00823317" w14:paraId="42F8E744"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2D5407" w14:textId="77777777" w:rsidR="00A77B3E" w:rsidRDefault="00B16CCF">
            <w:pPr>
              <w:spacing w:before="5pt"/>
              <w:rPr>
                <w:color w:val="000000"/>
                <w:sz w:val="20"/>
              </w:rPr>
            </w:pPr>
            <w:r>
              <w:rPr>
                <w:color w:val="000000"/>
                <w:sz w:val="20"/>
              </w:rPr>
              <w:lastRenderedPageBreak/>
              <w:t>2.2. Upravljanje energetskega sektorja</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FD431E" w14:textId="77777777" w:rsidR="00A77B3E" w:rsidRDefault="00A77B3E">
            <w:pPr>
              <w:spacing w:before="5pt"/>
              <w:rPr>
                <w:color w:val="000000"/>
                <w:sz w:val="20"/>
              </w:rPr>
            </w:pPr>
          </w:p>
          <w:p w14:paraId="0704C70B" w14:textId="77777777" w:rsidR="00A77B3E" w:rsidRDefault="00B16CCF">
            <w:pPr>
              <w:spacing w:before="5pt"/>
              <w:rPr>
                <w:color w:val="000000"/>
                <w:sz w:val="20"/>
                <w:szCs w:val="20"/>
              </w:rPr>
            </w:pPr>
            <w:r>
              <w:rPr>
                <w:color w:val="000000"/>
                <w:sz w:val="20"/>
                <w:szCs w:val="20"/>
              </w:rPr>
              <w:t>ESRR</w:t>
            </w:r>
            <w:r>
              <w:rPr>
                <w:color w:val="000000"/>
                <w:sz w:val="20"/>
                <w:szCs w:val="20"/>
              </w:rPr>
              <w:br/>
              <w:t>Kohezijski sklad</w:t>
            </w:r>
          </w:p>
          <w:p w14:paraId="5D54AF1C"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CEB544" w14:textId="77777777" w:rsidR="00A77B3E" w:rsidRDefault="00A77B3E">
            <w:pPr>
              <w:spacing w:before="5pt"/>
              <w:rPr>
                <w:color w:val="000000"/>
                <w:sz w:val="20"/>
              </w:rPr>
            </w:pPr>
          </w:p>
          <w:p w14:paraId="590CC15A" w14:textId="77777777" w:rsidR="00A77B3E" w:rsidRDefault="00B16CCF">
            <w:pPr>
              <w:spacing w:before="5pt"/>
              <w:rPr>
                <w:color w:val="000000"/>
                <w:sz w:val="20"/>
                <w:szCs w:val="20"/>
              </w:rPr>
            </w:pPr>
            <w:r>
              <w:rPr>
                <w:color w:val="000000"/>
                <w:sz w:val="20"/>
                <w:szCs w:val="20"/>
              </w:rPr>
              <w:t>RSO2.1. Spodbujanje energijske učinkovitosti in zmanjševanje emisij toplogrednih plinov</w:t>
            </w:r>
            <w:r>
              <w:rPr>
                <w:color w:val="000000"/>
                <w:sz w:val="20"/>
                <w:szCs w:val="20"/>
              </w:rPr>
              <w:br/>
              <w:t>RSO2.2. Spodbujanje energije iz obnovljivih virov v skladu z Direktivo (EU) 2018/2001 o spodbujanju uporabe energije iz obnovljivih virov [1], vključno s trajnostnimi merili, določenimi v Direktivi</w:t>
            </w:r>
          </w:p>
          <w:p w14:paraId="596276C1" w14:textId="77777777" w:rsidR="00A77B3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72BAE2" w14:textId="77777777" w:rsidR="00A77B3E" w:rsidRDefault="00B16CCF">
            <w:pPr>
              <w:spacing w:before="5pt"/>
              <w:jc w:val="center"/>
              <w:rPr>
                <w:color w:val="000000"/>
                <w:sz w:val="20"/>
              </w:rPr>
            </w:pPr>
            <w:r>
              <w:rPr>
                <w:color w:val="000000"/>
                <w:sz w:val="20"/>
              </w:rPr>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7831BE" w14:textId="77777777" w:rsidR="00A77B3E" w:rsidRDefault="00B16CCF">
            <w:pPr>
              <w:spacing w:before="5pt"/>
              <w:rPr>
                <w:color w:val="000000"/>
                <w:sz w:val="20"/>
              </w:rPr>
            </w:pPr>
            <w:r>
              <w:rPr>
                <w:color w:val="000000"/>
                <w:sz w:val="20"/>
              </w:rPr>
              <w:t>Celovit nacionalni energetski in podnebni načrt, o katerem je Evropska komisija uradno obveščena v skladu s členom 3 Uredbe (EU) 2018/1999 in v skladu z dolgoročnimi cilji zmanjšanja emisij toplogrednih plinov iz Pariškega sporazuma, ki vključuje:1. vse elemente, ki se zahtevajo v predlogi iz Priloge I k Uredbi (EU) 2018/1999;</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18FDFF" w14:textId="77777777" w:rsidR="00A77B3E" w:rsidRDefault="00B16CC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D4ED69" w14:textId="77777777" w:rsidR="00A77B3E" w:rsidRDefault="00B16CCF">
            <w:pPr>
              <w:spacing w:before="5pt"/>
              <w:rPr>
                <w:color w:val="000000"/>
                <w:sz w:val="20"/>
              </w:rPr>
            </w:pPr>
            <w:r>
              <w:rPr>
                <w:color w:val="000000"/>
                <w:sz w:val="20"/>
              </w:rPr>
              <w:t>Zakon o učinkoviti rabi energije (Uradni list RS, št. 158/20): http://www.pisrs.si/Pis.web/pregledPredpisa?id=ZAKO8136</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A4C3D0" w14:textId="77777777" w:rsidR="00A77B3E" w:rsidRDefault="00B16CCF">
            <w:pPr>
              <w:spacing w:before="5pt"/>
              <w:rPr>
                <w:color w:val="000000"/>
                <w:sz w:val="20"/>
              </w:rPr>
            </w:pPr>
            <w:r>
              <w:rPr>
                <w:color w:val="000000"/>
                <w:sz w:val="20"/>
              </w:rPr>
              <w:t>Obveznost doseganja prihrankov energije in metodologijo predpisuje Zakon o učinkoviti rabi energije in Uredba o zagotavljanju prihrankov energije (Uradni list RS, št. 96/14 in 158/20 – ZURE). Podrobneje je določena v Pravilniku o metodah za določanje prihrankov energije (Uradni list RS, št. 57/21).</w:t>
            </w:r>
          </w:p>
        </w:tc>
      </w:tr>
      <w:tr w:rsidR="00823317" w14:paraId="7B28121C"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CCFA56"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AC9EE5"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586F03"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A7AC4B"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8989CC" w14:textId="77777777" w:rsidR="00A77B3E" w:rsidRDefault="00B16CCF">
            <w:pPr>
              <w:spacing w:before="5pt"/>
              <w:rPr>
                <w:color w:val="000000"/>
                <w:sz w:val="20"/>
              </w:rPr>
            </w:pPr>
            <w:r>
              <w:rPr>
                <w:color w:val="000000"/>
                <w:sz w:val="20"/>
              </w:rPr>
              <w:t xml:space="preserve">2. opis predvidenih finančnih sredstev in mehanizmov za ukrepe za spodbujanje nizkoogljične energije. </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7814B4" w14:textId="77777777" w:rsidR="00A77B3E" w:rsidRDefault="00B16CC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BEFCB4" w14:textId="77777777" w:rsidR="00A77B3E" w:rsidRDefault="00B16CCF">
            <w:pPr>
              <w:spacing w:before="5pt"/>
              <w:rPr>
                <w:color w:val="000000"/>
                <w:sz w:val="20"/>
              </w:rPr>
            </w:pPr>
            <w:r>
              <w:rPr>
                <w:color w:val="000000"/>
                <w:sz w:val="20"/>
              </w:rPr>
              <w:t>Celoviti nacionalni energetski in podnebni načrt Republike Slovenije (NEPN), str. 214: https://www.gov.si/zbirke/projekti-in-programi/nacionalni-energetski-in-podnebni-nacrt/</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F171E2" w14:textId="77777777" w:rsidR="00A77B3E" w:rsidRDefault="00B16CCF">
            <w:pPr>
              <w:spacing w:before="5pt"/>
              <w:rPr>
                <w:color w:val="000000"/>
                <w:sz w:val="20"/>
              </w:rPr>
            </w:pPr>
            <w:r>
              <w:rPr>
                <w:color w:val="000000"/>
                <w:sz w:val="20"/>
              </w:rPr>
              <w:t>Slovenija je pripravila svoj NEPN skladno z Uredbo (EU) 2018/1999 z dne 11. decembra 2018 o upravljanju energetske unije in podnebnih ukrepih. Pregled potreb po naložbah je v poglavju 5.3.</w:t>
            </w:r>
          </w:p>
          <w:p w14:paraId="28AAEBE8" w14:textId="77777777" w:rsidR="00A77B3E" w:rsidRDefault="00B16CCF">
            <w:pPr>
              <w:spacing w:before="5pt"/>
              <w:rPr>
                <w:color w:val="000000"/>
                <w:sz w:val="20"/>
              </w:rPr>
            </w:pPr>
            <w:r>
              <w:rPr>
                <w:color w:val="000000"/>
                <w:sz w:val="20"/>
              </w:rPr>
              <w:t xml:space="preserve">V procesu programiranja političnih posegov in instrumentov/ukrepov, navedenih v NEPN, je bilo ocenjeno, da naj bi skupne naložbe za obdobje 2021–2030 znašale približno 28,4 milijarde, vključno z naložbami v prometno infrastrukturo in trajnostno mobilnost. </w:t>
            </w:r>
          </w:p>
          <w:p w14:paraId="4028E00C" w14:textId="77777777" w:rsidR="00A77B3E" w:rsidRDefault="00B16CCF">
            <w:pPr>
              <w:spacing w:before="5pt"/>
              <w:rPr>
                <w:color w:val="000000"/>
                <w:sz w:val="20"/>
              </w:rPr>
            </w:pPr>
            <w:r>
              <w:rPr>
                <w:color w:val="000000"/>
                <w:sz w:val="20"/>
              </w:rPr>
              <w:t>V okviru načrtovanja kohezijskih skladov za obdobje 2021–2027 je v okviru dejavnosti NEPN predvidenih od 600 do 700 milijonov.</w:t>
            </w:r>
          </w:p>
        </w:tc>
      </w:tr>
      <w:tr w:rsidR="00823317" w14:paraId="65CD842A"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4BAFA3" w14:textId="77777777" w:rsidR="00A77B3E" w:rsidRDefault="00B16CCF">
            <w:pPr>
              <w:spacing w:before="5pt"/>
              <w:rPr>
                <w:color w:val="000000"/>
                <w:sz w:val="20"/>
              </w:rPr>
            </w:pPr>
            <w:r>
              <w:rPr>
                <w:color w:val="000000"/>
                <w:sz w:val="20"/>
              </w:rPr>
              <w:t>2.3. Učinkovito spodbujanje uporabe energije iz obnovljivih virov v vseh sektorjih in v vsej EU</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9DD69C" w14:textId="77777777" w:rsidR="00A77B3E" w:rsidRDefault="00A77B3E">
            <w:pPr>
              <w:spacing w:before="5pt"/>
              <w:rPr>
                <w:color w:val="000000"/>
                <w:sz w:val="20"/>
              </w:rPr>
            </w:pPr>
          </w:p>
          <w:p w14:paraId="0F3EE2B6" w14:textId="77777777" w:rsidR="00A77B3E" w:rsidRDefault="00B16CCF">
            <w:pPr>
              <w:spacing w:before="5pt"/>
              <w:rPr>
                <w:color w:val="000000"/>
                <w:sz w:val="20"/>
                <w:szCs w:val="20"/>
              </w:rPr>
            </w:pPr>
            <w:r>
              <w:rPr>
                <w:color w:val="000000"/>
                <w:sz w:val="20"/>
                <w:szCs w:val="20"/>
              </w:rPr>
              <w:t>ESRR</w:t>
            </w:r>
            <w:r>
              <w:rPr>
                <w:color w:val="000000"/>
                <w:sz w:val="20"/>
                <w:szCs w:val="20"/>
              </w:rPr>
              <w:br/>
              <w:t>Kohezijski sklad</w:t>
            </w:r>
          </w:p>
          <w:p w14:paraId="7A8C10E4"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71048B" w14:textId="77777777" w:rsidR="00A77B3E" w:rsidRDefault="00A77B3E">
            <w:pPr>
              <w:spacing w:before="5pt"/>
              <w:rPr>
                <w:color w:val="000000"/>
                <w:sz w:val="20"/>
              </w:rPr>
            </w:pPr>
          </w:p>
          <w:p w14:paraId="0CC8434F" w14:textId="77777777" w:rsidR="00A77B3E" w:rsidRDefault="00B16CCF">
            <w:pPr>
              <w:spacing w:before="5pt"/>
              <w:rPr>
                <w:color w:val="000000"/>
                <w:sz w:val="20"/>
                <w:szCs w:val="20"/>
              </w:rPr>
            </w:pPr>
            <w:r>
              <w:rPr>
                <w:color w:val="000000"/>
                <w:sz w:val="20"/>
                <w:szCs w:val="20"/>
              </w:rPr>
              <w:t xml:space="preserve">RSO2.2. Spodbujanje energije iz obnovljivih virov v skladu z Direktivo </w:t>
            </w:r>
            <w:r>
              <w:rPr>
                <w:color w:val="000000"/>
                <w:sz w:val="20"/>
                <w:szCs w:val="20"/>
              </w:rPr>
              <w:lastRenderedPageBreak/>
              <w:t>(EU) 2018/2001 o spodbujanju uporabe energije iz obnovljivih virov [1], vključno s trajnostnimi merili, določenimi v Direktivi</w:t>
            </w:r>
          </w:p>
          <w:p w14:paraId="79CAD602" w14:textId="77777777" w:rsidR="00A77B3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810049" w14:textId="77777777" w:rsidR="00A77B3E" w:rsidRDefault="00B16CCF">
            <w:pPr>
              <w:spacing w:before="5pt"/>
              <w:jc w:val="center"/>
              <w:rPr>
                <w:color w:val="000000"/>
                <w:sz w:val="20"/>
              </w:rPr>
            </w:pPr>
            <w:r>
              <w:rPr>
                <w:color w:val="000000"/>
                <w:sz w:val="20"/>
              </w:rPr>
              <w:lastRenderedPageBreak/>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F4F092" w14:textId="77777777" w:rsidR="00A77B3E" w:rsidRDefault="00B16CCF">
            <w:pPr>
              <w:spacing w:before="5pt"/>
              <w:rPr>
                <w:color w:val="000000"/>
                <w:sz w:val="20"/>
              </w:rPr>
            </w:pPr>
            <w:r>
              <w:rPr>
                <w:color w:val="000000"/>
                <w:sz w:val="20"/>
              </w:rPr>
              <w:t xml:space="preserve">Vzpostavljeni so ukrepi, ki zagotavljajo:1. skladnost z zavezujočim nacionalnim ciljem glede energije iz obnovljivih virov za leto 2020 in s tem deležem energije iz obnovljivih virov kot izhodiščem do leta </w:t>
            </w:r>
            <w:r>
              <w:rPr>
                <w:color w:val="000000"/>
                <w:sz w:val="20"/>
              </w:rPr>
              <w:lastRenderedPageBreak/>
              <w:t>2030 ali sprejetje dodatnih ukrepov, če se izhodišče ne ohranja v katerem koli obdobju enega leta v skladu z Direktivo (EU) 2018/2001 in Uredbo (EU) 2018/1999;</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BDFB35" w14:textId="77777777" w:rsidR="00A77B3E" w:rsidRDefault="00B16CCF">
            <w:pPr>
              <w:spacing w:before="5pt"/>
              <w:jc w:val="center"/>
              <w:rPr>
                <w:color w:val="000000"/>
                <w:sz w:val="20"/>
              </w:rPr>
            </w:pPr>
            <w:r>
              <w:rPr>
                <w:color w:val="000000"/>
                <w:sz w:val="20"/>
              </w:rPr>
              <w:lastRenderedPageBreak/>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5B2F4B" w14:textId="77777777" w:rsidR="00A77B3E" w:rsidRDefault="00B16CCF">
            <w:pPr>
              <w:spacing w:before="5pt"/>
              <w:rPr>
                <w:color w:val="000000"/>
                <w:sz w:val="20"/>
              </w:rPr>
            </w:pPr>
            <w:r>
              <w:rPr>
                <w:color w:val="000000"/>
                <w:sz w:val="20"/>
              </w:rPr>
              <w:t xml:space="preserve">Podatek Statističnega urada Republike Slovenije, dostopno na https://www.stat.si/StatWeb/Field/Index/5, </w:t>
            </w:r>
          </w:p>
          <w:p w14:paraId="633220A4" w14:textId="77777777" w:rsidR="00A77B3E" w:rsidRDefault="00B16CCF">
            <w:pPr>
              <w:spacing w:before="5pt"/>
              <w:rPr>
                <w:color w:val="000000"/>
                <w:sz w:val="20"/>
              </w:rPr>
            </w:pPr>
            <w:r>
              <w:rPr>
                <w:color w:val="000000"/>
                <w:sz w:val="20"/>
              </w:rPr>
              <w:t>Sporazum o statističnem prenosu obnovljive energije med Republiko Slovenijo in Češko republiko</w:t>
            </w:r>
          </w:p>
          <w:p w14:paraId="151B2FF6" w14:textId="77777777" w:rsidR="00A77B3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0BB7EC" w14:textId="77777777" w:rsidR="00A77B3E" w:rsidRDefault="00B16CCF">
            <w:pPr>
              <w:spacing w:before="5pt"/>
              <w:rPr>
                <w:color w:val="000000"/>
                <w:sz w:val="20"/>
              </w:rPr>
            </w:pPr>
            <w:r>
              <w:rPr>
                <w:color w:val="000000"/>
                <w:sz w:val="20"/>
              </w:rPr>
              <w:lastRenderedPageBreak/>
              <w:t>Slovenija je dosegla cilj OVE 2020; 24,14 % je bilo doseženo v Republiki Sloveniji, preostalo pa s statističnim prenosom s Češko republiko.</w:t>
            </w:r>
          </w:p>
          <w:p w14:paraId="0F9BC47C" w14:textId="77777777" w:rsidR="00A77B3E" w:rsidRDefault="00B16CCF">
            <w:pPr>
              <w:spacing w:before="5pt"/>
              <w:rPr>
                <w:color w:val="000000"/>
                <w:sz w:val="20"/>
              </w:rPr>
            </w:pPr>
            <w:r>
              <w:rPr>
                <w:color w:val="000000"/>
                <w:sz w:val="20"/>
              </w:rPr>
              <w:t>Slovenija je sporazum o statističnem prenosu Evropski komisiji notificirala decembra 2021.</w:t>
            </w:r>
          </w:p>
        </w:tc>
      </w:tr>
      <w:tr w:rsidR="00823317" w14:paraId="631C0966"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54252A"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2270EE"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534EE7"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06B1E2"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E30D43" w14:textId="77777777" w:rsidR="00A77B3E" w:rsidRDefault="00B16CCF">
            <w:pPr>
              <w:spacing w:before="5pt"/>
              <w:rPr>
                <w:color w:val="000000"/>
                <w:sz w:val="20"/>
              </w:rPr>
            </w:pPr>
            <w:r>
              <w:rPr>
                <w:color w:val="000000"/>
                <w:sz w:val="20"/>
              </w:rPr>
              <w:t>2. v skladu z zahtevami Direktive (EU) 2018/2001 in Uredbe (EU) 2018/1999 povečanje deleža energije iz obnovljivih virov v sektorju ogrevanja in hlajenja v skladu s členom 23 Direktive (EU) 2018/2001.</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807504" w14:textId="77777777" w:rsidR="00A77B3E" w:rsidRDefault="00B16CC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1604B4" w14:textId="77777777" w:rsidR="00A77B3E" w:rsidRDefault="00B16CCF">
            <w:pPr>
              <w:spacing w:before="5pt"/>
              <w:rPr>
                <w:color w:val="000000"/>
                <w:sz w:val="20"/>
              </w:rPr>
            </w:pPr>
            <w:r>
              <w:rPr>
                <w:color w:val="000000"/>
                <w:sz w:val="20"/>
              </w:rPr>
              <w:t>Celoviti nacionalni energetski in podnebni načrt Republike Slovenije (NEPN), str. 138: https://www.gov.si/zbirke/projekti-in-programi/nacionalni-energetski-in-podnebni-nacrt/</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BF36BE" w14:textId="77777777" w:rsidR="00A77B3E" w:rsidRDefault="00B16CCF">
            <w:pPr>
              <w:spacing w:before="5pt"/>
              <w:rPr>
                <w:color w:val="000000"/>
                <w:sz w:val="20"/>
              </w:rPr>
            </w:pPr>
            <w:r>
              <w:rPr>
                <w:color w:val="000000"/>
                <w:sz w:val="20"/>
              </w:rPr>
              <w:t>Leta 2021 je bil sprejet Zakon o spodbujanju rabe obnovljivih virov energije (ZRSOVE), s katerimi se uresničuje cilj povečanja deleža energije iz obnovljivih virov v sektorju ogrevanja in hlajenja za okvirno 1,3 odstotne točke kot letno povprečje, izračunano za obdobji od leta 2021 do 2025 in od leta 2026 do 2030, začenši pri deležu energije iz obnovljivih virov v tem sektorju leta 2020. V kolikor ta cilj ni dosežen, se to objavi v celovitem nacionalnem energetskem in podnebnem poročilu o napredku v skladu z 20. členom Uredbe (EU) 2018/1999. Ministrstvo, pristojno za energijo, predloži Evropski komisiji utemeljitev vključno z ukrepi, ki pripomorejo k doseganju cilja.</w:t>
            </w:r>
          </w:p>
          <w:p w14:paraId="5AA4108E" w14:textId="77777777" w:rsidR="00A77B3E" w:rsidRDefault="00B16CCF">
            <w:pPr>
              <w:spacing w:before="5pt"/>
              <w:rPr>
                <w:color w:val="000000"/>
                <w:sz w:val="20"/>
              </w:rPr>
            </w:pPr>
            <w:r>
              <w:rPr>
                <w:color w:val="000000"/>
                <w:sz w:val="20"/>
              </w:rPr>
              <w:t xml:space="preserve">Za okvirni cilj 1,3 odstotne točke je bil že v pripravi NEPN ugotovljen, da bo zaradi že izvedenih ukrepov težko dosegljiv in se ga realno ocenjuje na 0,7 odstotne točke. V pripravi je že nov NEPN, v katerem bodo opredeljeni komplementarni ukrepi na drugih področjih, predvsem na področju proizvodnje električne energije iz OVE in na področju transporta, ter prepovedi vgradnje kotlov na fosilna goriva (53. </w:t>
            </w:r>
            <w:r>
              <w:rPr>
                <w:color w:val="000000"/>
                <w:sz w:val="20"/>
              </w:rPr>
              <w:lastRenderedPageBreak/>
              <w:t>člen Zakona o spodbujanju rabe obnovljivih virov energije).</w:t>
            </w:r>
          </w:p>
        </w:tc>
      </w:tr>
      <w:tr w:rsidR="00823317" w14:paraId="58526142"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A18AE3" w14:textId="77777777" w:rsidR="00A77B3E" w:rsidRDefault="00B16CCF">
            <w:pPr>
              <w:spacing w:before="5pt"/>
              <w:rPr>
                <w:color w:val="000000"/>
                <w:sz w:val="20"/>
              </w:rPr>
            </w:pPr>
            <w:r>
              <w:rPr>
                <w:color w:val="000000"/>
                <w:sz w:val="20"/>
              </w:rPr>
              <w:lastRenderedPageBreak/>
              <w:t>2.4. Učinkovit okvir za obvladovanje tveganja nesreč</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59F177" w14:textId="77777777" w:rsidR="00A77B3E" w:rsidRDefault="00A77B3E">
            <w:pPr>
              <w:spacing w:before="5pt"/>
              <w:rPr>
                <w:color w:val="000000"/>
                <w:sz w:val="20"/>
              </w:rPr>
            </w:pPr>
          </w:p>
          <w:p w14:paraId="52915B9D" w14:textId="77777777" w:rsidR="00A77B3E" w:rsidRDefault="00B16CCF">
            <w:pPr>
              <w:spacing w:before="5pt"/>
              <w:rPr>
                <w:color w:val="000000"/>
                <w:sz w:val="20"/>
                <w:szCs w:val="20"/>
              </w:rPr>
            </w:pPr>
            <w:r>
              <w:rPr>
                <w:color w:val="000000"/>
                <w:sz w:val="20"/>
                <w:szCs w:val="20"/>
              </w:rPr>
              <w:t>ESRR</w:t>
            </w:r>
            <w:r>
              <w:rPr>
                <w:color w:val="000000"/>
                <w:sz w:val="20"/>
                <w:szCs w:val="20"/>
              </w:rPr>
              <w:br/>
              <w:t>Kohezijski sklad</w:t>
            </w:r>
          </w:p>
          <w:p w14:paraId="2D7479C4"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7024F9" w14:textId="77777777" w:rsidR="00A77B3E" w:rsidRDefault="00A77B3E">
            <w:pPr>
              <w:spacing w:before="5pt"/>
              <w:rPr>
                <w:color w:val="000000"/>
                <w:sz w:val="20"/>
              </w:rPr>
            </w:pPr>
          </w:p>
          <w:p w14:paraId="31475D51" w14:textId="77777777" w:rsidR="00A77B3E" w:rsidRDefault="00B16CCF">
            <w:pPr>
              <w:spacing w:before="5pt"/>
              <w:rPr>
                <w:color w:val="000000"/>
                <w:sz w:val="20"/>
                <w:szCs w:val="20"/>
              </w:rPr>
            </w:pPr>
            <w:r>
              <w:rPr>
                <w:color w:val="000000"/>
                <w:sz w:val="20"/>
                <w:szCs w:val="20"/>
              </w:rPr>
              <w:t>RSO2.4. Spodbujanje prilagajanja podnebnim spremembam in preprečevanja tveganja nesreč ter odpornosti, ob upoštevanju ekosistemskih pristopov</w:t>
            </w:r>
          </w:p>
          <w:p w14:paraId="19D3C5BE" w14:textId="77777777" w:rsidR="00A77B3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55D147" w14:textId="77777777" w:rsidR="00A77B3E" w:rsidRDefault="00B16CCF">
            <w:pPr>
              <w:spacing w:before="5pt"/>
              <w:jc w:val="center"/>
              <w:rPr>
                <w:color w:val="000000"/>
                <w:sz w:val="20"/>
              </w:rPr>
            </w:pPr>
            <w:r>
              <w:rPr>
                <w:color w:val="000000"/>
                <w:sz w:val="20"/>
              </w:rPr>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4A8708" w14:textId="77777777" w:rsidR="00A77B3E" w:rsidRDefault="00B16CCF">
            <w:pPr>
              <w:spacing w:before="5pt"/>
              <w:rPr>
                <w:color w:val="000000"/>
                <w:sz w:val="20"/>
              </w:rPr>
            </w:pPr>
            <w:r>
              <w:rPr>
                <w:color w:val="000000"/>
                <w:sz w:val="20"/>
              </w:rPr>
              <w:t>Vzpostavljeni nacionalni ali regionalni načrt za obvladovanje tveganja nesreč, pripravljen na podlagi ocen tveganja, ob ustreznem upoštevanju verjetnih učinkov podnebnih sprememb in obstoječih strategij za prilagajanje podnebnim spremembam vključuje:1. opis ključnih tveganj, ocenjenih v skladu s členom 6(1) Sklepa št. 1313/2013/EU Evropskega parlamenta in Sveta, ki odražajo sedanji in razvijajoči se profil tveganja z okvirnim časovnim razponom od 25 do 35 let. Ocena podnebnih tveganj temelji na napovedih in scenarijih podnebnih sprememb;</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2B09A9" w14:textId="77777777" w:rsidR="00A77B3E" w:rsidRDefault="00B16CC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1E6460" w14:textId="77777777" w:rsidR="00A77B3E" w:rsidRDefault="00B16CCF">
            <w:pPr>
              <w:spacing w:before="5pt"/>
              <w:rPr>
                <w:color w:val="000000"/>
                <w:sz w:val="20"/>
              </w:rPr>
            </w:pPr>
            <w:r>
              <w:rPr>
                <w:color w:val="000000"/>
                <w:sz w:val="20"/>
              </w:rPr>
              <w:t>Državna ocena tveganj za nesreče, verzija 2.0, ki je dostopna preko: http://www.sos112.si/slo/tdocs/drzavna_ocena_2.pdf</w:t>
            </w:r>
          </w:p>
          <w:p w14:paraId="33FD7165" w14:textId="77777777" w:rsidR="00A77B3E" w:rsidRDefault="00B16CCF">
            <w:pPr>
              <w:spacing w:before="5pt"/>
              <w:rPr>
                <w:color w:val="000000"/>
                <w:sz w:val="20"/>
              </w:rPr>
            </w:pPr>
            <w:r>
              <w:rPr>
                <w:color w:val="000000"/>
                <w:sz w:val="20"/>
              </w:rPr>
              <w:t>Državna ocena tveganj za nesreče je pripravljena na podlagi trenutnih in spreminjajočih se tveganj. Spreminja se periodično, skladno z Uredbo o izvajanju Sklepa o mehanizmu Unije na področju civilne zaščite ali ob spremembi obstoječega oz. pojavu novega tveganja. Zaradi predvidene spremembe krovne Resolucije o nacionalnem programu varstva pred naravnim in drugimi nesrečami se načrtuje tudi sprememba Državne ocene tveganj za nesreče v začetku leta 2023.</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F40437" w14:textId="77777777" w:rsidR="00A77B3E" w:rsidRDefault="00B16CCF">
            <w:pPr>
              <w:spacing w:before="5pt"/>
              <w:rPr>
                <w:color w:val="000000"/>
                <w:sz w:val="20"/>
              </w:rPr>
            </w:pPr>
            <w:r>
              <w:rPr>
                <w:color w:val="000000"/>
                <w:sz w:val="20"/>
              </w:rPr>
              <w:t xml:space="preserve">Ključna tveganja skladno s členom 6(1) Sklepa št. 1313/2013/EU Evropskega parlamenta in Sveta, so vključena v Državno oceno tveganj za nesreče, po kateri največje tveganje predstavljajo poplave. Visoko tveganje poplav izhaja iz velike verjetnosti njihovega pojava in velike verjetnosti hudih posledic za prebivalstvo, gospodarstvo, družbo, politiko in kulturno dediščino. Poleg poplav pristojni nacionalni organi na podlagi preteklih nesreč in podnebnih projekcij prepoznavajo tudi druga pomembna tveganja podnebno pogojenih nesreč, kot so veliki požari v naravi in neurja s točo ali žledom. Veliki požari v naravi in neurja s spremljajočimi pojavi ob upoštevanju klimatskih projekcij za naslednja desetletja predstavljajo veliko tveganje za RS, saj je ob sicer manjših posledicah oz. povzročeni škodi verjetnost njihovega pojava zelo velika, zaradi klimatskih sprememb pa so očitne tudi spremembe v tradicionalnih območjih pojava tovrstnih nesreč. Širjenje območij pojava velikih požarov v naravi in neurij bi tako v naslednjih letih in desetletjih lahko povzročilo bistveno višjo materialno in drugo škodo na večjih geografskih območjih. </w:t>
            </w:r>
          </w:p>
        </w:tc>
      </w:tr>
      <w:tr w:rsidR="00823317" w14:paraId="2BD2F84B"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6A126A"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516CDC"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CA139B"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5EF96C"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939573" w14:textId="77777777" w:rsidR="00A77B3E" w:rsidRDefault="00B16CCF">
            <w:pPr>
              <w:spacing w:before="5pt"/>
              <w:rPr>
                <w:color w:val="000000"/>
                <w:sz w:val="20"/>
              </w:rPr>
            </w:pPr>
            <w:r>
              <w:rPr>
                <w:color w:val="000000"/>
                <w:sz w:val="20"/>
              </w:rPr>
              <w:t xml:space="preserve">2. opis preprečevanja nesreč ter ukrepov pripravljenosti in odziva za obravnavanje ključnih </w:t>
            </w:r>
            <w:r>
              <w:rPr>
                <w:color w:val="000000"/>
                <w:sz w:val="20"/>
              </w:rPr>
              <w:lastRenderedPageBreak/>
              <w:t>ugotovljenih tveganj. Ukrepi se prednostno razvrstijo v sorazmerju s tveganji in njihovim gospodarskim učinkom, vrzelmi glede zmogljivosti ter uspešnostjo in učinkovitostjo, in sicer ob upoštevanju morebitnih alternativ;</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D94839" w14:textId="77777777" w:rsidR="00A77B3E" w:rsidRDefault="00B16CCF">
            <w:pPr>
              <w:spacing w:before="5pt"/>
              <w:jc w:val="center"/>
              <w:rPr>
                <w:color w:val="000000"/>
                <w:sz w:val="20"/>
              </w:rPr>
            </w:pPr>
            <w:r>
              <w:rPr>
                <w:color w:val="000000"/>
                <w:sz w:val="20"/>
              </w:rPr>
              <w:lastRenderedPageBreak/>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B49EAE" w14:textId="77777777" w:rsidR="00A77B3E" w:rsidRDefault="00B16CCF">
            <w:pPr>
              <w:spacing w:before="5pt"/>
              <w:rPr>
                <w:color w:val="000000"/>
                <w:sz w:val="20"/>
              </w:rPr>
            </w:pPr>
            <w:r>
              <w:rPr>
                <w:color w:val="000000"/>
                <w:sz w:val="20"/>
              </w:rPr>
              <w:t>Državna ocena zmožnosti obvladovanja tveganj za nesreče, verzija 2.0</w:t>
            </w:r>
          </w:p>
          <w:p w14:paraId="6438493C" w14:textId="77777777" w:rsidR="00A77B3E" w:rsidRDefault="00B16CCF">
            <w:pPr>
              <w:spacing w:before="5pt"/>
              <w:rPr>
                <w:color w:val="000000"/>
                <w:sz w:val="20"/>
              </w:rPr>
            </w:pPr>
            <w:r>
              <w:rPr>
                <w:color w:val="000000"/>
                <w:sz w:val="20"/>
              </w:rPr>
              <w:t>(vir: Uprava RS za zaščito in reševanje),</w:t>
            </w:r>
          </w:p>
          <w:p w14:paraId="5E5E5C56" w14:textId="77777777" w:rsidR="00A77B3E" w:rsidRDefault="00B16CCF">
            <w:pPr>
              <w:spacing w:before="5pt"/>
              <w:rPr>
                <w:color w:val="000000"/>
                <w:sz w:val="20"/>
              </w:rPr>
            </w:pPr>
            <w:r>
              <w:rPr>
                <w:color w:val="000000"/>
                <w:sz w:val="20"/>
              </w:rPr>
              <w:lastRenderedPageBreak/>
              <w:t>Sprememba Državne ocene zmožnosti obvladovanja tveganj za nesreče decembra 2020. Ocena se spreminja periodično, skladno z Uredbo o izvajanju Sklepa o mehanizmu Unije na področju civilne zaščite ali ob spremembi obstoječega oz. pojavu novega tveganja. Zaradi predvidene spremembe krovne Resolucije o nacionalnem programu varstva pred naravnim in drugimi nesrečami se načrtuje sprememba Državne ocene zmožnosti obvladovanja tveganj za nesreče v začetku leta 2023.</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092B67" w14:textId="77777777" w:rsidR="00A77B3E" w:rsidRDefault="00B16CCF">
            <w:pPr>
              <w:spacing w:before="5pt"/>
              <w:rPr>
                <w:color w:val="000000"/>
                <w:sz w:val="20"/>
              </w:rPr>
            </w:pPr>
            <w:r>
              <w:rPr>
                <w:color w:val="000000"/>
                <w:sz w:val="20"/>
              </w:rPr>
              <w:lastRenderedPageBreak/>
              <w:t xml:space="preserve">Načrtovanje in implementacija preventive, pripravljenosti in ukrepov za odziv na poplave, velike požare v naravi </w:t>
            </w:r>
            <w:r>
              <w:rPr>
                <w:color w:val="000000"/>
                <w:sz w:val="20"/>
              </w:rPr>
              <w:lastRenderedPageBreak/>
              <w:t>ter neurja s točo in žledom, sta opredeljena v Državni oceni zmožnosti obvladovanja tveganj za nesreče in nadalje še v individualnih ocenah za posamezna tveganja. Državna ocena vključuje podatke o administrativnih (koordinacija, strokovnost, metodologija, komunikacija in informiranost), tehničnih (oprema, zaloge, infrastruktura, tehnična podpora IKT) in finančnih zmožnostih. Ukrepi za odziv na različnih ravneh so detajlno opisani v načrtih za odziv za posamezna tveganja.</w:t>
            </w:r>
          </w:p>
        </w:tc>
      </w:tr>
      <w:tr w:rsidR="00823317" w14:paraId="544D352F"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8C21F9"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00274C"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F06048"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AA838C"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856015" w14:textId="77777777" w:rsidR="00A77B3E" w:rsidRDefault="00B16CCF">
            <w:pPr>
              <w:spacing w:before="5pt"/>
              <w:rPr>
                <w:color w:val="000000"/>
                <w:sz w:val="20"/>
              </w:rPr>
            </w:pPr>
            <w:r>
              <w:rPr>
                <w:color w:val="000000"/>
                <w:sz w:val="20"/>
              </w:rPr>
              <w:t>3. informacije o finančnih sredstvih in mehanizmih, ki so na voljo za kritje stroškov delovanja in vzdrževanja v zvezi s preventivo, pripravljenostjo in odzivom.</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C3F7BE" w14:textId="77777777" w:rsidR="00A77B3E" w:rsidRDefault="00B16CC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042670" w14:textId="77777777" w:rsidR="00A77B3E" w:rsidRDefault="00B16CCF">
            <w:pPr>
              <w:spacing w:before="5pt"/>
              <w:rPr>
                <w:color w:val="000000"/>
                <w:sz w:val="20"/>
              </w:rPr>
            </w:pPr>
            <w:r>
              <w:rPr>
                <w:color w:val="000000"/>
                <w:sz w:val="20"/>
              </w:rPr>
              <w:t xml:space="preserve">Resolucija o nacionalnem programu varstva pred naravnimi in drugimi nesrečami za obdobje 2016-2022 (ReNPVNDN16-22), dostopna na: http://www.sos112.si/slo/tdocs/resolution_16_22.pdf, </w:t>
            </w:r>
          </w:p>
          <w:p w14:paraId="0C437E9E" w14:textId="77777777" w:rsidR="00A77B3E" w:rsidRDefault="00B16CCF">
            <w:pPr>
              <w:spacing w:before="5pt"/>
              <w:rPr>
                <w:color w:val="000000"/>
                <w:sz w:val="20"/>
              </w:rPr>
            </w:pPr>
            <w:r>
              <w:rPr>
                <w:color w:val="000000"/>
                <w:sz w:val="20"/>
              </w:rPr>
              <w:t>Podatki o finančnih virih in mehanizmih za preventivo, pripravljenost in odziv bodo kot do sedaj  vključeni tudi v novo resolucijo za obdobje 2023–2028/2030, ki je v pripravi, in v nadgrajeno Državno oceno zmožnosti obvladovanja tveganj za nesreče. Podatki bodo dopolnjeni tudi z EU viri in mehanizmi v času veljavnosti navedenih podlag (NOO, EKP…).</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5D247B" w14:textId="77777777" w:rsidR="00A77B3E" w:rsidRDefault="00B16CCF">
            <w:pPr>
              <w:spacing w:before="5pt"/>
              <w:rPr>
                <w:color w:val="000000"/>
                <w:sz w:val="20"/>
              </w:rPr>
            </w:pPr>
            <w:r>
              <w:rPr>
                <w:color w:val="000000"/>
                <w:sz w:val="20"/>
              </w:rPr>
              <w:t xml:space="preserve">Resolucija o nacionalnem programu varstva pred naravnimi in drugimi nesrečami za obdobje 2016–2022 vsebuje podrobne informacije glede finančnih virov in mehanizmov na letni ravni za področje varstva pred naravnimi in drugimi nesrečami (financiranje preprečevanja, pripravljenosti, aktivnosti ter sposobnosti odziva). Viri in mehanizmi vključujejo državni proračun (za redne naloge preprečevanja, pripravljenosti in odziva, skladno z zakonodajo), državne rezerve v primeru večjih naravnih in drugih nesreč (predvsem za opremo sil za zaščito, reševanje in pomoč), evropska kohezijska in druga sredstva (za specifične projekte, v obdobju 2014–2020 za nadgradnjo javnega sistema obveščanja in alarmiranja), sredstva požarnega sklada (za posodobitev infrastrukture, ki je namenjena usposabljanju). Finančni viri bodo prav </w:t>
            </w:r>
            <w:r>
              <w:rPr>
                <w:color w:val="000000"/>
                <w:sz w:val="20"/>
              </w:rPr>
              <w:lastRenderedPageBreak/>
              <w:t>tako vključeni v oceno zmožnosti obvladovanja  tveganj za nesreče. Kot nov, dodaten vir financiranja bo dodan NOO, dodane bodo nove prioritete na področju naravnih in drugih nesreč v obdobju 2021-2027 v okviru evropske kohezijske politike kot potencialni vir financiranja ter drugi mogoči viri v tekočem obdobju.</w:t>
            </w:r>
          </w:p>
        </w:tc>
      </w:tr>
      <w:tr w:rsidR="00823317" w14:paraId="0A02C3EA"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FE3640" w14:textId="77777777" w:rsidR="00A77B3E" w:rsidRDefault="00B16CCF">
            <w:pPr>
              <w:spacing w:before="5pt"/>
              <w:rPr>
                <w:color w:val="000000"/>
                <w:sz w:val="20"/>
              </w:rPr>
            </w:pPr>
            <w:r>
              <w:rPr>
                <w:color w:val="000000"/>
                <w:sz w:val="20"/>
              </w:rPr>
              <w:lastRenderedPageBreak/>
              <w:t>2.5. Posodobljeno načrtovanje potrebnih naložb v vodnem sektorju in sektorju odpadne vode</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73F77D" w14:textId="77777777" w:rsidR="00A77B3E" w:rsidRDefault="00A77B3E">
            <w:pPr>
              <w:spacing w:before="5pt"/>
              <w:rPr>
                <w:color w:val="000000"/>
                <w:sz w:val="20"/>
              </w:rPr>
            </w:pPr>
          </w:p>
          <w:p w14:paraId="32EA3FC4" w14:textId="77777777" w:rsidR="00A77B3E" w:rsidRDefault="00B16CCF">
            <w:pPr>
              <w:spacing w:before="5pt"/>
              <w:rPr>
                <w:color w:val="000000"/>
                <w:sz w:val="20"/>
                <w:szCs w:val="20"/>
              </w:rPr>
            </w:pPr>
            <w:r>
              <w:rPr>
                <w:color w:val="000000"/>
                <w:sz w:val="20"/>
                <w:szCs w:val="20"/>
              </w:rPr>
              <w:t>Kohezijski sklad</w:t>
            </w:r>
          </w:p>
          <w:p w14:paraId="5F9D155F"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49CF2E" w14:textId="77777777" w:rsidR="00A77B3E" w:rsidRDefault="00A77B3E">
            <w:pPr>
              <w:spacing w:before="5pt"/>
              <w:rPr>
                <w:color w:val="000000"/>
                <w:sz w:val="20"/>
              </w:rPr>
            </w:pPr>
          </w:p>
          <w:p w14:paraId="329DE03E" w14:textId="77777777" w:rsidR="00A77B3E" w:rsidRDefault="00B16CCF">
            <w:pPr>
              <w:spacing w:before="5pt"/>
              <w:rPr>
                <w:color w:val="000000"/>
                <w:sz w:val="20"/>
                <w:szCs w:val="20"/>
              </w:rPr>
            </w:pPr>
            <w:r>
              <w:rPr>
                <w:color w:val="000000"/>
                <w:sz w:val="20"/>
                <w:szCs w:val="20"/>
              </w:rPr>
              <w:t>RSO2.5. Spodbujanje dostopa do vode in trajnostnega gospodarjenja z vodnimi viri</w:t>
            </w:r>
          </w:p>
          <w:p w14:paraId="6DB07DC4" w14:textId="77777777" w:rsidR="00A77B3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D5C0D7" w14:textId="77777777" w:rsidR="00A77B3E" w:rsidRDefault="00B16CCF">
            <w:pPr>
              <w:spacing w:before="5pt"/>
              <w:jc w:val="center"/>
              <w:rPr>
                <w:color w:val="000000"/>
                <w:sz w:val="20"/>
              </w:rPr>
            </w:pPr>
            <w:r>
              <w:rPr>
                <w:color w:val="000000"/>
                <w:sz w:val="20"/>
              </w:rPr>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53BCAA" w14:textId="77777777" w:rsidR="00A77B3E" w:rsidRDefault="00B16CCF">
            <w:pPr>
              <w:spacing w:before="5pt"/>
              <w:rPr>
                <w:color w:val="000000"/>
                <w:sz w:val="20"/>
              </w:rPr>
            </w:pPr>
            <w:r>
              <w:rPr>
                <w:color w:val="000000"/>
                <w:sz w:val="20"/>
              </w:rPr>
              <w:t>Za vsakega od obeh sektorjev je vzpostavljen nacionalni naložbeni načrt, ki vključuje:1. oceno trenutnega stanja izvajanja Direktive Sveta 91/271/EGS in Direktive Sveta 98/83/ES;</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79A751" w14:textId="77777777" w:rsidR="00A77B3E" w:rsidRDefault="00B16CC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149515" w14:textId="77777777" w:rsidR="00A77B3E" w:rsidRDefault="00B16CCF">
            <w:pPr>
              <w:spacing w:before="5pt"/>
              <w:rPr>
                <w:color w:val="000000"/>
                <w:sz w:val="20"/>
              </w:rPr>
            </w:pPr>
            <w:r>
              <w:rPr>
                <w:color w:val="000000"/>
                <w:sz w:val="20"/>
              </w:rPr>
              <w:t xml:space="preserve">Vlada je 17. 9. 2020 sprejela Operativni program odvajanja in čiščenja komunalne odpadne vode (https://www.gov.si/novice/2020-09-17-odlocitve-32-redne-seje-vlade-republike-slovenije-s-podrocja-ministrstva-za-okolje-in-prostor), </w:t>
            </w:r>
          </w:p>
          <w:p w14:paraId="42A82B7C" w14:textId="77777777" w:rsidR="00A77B3E" w:rsidRDefault="00B16CCF">
            <w:pPr>
              <w:spacing w:before="5pt"/>
              <w:rPr>
                <w:color w:val="000000"/>
                <w:sz w:val="20"/>
              </w:rPr>
            </w:pPr>
            <w:r>
              <w:rPr>
                <w:color w:val="000000"/>
                <w:sz w:val="20"/>
              </w:rPr>
              <w:t>Vlada je 21. 4. 2022 sprejela Operativni program oskrbe s pitno vodo za obdobje od 2022 do 2027</w:t>
            </w:r>
          </w:p>
          <w:p w14:paraId="4898FA41" w14:textId="77777777" w:rsidR="00A77B3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C57105" w14:textId="77777777" w:rsidR="00A77B3E" w:rsidRDefault="00B16CCF">
            <w:pPr>
              <w:spacing w:before="5pt"/>
              <w:rPr>
                <w:color w:val="000000"/>
                <w:sz w:val="20"/>
              </w:rPr>
            </w:pPr>
            <w:r>
              <w:rPr>
                <w:color w:val="000000"/>
                <w:sz w:val="20"/>
              </w:rPr>
              <w:t xml:space="preserve">Operativni program odvajanja in čiščenja komunalne odpadne vode vsebuje trenutno stanje implementacije Direktive Sveta  91/271/EGS o čiščenju komunalne odpadne vode za referenčno leto 2018. </w:t>
            </w:r>
          </w:p>
          <w:p w14:paraId="448DABC0" w14:textId="77777777" w:rsidR="00A77B3E" w:rsidRDefault="00B16CCF">
            <w:pPr>
              <w:spacing w:before="5pt"/>
              <w:rPr>
                <w:color w:val="000000"/>
                <w:sz w:val="20"/>
              </w:rPr>
            </w:pPr>
            <w:r>
              <w:rPr>
                <w:color w:val="000000"/>
                <w:sz w:val="20"/>
              </w:rPr>
              <w:t xml:space="preserve">Za področje oskrbe s pitno vodo je sprejet Operativni program oskrbe s pitno vodo za obdobje od 2022 do 2027. Direktiva Sveta 98/83/ES o kakovosti vode, namenjene za prehrano ljudi, je bila prenesena v Pravilnik o pitni vodi. Rok za prenos vsebin prenovljene Direktive (EU) 2020/21843 v slovenski pravni red je do 12. 1. 2023. Zaradi vsebine prenovljene Direktive (EU) 2020/21843 v pristojnosti Ministrstva za zdravje je v pripravi nov predpis s področja pitne vode, ki je bila z uredbo o pitni vodi (17.6.2023) prenesena v slovenski pravni red  </w:t>
            </w:r>
          </w:p>
        </w:tc>
      </w:tr>
      <w:tr w:rsidR="00823317" w14:paraId="67ACB0AC"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228F59"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E20AAB"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C02AF2"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3C6441"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DEB907" w14:textId="77777777" w:rsidR="00A77B3E" w:rsidRDefault="00B16CCF">
            <w:pPr>
              <w:spacing w:before="5pt"/>
              <w:rPr>
                <w:color w:val="000000"/>
                <w:sz w:val="20"/>
              </w:rPr>
            </w:pPr>
            <w:r>
              <w:rPr>
                <w:color w:val="000000"/>
                <w:sz w:val="20"/>
              </w:rPr>
              <w:t xml:space="preserve">2. opredelitev in načrtovanje kakršnih koli javnih naložb, vključno z okvirno finančno oceno, ki je(a) potrebna za izvajanje Direktive 91/271/EGS, vključno s prednostno </w:t>
            </w:r>
            <w:r>
              <w:rPr>
                <w:color w:val="000000"/>
                <w:sz w:val="20"/>
              </w:rPr>
              <w:lastRenderedPageBreak/>
              <w:t>razvrstitvijo glede na velikost aglomeracij ter vplivom na okolje, pri čemer so naložbe razčlenjene za vsako aglomeracijo odpadne vode,(b) potrebna za izvajanje Direktive 98/83/ES,(c) potrebna, da se zadovoljijo potrebe, ki izhajajo iz Direktive (EU) 2020/2184, zlasti kar zadeva revidirane parametre kakovosti iz Priloge I k navedeni direktivi;</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6D09D9" w14:textId="77777777" w:rsidR="00A77B3E" w:rsidRDefault="00B16CCF">
            <w:pPr>
              <w:spacing w:before="5pt"/>
              <w:jc w:val="center"/>
              <w:rPr>
                <w:color w:val="000000"/>
                <w:sz w:val="20"/>
              </w:rPr>
            </w:pPr>
            <w:r>
              <w:rPr>
                <w:color w:val="000000"/>
                <w:sz w:val="20"/>
              </w:rPr>
              <w:lastRenderedPageBreak/>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1FAE89" w14:textId="77777777" w:rsidR="00A77B3E" w:rsidRDefault="00B16CCF">
            <w:pPr>
              <w:spacing w:before="5pt"/>
              <w:rPr>
                <w:color w:val="000000"/>
                <w:sz w:val="20"/>
              </w:rPr>
            </w:pPr>
            <w:r>
              <w:rPr>
                <w:color w:val="000000"/>
                <w:sz w:val="20"/>
              </w:rPr>
              <w:t>Vlada je 17. 9. 2020 sprejela Operativni program odvajanja in čiščenja komunalne odpadne vode (https://www.gov.si/novice/2020-09-17-odlocitve-32-redne-seje-vlade-</w:t>
            </w:r>
            <w:r>
              <w:rPr>
                <w:color w:val="000000"/>
                <w:sz w:val="20"/>
              </w:rPr>
              <w:lastRenderedPageBreak/>
              <w:t xml:space="preserve">republike-slovenije-s-podrocja-ministrstva-za-okolje-in-prostor), </w:t>
            </w:r>
          </w:p>
          <w:p w14:paraId="5E779C67" w14:textId="77777777" w:rsidR="00A77B3E" w:rsidRDefault="00B16CCF">
            <w:pPr>
              <w:spacing w:before="5pt"/>
              <w:rPr>
                <w:color w:val="000000"/>
                <w:sz w:val="20"/>
              </w:rPr>
            </w:pPr>
            <w:r>
              <w:rPr>
                <w:color w:val="000000"/>
                <w:sz w:val="20"/>
              </w:rPr>
              <w:t>Vlada je 21. 4. 2022 sprejela Operativni program oskrbe s pitno vodo za obdobje od 2022 do 2027</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B80511" w14:textId="77777777" w:rsidR="00A77B3E" w:rsidRDefault="00B16CCF">
            <w:pPr>
              <w:spacing w:before="5pt"/>
              <w:rPr>
                <w:color w:val="000000"/>
                <w:sz w:val="20"/>
              </w:rPr>
            </w:pPr>
            <w:r>
              <w:rPr>
                <w:color w:val="000000"/>
                <w:sz w:val="20"/>
              </w:rPr>
              <w:lastRenderedPageBreak/>
              <w:t xml:space="preserve">A) Operativni program odvajanja in čiščenja komunalne odpadne vode vsebuje finančno oceno investicijskih stroškov ukrepov, potrebnih za opremljanje aglomeracij s skupno obremenitvijo, enako ali večjo od 2.000 </w:t>
            </w:r>
            <w:r>
              <w:rPr>
                <w:color w:val="000000"/>
                <w:sz w:val="20"/>
              </w:rPr>
              <w:lastRenderedPageBreak/>
              <w:t>PE. Ocenjena finančna sredstva, potrebna za izgradnjo javnih kanalizacijskih omrežij, znašajo 276,4 milijonov in za izgradnjo ali rekonstrukcijo čistilnih naprav 56,3 milijonov. Skupna vrednost potrebnih sredstev je tako ocenjena na 332,7 milijonov. Operativni program prav tako vsebuje vrstni red prioritet za implementacijo ukrepov. Prvo prioriteto predstavljajo aglomeracije, ki so na podlagi preliminarne ocene skladnosti ocenjene kot neskladne s 3., 4. in 5. členom Direktive Sveta  91/271/EGS o čiščenju komunalne odpadne vode.</w:t>
            </w:r>
          </w:p>
          <w:p w14:paraId="07A73B5D" w14:textId="77777777" w:rsidR="00A77B3E" w:rsidRDefault="00B16CCF">
            <w:pPr>
              <w:spacing w:before="5pt"/>
              <w:rPr>
                <w:color w:val="000000"/>
                <w:sz w:val="20"/>
              </w:rPr>
            </w:pPr>
            <w:r>
              <w:rPr>
                <w:color w:val="000000"/>
                <w:sz w:val="20"/>
              </w:rPr>
              <w:t>B) Operativni program oskrbe s pitno vodo za obdobje od 2022 do 2027 ocenjuje potrebna finančna sredstva v višini 621,7 milijona, od česar je 486 milijona potrebnih za zmanjševanje vodnih izgub v javnih vodovodih in 58,6 milijona za izgradnjo novih javnih vodovodov.</w:t>
            </w:r>
          </w:p>
          <w:p w14:paraId="359D1EA0" w14:textId="77777777" w:rsidR="00A77B3E" w:rsidRDefault="00B16CCF">
            <w:pPr>
              <w:spacing w:before="5pt"/>
              <w:rPr>
                <w:color w:val="000000"/>
                <w:sz w:val="20"/>
              </w:rPr>
            </w:pPr>
            <w:r>
              <w:rPr>
                <w:color w:val="000000"/>
                <w:sz w:val="20"/>
              </w:rPr>
              <w:t>C) Prenos Direktive (EU) 2020/2184 v slovenski pravni red je v pristojnosti Ministrstva za zdravje, ki je bila sprejeta in objavljena v Ur.l. 17. 6. 2023.</w:t>
            </w:r>
          </w:p>
        </w:tc>
      </w:tr>
      <w:tr w:rsidR="00823317" w14:paraId="3F986C0E"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029A70"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EBA05D"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73FC49"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A23098"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2F1A46" w14:textId="77777777" w:rsidR="00A77B3E" w:rsidRDefault="00B16CCF">
            <w:pPr>
              <w:spacing w:before="5pt"/>
              <w:rPr>
                <w:color w:val="000000"/>
                <w:sz w:val="20"/>
              </w:rPr>
            </w:pPr>
            <w:r>
              <w:rPr>
                <w:color w:val="000000"/>
                <w:sz w:val="20"/>
              </w:rPr>
              <w:t>3. oceno potrebnih naložb za obnovitev obstoječe infrastrukture za odpadne vode in pitno vodo, vključno z omrežji, glede na njihovo starost in amortizacijske načrte;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0FCE5C" w14:textId="77777777" w:rsidR="00A77B3E" w:rsidRDefault="00B16CC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6CA4F1" w14:textId="77777777" w:rsidR="00A77B3E" w:rsidRDefault="00B16CCF">
            <w:pPr>
              <w:spacing w:before="5pt"/>
              <w:rPr>
                <w:color w:val="000000"/>
                <w:sz w:val="20"/>
              </w:rPr>
            </w:pPr>
            <w:r>
              <w:rPr>
                <w:color w:val="000000"/>
                <w:sz w:val="20"/>
              </w:rPr>
              <w:t xml:space="preserve">Vlada je 17. 9. 2020 sprejela Operativni program odvajanja in čiščenja komunalne odpadne vode (https://www.gov.si/novice/2020-09-17-odlocitve-32-redne-seje-vlade-republike-slovenije-s-podrocja-ministrstva-za-okolje-in-prostor), </w:t>
            </w:r>
          </w:p>
          <w:p w14:paraId="7E00A5C3" w14:textId="77777777" w:rsidR="00A77B3E" w:rsidRDefault="00B16CCF">
            <w:pPr>
              <w:spacing w:before="5pt"/>
              <w:rPr>
                <w:color w:val="000000"/>
                <w:sz w:val="20"/>
              </w:rPr>
            </w:pPr>
            <w:r>
              <w:rPr>
                <w:color w:val="000000"/>
                <w:sz w:val="20"/>
              </w:rPr>
              <w:lastRenderedPageBreak/>
              <w:t>Vlada je 21. 4. 2022 sprejela Operativni program oskrbe s pitno vodo za obdobje od 2022 do 2027</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E41F79" w14:textId="77777777" w:rsidR="00A77B3E" w:rsidRDefault="00B16CCF">
            <w:pPr>
              <w:spacing w:before="5pt"/>
              <w:rPr>
                <w:color w:val="000000"/>
                <w:sz w:val="20"/>
              </w:rPr>
            </w:pPr>
            <w:r>
              <w:rPr>
                <w:color w:val="000000"/>
                <w:sz w:val="20"/>
              </w:rPr>
              <w:lastRenderedPageBreak/>
              <w:t>Operativni program odvajanja in čiščenja komunalne odpadne vode in Operativni program oskrbe s pitno vodo za obdobje od 2022 do 2027 vsebujeta oceno dolžin kanalizacijskega in vodovodnega omrežja, ki jih je potrebno obnoviti po koncu amortizacijske dobe.</w:t>
            </w:r>
          </w:p>
        </w:tc>
      </w:tr>
      <w:tr w:rsidR="00823317" w14:paraId="73F5E8C0"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761BBE"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132CE1"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AD79F3"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2C1A52"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FA9AB9" w14:textId="77777777" w:rsidR="00A77B3E" w:rsidRDefault="00B16CCF">
            <w:pPr>
              <w:spacing w:before="5pt"/>
              <w:rPr>
                <w:color w:val="000000"/>
                <w:sz w:val="20"/>
              </w:rPr>
            </w:pPr>
            <w:r>
              <w:rPr>
                <w:color w:val="000000"/>
                <w:sz w:val="20"/>
              </w:rPr>
              <w:t xml:space="preserve">4. navedbo morebitnih virov javnega financiranja, kadar so ti potrebni za dopolnitev uporabnin. </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0E8A5D" w14:textId="77777777" w:rsidR="00A77B3E" w:rsidRDefault="00B16CC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DF05DA" w14:textId="77777777" w:rsidR="00A77B3E" w:rsidRDefault="00B16CCF">
            <w:pPr>
              <w:spacing w:before="5pt"/>
              <w:rPr>
                <w:color w:val="000000"/>
                <w:sz w:val="20"/>
              </w:rPr>
            </w:pPr>
            <w:r>
              <w:rPr>
                <w:color w:val="000000"/>
                <w:sz w:val="20"/>
              </w:rPr>
              <w:t xml:space="preserve">Vlada je 17. 9. 2020 sprejela Operativni program odvajanja in čiščenja komunalne odpadne vode (https://www.gov.si/novice/2020-09-17-odlocitve-32-redne-seje-vlade-republike-slovenije-s-podrocja-ministrstva-za-okolje-in-prostor), </w:t>
            </w:r>
          </w:p>
          <w:p w14:paraId="30F03D9C" w14:textId="77777777" w:rsidR="00A77B3E" w:rsidRDefault="00B16CCF">
            <w:pPr>
              <w:spacing w:before="5pt"/>
              <w:rPr>
                <w:color w:val="000000"/>
                <w:sz w:val="20"/>
              </w:rPr>
            </w:pPr>
            <w:r>
              <w:rPr>
                <w:color w:val="000000"/>
                <w:sz w:val="20"/>
              </w:rPr>
              <w:t>Vlada je 21. 4. 2022 sprejela Operativni program oskrbe s pitno vodo za obdobje od 2022 do 2027</w:t>
            </w:r>
          </w:p>
          <w:p w14:paraId="0B78531B" w14:textId="77777777" w:rsidR="00A77B3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18E696" w14:textId="77777777" w:rsidR="00A77B3E" w:rsidRDefault="00B16CCF">
            <w:pPr>
              <w:spacing w:before="5pt"/>
              <w:rPr>
                <w:color w:val="000000"/>
                <w:sz w:val="20"/>
              </w:rPr>
            </w:pPr>
            <w:r>
              <w:rPr>
                <w:color w:val="000000"/>
                <w:sz w:val="20"/>
              </w:rPr>
              <w:t xml:space="preserve">Operativni program odvajanja in čiščenja komunalne odpadne vode pri načrtovanih investicijah vsebuje vse potencialne vire financiranja (EU sredstva, nacionalna sredstva, občinska sredstva). </w:t>
            </w:r>
          </w:p>
          <w:p w14:paraId="3052CFAD" w14:textId="77777777" w:rsidR="00A77B3E" w:rsidRDefault="00B16CCF">
            <w:pPr>
              <w:spacing w:before="5pt"/>
              <w:rPr>
                <w:color w:val="000000"/>
                <w:sz w:val="20"/>
              </w:rPr>
            </w:pPr>
            <w:r>
              <w:rPr>
                <w:color w:val="000000"/>
                <w:sz w:val="20"/>
              </w:rPr>
              <w:t>Operativni program oskrbe s pitno vodo za obdobje od 2022 do 2027 vsebuje vse potencialne vire financiranja (EU sredstva, nacionalna sredstva, občinska sredstva). Operativni program oskrbe s pitno vodo za obdobje od 2022 do 2027 ocenjuje, da je za investicije v obnovo vodovodnih sistemov, glede na njihovo starost in amortizacijsko dobo potrebnih 456 milijonov.</w:t>
            </w:r>
          </w:p>
        </w:tc>
      </w:tr>
      <w:tr w:rsidR="00823317" w14:paraId="4DE22178"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EF03D6" w14:textId="77777777" w:rsidR="00A77B3E" w:rsidRDefault="00B16CCF">
            <w:pPr>
              <w:spacing w:before="5pt"/>
              <w:rPr>
                <w:color w:val="000000"/>
                <w:sz w:val="20"/>
              </w:rPr>
            </w:pPr>
            <w:r>
              <w:rPr>
                <w:color w:val="000000"/>
                <w:sz w:val="20"/>
              </w:rPr>
              <w:t>2.6. Posodobljeno načrtovanje ravnanja z odpadki</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730CC5" w14:textId="77777777" w:rsidR="00A77B3E" w:rsidRDefault="00A77B3E">
            <w:pPr>
              <w:spacing w:before="5pt"/>
              <w:rPr>
                <w:color w:val="000000"/>
                <w:sz w:val="20"/>
              </w:rPr>
            </w:pPr>
          </w:p>
          <w:p w14:paraId="67BDCE36" w14:textId="77777777" w:rsidR="00A77B3E" w:rsidRDefault="00B16CCF">
            <w:pPr>
              <w:spacing w:before="5pt"/>
              <w:rPr>
                <w:color w:val="000000"/>
                <w:sz w:val="20"/>
                <w:szCs w:val="20"/>
              </w:rPr>
            </w:pPr>
            <w:r>
              <w:rPr>
                <w:color w:val="000000"/>
                <w:sz w:val="20"/>
                <w:szCs w:val="20"/>
              </w:rPr>
              <w:t>ESRR</w:t>
            </w:r>
          </w:p>
          <w:p w14:paraId="779CD5FD"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CA4C16" w14:textId="77777777" w:rsidR="00A77B3E" w:rsidRDefault="00A77B3E">
            <w:pPr>
              <w:spacing w:before="5pt"/>
              <w:rPr>
                <w:color w:val="000000"/>
                <w:sz w:val="20"/>
              </w:rPr>
            </w:pPr>
          </w:p>
          <w:p w14:paraId="29D5C787" w14:textId="77777777" w:rsidR="00A77B3E" w:rsidRDefault="00B16CCF">
            <w:pPr>
              <w:spacing w:before="5pt"/>
              <w:rPr>
                <w:color w:val="000000"/>
                <w:sz w:val="20"/>
                <w:szCs w:val="20"/>
              </w:rPr>
            </w:pPr>
            <w:r>
              <w:rPr>
                <w:color w:val="000000"/>
                <w:sz w:val="20"/>
                <w:szCs w:val="20"/>
              </w:rPr>
              <w:t>RSO2.6. Spodbujanje prehoda na krožno gospodarstvo, gospodarno z viri</w:t>
            </w:r>
          </w:p>
          <w:p w14:paraId="0954503A" w14:textId="77777777" w:rsidR="00A77B3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966DCE" w14:textId="77777777" w:rsidR="00A77B3E" w:rsidRDefault="00B16CCF">
            <w:pPr>
              <w:spacing w:before="5pt"/>
              <w:jc w:val="center"/>
              <w:rPr>
                <w:color w:val="000000"/>
                <w:sz w:val="20"/>
              </w:rPr>
            </w:pPr>
            <w:r>
              <w:rPr>
                <w:color w:val="000000"/>
                <w:sz w:val="20"/>
              </w:rPr>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FF3C2B" w14:textId="77777777" w:rsidR="00A77B3E" w:rsidRDefault="00B16CCF">
            <w:pPr>
              <w:spacing w:before="5pt"/>
              <w:rPr>
                <w:color w:val="000000"/>
                <w:sz w:val="20"/>
              </w:rPr>
            </w:pPr>
            <w:r>
              <w:rPr>
                <w:color w:val="000000"/>
                <w:sz w:val="20"/>
              </w:rPr>
              <w:t xml:space="preserve">Vzpostavljen je eden ali več načrtov ravnanja z odpadki iz člena 28 Direktive 2008/98/ES Evropskega parlamenta in Sveta, ki zajemajo celotno ozemlje države članice in vključujejo:1. analizo trenutnega stanja pri ravnanju z odpadki v zadevni geografski entiteti, vključno z vrsto, količino in izvorom proizvedenih odpadkov, ter oceno njihovega nadaljnjega razvoja ob upoštevanju pričakovanih učinkov ukrepov programov preprečevanja nastajanja odpadkov, </w:t>
            </w:r>
            <w:r>
              <w:rPr>
                <w:color w:val="000000"/>
                <w:sz w:val="20"/>
              </w:rPr>
              <w:lastRenderedPageBreak/>
              <w:t>pripravljenih v skladu s členom 29 Direktive 2008/98/ES;</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B430A3" w14:textId="77777777" w:rsidR="00A77B3E" w:rsidRDefault="00B16CCF">
            <w:pPr>
              <w:spacing w:before="5pt"/>
              <w:jc w:val="center"/>
              <w:rPr>
                <w:color w:val="000000"/>
                <w:sz w:val="20"/>
              </w:rPr>
            </w:pPr>
            <w:r>
              <w:rPr>
                <w:color w:val="000000"/>
                <w:sz w:val="20"/>
              </w:rPr>
              <w:lastRenderedPageBreak/>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BAC716" w14:textId="77777777" w:rsidR="00A77B3E" w:rsidRDefault="00B16CCF">
            <w:pPr>
              <w:spacing w:before="5pt"/>
              <w:rPr>
                <w:color w:val="000000"/>
                <w:sz w:val="20"/>
              </w:rPr>
            </w:pPr>
            <w:r>
              <w:rPr>
                <w:color w:val="000000"/>
                <w:sz w:val="20"/>
              </w:rPr>
              <w:t>Vlada je 28. 4. 2022 s sklepom 35401-2/2022/5 sprejela Program ravnanja z odpadki in program preprečevanja odpadkov Republike Slovenije (2022): https://www.gov.si/assets/ministrstva/MOP/Operativni-programi/op_odpadki_2022.pdf</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748A14" w14:textId="77777777" w:rsidR="00A77B3E" w:rsidRDefault="00B16CCF">
            <w:pPr>
              <w:spacing w:before="5pt"/>
              <w:rPr>
                <w:color w:val="000000"/>
                <w:sz w:val="20"/>
              </w:rPr>
            </w:pPr>
            <w:r>
              <w:rPr>
                <w:color w:val="000000"/>
                <w:sz w:val="20"/>
              </w:rPr>
              <w:t>Program ravnanja z odpadki in program preprečevanja odpadkov Republike Slovenije, ki je bil predložen v presojo JASPERS vsebuje analizo sestave mešanih komunalnih odpadkov, na podlagi katere je bila pripravljena nacionalna ocena sestave komunalnih odpadkov in recikliranja pri primarni kategoriji.</w:t>
            </w:r>
          </w:p>
        </w:tc>
      </w:tr>
      <w:tr w:rsidR="00823317" w14:paraId="4A165261"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2ACA56"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A14BF7"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EC0CFC"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BAF99C"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06BC40" w14:textId="77777777" w:rsidR="00A77B3E" w:rsidRDefault="00B16CCF">
            <w:pPr>
              <w:spacing w:before="5pt"/>
              <w:rPr>
                <w:color w:val="000000"/>
                <w:sz w:val="20"/>
              </w:rPr>
            </w:pPr>
            <w:r>
              <w:rPr>
                <w:color w:val="000000"/>
                <w:sz w:val="20"/>
              </w:rPr>
              <w:t>2. oceno obstoječih sistemov zbiranja odpadkov, vključno z materialno in ozemeljsko pokritostjo ločenega zbiranja odpadkov in ukrepi za izboljšanje njegovega delovanja, ter potrebo po novih sistemih zbiranja;</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70B046" w14:textId="77777777" w:rsidR="00A77B3E" w:rsidRDefault="00B16CC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276325" w14:textId="77777777" w:rsidR="00A77B3E" w:rsidRDefault="00B16CCF">
            <w:pPr>
              <w:spacing w:before="5pt"/>
              <w:rPr>
                <w:color w:val="000000"/>
                <w:sz w:val="20"/>
              </w:rPr>
            </w:pPr>
            <w:r>
              <w:rPr>
                <w:color w:val="000000"/>
                <w:sz w:val="20"/>
              </w:rPr>
              <w:t>Vlada je 28. 4. 2022 s sklepom 35401-2/2022/5 sprejela Program ravnanja z odpadki in program preprečevanja odpadkov Republike Slovenije (2022): https://www.gov.si/assets/ministrstva/MOP/Operativni-programi/op_odpadki_2022.pdf</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1343A1" w14:textId="77777777" w:rsidR="00A77B3E" w:rsidRDefault="00B16CCF">
            <w:pPr>
              <w:spacing w:before="5pt"/>
              <w:rPr>
                <w:color w:val="000000"/>
                <w:sz w:val="20"/>
              </w:rPr>
            </w:pPr>
            <w:r>
              <w:rPr>
                <w:color w:val="000000"/>
                <w:sz w:val="20"/>
              </w:rPr>
              <w:t xml:space="preserve">Program, ki vsebuje analizo učinkovitosti ravnanja s komunalnimi in drugimi odpadki na podlagi referenčnega leta 2018 ter scenarije možnega razvoja za prihodnjih 20, je bil predložen v pregled JASPERS. </w:t>
            </w:r>
          </w:p>
        </w:tc>
      </w:tr>
      <w:tr w:rsidR="00823317" w14:paraId="7A56AD47"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632A61"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5DAE98"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FFD184"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1575B2"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50DEBE" w14:textId="77777777" w:rsidR="00A77B3E" w:rsidRDefault="00B16CCF">
            <w:pPr>
              <w:spacing w:before="5pt"/>
              <w:rPr>
                <w:color w:val="000000"/>
                <w:sz w:val="20"/>
              </w:rPr>
            </w:pPr>
            <w:r>
              <w:rPr>
                <w:color w:val="000000"/>
                <w:sz w:val="20"/>
              </w:rPr>
              <w:t>3. oceno naložbene vrzeli, ki utemeljuje potrebo po zaprtju obstoječih obratov za obdelavo odpadkov in dodatni ali nadgrajeni infrastrukturi za ravnanje z odpadki, z informacijami o razpoložljivih virih prihodkov za kritje stroškov delovanja in vzdrževanja;</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7DF7E3" w14:textId="77777777" w:rsidR="00A77B3E" w:rsidRDefault="00B16CC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9BA9A4" w14:textId="77777777" w:rsidR="00A77B3E" w:rsidRDefault="00B16CCF">
            <w:pPr>
              <w:spacing w:before="5pt"/>
              <w:rPr>
                <w:color w:val="000000"/>
                <w:sz w:val="20"/>
              </w:rPr>
            </w:pPr>
            <w:r>
              <w:rPr>
                <w:color w:val="000000"/>
                <w:sz w:val="20"/>
              </w:rPr>
              <w:t>Vlada je 28. 4. 2022 s sklepom 35401-2/2022/5 sprejela Program ravnanja z odpadki in program preprečevanja odpadkov Republike Slovenije (2022): https://www.gov.si/assets/ministrstva/MOP/Operativni-programi/op_odpadki_2022.pdf</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C7BAD1" w14:textId="77777777" w:rsidR="00A77B3E" w:rsidRDefault="00B16CCF">
            <w:pPr>
              <w:spacing w:before="5pt"/>
              <w:rPr>
                <w:color w:val="000000"/>
                <w:sz w:val="20"/>
              </w:rPr>
            </w:pPr>
            <w:r>
              <w:rPr>
                <w:color w:val="000000"/>
                <w:sz w:val="20"/>
              </w:rPr>
              <w:t>Program, ki vsebuje pregled obstoječe in načrtovane nadgradnje infrastrukture, je bil predložen v pregled JASPERS. Zapiranje obstoječih obratov (v primeru Republike Slovenije odlagališč) ureja zakonodaja na področju odlagališč odpadkov, ki vključuje tudi obveznost upravljalca, da zagotovi finančno jamstvo za izvajanje ukrepov, določenih z okoljevarstvenim dovoljenjem, za čas obratovanja odlagališča in po zaprtju odlagališča.</w:t>
            </w:r>
          </w:p>
        </w:tc>
      </w:tr>
      <w:tr w:rsidR="00823317" w14:paraId="4ECCFEB6"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427653"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C23FF9"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1CE390"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52D652"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F4B472" w14:textId="77777777" w:rsidR="00A77B3E" w:rsidRDefault="00B16CCF">
            <w:pPr>
              <w:spacing w:before="5pt"/>
              <w:rPr>
                <w:color w:val="000000"/>
                <w:sz w:val="20"/>
              </w:rPr>
            </w:pPr>
            <w:r>
              <w:rPr>
                <w:color w:val="000000"/>
                <w:sz w:val="20"/>
              </w:rPr>
              <w:t>4. informacije o lokacijskih merilih o tem, kako bo opredeljena prihodnja določitev lokacije območij, in o zmogljivosti prihodnjih obratov za obdelavo odpadkov.</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BB5D25" w14:textId="77777777" w:rsidR="00A77B3E" w:rsidRDefault="00B16CC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F12536" w14:textId="77777777" w:rsidR="00A77B3E" w:rsidRDefault="00B16CCF">
            <w:pPr>
              <w:spacing w:before="5pt"/>
              <w:rPr>
                <w:color w:val="000000"/>
                <w:sz w:val="20"/>
              </w:rPr>
            </w:pPr>
            <w:r>
              <w:rPr>
                <w:color w:val="000000"/>
                <w:sz w:val="20"/>
              </w:rPr>
              <w:t>Vlada je 28. 4. 2022 s sklepom 35401-2/2022/5 sprejela Program ravnanja z odpadki in program preprečevanja odpadkov Republike Slovenije (2022): https://www.gov.si/assets/ministrstva/MOP/Operativni-programi/op_odpadki_2022.pdf</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2D817A" w14:textId="77777777" w:rsidR="00A77B3E" w:rsidRDefault="00B16CCF">
            <w:pPr>
              <w:spacing w:before="5pt"/>
              <w:rPr>
                <w:color w:val="000000"/>
                <w:sz w:val="20"/>
              </w:rPr>
            </w:pPr>
            <w:r>
              <w:rPr>
                <w:color w:val="000000"/>
                <w:sz w:val="20"/>
              </w:rPr>
              <w:t xml:space="preserve">Program vsebuje informacije o lokacijskih merilih, zlasti dostopnost ustrezne prometne infrastrukture in možnost vključitve v obstoječe sisteme daljinskega ogrevanja, kjer naprave kot vir toplote nadomestijo naprave, ki uporabljajo fosilna goriva. V Programu je tudi jasno opredeljena kapaciteta z izkazanim deficitom zmogljivosti tovrstnih naprav (140.000 t letno) ob doseženih ciljih recikliranja skladno z direktivo EU 2008/98 in izpolnjevanju pogojev (dejavnikov), ki jih pri oceni potreb zmogljivosti za pridobivanje </w:t>
            </w:r>
            <w:r>
              <w:rPr>
                <w:color w:val="000000"/>
                <w:sz w:val="20"/>
              </w:rPr>
              <w:lastRenderedPageBreak/>
              <w:t xml:space="preserve">energije iz odpadkov navaja dokument Komisije COM(2017) 34 final. </w:t>
            </w:r>
          </w:p>
        </w:tc>
      </w:tr>
      <w:tr w:rsidR="00823317" w14:paraId="5AF76D17"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545A58" w14:textId="77777777" w:rsidR="00A77B3E" w:rsidRDefault="00B16CCF">
            <w:pPr>
              <w:spacing w:before="5pt"/>
              <w:rPr>
                <w:color w:val="000000"/>
                <w:sz w:val="20"/>
              </w:rPr>
            </w:pPr>
            <w:r>
              <w:rPr>
                <w:color w:val="000000"/>
                <w:sz w:val="20"/>
              </w:rPr>
              <w:lastRenderedPageBreak/>
              <w:t>2.7. Prednostni okvir ukrepanja za potrebne ohranitvene ukrepe, ki vključujejo sofinanciranje Unije</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1AADB9" w14:textId="77777777" w:rsidR="00A77B3E" w:rsidRDefault="00A77B3E">
            <w:pPr>
              <w:spacing w:before="5pt"/>
              <w:rPr>
                <w:color w:val="000000"/>
                <w:sz w:val="20"/>
              </w:rPr>
            </w:pPr>
          </w:p>
          <w:p w14:paraId="2E875E30" w14:textId="77777777" w:rsidR="00A77B3E" w:rsidRDefault="00B16CCF">
            <w:pPr>
              <w:spacing w:before="5pt"/>
              <w:rPr>
                <w:color w:val="000000"/>
                <w:sz w:val="20"/>
                <w:szCs w:val="20"/>
              </w:rPr>
            </w:pPr>
            <w:r>
              <w:rPr>
                <w:color w:val="000000"/>
                <w:sz w:val="20"/>
                <w:szCs w:val="20"/>
              </w:rPr>
              <w:t>ESRR</w:t>
            </w:r>
            <w:r>
              <w:rPr>
                <w:color w:val="000000"/>
                <w:sz w:val="20"/>
                <w:szCs w:val="20"/>
              </w:rPr>
              <w:br/>
              <w:t>Kohezijski sklad</w:t>
            </w:r>
          </w:p>
          <w:p w14:paraId="1A3511F6"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FEB887" w14:textId="77777777" w:rsidR="00A77B3E" w:rsidRDefault="00A77B3E">
            <w:pPr>
              <w:spacing w:before="5pt"/>
              <w:rPr>
                <w:color w:val="000000"/>
                <w:sz w:val="20"/>
              </w:rPr>
            </w:pPr>
          </w:p>
          <w:p w14:paraId="46F9C253" w14:textId="77777777" w:rsidR="00A77B3E" w:rsidRDefault="00B16CCF">
            <w:pPr>
              <w:spacing w:before="5pt"/>
              <w:rPr>
                <w:color w:val="000000"/>
                <w:sz w:val="20"/>
                <w:szCs w:val="20"/>
              </w:rPr>
            </w:pPr>
            <w:r>
              <w:rPr>
                <w:color w:val="000000"/>
                <w:sz w:val="20"/>
                <w:szCs w:val="20"/>
              </w:rPr>
              <w:t>RSO2.7. Izboljšanje varstva in ohranjanja narave ter biotske raznovrstnosti in zelene infrastrukture, tudi v mestnem okolju, in zmanjšanje vseh oblik onesnaževanja</w:t>
            </w:r>
          </w:p>
          <w:p w14:paraId="76A0B53B" w14:textId="77777777" w:rsidR="00A77B3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557DE4" w14:textId="77777777" w:rsidR="00A77B3E" w:rsidRDefault="00B16CCF">
            <w:pPr>
              <w:spacing w:before="5pt"/>
              <w:jc w:val="center"/>
              <w:rPr>
                <w:color w:val="000000"/>
                <w:sz w:val="20"/>
              </w:rPr>
            </w:pPr>
            <w:r>
              <w:rPr>
                <w:color w:val="000000"/>
                <w:sz w:val="20"/>
              </w:rPr>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CB4536" w14:textId="77777777" w:rsidR="00A77B3E" w:rsidRDefault="00B16CCF">
            <w:pPr>
              <w:spacing w:before="5pt"/>
              <w:rPr>
                <w:color w:val="000000"/>
                <w:sz w:val="20"/>
              </w:rPr>
            </w:pPr>
            <w:r>
              <w:rPr>
                <w:color w:val="000000"/>
                <w:sz w:val="20"/>
              </w:rPr>
              <w:t>Za ukrepe, ki podpirajo ukrepe za ohranjanje narave v povezavi z območji Natura 2000 v okviru področja uporabe Direktive Sveta 92/43/EGS:je vzpostavljen okvir prednostnih ukrepov v skladu s členom 8 Direktive 92/43/EGS, ki vključuje vse elemente, zahtevane v predlogi za okvir prednostnih ukrepov za obdobje 2021–2027, o kateri so se dogovorile Evropska komisija in države članice, vključno z opredelitvijo prednostnih ukrepov in oceno potreb po financiranju.</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2AD0A2" w14:textId="77777777" w:rsidR="00A77B3E" w:rsidRDefault="00B16CC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928A2E" w14:textId="77777777" w:rsidR="00A77B3E" w:rsidRDefault="00B16CCF">
            <w:pPr>
              <w:spacing w:before="5pt"/>
              <w:rPr>
                <w:color w:val="000000"/>
                <w:sz w:val="20"/>
              </w:rPr>
            </w:pPr>
            <w:r>
              <w:rPr>
                <w:color w:val="000000"/>
                <w:sz w:val="20"/>
              </w:rPr>
              <w:t xml:space="preserve">Prednostni okvir ukrepanja za Slovenijo (Prioritised action framework - PAF): dopolnjena verzija je bila januarja 2021 posredovana Evropski komisiji (http://www.natura2000.si/fileadmin/user_upload/Dokumenti/LIFE_IP_NATURA_SI/Rezultati/C.3.4_IP_PAF_Slovenia_2021-2027_finalV2.pdf). </w:t>
            </w:r>
          </w:p>
          <w:p w14:paraId="3ACBD5F3" w14:textId="77777777" w:rsidR="00A77B3E" w:rsidRDefault="00B16CCF">
            <w:pPr>
              <w:spacing w:before="5pt"/>
              <w:rPr>
                <w:color w:val="000000"/>
                <w:sz w:val="20"/>
              </w:rPr>
            </w:pPr>
            <w:r>
              <w:rPr>
                <w:color w:val="000000"/>
                <w:sz w:val="20"/>
              </w:rPr>
              <w:t xml:space="preserve">Podrobnejši cilji in ukrepi bodo opredeljeni v Programu upravljanja območij NATURA 2000 za obdobje 2022-2028 (PUN): aktivnosti priprave PUN potekajo v okviru integralnega LIFE projekta Natura.si. </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DB9532" w14:textId="77777777" w:rsidR="00A77B3E" w:rsidRDefault="00B16CCF">
            <w:pPr>
              <w:spacing w:before="5pt"/>
              <w:rPr>
                <w:color w:val="000000"/>
                <w:sz w:val="20"/>
              </w:rPr>
            </w:pPr>
            <w:r>
              <w:rPr>
                <w:color w:val="000000"/>
                <w:sz w:val="20"/>
              </w:rPr>
              <w:t>Vsi zahtevani elementi predloge PAF so upoštevani v predlogu, posredovanem Evropski komisiji. Vsebinska poglavja PAF, posredovanega Evropski komisiji, vsebujejo povzetke opredelitev prednostnih ukrepov s predvideno finančno oceno in potencialnimi viri financiranja. Seznam prednostnih projektov bo pripravljen s potrditvijo Programa upravljanja Natura 2000 na Vladi RS (do konca leta 2022).</w:t>
            </w:r>
          </w:p>
        </w:tc>
      </w:tr>
      <w:tr w:rsidR="00823317" w14:paraId="06EE08B6"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20E199" w14:textId="77777777" w:rsidR="00A77B3E" w:rsidRDefault="00B16CCF">
            <w:pPr>
              <w:spacing w:before="5pt"/>
              <w:rPr>
                <w:color w:val="000000"/>
                <w:sz w:val="20"/>
              </w:rPr>
            </w:pPr>
            <w:r>
              <w:rPr>
                <w:color w:val="000000"/>
                <w:sz w:val="20"/>
              </w:rPr>
              <w:t>3.1. Celovito načrtovanje prometa na ustrezni ravni</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7B870B" w14:textId="77777777" w:rsidR="00A77B3E" w:rsidRDefault="00A77B3E">
            <w:pPr>
              <w:spacing w:before="5pt"/>
              <w:rPr>
                <w:color w:val="000000"/>
                <w:sz w:val="20"/>
              </w:rPr>
            </w:pPr>
          </w:p>
          <w:p w14:paraId="2EF89062" w14:textId="77777777" w:rsidR="00A77B3E" w:rsidRDefault="00B16CCF">
            <w:pPr>
              <w:spacing w:before="5pt"/>
              <w:rPr>
                <w:color w:val="000000"/>
                <w:sz w:val="20"/>
                <w:szCs w:val="20"/>
              </w:rPr>
            </w:pPr>
            <w:r>
              <w:rPr>
                <w:color w:val="000000"/>
                <w:sz w:val="20"/>
                <w:szCs w:val="20"/>
              </w:rPr>
              <w:t>Kohezijski sklad</w:t>
            </w:r>
            <w:r>
              <w:rPr>
                <w:color w:val="000000"/>
                <w:sz w:val="20"/>
                <w:szCs w:val="20"/>
              </w:rPr>
              <w:br/>
              <w:t>ESRR</w:t>
            </w:r>
          </w:p>
          <w:p w14:paraId="10C7BBD9"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7E28CE" w14:textId="77777777" w:rsidR="00A77B3E" w:rsidRDefault="00A77B3E">
            <w:pPr>
              <w:spacing w:before="5pt"/>
              <w:rPr>
                <w:color w:val="000000"/>
                <w:sz w:val="20"/>
              </w:rPr>
            </w:pPr>
          </w:p>
          <w:p w14:paraId="57F050C9" w14:textId="77777777" w:rsidR="00A77B3E" w:rsidRDefault="00B16CCF">
            <w:pPr>
              <w:spacing w:before="5pt"/>
              <w:rPr>
                <w:color w:val="000000"/>
                <w:sz w:val="20"/>
                <w:szCs w:val="20"/>
              </w:rPr>
            </w:pPr>
            <w:r>
              <w:rPr>
                <w:color w:val="000000"/>
                <w:sz w:val="20"/>
                <w:szCs w:val="20"/>
              </w:rPr>
              <w:t>RSO3.1. Razvoj pametnega, varnega, trajnostnega in intermodalnega omrežja TEN-T, odpornega proti podnebnim spremembam</w:t>
            </w:r>
            <w:r>
              <w:rPr>
                <w:color w:val="000000"/>
                <w:sz w:val="20"/>
                <w:szCs w:val="20"/>
              </w:rPr>
              <w:br/>
              <w:t xml:space="preserve">RSO3.2. Razvoj in krepitev trajnostne, pametne in intermodalne nacionalne, regionalne in </w:t>
            </w:r>
            <w:r>
              <w:rPr>
                <w:color w:val="000000"/>
                <w:sz w:val="20"/>
                <w:szCs w:val="20"/>
              </w:rPr>
              <w:lastRenderedPageBreak/>
              <w:t>lokalne mobilnosti, odporne proti podnebnim spremembam, vključno z boljšim dostopom do omrežja TEN-T in čezmejno mobilnostjo</w:t>
            </w:r>
          </w:p>
          <w:p w14:paraId="395802B7" w14:textId="77777777" w:rsidR="00A77B3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6CFC34" w14:textId="77777777" w:rsidR="00A77B3E" w:rsidRDefault="00B16CCF">
            <w:pPr>
              <w:spacing w:before="5pt"/>
              <w:jc w:val="center"/>
              <w:rPr>
                <w:color w:val="000000"/>
                <w:sz w:val="20"/>
              </w:rPr>
            </w:pPr>
            <w:r>
              <w:rPr>
                <w:color w:val="000000"/>
                <w:sz w:val="20"/>
              </w:rPr>
              <w:lastRenderedPageBreak/>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140292" w14:textId="77777777" w:rsidR="00A77B3E" w:rsidRDefault="00B16CCF">
            <w:pPr>
              <w:spacing w:before="5pt"/>
              <w:rPr>
                <w:color w:val="000000"/>
                <w:sz w:val="20"/>
              </w:rPr>
            </w:pPr>
            <w:r>
              <w:rPr>
                <w:color w:val="000000"/>
                <w:sz w:val="20"/>
              </w:rPr>
              <w:t>Vzpostavljeno je večmodalno kartiranje obstoječe in načrtovane infrastrukture, razen na lokalni ravni, do leta 2030, ki:1. vključuje ekonomsko oceno načrtovanih naložb, temelječo na analizi povpraševanja in modeliranju prometa, pri čemer bi bilo treba upoštevati pričakovan vpliv odprtja trgov storitev železniškega prevoza,</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B39745" w14:textId="77777777" w:rsidR="00A77B3E" w:rsidRDefault="00B16CC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BF1D96" w14:textId="77777777" w:rsidR="00A77B3E" w:rsidRDefault="00B16CCF">
            <w:pPr>
              <w:spacing w:before="5pt"/>
              <w:rPr>
                <w:color w:val="000000"/>
                <w:sz w:val="20"/>
              </w:rPr>
            </w:pPr>
            <w:r>
              <w:rPr>
                <w:color w:val="000000"/>
                <w:sz w:val="20"/>
              </w:rPr>
              <w:t xml:space="preserve">Strategija razvoja prometa Republike Slovenije (https://www.gov.si/assets/ministrstva/MzI/Dokumenti/Strategija-razvoja-prometa-v-Republiki-Sloveniji-do-leta-2030.pdf), </w:t>
            </w:r>
          </w:p>
          <w:p w14:paraId="4CDEF66F" w14:textId="77777777" w:rsidR="00A77B3E" w:rsidRDefault="00B16CCF">
            <w:pPr>
              <w:spacing w:before="5pt"/>
              <w:rPr>
                <w:color w:val="000000"/>
                <w:sz w:val="20"/>
              </w:rPr>
            </w:pPr>
            <w:r>
              <w:rPr>
                <w:color w:val="000000"/>
                <w:sz w:val="20"/>
              </w:rPr>
              <w:t xml:space="preserve">Resolucija o nacionalnem programu razvoja prometa v Republiki Sloveniji za obdobje do leta 2030 (ReNPRP30), </w:t>
            </w:r>
          </w:p>
          <w:p w14:paraId="20A0CC3B" w14:textId="77777777" w:rsidR="00A77B3E" w:rsidRDefault="00B16CCF">
            <w:pPr>
              <w:spacing w:before="5pt"/>
              <w:rPr>
                <w:color w:val="000000"/>
                <w:sz w:val="20"/>
              </w:rPr>
            </w:pPr>
            <w:r>
              <w:rPr>
                <w:color w:val="000000"/>
                <w:sz w:val="20"/>
              </w:rPr>
              <w:t>Resolucija o spremembah in dopolnitvah Resolucije o nacionalnem programu razvoja prometa v Republiki Sloveniji za obdobje do leta 2030 (ReNPRP30-A)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C7A6FC" w14:textId="77777777" w:rsidR="00A77B3E" w:rsidRDefault="00B16CCF">
            <w:pPr>
              <w:spacing w:before="5pt"/>
              <w:rPr>
                <w:color w:val="000000"/>
                <w:sz w:val="20"/>
              </w:rPr>
            </w:pPr>
            <w:r>
              <w:rPr>
                <w:color w:val="000000"/>
                <w:sz w:val="20"/>
              </w:rPr>
              <w:t xml:space="preserve">Pri Strategiji razvoja prometa smo izkoristili zmogljivosti obstoječe prometne infrastrukture z rešitvami, ki ne zahtevajo velikih finančnih vložkov (sistemi upravljanja prometa, uvedba inteligentnih prometnih sistemov, manjše investicije). Kjer to ne daje zadovoljivih rezultatov, smo se osredotočili na večje naložbe. V teh primerih smo (z uporabo transportnega modela) projekte oblikovali po ustreznem postopku pri izdelavi študij o upravičenosti, pri čemer se ocenijo tudi možne alternative. Upošteva se tudi okoljska, prostorska in družbena sprejemljivost. Izbira projekta mora biti utemeljena z analizo stroškov in koristi (CBA). </w:t>
            </w:r>
          </w:p>
          <w:p w14:paraId="2D5DEA30" w14:textId="77777777" w:rsidR="00A77B3E" w:rsidRDefault="00B16CCF">
            <w:pPr>
              <w:spacing w:before="5pt"/>
              <w:rPr>
                <w:color w:val="000000"/>
                <w:sz w:val="20"/>
              </w:rPr>
            </w:pPr>
            <w:r>
              <w:rPr>
                <w:color w:val="000000"/>
                <w:sz w:val="20"/>
              </w:rPr>
              <w:lastRenderedPageBreak/>
              <w:t>V letu 2022 MZI pripravlja revizijo in posodobitev že potrjene Strategije razvoja prometa RS, ki bo upoštevala tudi cilje, določene z NEPN, Evropski zeleni dogovor, Strategijo trajnostne in pametne mobilnosti ter druge strateške dokumente. Pripravljen bo osnutek in pridobljeno mnenje o potrebi po izvedbi celovite presoje vplivov na okolje. Slovenija je že vzpostavila enotno evropsko železniško območje in odprla domače potniške storitve. Naslednje posodobitve bodo upoštevale tudi posledice pandemije Covid-19.</w:t>
            </w:r>
          </w:p>
        </w:tc>
      </w:tr>
      <w:tr w:rsidR="00823317" w14:paraId="0E3A49C5"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D0D65A"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BC294B"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88D99E"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116527"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627297" w14:textId="77777777" w:rsidR="00A77B3E" w:rsidRDefault="00B16CCF">
            <w:pPr>
              <w:spacing w:before="5pt"/>
              <w:rPr>
                <w:color w:val="000000"/>
                <w:sz w:val="20"/>
              </w:rPr>
            </w:pPr>
            <w:r>
              <w:rPr>
                <w:color w:val="000000"/>
                <w:sz w:val="20"/>
              </w:rPr>
              <w:t>2. je skladno z elementi celovitega nacionalnega energetskega in podnebnega načrta, ki se nanašajo na promet,</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D2FA92" w14:textId="77777777" w:rsidR="00A77B3E" w:rsidRDefault="00B16CC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E3AC92" w14:textId="77777777" w:rsidR="00A77B3E" w:rsidRDefault="00B16CCF">
            <w:pPr>
              <w:spacing w:before="5pt"/>
              <w:rPr>
                <w:color w:val="000000"/>
                <w:sz w:val="20"/>
              </w:rPr>
            </w:pPr>
            <w:r>
              <w:rPr>
                <w:color w:val="000000"/>
                <w:sz w:val="20"/>
              </w:rPr>
              <w:t>Celoviti nacionalni energetski in podnebni načrt (https://www.energetika-portal.si/fileadmin/dokumenti/publikacije/nepn/dokumenti/nepn_5.0_final_feb-2020.pdf)</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604EB6" w14:textId="77777777" w:rsidR="00A77B3E" w:rsidRDefault="00B16CCF">
            <w:pPr>
              <w:spacing w:before="5pt"/>
              <w:rPr>
                <w:color w:val="000000"/>
                <w:sz w:val="20"/>
              </w:rPr>
            </w:pPr>
            <w:r>
              <w:rPr>
                <w:color w:val="000000"/>
                <w:sz w:val="20"/>
              </w:rPr>
              <w:t xml:space="preserve">Celoviti nacionalni energetski in podnebni načrt Republike Slovenije (NEPN) zagotavlja pregled nad obstoječim stanjem energetskega sistema in politike ter določa nacionalne cilje za vsako od petih razsežnosti energetske unije ter ustrezne politike in ukrepe za izpolnitev teh ciljev. V njem je posebna pozornost posvečena ciljem za leto 2030 za zmanjšanje emisij toplogrednih plinov, energijo iz obnovljivih virov, energijsko učinkovitost in elektroenergetsko medsebojno povezanost. </w:t>
            </w:r>
          </w:p>
          <w:p w14:paraId="43B83E49" w14:textId="77777777" w:rsidR="00A77B3E" w:rsidRDefault="00B16CCF">
            <w:pPr>
              <w:spacing w:before="5pt"/>
              <w:rPr>
                <w:color w:val="000000"/>
                <w:sz w:val="20"/>
              </w:rPr>
            </w:pPr>
            <w:r>
              <w:rPr>
                <w:color w:val="000000"/>
                <w:sz w:val="20"/>
              </w:rPr>
              <w:t xml:space="preserve">V letu 2022 bo izvedena revizija in pripravljen predlog posodobitve Strategije razvoja prometa Republike Slovenije, ki bo upoštevala med drugim tudi cilje, določene s Celovitim nacionalnim energetskim in podnebnim načrtom Republike Slovenije (NEPN) ter tudi Evropski zeleni dogovor, </w:t>
            </w:r>
            <w:r>
              <w:rPr>
                <w:color w:val="000000"/>
                <w:sz w:val="20"/>
              </w:rPr>
              <w:lastRenderedPageBreak/>
              <w:t>Strategijo trajnostne in pametne mobilnosti ter druge nacionalne in evropske strateške dokumente.</w:t>
            </w:r>
          </w:p>
        </w:tc>
      </w:tr>
      <w:tr w:rsidR="00823317" w14:paraId="257A4119"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2CCD7A"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D3A306"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2217FC"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FF13A9"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A2108F" w14:textId="77777777" w:rsidR="00A77B3E" w:rsidRDefault="00B16CCF">
            <w:pPr>
              <w:spacing w:before="5pt"/>
              <w:rPr>
                <w:color w:val="000000"/>
                <w:sz w:val="20"/>
              </w:rPr>
            </w:pPr>
            <w:r>
              <w:rPr>
                <w:color w:val="000000"/>
                <w:sz w:val="20"/>
              </w:rPr>
              <w:t>3. vključuje naložbe v koridorje jedrnega omrežja TEN-T, kot so opredeljene v uredbi o IPE , v skladu z zadevnimi delovnimi načrti koridorjev jedrnega omrežja TEN-T,</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6239CE" w14:textId="77777777" w:rsidR="00A77B3E" w:rsidRDefault="00B16CC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507757" w14:textId="77777777" w:rsidR="00A77B3E" w:rsidRDefault="00B16CCF">
            <w:pPr>
              <w:spacing w:before="5pt"/>
              <w:rPr>
                <w:color w:val="000000"/>
                <w:sz w:val="20"/>
              </w:rPr>
            </w:pPr>
            <w:r>
              <w:rPr>
                <w:color w:val="000000"/>
                <w:sz w:val="20"/>
              </w:rPr>
              <w:t xml:space="preserve">Strategija razvoja prometa Republike Slovenije (https://www.gov.si/assets/ministrstva/MzI/Dokumenti/Strategija-razvoja-prometa-v-Republiki-Sloveniji-do-leta-2030.pdf), </w:t>
            </w:r>
          </w:p>
          <w:p w14:paraId="52FF26D6" w14:textId="77777777" w:rsidR="00A77B3E" w:rsidRDefault="00B16CCF">
            <w:pPr>
              <w:spacing w:before="5pt"/>
              <w:rPr>
                <w:color w:val="000000"/>
                <w:sz w:val="20"/>
              </w:rPr>
            </w:pPr>
            <w:r>
              <w:rPr>
                <w:color w:val="000000"/>
                <w:sz w:val="20"/>
              </w:rPr>
              <w:t xml:space="preserve">Resolucija o nacionalnem programu razvoja prometa v Republiki Sloveniji za obdobje do leta 2030 (ReNPRP30), </w:t>
            </w:r>
          </w:p>
          <w:p w14:paraId="2181BE9B" w14:textId="77777777" w:rsidR="00A77B3E" w:rsidRDefault="00B16CCF">
            <w:pPr>
              <w:spacing w:before="5pt"/>
              <w:rPr>
                <w:color w:val="000000"/>
                <w:sz w:val="20"/>
              </w:rPr>
            </w:pPr>
            <w:r>
              <w:rPr>
                <w:color w:val="000000"/>
                <w:sz w:val="20"/>
              </w:rPr>
              <w:t>Resolucija o spremembah in dopolnitvah Resolucije o nacionalnem programu razvoja prometa v Republiki Sloveniji za obdobje do leta 2030 (ReNPRP30-A)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79F224" w14:textId="77777777" w:rsidR="00A77B3E" w:rsidRDefault="00B16CCF">
            <w:pPr>
              <w:spacing w:before="5pt"/>
              <w:rPr>
                <w:color w:val="000000"/>
                <w:sz w:val="20"/>
              </w:rPr>
            </w:pPr>
            <w:r>
              <w:rPr>
                <w:color w:val="000000"/>
                <w:sz w:val="20"/>
              </w:rPr>
              <w:t>Izhodišča strategije 2. poglavja opredeljuje merila in roke za izvedbo prihodnjega TEN-T omrežja v skladu z Uredbo TEN-T ter primerja merila TEN-T za jedrno omrežje in dejansko stanje infrastrukture v Republiki Sloveniji.</w:t>
            </w:r>
          </w:p>
          <w:p w14:paraId="264AFA8A" w14:textId="77777777" w:rsidR="00A77B3E" w:rsidRDefault="00B16CCF">
            <w:pPr>
              <w:spacing w:before="5pt"/>
              <w:rPr>
                <w:color w:val="000000"/>
                <w:sz w:val="20"/>
              </w:rPr>
            </w:pPr>
            <w:r>
              <w:rPr>
                <w:color w:val="000000"/>
                <w:sz w:val="20"/>
              </w:rPr>
              <w:t>Specifični cilj Strategije razvoja prometa je izboljšanje prometnih povezav s sosednjimi državami in usklajevanje s sosednjimi državami, kar pomeni zagotavljanje zadostne zmogljivosti omrežja, ki ustreza tudi standardom TEN-T. Da bomo sledili zahtevam evropske uredbe TEN-T (Uredba EU 1315/2013), smo se zavezali, da bomo do leta 2030 dosegli standarde TEN-T na jedrnem omrežju TEN-T, zlasti najmanj 22,5 t osne obremenitve, Hitrost proge 100 km/h, možnost vožnje vlakov dolžine 740 m in implementacija ERTMS. Progi jedrnega omrežja v Republiki Sloveniji so v celoti skladni z nazivno širino tira, v celoti so elektrificirani.</w:t>
            </w:r>
          </w:p>
        </w:tc>
      </w:tr>
      <w:tr w:rsidR="00823317" w14:paraId="3FCDCFE5"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202210"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C7B2AE"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1E8225"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73A379"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535795" w14:textId="77777777" w:rsidR="00A77B3E" w:rsidRDefault="00B16CCF">
            <w:pPr>
              <w:spacing w:before="5pt"/>
              <w:rPr>
                <w:color w:val="000000"/>
                <w:sz w:val="20"/>
              </w:rPr>
            </w:pPr>
            <w:r>
              <w:rPr>
                <w:color w:val="000000"/>
                <w:sz w:val="20"/>
              </w:rPr>
              <w:t xml:space="preserve">4. za naložbe zunaj koridorjev jedrnega omrežja TEN-T, vključno s čezmejnimi odseki, zagotavlja dopolnjevanje z zagotavljanjem zadostne povezljivosti mestnih omrežij, regij in lokalnih skupnosti z </w:t>
            </w:r>
            <w:r>
              <w:rPr>
                <w:color w:val="000000"/>
                <w:sz w:val="20"/>
              </w:rPr>
              <w:lastRenderedPageBreak/>
              <w:t>jedrnim omrežjem TEN-T in njegovimi vozlišči,</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53EE6F" w14:textId="77777777" w:rsidR="00A77B3E" w:rsidRDefault="00B16CCF">
            <w:pPr>
              <w:spacing w:before="5pt"/>
              <w:jc w:val="center"/>
              <w:rPr>
                <w:color w:val="000000"/>
                <w:sz w:val="20"/>
              </w:rPr>
            </w:pPr>
            <w:r>
              <w:rPr>
                <w:color w:val="000000"/>
                <w:sz w:val="20"/>
              </w:rPr>
              <w:lastRenderedPageBreak/>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EEE31B" w14:textId="77777777" w:rsidR="00A77B3E" w:rsidRDefault="00B16CCF">
            <w:pPr>
              <w:spacing w:before="5pt"/>
              <w:rPr>
                <w:color w:val="000000"/>
                <w:sz w:val="20"/>
              </w:rPr>
            </w:pPr>
            <w:r>
              <w:rPr>
                <w:color w:val="000000"/>
                <w:sz w:val="20"/>
              </w:rPr>
              <w:t xml:space="preserve">Strategija razvoja prometa Republike Slovenije (https://www.gov.si/assets/ministrstva/MzI/Dokumenti/Strategija-razvoja-prometa-v-Republiki-Sloveniji-do-leta-2030.pdf), </w:t>
            </w:r>
          </w:p>
          <w:p w14:paraId="6E8B40EC" w14:textId="77777777" w:rsidR="00A77B3E" w:rsidRDefault="00B16CCF">
            <w:pPr>
              <w:spacing w:before="5pt"/>
              <w:rPr>
                <w:color w:val="000000"/>
                <w:sz w:val="20"/>
              </w:rPr>
            </w:pPr>
            <w:r>
              <w:rPr>
                <w:color w:val="000000"/>
                <w:sz w:val="20"/>
              </w:rPr>
              <w:lastRenderedPageBreak/>
              <w:t xml:space="preserve">Resolucija o nacionalnem programu razvoja prometa v Republiki Sloveniji za obdobje do leta 2030 (ReNPRP30), </w:t>
            </w:r>
          </w:p>
          <w:p w14:paraId="6F468DD3" w14:textId="77777777" w:rsidR="00A77B3E" w:rsidRDefault="00B16CCF">
            <w:pPr>
              <w:spacing w:before="5pt"/>
              <w:rPr>
                <w:color w:val="000000"/>
                <w:sz w:val="20"/>
              </w:rPr>
            </w:pPr>
            <w:r>
              <w:rPr>
                <w:color w:val="000000"/>
                <w:sz w:val="20"/>
              </w:rPr>
              <w:t>Resolucija o spremembah in dopolnitvah Resolucije o nacionalnem programu razvoja prometa v Republiki Sloveniji za obdobje do leta 2030 (ReNPRP30-A)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BBCDAB" w14:textId="77777777" w:rsidR="00A77B3E" w:rsidRDefault="00B16CCF">
            <w:pPr>
              <w:spacing w:before="5pt"/>
              <w:rPr>
                <w:color w:val="000000"/>
                <w:sz w:val="20"/>
              </w:rPr>
            </w:pPr>
            <w:r>
              <w:rPr>
                <w:color w:val="000000"/>
                <w:sz w:val="20"/>
              </w:rPr>
              <w:lastRenderedPageBreak/>
              <w:t xml:space="preserve">Drugi specifični cilj Strategije razvoja prometa je izboljšanje nacionalnih in regionalnih povezav znotraj Slovenije. Nacionalni program predvideva pripravo projektov na razvojnih oseh, ki povezujejo različne regije z jedrnim omrežjem TEN-T. Dopolnjeni nacionalni program razvoja prometa </w:t>
            </w:r>
            <w:r>
              <w:rPr>
                <w:color w:val="000000"/>
                <w:sz w:val="20"/>
              </w:rPr>
              <w:lastRenderedPageBreak/>
              <w:t>(ReNPRP30-A) se osredotoča na regionalno železniško omrežje, ki predstavlja pomemben segment razvoja prometnega sistema v Republiki Sloveniji. V večini primerov je potrebno pospešeno nadgrajevati zmogljivost prog, posodobiti postaje in postajališča ter jih povezati z drugimi načini prevoza. Ključni cilj je zagotoviti takšne nadgradnje omrežja, da bo železnica zagotovila tako imenovano hrbtenično prometno omrežje tam, kjer že obstaja. Nujnim ukrepom na javni železniški infrastrukturi je treba v postopkih prostorskega načrtovanja dati prednost in zagotoviti pogoje za začetek teh investicij.  Pripravljeni bodo tudi načrti trajnostne mobilnosti v mestih za regionalno raven z namenom nadgradnje ukrepov iz lokalnih CPS, ki presegajo pristojnost lokalnih oblasti in zagotavljajo celovit pristop k skupnim prometnim problemom na ravni regij.</w:t>
            </w:r>
          </w:p>
        </w:tc>
      </w:tr>
      <w:tr w:rsidR="00823317" w14:paraId="0286D416"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AD5590"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B864A7"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FA57B9"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043431"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53096D" w14:textId="77777777" w:rsidR="00A77B3E" w:rsidRDefault="00B16CCF">
            <w:pPr>
              <w:spacing w:before="5pt"/>
              <w:rPr>
                <w:color w:val="000000"/>
                <w:sz w:val="20"/>
              </w:rPr>
            </w:pPr>
            <w:r>
              <w:rPr>
                <w:color w:val="000000"/>
                <w:sz w:val="20"/>
              </w:rPr>
              <w:t>5. zagotavlja interoperabilnost železniškega omrežja in, kjer je to ustrezno, poročila o uvedbi ERTMS v skladu z Izvedbeno uredbo Evropske komisije (EU) 2017/6,</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9D7B54" w14:textId="77777777" w:rsidR="00A77B3E" w:rsidRDefault="00B16CC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913277" w14:textId="77777777" w:rsidR="00A77B3E" w:rsidRDefault="00B16CCF">
            <w:pPr>
              <w:spacing w:before="5pt"/>
              <w:rPr>
                <w:color w:val="000000"/>
                <w:sz w:val="20"/>
              </w:rPr>
            </w:pPr>
            <w:r>
              <w:rPr>
                <w:color w:val="000000"/>
                <w:sz w:val="20"/>
              </w:rPr>
              <w:t>Tehnične specifikacije za interoperabilnost (http://www.azp.si/pages/si/zakonodaja/evropski-predpisi/tehnicne-specifikacije-za-interoperabilnost.php)</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49B6C1" w14:textId="77777777" w:rsidR="00A77B3E" w:rsidRDefault="00B16CCF">
            <w:pPr>
              <w:spacing w:before="5pt"/>
              <w:rPr>
                <w:color w:val="000000"/>
                <w:sz w:val="20"/>
              </w:rPr>
            </w:pPr>
            <w:r>
              <w:rPr>
                <w:color w:val="000000"/>
                <w:sz w:val="20"/>
              </w:rPr>
              <w:t xml:space="preserve">Nacionalni izvedbeni načrt tehnične specifikacije za interoperabilnost v zvezi s strukturnim podsistemom 'nadzor-vodenje in signalizacija' je bil Evropski komisiji poslan februarja 2018 in bo pregledan in dopolnjen najmanj vsakih pet let. Evropska komisija in ostale države članice bodo obveščene o morebitnih spremembah v zvezi z razvojem interoperabilnosti na slovenskem železniškem omrežju. Namen dokumenta je podati oris železniške infrastrukture in vozil, ki jih upravljata SŽPP in SŽ- TP in podati </w:t>
            </w:r>
            <w:r>
              <w:rPr>
                <w:color w:val="000000"/>
                <w:sz w:val="20"/>
              </w:rPr>
              <w:lastRenderedPageBreak/>
              <w:t>natančen časovni načrt za opremljanje tako prog kot vozil z ETCS in GSM-R ter sistemi za razgradnjo razreda B. Vsi podatki o zadevni železniški infrastrukturi so na voljo v registru železniške infrastrukture.</w:t>
            </w:r>
          </w:p>
          <w:p w14:paraId="23F4D472" w14:textId="77777777" w:rsidR="00A77B3E" w:rsidRDefault="00B16CCF">
            <w:pPr>
              <w:spacing w:before="5pt"/>
              <w:rPr>
                <w:color w:val="000000"/>
                <w:sz w:val="20"/>
              </w:rPr>
            </w:pPr>
            <w:r>
              <w:rPr>
                <w:color w:val="000000"/>
                <w:sz w:val="20"/>
              </w:rPr>
              <w:t>Od sprejetja SRS je uvedba ERTMS v Sloveniji še posebej napredovala. Za Sredozemski koridor v Sloveniji so vse proge, ki naj bi bile postavljene do leta 2023, v gradnji oziroma že obratujejo. Uvajanje ERTMS napreduje tudi na Baltsko-jadranskem koridorju. V Sloveniji je celotna dolžina, ki naj bi bila v obratovanju do leta 2023, v gradnji ali že obratuje. Zamuja le proga, ki povezuje Ljubljano in Pragersko.</w:t>
            </w:r>
          </w:p>
        </w:tc>
      </w:tr>
      <w:tr w:rsidR="00823317" w14:paraId="71CEEA24"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830C17"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737566"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6B8682"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143093"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985A62" w14:textId="77777777" w:rsidR="00A77B3E" w:rsidRDefault="00B16CCF">
            <w:pPr>
              <w:spacing w:before="5pt"/>
              <w:rPr>
                <w:color w:val="000000"/>
                <w:sz w:val="20"/>
              </w:rPr>
            </w:pPr>
            <w:r>
              <w:rPr>
                <w:color w:val="000000"/>
                <w:sz w:val="20"/>
              </w:rPr>
              <w:t>6. spodbuja večmodalnost z opredelitvijo potreb po večmodalnih tovornih in potniških terminalih oziroma terminalih za pretovarjanje,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D0396A" w14:textId="77777777" w:rsidR="00A77B3E" w:rsidRDefault="00B16CC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379337" w14:textId="77777777" w:rsidR="00A77B3E" w:rsidRDefault="00B16CCF">
            <w:pPr>
              <w:spacing w:before="5pt"/>
              <w:rPr>
                <w:color w:val="000000"/>
                <w:sz w:val="20"/>
              </w:rPr>
            </w:pPr>
            <w:r>
              <w:rPr>
                <w:color w:val="000000"/>
                <w:sz w:val="20"/>
              </w:rPr>
              <w:t xml:space="preserve">Strategija razvoja prometa Republike Slovenije (https://www.gov.si/assets/ministrstva/MzI/Dokumenti/Strategija-razvoja-prometa-v-Republiki-Sloveniji-do-leta-2030.pdf), </w:t>
            </w:r>
          </w:p>
          <w:p w14:paraId="39177A8D" w14:textId="77777777" w:rsidR="00A77B3E" w:rsidRDefault="00B16CCF">
            <w:pPr>
              <w:spacing w:before="5pt"/>
              <w:rPr>
                <w:color w:val="000000"/>
                <w:sz w:val="20"/>
              </w:rPr>
            </w:pPr>
            <w:r>
              <w:rPr>
                <w:color w:val="000000"/>
                <w:sz w:val="20"/>
              </w:rPr>
              <w:t xml:space="preserve">Resolucija o nacionalnem programu razvoja prometa v Republiki Sloveniji za obdobje do leta 2030 (ReNPRP30), </w:t>
            </w:r>
          </w:p>
          <w:p w14:paraId="54C53755" w14:textId="77777777" w:rsidR="00A77B3E" w:rsidRDefault="00B16CCF">
            <w:pPr>
              <w:spacing w:before="5pt"/>
              <w:rPr>
                <w:color w:val="000000"/>
                <w:sz w:val="20"/>
              </w:rPr>
            </w:pPr>
            <w:r>
              <w:rPr>
                <w:color w:val="000000"/>
                <w:sz w:val="20"/>
              </w:rPr>
              <w:t>Resolucija o spremembah in dopolnitvah Resolucije o nacionalnem programu razvoja prometa v Republiki Sloveniji za obdobje do leta 2030 (ReNPRP30-A)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E895FE" w14:textId="77777777" w:rsidR="00A77B3E" w:rsidRDefault="00B16CCF">
            <w:pPr>
              <w:spacing w:before="5pt"/>
              <w:rPr>
                <w:color w:val="000000"/>
                <w:sz w:val="20"/>
              </w:rPr>
            </w:pPr>
            <w:r>
              <w:rPr>
                <w:color w:val="000000"/>
                <w:sz w:val="20"/>
              </w:rPr>
              <w:t xml:space="preserve">Nacionalni program predvideva razvoj omrežja v intermodalna vozlišča, aglomeracije v skladu s povpraševanjem (R.40). Vozlišča na TEN-T omrežju imajo najboljše možnosti za razvoj logističnih dejavnosti v zvezi s tovorom, Ljubljana in Maribor imata tudi potencial za vzpostavitev multimodalnih platform potniških aglomeracij. Vendar bi lahko v Sloveniji zagotovili tudi širši pristop k prevozu blaga in prehodu potnikov iz enega načina prevoza v drugega. V ta namen je treba opredeliti možne točke prehoda potnikov in blaga med različnimi načini prevoza v prihodnosti. Kjer je to potrebno in učinkovito, je treba vzpostaviti intermodalne potniške platforme za povečanje uporabe javnega potniškega prometa ali zagotoviti ustrezno </w:t>
            </w:r>
            <w:r>
              <w:rPr>
                <w:color w:val="000000"/>
                <w:sz w:val="20"/>
              </w:rPr>
              <w:lastRenderedPageBreak/>
              <w:t xml:space="preserve">povezavo logističnih tovornih terminalov z različnimi načini prevoza, če obstaja komercialni interes. Navedene aktivnosti bodo lažje izvedljive na podlagi Zakona o celovitem prometnem načrtovanju, ki bo zagotovil nadaljevanje procesa, ki se je začel z pripravo celovitih prometnih strategij v preteklem finančnem obdobju s pomočjo sredstev kohezijske politike. </w:t>
            </w:r>
          </w:p>
        </w:tc>
      </w:tr>
      <w:tr w:rsidR="00823317" w14:paraId="52989AE5"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F9621D"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35AFE6"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AA01B1"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0FB5CB"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BE2C6C" w14:textId="77777777" w:rsidR="00A77B3E" w:rsidRDefault="00B16CCF">
            <w:pPr>
              <w:spacing w:before="5pt"/>
              <w:rPr>
                <w:color w:val="000000"/>
                <w:sz w:val="20"/>
              </w:rPr>
            </w:pPr>
            <w:r>
              <w:rPr>
                <w:color w:val="000000"/>
                <w:sz w:val="20"/>
              </w:rPr>
              <w:t>7. vključuje ukrepe, relevantne za načrtovanje infrastrukture, za spodbujanje alternativnih goriv, skladne z zadevnimi nacionalnimi okviri politike,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BB18DA" w14:textId="77777777" w:rsidR="00A77B3E" w:rsidRDefault="00B16CC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B5596E" w14:textId="77777777" w:rsidR="00A77B3E" w:rsidRDefault="00B16CCF">
            <w:pPr>
              <w:spacing w:before="5pt"/>
              <w:rPr>
                <w:color w:val="000000"/>
                <w:sz w:val="20"/>
              </w:rPr>
            </w:pPr>
            <w:r>
              <w:rPr>
                <w:color w:val="000000"/>
                <w:sz w:val="20"/>
              </w:rPr>
              <w:t xml:space="preserve">Strategija razvoja trga za postavitev ustrezne infrastrukture za alternativna goriva v prometnem sektorju v Republiki Sloveniji, </w:t>
            </w:r>
          </w:p>
          <w:p w14:paraId="2934C2EE" w14:textId="77777777" w:rsidR="00A77B3E" w:rsidRDefault="00B16CCF">
            <w:pPr>
              <w:spacing w:before="5pt"/>
              <w:rPr>
                <w:color w:val="000000"/>
                <w:sz w:val="20"/>
              </w:rPr>
            </w:pPr>
            <w:r>
              <w:rPr>
                <w:color w:val="000000"/>
                <w:sz w:val="20"/>
              </w:rPr>
              <w:t xml:space="preserve">Akcijski program za alternativna goriva v prometu, </w:t>
            </w:r>
          </w:p>
          <w:p w14:paraId="6826E280" w14:textId="77777777" w:rsidR="00A77B3E" w:rsidRDefault="00B16CCF">
            <w:pPr>
              <w:spacing w:before="5pt"/>
              <w:rPr>
                <w:color w:val="000000"/>
                <w:sz w:val="20"/>
              </w:rPr>
            </w:pPr>
            <w:r>
              <w:rPr>
                <w:color w:val="000000"/>
                <w:sz w:val="20"/>
              </w:rPr>
              <w:t>Uredba o vzpostavitvi infrastrukture za alternativna goriva v prometu</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CC31A0" w14:textId="77777777" w:rsidR="00A77B3E" w:rsidRDefault="00B16CCF">
            <w:pPr>
              <w:spacing w:before="5pt"/>
              <w:rPr>
                <w:color w:val="000000"/>
                <w:sz w:val="20"/>
              </w:rPr>
            </w:pPr>
            <w:r>
              <w:rPr>
                <w:color w:val="000000"/>
                <w:sz w:val="20"/>
              </w:rPr>
              <w:t xml:space="preserve">Slovenija je Direktivo 2014/94/EU Evropskega parlamenta in Sveta z dne 22. oktobra 2014 o uvedbi infrastrukture za alternativna goriva (AG) v nacionalno zakonodajo prenesla z Uredbo o vzpostavitvi infrastrukture za alternativna goriva v prometu. Za pospešitev uporabe AG v prometu je Vlada RS leta 2017 sprejela Strategijo razvoja trga za postavitev ustrezne infrastrukture za AG v prometnem sektorju v RS in s tem povezan Akcijski program za AG v prometu. Vključuje ukrepe za vozila, infrastrukturo za AG, normativne predpise ipd. Slovenija zaradi neustreznega nacionalnega pravnega okvira še ni dosegla nacionalnih ciljev na področju alternativnih goriv v prometu.  Slovenija je aktivni partner v projektu IDACS, ki je podporni ukrep programa CEF. V okviru projekta je Slovenija vzpostavila Nacionalno registracijsko pisarno za ID kode na področju polnilne infrastrukture za električna vozila ter omogočila izmenjavo  statičnih in dinamičnih podatkov o polnilnih mestih z </w:t>
            </w:r>
            <w:r>
              <w:rPr>
                <w:color w:val="000000"/>
                <w:sz w:val="20"/>
              </w:rPr>
              <w:lastRenderedPageBreak/>
              <w:t>nacionalno dostopno točko, ki jo je optimizirala in nadgradila na novi domeni: www.nap.si.</w:t>
            </w:r>
          </w:p>
        </w:tc>
      </w:tr>
      <w:tr w:rsidR="00823317" w14:paraId="4D2C074C"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7B1FE1"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82C8A9"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58F800"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2EF477"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653241" w14:textId="77777777" w:rsidR="00A77B3E" w:rsidRDefault="00B16CCF">
            <w:pPr>
              <w:spacing w:before="5pt"/>
              <w:rPr>
                <w:color w:val="000000"/>
                <w:sz w:val="20"/>
              </w:rPr>
            </w:pPr>
            <w:r>
              <w:rPr>
                <w:color w:val="000000"/>
                <w:sz w:val="20"/>
              </w:rPr>
              <w:t>8. predstavlja izide ocene tveganj za varnost v cestnem prometu, v skladu z obstoječimi nacionalnimi strategijami za varnost v cestnem prometu, skupaj s kartiranjem trenutnega stanja prizadetih cest in odsekov ter z zagotavljanjem prednostne razvrstitve ustreznih naložb,</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45A3DB" w14:textId="77777777" w:rsidR="00A77B3E" w:rsidRDefault="00B16CC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ABE3E6" w14:textId="77777777" w:rsidR="00A77B3E" w:rsidRDefault="00B16CCF">
            <w:pPr>
              <w:spacing w:before="5pt"/>
              <w:rPr>
                <w:color w:val="000000"/>
                <w:sz w:val="20"/>
              </w:rPr>
            </w:pPr>
            <w:r>
              <w:rPr>
                <w:color w:val="000000"/>
                <w:sz w:val="20"/>
              </w:rPr>
              <w:t>Resolucija nacionalnega</w:t>
            </w:r>
          </w:p>
          <w:p w14:paraId="5152B224" w14:textId="77777777" w:rsidR="00A77B3E" w:rsidRDefault="00B16CCF">
            <w:pPr>
              <w:spacing w:before="5pt"/>
              <w:rPr>
                <w:color w:val="000000"/>
                <w:sz w:val="20"/>
              </w:rPr>
            </w:pPr>
            <w:r>
              <w:rPr>
                <w:color w:val="000000"/>
                <w:sz w:val="20"/>
              </w:rPr>
              <w:t>programa varnosti</w:t>
            </w:r>
          </w:p>
          <w:p w14:paraId="6C88E2C5" w14:textId="77777777" w:rsidR="00A77B3E" w:rsidRDefault="00B16CCF">
            <w:pPr>
              <w:spacing w:before="5pt"/>
              <w:rPr>
                <w:color w:val="000000"/>
                <w:sz w:val="20"/>
              </w:rPr>
            </w:pPr>
            <w:r>
              <w:rPr>
                <w:color w:val="000000"/>
                <w:sz w:val="20"/>
              </w:rPr>
              <w:t>cestnega prometa za</w:t>
            </w:r>
          </w:p>
          <w:p w14:paraId="5A709BA5" w14:textId="77777777" w:rsidR="00A77B3E" w:rsidRDefault="00B16CCF">
            <w:pPr>
              <w:spacing w:before="5pt"/>
              <w:rPr>
                <w:color w:val="000000"/>
                <w:sz w:val="20"/>
              </w:rPr>
            </w:pPr>
            <w:r>
              <w:rPr>
                <w:color w:val="000000"/>
                <w:sz w:val="20"/>
              </w:rPr>
              <w:t>obdobje od 2013 do 2022 (https://www.gov.si/assets/ministrstva/MzI/Dokumenti/Resolucija-o-nacionalem-programu-varnosti-cestnega-prometa-za-obdobje-od-2013-do-2022.pdf)</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10015A" w14:textId="77777777" w:rsidR="00A77B3E" w:rsidRDefault="00B16CCF">
            <w:pPr>
              <w:spacing w:before="5pt"/>
              <w:rPr>
                <w:color w:val="000000"/>
                <w:sz w:val="20"/>
              </w:rPr>
            </w:pPr>
            <w:r>
              <w:rPr>
                <w:color w:val="000000"/>
                <w:sz w:val="20"/>
              </w:rPr>
              <w:t>Nacionalni program varnosti cestnega prometa je strateški dokument, ki daje vizijo in cilje za prednostna področja in omogoča sprejetje ukrepov za učinkovito zagotavljanje varnosti cestnega prometa. Pri določanju meril za vključitev posameznih projektov v šestletni operativni načrt vlaganj v promet in prometno infrastrukturo je treba upoštevati parametre, ki jih predvideva Resolucija o nacionalnem programu razvoja prometa v Republiki Sloveniji za obdobje do leta 2030, med katerimi je tudi stanje prometne varnosti. Slovenija v skladu z Direktivo 2008/96/ES Evropskega parlamenta in Sveta z dne 19. novembra 2008 o izboljšanju varnosti cestne infrastrukture zagotavlja sistematičen postopek presoje varnosti cestne infrastrukture, ki poteka v vseh fazah od načrtovanja do obratovanja cestne infrastrukture. Direkcija RS za infrastrukturo na podlagi podatkov o prometnih nesrečah vsako leto v zadnjih treh letih določi kraje z visoko stopnjo prometnih nesreč. To je osnova za investicijske načrte, posege in ukrepe.</w:t>
            </w:r>
          </w:p>
          <w:p w14:paraId="5A10AF90" w14:textId="77777777" w:rsidR="00A77B3E" w:rsidRDefault="00B16CCF">
            <w:pPr>
              <w:spacing w:before="5pt"/>
              <w:rPr>
                <w:color w:val="000000"/>
                <w:sz w:val="20"/>
              </w:rPr>
            </w:pPr>
            <w:r>
              <w:rPr>
                <w:color w:val="000000"/>
                <w:sz w:val="20"/>
              </w:rPr>
              <w:t>Resolucija nacionalnega programa varnosti cestnega prometa za obdobje od 2023 do 2030 bo sprejeta predvidoma do konca leta 2022.</w:t>
            </w:r>
          </w:p>
        </w:tc>
      </w:tr>
      <w:tr w:rsidR="00823317" w14:paraId="34EBAC5C"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20BC3D"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E22A87"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8669FE"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9CECCB"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351871" w14:textId="77777777" w:rsidR="00A77B3E" w:rsidRDefault="00B16CCF">
            <w:pPr>
              <w:spacing w:before="5pt"/>
              <w:rPr>
                <w:color w:val="000000"/>
                <w:sz w:val="20"/>
              </w:rPr>
            </w:pPr>
            <w:r>
              <w:rPr>
                <w:color w:val="000000"/>
                <w:sz w:val="20"/>
              </w:rPr>
              <w:t>9. zagotavlja informacije o finančnih sredstvih, ki ustrezajo načrtovanim naložbam in so potrebna za kritje stroškov delovanja in vzdrževanja obstoječih in načrtovanih infrastruktur;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F761B9" w14:textId="77777777" w:rsidR="00A77B3E" w:rsidRDefault="00B16CC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6CB24E" w14:textId="77777777" w:rsidR="00A77B3E" w:rsidRDefault="00B16CCF">
            <w:pPr>
              <w:spacing w:before="5pt"/>
              <w:rPr>
                <w:color w:val="000000"/>
                <w:sz w:val="20"/>
              </w:rPr>
            </w:pPr>
            <w:r>
              <w:rPr>
                <w:color w:val="000000"/>
                <w:sz w:val="20"/>
              </w:rPr>
              <w:t xml:space="preserve">6-letni drsni načrt vlaganj v promet in prometno infrastrukturo,  </w:t>
            </w:r>
          </w:p>
          <w:p w14:paraId="05010FBF" w14:textId="77777777" w:rsidR="00A77B3E" w:rsidRDefault="00B16CCF">
            <w:pPr>
              <w:spacing w:before="5pt"/>
              <w:rPr>
                <w:color w:val="000000"/>
                <w:sz w:val="20"/>
              </w:rPr>
            </w:pPr>
            <w:r>
              <w:rPr>
                <w:color w:val="000000"/>
                <w:sz w:val="20"/>
              </w:rPr>
              <w:t xml:space="preserve">Obrazložitev predloga načrta vlaganj v promet in prometno infrastrukturo za obdobje od 2020 do 2025 </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C5BAED" w14:textId="77777777" w:rsidR="00A77B3E" w:rsidRDefault="00B16CCF">
            <w:pPr>
              <w:spacing w:before="5pt"/>
              <w:rPr>
                <w:color w:val="000000"/>
                <w:sz w:val="20"/>
              </w:rPr>
            </w:pPr>
            <w:r>
              <w:rPr>
                <w:color w:val="000000"/>
                <w:sz w:val="20"/>
              </w:rPr>
              <w:t>Nacionalni program predvideva v povprečju za investicije, vzdrževanje in delovanje sistema precej stabilne naložbe v daljšem časovnem obdobju, ki znašajo med 600 in 700 milijonov letno. To omogoča hitrejše doseganje ciljev prometnega sistema, predvsem doseganje strateških ciljev: izboljšanje mobilnosti in dostopnosti, izboljšanje oskrbe gospodarstva, izboljšanje prometne varnosti, zmanjšanje porabe energije v prometu, zmanjšanje stroškov za uporabnike in upravljavce ter zmanjšanje obremenitev okolja. Poleg tega so za daljše obdobje predvidene naložbe zasebnih vlagateljev (npr. koncesionarjev) v višini približno 300 milijonov evrov na leto.</w:t>
            </w:r>
          </w:p>
          <w:p w14:paraId="00A0D3D8" w14:textId="77777777" w:rsidR="00A77B3E" w:rsidRDefault="00B16CCF">
            <w:pPr>
              <w:spacing w:before="5pt"/>
              <w:rPr>
                <w:color w:val="000000"/>
                <w:sz w:val="20"/>
              </w:rPr>
            </w:pPr>
            <w:r>
              <w:rPr>
                <w:color w:val="000000"/>
                <w:sz w:val="20"/>
              </w:rPr>
              <w:t>Šestletni operativni načrt investicij v promet oziroma prometno infrastrukturo določa konkretne aktivnosti (projekte) na podlagi strokovnih prioritet, stroškov za njihovo realizacijo in natančnih rokov za izvedbo. Načrt bo letos posodobljen in poleg seznama projektov bo vseboval tudi podatke o njihovem prispevku k ciljem (zmanjšanje toplogrednih plinov, zmanjšanje hrupa, zmanjšanje onesnaženosti zraka, pretočnost, večje hitrosti ...).</w:t>
            </w:r>
          </w:p>
        </w:tc>
      </w:tr>
      <w:tr w:rsidR="00823317" w14:paraId="70A20BC3"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400350" w14:textId="77777777" w:rsidR="00A77B3E" w:rsidRDefault="00B16CCF">
            <w:pPr>
              <w:spacing w:before="5pt"/>
              <w:rPr>
                <w:color w:val="000000"/>
                <w:sz w:val="20"/>
              </w:rPr>
            </w:pPr>
            <w:r>
              <w:rPr>
                <w:color w:val="000000"/>
                <w:sz w:val="20"/>
              </w:rPr>
              <w:t>4.1. Strateški okvir politike za aktivne politike trga dela</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CBFAC0" w14:textId="77777777" w:rsidR="00A77B3E" w:rsidRDefault="00A77B3E">
            <w:pPr>
              <w:spacing w:before="5pt"/>
              <w:rPr>
                <w:color w:val="000000"/>
                <w:sz w:val="20"/>
              </w:rPr>
            </w:pPr>
          </w:p>
          <w:p w14:paraId="265F8273" w14:textId="77777777" w:rsidR="00A77B3E" w:rsidRDefault="00B16CCF">
            <w:pPr>
              <w:spacing w:before="5pt"/>
              <w:rPr>
                <w:color w:val="000000"/>
                <w:sz w:val="20"/>
                <w:szCs w:val="20"/>
              </w:rPr>
            </w:pPr>
            <w:r>
              <w:rPr>
                <w:color w:val="000000"/>
                <w:sz w:val="20"/>
                <w:szCs w:val="20"/>
              </w:rPr>
              <w:t>ESS+</w:t>
            </w:r>
          </w:p>
          <w:p w14:paraId="391C426E"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2D48D6" w14:textId="77777777" w:rsidR="00A77B3E" w:rsidRDefault="00A77B3E">
            <w:pPr>
              <w:spacing w:before="5pt"/>
              <w:rPr>
                <w:color w:val="000000"/>
                <w:sz w:val="20"/>
              </w:rPr>
            </w:pPr>
          </w:p>
          <w:p w14:paraId="404FE92C" w14:textId="77777777" w:rsidR="00A77B3E" w:rsidRDefault="00B16CCF">
            <w:pPr>
              <w:spacing w:before="5pt"/>
              <w:rPr>
                <w:color w:val="000000"/>
                <w:sz w:val="20"/>
                <w:szCs w:val="20"/>
              </w:rPr>
            </w:pPr>
            <w:r>
              <w:rPr>
                <w:color w:val="000000"/>
                <w:sz w:val="20"/>
                <w:szCs w:val="20"/>
              </w:rPr>
              <w:t xml:space="preserve">ESO4.2. Posodabljanje institucij in služb trga dela za oceno in predvidevanje </w:t>
            </w:r>
            <w:r>
              <w:rPr>
                <w:color w:val="000000"/>
                <w:sz w:val="20"/>
                <w:szCs w:val="20"/>
              </w:rPr>
              <w:lastRenderedPageBreak/>
              <w:t>potreb po veščinah ter zagotavljanje pravočasne in prilagojene pomoči in podpore pri usklajevanju ponudbe in povpraševanja na trgu dela, prehodih in mobilnosti</w:t>
            </w:r>
            <w:r>
              <w:rPr>
                <w:color w:val="000000"/>
                <w:sz w:val="20"/>
                <w:szCs w:val="20"/>
              </w:rPr>
              <w:br/>
              <w:t>ESO4.1. Izboljšanje dostopa do zaposlitve in aktivacijski ukrepi za vse iskalce zaposlitve, zlasti mlade, predvsem v okviru izvajanja jamstva za mlade, dolgotrajno brezposelne in prikrajšane skupine na trgu dela, in neaktivne osebe, kot tudi s spodbujanjem samozaposlovanja in socialnega gospodarstva</w:t>
            </w:r>
          </w:p>
          <w:p w14:paraId="54B11600" w14:textId="77777777" w:rsidR="00A77B3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A5CFC0" w14:textId="77777777" w:rsidR="00A77B3E" w:rsidRDefault="00B16CCF">
            <w:pPr>
              <w:spacing w:before="5pt"/>
              <w:jc w:val="center"/>
              <w:rPr>
                <w:color w:val="000000"/>
                <w:sz w:val="20"/>
              </w:rPr>
            </w:pPr>
            <w:r>
              <w:rPr>
                <w:color w:val="000000"/>
                <w:sz w:val="20"/>
              </w:rPr>
              <w:lastRenderedPageBreak/>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1FB2BE" w14:textId="77777777" w:rsidR="00A77B3E" w:rsidRDefault="00B16CCF">
            <w:pPr>
              <w:spacing w:before="5pt"/>
              <w:rPr>
                <w:color w:val="000000"/>
                <w:sz w:val="20"/>
              </w:rPr>
            </w:pPr>
            <w:r>
              <w:rPr>
                <w:color w:val="000000"/>
                <w:sz w:val="20"/>
              </w:rPr>
              <w:t xml:space="preserve">Vzpostavljen je strateški okvir politike za aktivne politike trga dela, ki je skladen s smernicami za zaposlovanje in vključuje:1. ureditve za izvajanje profiliranja </w:t>
            </w:r>
            <w:r>
              <w:rPr>
                <w:color w:val="000000"/>
                <w:sz w:val="20"/>
              </w:rPr>
              <w:lastRenderedPageBreak/>
              <w:t>iskalcev zaposlitve in oceno njihovih potreb,</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19137D" w14:textId="77777777" w:rsidR="00A77B3E" w:rsidRDefault="00B16CCF">
            <w:pPr>
              <w:spacing w:before="5pt"/>
              <w:jc w:val="center"/>
              <w:rPr>
                <w:color w:val="000000"/>
                <w:sz w:val="20"/>
              </w:rPr>
            </w:pPr>
            <w:r>
              <w:rPr>
                <w:color w:val="000000"/>
                <w:sz w:val="20"/>
              </w:rPr>
              <w:lastRenderedPageBreak/>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0D94FA" w14:textId="77777777" w:rsidR="00A77B3E" w:rsidRDefault="00B16CCF">
            <w:pPr>
              <w:spacing w:before="5pt"/>
              <w:rPr>
                <w:color w:val="000000"/>
                <w:sz w:val="20"/>
              </w:rPr>
            </w:pPr>
            <w:r>
              <w:rPr>
                <w:color w:val="000000"/>
                <w:sz w:val="20"/>
              </w:rPr>
              <w:t xml:space="preserve">Smernice za izvajanje ukrepov aktivne politike zaposlovanja 2021-2025 (APZ): https://www.gov.si/teme/aktivna-politika-zaposlovanja/, </w:t>
            </w:r>
          </w:p>
          <w:p w14:paraId="4C190A3E" w14:textId="77777777" w:rsidR="00A77B3E" w:rsidRDefault="00B16CCF">
            <w:pPr>
              <w:spacing w:before="5pt"/>
              <w:rPr>
                <w:color w:val="000000"/>
                <w:sz w:val="20"/>
              </w:rPr>
            </w:pPr>
            <w:r>
              <w:rPr>
                <w:color w:val="000000"/>
                <w:sz w:val="20"/>
              </w:rPr>
              <w:t>2. Zakon o urejanju trga dela (ZUTD): http://pisrs.si/Pis.web/pregledPredpisa?i</w:t>
            </w:r>
            <w:r>
              <w:rPr>
                <w:color w:val="000000"/>
                <w:sz w:val="20"/>
              </w:rPr>
              <w:lastRenderedPageBreak/>
              <w:t>d=ZAKO5840,  3. Strategija Zavoda RS za zaposlovanje do 2025, ki vsebuje povzetek Strategije). Celoten samostojen dokument javno ni objavljen.</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AADB0A" w14:textId="77777777" w:rsidR="00A77B3E" w:rsidRDefault="00B16CCF">
            <w:pPr>
              <w:spacing w:before="5pt"/>
              <w:rPr>
                <w:color w:val="000000"/>
                <w:sz w:val="20"/>
              </w:rPr>
            </w:pPr>
            <w:r>
              <w:rPr>
                <w:color w:val="000000"/>
                <w:sz w:val="20"/>
              </w:rPr>
              <w:lastRenderedPageBreak/>
              <w:t xml:space="preserve">113. člen ZUTD dela določa obveznost izvajanja zaposlitvenega načrta. Podrobneje profiliranje iskalcev zaposlitve ter individualno oceno ciljev in njihovih potreb ZRSZ izvaja na podlagi Pravilnika o prijavi in odjavi iz </w:t>
            </w:r>
            <w:r>
              <w:rPr>
                <w:color w:val="000000"/>
                <w:sz w:val="20"/>
              </w:rPr>
              <w:lastRenderedPageBreak/>
              <w:t>evidenc, zaposlitvenem načrtu, pravicah in obveznostih pri iskanju zaposlitve ter nadzoru nad osebami, prijavljenimi v evidencah (35.- 44. člena): http://www.pisrs.si/Pis.web/pregledPredpisa?id=PRAV10452. To merilo je delno pokrito tudi v točki 9.2 Strategije ZRSZ do leta 2025, ki je bila sprejeta 22. 9. 2021. ZRSZ prav tako pripravlja dodatna orodja za ocenjevanje potreb iskalcev zaposlitve.</w:t>
            </w:r>
          </w:p>
        </w:tc>
      </w:tr>
      <w:tr w:rsidR="00823317" w14:paraId="5A132D3A"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AA1EDF"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6EFB33"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A7911E"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771195"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EA2C5E" w14:textId="77777777" w:rsidR="00A77B3E" w:rsidRDefault="00B16CCF">
            <w:pPr>
              <w:spacing w:before="5pt"/>
              <w:rPr>
                <w:color w:val="000000"/>
                <w:sz w:val="20"/>
              </w:rPr>
            </w:pPr>
            <w:r>
              <w:rPr>
                <w:color w:val="000000"/>
                <w:sz w:val="20"/>
              </w:rPr>
              <w:t>2. informacije o prostih delovnih mestih in priložnostih za delo, pri čemer se upoštevajo potrebe na trgu dela,</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B4BE34" w14:textId="77777777" w:rsidR="00A77B3E" w:rsidRDefault="00B16CC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F1C999" w14:textId="77777777" w:rsidR="00A77B3E" w:rsidRDefault="00B16CCF">
            <w:pPr>
              <w:spacing w:before="5pt"/>
              <w:rPr>
                <w:color w:val="000000"/>
                <w:sz w:val="20"/>
              </w:rPr>
            </w:pPr>
            <w:r>
              <w:rPr>
                <w:color w:val="000000"/>
                <w:sz w:val="20"/>
              </w:rPr>
              <w:t>Zakon o urejanju trga dela (ZUTD): http://pisrs.si/Pis.web/pregledPredpisa?id=ZAKO5840</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CFE466" w14:textId="77777777" w:rsidR="00A77B3E" w:rsidRDefault="00B16CCF">
            <w:pPr>
              <w:spacing w:before="5pt"/>
              <w:rPr>
                <w:color w:val="000000"/>
                <w:sz w:val="20"/>
              </w:rPr>
            </w:pPr>
            <w:r>
              <w:rPr>
                <w:color w:val="000000"/>
                <w:sz w:val="20"/>
              </w:rPr>
              <w:t>7. člen ZUTD določa javno objavo prostega delovnega mesta oz. vrste del pri zavodu.</w:t>
            </w:r>
          </w:p>
          <w:p w14:paraId="0379F39A" w14:textId="77777777" w:rsidR="00A77B3E" w:rsidRDefault="00B16CCF">
            <w:pPr>
              <w:spacing w:before="5pt"/>
              <w:rPr>
                <w:color w:val="000000"/>
                <w:sz w:val="20"/>
              </w:rPr>
            </w:pPr>
            <w:r>
              <w:rPr>
                <w:color w:val="000000"/>
                <w:sz w:val="20"/>
              </w:rPr>
              <w:t>16. člen v povezavi z 18. in 19. členom ZUTD določajo izvajanje informiranja brezposelnih o možnostih zaposlovanja.</w:t>
            </w:r>
          </w:p>
          <w:p w14:paraId="7883068D" w14:textId="77777777" w:rsidR="00A77B3E" w:rsidRDefault="00B16CCF">
            <w:pPr>
              <w:spacing w:before="5pt"/>
              <w:rPr>
                <w:color w:val="000000"/>
                <w:sz w:val="20"/>
              </w:rPr>
            </w:pPr>
            <w:r>
              <w:rPr>
                <w:color w:val="000000"/>
                <w:sz w:val="20"/>
              </w:rPr>
              <w:t>ZUTD v 36. členu določa podlage za izvajanje ukrepov APZ. Smernice APZ za plansko obdobje 5-letno obdobje, ki se je izkazalo za smiselno in sprejemljivo glede na hitro se spreminjajoči trg dela, je Vlada RS sprejela 7. 1. 2021 po predhodnem posvetovanju z ostalimi socialnimi partnerji, na podlagi programa državnih razvojnih prioritet in investicij ter drugih strateških dokumentov RS.</w:t>
            </w:r>
          </w:p>
          <w:p w14:paraId="559F447C" w14:textId="77777777" w:rsidR="00A77B3E" w:rsidRDefault="00B16CCF">
            <w:pPr>
              <w:spacing w:before="5pt"/>
              <w:rPr>
                <w:color w:val="000000"/>
                <w:sz w:val="20"/>
              </w:rPr>
            </w:pPr>
            <w:r>
              <w:rPr>
                <w:color w:val="000000"/>
                <w:sz w:val="20"/>
              </w:rPr>
              <w:t>Načrt APZ je pripravljen na podlagi Smernic APZ za proračunsko obdobje, ki ga na predlog MDDSZ sprejme Vlada RS. MDDSZ v medresorskem usklajevanju seznani socialne partnerje, ki lahko podajo mnenje.</w:t>
            </w:r>
          </w:p>
        </w:tc>
      </w:tr>
      <w:tr w:rsidR="00823317" w14:paraId="00EDDCF2"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BADE4B"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EE9D05"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0A7E04"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9137F3"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1C063F" w14:textId="77777777" w:rsidR="00A77B3E" w:rsidRDefault="00B16CCF">
            <w:pPr>
              <w:spacing w:before="5pt"/>
              <w:rPr>
                <w:color w:val="000000"/>
                <w:sz w:val="20"/>
              </w:rPr>
            </w:pPr>
            <w:r>
              <w:rPr>
                <w:color w:val="000000"/>
                <w:sz w:val="20"/>
              </w:rPr>
              <w:t>3. ureditve za zagotovitev, da njegova zasnova, izvajanje, spremljanje in pregled potekajo v tesnem sodelovanju z ustreznimi deležniki,</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2875BA" w14:textId="77777777" w:rsidR="00A77B3E" w:rsidRDefault="00B16CC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394E6A" w14:textId="77777777" w:rsidR="00A77B3E" w:rsidRDefault="00B16CCF">
            <w:pPr>
              <w:spacing w:before="5pt"/>
              <w:rPr>
                <w:color w:val="000000"/>
                <w:sz w:val="20"/>
              </w:rPr>
            </w:pPr>
            <w:r>
              <w:rPr>
                <w:color w:val="000000"/>
                <w:sz w:val="20"/>
              </w:rPr>
              <w:t xml:space="preserve">Smernice za izvajanje ukrepov aktivne politike zaposlovanja 2021-2025 (APZ): https://www.gov.si/teme/aktivna-politika-zaposlovanja/, </w:t>
            </w:r>
          </w:p>
          <w:p w14:paraId="79821D48" w14:textId="77777777" w:rsidR="00A77B3E" w:rsidRDefault="00B16CCF">
            <w:pPr>
              <w:spacing w:before="5pt"/>
              <w:rPr>
                <w:color w:val="000000"/>
                <w:sz w:val="20"/>
              </w:rPr>
            </w:pPr>
            <w:r>
              <w:rPr>
                <w:color w:val="000000"/>
                <w:sz w:val="20"/>
              </w:rPr>
              <w:t xml:space="preserve">2. Zakon o urejanju trga dela (ZUTD): http://pisrs.si/Pis.web/pregledPredpisa?id=ZAKO5840,  </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AA5F20" w14:textId="77777777" w:rsidR="00A77B3E" w:rsidRDefault="00B16CCF">
            <w:pPr>
              <w:spacing w:before="5pt"/>
              <w:rPr>
                <w:color w:val="000000"/>
                <w:sz w:val="20"/>
              </w:rPr>
            </w:pPr>
            <w:r>
              <w:rPr>
                <w:color w:val="000000"/>
                <w:sz w:val="20"/>
              </w:rPr>
              <w:t>ZUTD v 36. členu določa podlage za izvajanje ukrepov APZ. Smernice APZ za plansko obdobje 5-letno obdobje, ki se je izkazalo za smiselno in sprejemljivo glede na hitro se spreminjajoči trg dela, sprejme Vlada RS po predhodnem posvetovanju z ostalimi socialnimi partnerji, na podlagi programa državnih razvojnih prioritet in investicij ter drugih strateških dokumentov RS.</w:t>
            </w:r>
          </w:p>
          <w:p w14:paraId="16100DCB" w14:textId="77777777" w:rsidR="00A77B3E" w:rsidRDefault="00B16CCF">
            <w:pPr>
              <w:spacing w:before="5pt"/>
              <w:rPr>
                <w:color w:val="000000"/>
                <w:sz w:val="20"/>
              </w:rPr>
            </w:pPr>
            <w:r>
              <w:rPr>
                <w:color w:val="000000"/>
                <w:sz w:val="20"/>
              </w:rPr>
              <w:t>Načrt APZ je pripravljen na podlagi Smernic APZ za proračunsko obdobje, ki ga na predlog MDDSZ sprejme Vlada RS. MDDSZ v medresorskem usklajevanju seznani socialne partnerje, ki lahko podajo mnenje.</w:t>
            </w:r>
          </w:p>
        </w:tc>
      </w:tr>
      <w:tr w:rsidR="00823317" w14:paraId="51584289"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41EC3B"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1075BE"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81C4F3"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6D90B2"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54BE28" w14:textId="77777777" w:rsidR="00A77B3E" w:rsidRDefault="00B16CCF">
            <w:pPr>
              <w:spacing w:before="5pt"/>
              <w:rPr>
                <w:color w:val="000000"/>
                <w:sz w:val="20"/>
              </w:rPr>
            </w:pPr>
            <w:r>
              <w:rPr>
                <w:color w:val="000000"/>
                <w:sz w:val="20"/>
              </w:rPr>
              <w:t>4. ureditve spremljanja, vrednotenja in pregleda aktivnih politik trga dela,</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0FAE92" w14:textId="77777777" w:rsidR="00A77B3E" w:rsidRDefault="00B16CC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A8C6B1" w14:textId="77777777" w:rsidR="00A77B3E" w:rsidRDefault="00B16CCF">
            <w:pPr>
              <w:spacing w:before="5pt"/>
              <w:rPr>
                <w:color w:val="000000"/>
                <w:sz w:val="20"/>
              </w:rPr>
            </w:pPr>
            <w:r>
              <w:rPr>
                <w:color w:val="000000"/>
                <w:sz w:val="20"/>
              </w:rPr>
              <w:t xml:space="preserve">Smernice za izvajanje ukrepov aktivne politike zaposlovanja 2021-2025 (APZ): https://www.gov.si/teme/aktivna-politika-zaposlovanja/, </w:t>
            </w:r>
          </w:p>
          <w:p w14:paraId="08DB6239" w14:textId="77777777" w:rsidR="00A77B3E" w:rsidRDefault="00B16CCF">
            <w:pPr>
              <w:spacing w:before="5pt"/>
              <w:rPr>
                <w:color w:val="000000"/>
                <w:sz w:val="20"/>
              </w:rPr>
            </w:pPr>
            <w:r>
              <w:rPr>
                <w:color w:val="000000"/>
                <w:sz w:val="20"/>
              </w:rPr>
              <w:t xml:space="preserve">2. Zakon o urejanju trga dela (ZUTD): http://pisrs.si/Pis.web/pregledPredpisa?id=ZAKO5840, </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53EA2A" w14:textId="77777777" w:rsidR="00A77B3E" w:rsidRDefault="00B16CCF">
            <w:pPr>
              <w:spacing w:before="5pt"/>
              <w:rPr>
                <w:color w:val="000000"/>
                <w:sz w:val="20"/>
              </w:rPr>
            </w:pPr>
            <w:r>
              <w:rPr>
                <w:color w:val="000000"/>
                <w:sz w:val="20"/>
              </w:rPr>
              <w:t>Za namen spremljanja in vrednotenja učinkovitosti ukrepov APZ 2021–2025 je opredeljenih 10 kazalnikov, ki so skupaj z izhodiščnimi in ciljnimi vrednostmi navedeni za vsak cilj posebej.</w:t>
            </w:r>
          </w:p>
          <w:p w14:paraId="254B35B6" w14:textId="77777777" w:rsidR="00A77B3E" w:rsidRDefault="00B16CCF">
            <w:pPr>
              <w:spacing w:before="5pt"/>
              <w:rPr>
                <w:color w:val="000000"/>
                <w:sz w:val="20"/>
              </w:rPr>
            </w:pPr>
            <w:r>
              <w:rPr>
                <w:color w:val="000000"/>
                <w:sz w:val="20"/>
              </w:rPr>
              <w:t>Na podlagi 145. člena ZUTD, MDDSZ s poročilom o izvajanju ukrepov po tem zakonu enkrat letno seznani Vlado RS in ostale socialne partnerje. Poročila vsebujejo pregled stanja na trgu dela, opis posameznih ukrepov/programov in njihovo učinkovitost. S poročilom, ki ga sprejme Vlada RS, so predhodno seznanjeni tudi socialni partnerji (Ekonomsko-socialni svet), ki na poročilo lahko podajo svoje mnenje.</w:t>
            </w:r>
          </w:p>
        </w:tc>
      </w:tr>
      <w:tr w:rsidR="00823317" w14:paraId="5670F9BF"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FD5D2F"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EC9EA1"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8E5610"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8879E8"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B987CE" w14:textId="77777777" w:rsidR="00A77B3E" w:rsidRDefault="00B16CCF">
            <w:pPr>
              <w:spacing w:before="5pt"/>
              <w:rPr>
                <w:color w:val="000000"/>
                <w:sz w:val="20"/>
              </w:rPr>
            </w:pPr>
            <w:r>
              <w:rPr>
                <w:color w:val="000000"/>
                <w:sz w:val="20"/>
              </w:rPr>
              <w:t>5. za ukrepe za zaposlovanje mladih, z dokazi podprte in ciljno usmerjene načine doseganja mladih, ki niso zaposleni, se ne izobražujejo ali usposabljajo, vključno z ukrepi ozaveščanja, pri čemer ti načini temeljijo na zahtevah glede kakovosti, ob upoštevanju meril za kakovost vajeništev in pripravništev, tudi v okviru izvajanja shem jamstva za mlade;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9BD176" w14:textId="77777777" w:rsidR="00A77B3E" w:rsidRDefault="00B16CC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BF7DB8" w14:textId="77777777" w:rsidR="00A77B3E" w:rsidRDefault="00B16CCF">
            <w:pPr>
              <w:spacing w:before="5pt"/>
              <w:rPr>
                <w:color w:val="000000"/>
                <w:sz w:val="20"/>
              </w:rPr>
            </w:pPr>
            <w:r>
              <w:rPr>
                <w:color w:val="000000"/>
                <w:sz w:val="20"/>
              </w:rPr>
              <w:t xml:space="preserve">Smernice za izvajanje ukrepov aktivne politike zaposlovanja 2021-2025 (APZ): https://www.gov.si/teme/aktivna-politika-zaposlovanja/, </w:t>
            </w:r>
          </w:p>
          <w:p w14:paraId="65470496" w14:textId="77777777" w:rsidR="00A77B3E" w:rsidRDefault="00B16CCF">
            <w:pPr>
              <w:spacing w:before="5pt"/>
              <w:rPr>
                <w:color w:val="000000"/>
                <w:sz w:val="20"/>
              </w:rPr>
            </w:pPr>
            <w:r>
              <w:rPr>
                <w:color w:val="000000"/>
                <w:sz w:val="20"/>
              </w:rPr>
              <w:t>2. Nacionalni program za mladino 2013-2022: http://www.pisrs.si/Pis.web/pregledPredpisa?id=RESO93,</w:t>
            </w:r>
          </w:p>
          <w:p w14:paraId="7087DB5C" w14:textId="77777777" w:rsidR="00A77B3E" w:rsidRDefault="00B16CCF">
            <w:pPr>
              <w:spacing w:before="5pt"/>
              <w:rPr>
                <w:color w:val="000000"/>
                <w:sz w:val="20"/>
              </w:rPr>
            </w:pPr>
            <w:r>
              <w:rPr>
                <w:color w:val="000000"/>
                <w:sz w:val="20"/>
              </w:rPr>
              <w:t>3. Zakon o javnem interesu v mladinskem sektorju: http://www.pisrs.si/Pis.web/pregledPredpisa?id=ZAKO5834</w:t>
            </w:r>
          </w:p>
          <w:p w14:paraId="26F755B4" w14:textId="77777777" w:rsidR="00A77B3E" w:rsidRDefault="00A77B3E">
            <w:pPr>
              <w:spacing w:before="5pt"/>
              <w:rPr>
                <w:color w:val="000000"/>
                <w:sz w:val="20"/>
              </w:rPr>
            </w:pPr>
          </w:p>
          <w:p w14:paraId="799FA8D6" w14:textId="77777777" w:rsidR="00A77B3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1D20C2" w14:textId="77777777" w:rsidR="00A77B3E" w:rsidRDefault="00B16CCF">
            <w:pPr>
              <w:spacing w:before="5pt"/>
              <w:rPr>
                <w:color w:val="000000"/>
                <w:sz w:val="20"/>
              </w:rPr>
            </w:pPr>
            <w:r>
              <w:rPr>
                <w:color w:val="000000"/>
                <w:sz w:val="20"/>
              </w:rPr>
              <w:t>Jamstvo za mlade (JM) je po novem del Smernic APZ in predstavlja enega glavnih ciljev pri izvajanju APZ v obdobju 2021–2025. Cilj št. 3 Smernic APZ tako naslavlja hitro aktivacijo mladih, predvsem NEET na trgu dela.</w:t>
            </w:r>
          </w:p>
          <w:p w14:paraId="617EBEF7" w14:textId="77777777" w:rsidR="00A77B3E" w:rsidRDefault="00B16CCF">
            <w:pPr>
              <w:spacing w:before="5pt"/>
              <w:rPr>
                <w:color w:val="000000"/>
                <w:sz w:val="20"/>
              </w:rPr>
            </w:pPr>
            <w:r>
              <w:rPr>
                <w:color w:val="000000"/>
                <w:sz w:val="20"/>
              </w:rPr>
              <w:t xml:space="preserve">Preventivne in dodatne aktivnosti JM, ki niso del APZ in posredno vplivajo na uspešen prehod mladih na trg dela, so opredeljene v Nacionalnem programu za mladino 2013–2022. Skladno z določbo 16. člena Zakona o javnem interesu v mladinskem sektorju bo pripravljen nov program za naslednjih 9 let, v katerem bo oblikovan nov okvir aktivnosti za mlade, vključno s tistimi, ki podpirajo aktivnosti Jamstva za mlade. </w:t>
            </w:r>
          </w:p>
        </w:tc>
      </w:tr>
      <w:tr w:rsidR="00823317" w14:paraId="68ED895D"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2A036E" w14:textId="77777777" w:rsidR="00A77B3E" w:rsidRDefault="00B16CCF">
            <w:pPr>
              <w:spacing w:before="5pt"/>
              <w:rPr>
                <w:color w:val="000000"/>
                <w:sz w:val="20"/>
              </w:rPr>
            </w:pPr>
            <w:r>
              <w:rPr>
                <w:color w:val="000000"/>
                <w:sz w:val="20"/>
              </w:rPr>
              <w:t>4.3. Strateški okvir politike za sistem izobraževanja in usposabljanja na vseh ravneh</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D27425" w14:textId="77777777" w:rsidR="00A77B3E" w:rsidRDefault="00A77B3E">
            <w:pPr>
              <w:spacing w:before="5pt"/>
              <w:rPr>
                <w:color w:val="000000"/>
                <w:sz w:val="20"/>
              </w:rPr>
            </w:pPr>
          </w:p>
          <w:p w14:paraId="71BE7978" w14:textId="77777777" w:rsidR="00A77B3E" w:rsidRDefault="00B16CCF">
            <w:pPr>
              <w:spacing w:before="5pt"/>
              <w:rPr>
                <w:color w:val="000000"/>
                <w:sz w:val="20"/>
                <w:szCs w:val="20"/>
              </w:rPr>
            </w:pPr>
            <w:r>
              <w:rPr>
                <w:color w:val="000000"/>
                <w:sz w:val="20"/>
                <w:szCs w:val="20"/>
              </w:rPr>
              <w:t>ESS+</w:t>
            </w:r>
            <w:r>
              <w:rPr>
                <w:color w:val="000000"/>
                <w:sz w:val="20"/>
                <w:szCs w:val="20"/>
              </w:rPr>
              <w:br/>
              <w:t>ESRR</w:t>
            </w:r>
          </w:p>
          <w:p w14:paraId="3346DC1E"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77378D" w14:textId="77777777" w:rsidR="00A77B3E" w:rsidRDefault="00A77B3E">
            <w:pPr>
              <w:spacing w:before="5pt"/>
              <w:rPr>
                <w:color w:val="000000"/>
                <w:sz w:val="20"/>
              </w:rPr>
            </w:pPr>
          </w:p>
          <w:p w14:paraId="389AEF18" w14:textId="77777777" w:rsidR="00A77B3E" w:rsidRDefault="00B16CCF">
            <w:pPr>
              <w:spacing w:before="5pt"/>
              <w:rPr>
                <w:color w:val="000000"/>
                <w:sz w:val="20"/>
                <w:szCs w:val="20"/>
              </w:rPr>
            </w:pPr>
            <w:r>
              <w:rPr>
                <w:color w:val="000000"/>
                <w:sz w:val="20"/>
                <w:szCs w:val="20"/>
              </w:rPr>
              <w:t xml:space="preserve">ESO4.5. Izboljšanje kakovosti, vključenosti, učinkovitosti in ustreznosti sistemov izobraževanja in usposabljanja za potrebe trga dela, vključno z vrednotenjem neformalnega in priložnostnega učenja, da bi podprli pridobivanje </w:t>
            </w:r>
            <w:r>
              <w:rPr>
                <w:color w:val="000000"/>
                <w:sz w:val="20"/>
                <w:szCs w:val="20"/>
              </w:rPr>
              <w:lastRenderedPageBreak/>
              <w:t>ključnih kompetenc, tudi podjetniških in digitalnih veščin, ter s spodbujanjem uvedbe dualnih sistemov usposabljanja in vajeništev</w:t>
            </w:r>
            <w:r>
              <w:rPr>
                <w:color w:val="000000"/>
                <w:sz w:val="20"/>
                <w:szCs w:val="20"/>
              </w:rPr>
              <w:br/>
              <w:t>ESO4.7. Spodbujanje vseživljenjskega učenja, zlasti prožnih možnosti za izpopolnjevanje in prekvalifikacijo za vse, ob upoštevanju podjetniških in digitalnih veščin, boljše predvidevanje sprememb in zahtev po novih veščinah na podlagi potreb trga dela, olajševanje prehodov med delovnimi mesti in spodbujanje poklicne mobilnosti</w:t>
            </w:r>
            <w:r>
              <w:rPr>
                <w:color w:val="000000"/>
                <w:sz w:val="20"/>
                <w:szCs w:val="20"/>
              </w:rPr>
              <w:br/>
              <w:t xml:space="preserve">RSO4.2. Doslednejše zagotavljanje </w:t>
            </w:r>
            <w:r>
              <w:rPr>
                <w:color w:val="000000"/>
                <w:sz w:val="20"/>
                <w:szCs w:val="20"/>
              </w:rPr>
              <w:lastRenderedPageBreak/>
              <w:t>enakega dostopa do vključujočih in kakovostnih storitev na področju izobraževanja, usposabljanja in vseživljenjskega učenja z razvojem dostopne infrastrukture, tudi s krepitvijo odpornosti za izobraževanje in usposabljanje na daljavo in prek spleta</w:t>
            </w:r>
          </w:p>
          <w:p w14:paraId="2AD34183" w14:textId="77777777" w:rsidR="00A77B3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85179C" w14:textId="77777777" w:rsidR="00A77B3E" w:rsidRDefault="00B16CCF">
            <w:pPr>
              <w:spacing w:before="5pt"/>
              <w:jc w:val="center"/>
              <w:rPr>
                <w:color w:val="000000"/>
                <w:sz w:val="20"/>
              </w:rPr>
            </w:pPr>
            <w:r>
              <w:rPr>
                <w:color w:val="000000"/>
                <w:sz w:val="20"/>
              </w:rPr>
              <w:lastRenderedPageBreak/>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E7670E" w14:textId="77777777" w:rsidR="00A77B3E" w:rsidRDefault="00B16CCF">
            <w:pPr>
              <w:spacing w:before="5pt"/>
              <w:rPr>
                <w:color w:val="000000"/>
                <w:sz w:val="20"/>
              </w:rPr>
            </w:pPr>
            <w:r>
              <w:rPr>
                <w:color w:val="000000"/>
                <w:sz w:val="20"/>
              </w:rPr>
              <w:t>Vzpostavljen je nacionalni ali regionalni strateški okvir politike za sistem izobraževanja in usposabljanja, ki vključuje:1. sisteme za predvidevanje in napovedovanje potreb po znanjih in spretnostih, ki temeljijo na dokazih,</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696472" w14:textId="77777777" w:rsidR="00A77B3E" w:rsidRDefault="00B16CC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3F3385" w14:textId="77777777" w:rsidR="00A77B3E" w:rsidRDefault="00B16CCF">
            <w:pPr>
              <w:spacing w:before="5pt"/>
              <w:rPr>
                <w:color w:val="000000"/>
                <w:sz w:val="20"/>
              </w:rPr>
            </w:pPr>
            <w:r>
              <w:rPr>
                <w:color w:val="000000"/>
                <w:sz w:val="20"/>
              </w:rPr>
              <w:t>Strategija Zavoda RS za zaposlovanje do 2025, ki vsebuje povzetek Strategije https://www.ess.gov.si/_files/14928/Poslovni_nacrt_2022.pdf. Celoten samostojen dokument javno ni objavljen</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A84171" w14:textId="77777777" w:rsidR="00A77B3E" w:rsidRDefault="00B16CCF">
            <w:pPr>
              <w:spacing w:before="5pt"/>
              <w:rPr>
                <w:color w:val="000000"/>
                <w:sz w:val="20"/>
              </w:rPr>
            </w:pPr>
            <w:r>
              <w:rPr>
                <w:color w:val="000000"/>
                <w:sz w:val="20"/>
              </w:rPr>
              <w:t xml:space="preserve">V Sloveniji ježe razvit in vzpostavljen sistem za kratkoročno napovedovanje znanj in kompetenc prek dveh projektov: »Napovednik zaposlovanja« (ZRSZ dvakrat letno izvede napoved zaposlovanja, z namenom vpogleda v trende na trgu dela, pridobivanja ocene potreb in ugotavljanje vrzeli v zaposlovanju) in »Poklicni barometer« ( napoveduje razmerja med ponudbo in povpraševanjem na trgu dela za naslednje leto). Srednje in dolgoročno napovedovanje potreb bo delno razvito v okviru »Platforme za napovedovanje kompetenc« (faza 1), ki se izvaja s sredstvi ESS 2014–2020 do leta 2023. Nadaljnji razvoj (faza 2) se bo izvajal v obdobju 2021–2027. S sredstvi ESS+ je predvidena  vzpostavitev </w:t>
            </w:r>
            <w:r>
              <w:rPr>
                <w:color w:val="000000"/>
                <w:sz w:val="20"/>
              </w:rPr>
              <w:lastRenderedPageBreak/>
              <w:t>institucionalnega sodelovanja ključnih deležnikov za nadaljnji razvoj politik VŽU, VKO, politik štipendiranja in zaposlovanja.</w:t>
            </w:r>
          </w:p>
          <w:p w14:paraId="23E37ADF" w14:textId="77777777" w:rsidR="00A77B3E" w:rsidRDefault="00B16CCF">
            <w:pPr>
              <w:spacing w:before="5pt"/>
              <w:rPr>
                <w:color w:val="000000"/>
                <w:sz w:val="20"/>
              </w:rPr>
            </w:pPr>
            <w:r>
              <w:rPr>
                <w:color w:val="000000"/>
                <w:sz w:val="20"/>
              </w:rPr>
              <w:t>ZRSZ v svoji strategiji zaposlovanja načrtuje razvoj in implementacijo novega storitvenega modela z razvojem digitalnega poslovanja, prilagoditvijo procesov in pripravo zaposlenih za prehod na nov storitveni model in vzpostavitev dolgoročnejšega napovedovanja potreb na trgu dela s sodobno zaposlitveno platformo in novimi digitalnimi storitvami.</w:t>
            </w:r>
          </w:p>
        </w:tc>
      </w:tr>
      <w:tr w:rsidR="00823317" w14:paraId="33252467"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BB9224"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E27BB7"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B1196F"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299E20"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A4138E" w14:textId="77777777" w:rsidR="00A77B3E" w:rsidRDefault="00B16CCF">
            <w:pPr>
              <w:spacing w:before="5pt"/>
              <w:rPr>
                <w:color w:val="000000"/>
                <w:sz w:val="20"/>
              </w:rPr>
            </w:pPr>
            <w:r>
              <w:rPr>
                <w:color w:val="000000"/>
                <w:sz w:val="20"/>
              </w:rPr>
              <w:t>2. mehanizme in storitve za spremljanje diplomantov za kakovostno in učinkovito usmerjanje učencev vseh starosti,</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8F1804" w14:textId="77777777" w:rsidR="00A77B3E" w:rsidRDefault="00B16CC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98F45E" w14:textId="77777777" w:rsidR="00A77B3E" w:rsidRDefault="00B16CCF">
            <w:pPr>
              <w:spacing w:before="5pt"/>
              <w:rPr>
                <w:color w:val="000000"/>
                <w:sz w:val="20"/>
              </w:rPr>
            </w:pPr>
            <w:r>
              <w:rPr>
                <w:color w:val="000000"/>
                <w:sz w:val="20"/>
              </w:rPr>
              <w:t>Zakon o organizaciji in financiranju vzgoje in izobraževanja,</w:t>
            </w:r>
          </w:p>
          <w:p w14:paraId="4FE3ACB7" w14:textId="77777777" w:rsidR="00A77B3E" w:rsidRDefault="00B16CCF">
            <w:pPr>
              <w:spacing w:before="5pt"/>
              <w:rPr>
                <w:color w:val="000000"/>
                <w:sz w:val="20"/>
              </w:rPr>
            </w:pPr>
            <w:r>
              <w:rPr>
                <w:color w:val="000000"/>
                <w:sz w:val="20"/>
              </w:rPr>
              <w:t>Zakon o usmerjanju otrok s posebnimi potrebami,</w:t>
            </w:r>
          </w:p>
          <w:p w14:paraId="6C65B7E7" w14:textId="77777777" w:rsidR="00A77B3E" w:rsidRDefault="00B16CCF">
            <w:pPr>
              <w:spacing w:before="5pt"/>
              <w:rPr>
                <w:color w:val="000000"/>
                <w:sz w:val="20"/>
              </w:rPr>
            </w:pPr>
            <w:r>
              <w:rPr>
                <w:color w:val="000000"/>
                <w:sz w:val="20"/>
              </w:rPr>
              <w:t>Zakon o visokem šolstvu,</w:t>
            </w:r>
          </w:p>
          <w:p w14:paraId="154D0771" w14:textId="77777777" w:rsidR="00A77B3E" w:rsidRDefault="00B16CCF">
            <w:pPr>
              <w:spacing w:before="5pt"/>
              <w:rPr>
                <w:color w:val="000000"/>
                <w:sz w:val="20"/>
              </w:rPr>
            </w:pPr>
            <w:r>
              <w:rPr>
                <w:color w:val="000000"/>
                <w:sz w:val="20"/>
              </w:rPr>
              <w:t>Zakon o izobraževanju odraslih,</w:t>
            </w:r>
          </w:p>
          <w:p w14:paraId="47232A87" w14:textId="77777777" w:rsidR="00A77B3E" w:rsidRDefault="00B16CCF">
            <w:pPr>
              <w:spacing w:before="5pt"/>
              <w:rPr>
                <w:color w:val="000000"/>
                <w:sz w:val="20"/>
              </w:rPr>
            </w:pPr>
            <w:r>
              <w:rPr>
                <w:color w:val="000000"/>
                <w:sz w:val="20"/>
              </w:rPr>
              <w:t>Strategija višjega strokovnega izobraževanja 20-30,</w:t>
            </w:r>
          </w:p>
          <w:p w14:paraId="2B236AE4" w14:textId="77777777" w:rsidR="00A77B3E" w:rsidRDefault="00B16CCF">
            <w:pPr>
              <w:spacing w:before="5pt"/>
              <w:rPr>
                <w:color w:val="000000"/>
                <w:sz w:val="20"/>
              </w:rPr>
            </w:pPr>
            <w:r>
              <w:rPr>
                <w:color w:val="000000"/>
                <w:sz w:val="20"/>
              </w:rPr>
              <w:t>Resolucija o nacionalnem programu visokega šolstva do  šolstva do 2030,</w:t>
            </w:r>
          </w:p>
          <w:p w14:paraId="08C86B3F" w14:textId="77777777" w:rsidR="00A77B3E" w:rsidRDefault="00B16CCF">
            <w:pPr>
              <w:spacing w:before="5pt"/>
              <w:rPr>
                <w:color w:val="000000"/>
                <w:sz w:val="20"/>
              </w:rPr>
            </w:pPr>
            <w:r>
              <w:rPr>
                <w:color w:val="000000"/>
                <w:sz w:val="20"/>
              </w:rPr>
              <w:t>Resolucija o nacionalnem programu izobraževanja odraslih v Republiki Sloveniji za obdobje 2022-2030,</w:t>
            </w:r>
          </w:p>
          <w:p w14:paraId="0BC70F21" w14:textId="77777777" w:rsidR="00A77B3E" w:rsidRDefault="00B16CCF">
            <w:pPr>
              <w:spacing w:before="5pt"/>
              <w:rPr>
                <w:color w:val="000000"/>
                <w:sz w:val="20"/>
              </w:rPr>
            </w:pPr>
            <w:r>
              <w:rPr>
                <w:color w:val="000000"/>
                <w:sz w:val="20"/>
              </w:rPr>
              <w:t>ter druga zakonodaja s področja vzgoje in izobraževanja.</w:t>
            </w:r>
          </w:p>
          <w:p w14:paraId="6E9C2426" w14:textId="77777777" w:rsidR="00A77B3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23CAB9" w14:textId="77777777" w:rsidR="00A77B3E" w:rsidRDefault="00B16CCF">
            <w:pPr>
              <w:spacing w:before="5pt"/>
              <w:rPr>
                <w:color w:val="000000"/>
                <w:sz w:val="20"/>
              </w:rPr>
            </w:pPr>
            <w:r>
              <w:rPr>
                <w:color w:val="000000"/>
                <w:sz w:val="20"/>
              </w:rPr>
              <w:t xml:space="preserve">Ministrstvo lahko v skladu z zakonodajo (ZOFVI) za namene statistične in znanstveno-raziskovalne analize pridobiva podatke o zaposljivosti dijakov in diplomantov višjih šol, ki so zaključili izobraževalni program oziroma diplomirali v preteklih petih letih (podatke za zaposlene in  brezposelne osebe). Vzpostavljen je tudi evidenčni in analitski informacijski sistem visokega šolstva v Republiki Sloveniji (e-VŠ), katerega modul »Izpisi« je del sistema spremljanja zaposljivosti visokošolskih diplomantov (ZVis). Za kakovostno in učinkovito svetovanje ter vodenje kariere učencev vseh starosti zakonodaja opredeljuje naloge svetovalnih služb na celotni vertikali izobraževanja, vključno s poklicnim svetovanjem v sodelovanju z ZRSZ ter pripravo in izvajanjem individualiziranih programov za otroke s posebnimi potrebami. Na področju </w:t>
            </w:r>
            <w:r>
              <w:rPr>
                <w:color w:val="000000"/>
                <w:sz w:val="20"/>
              </w:rPr>
              <w:lastRenderedPageBreak/>
              <w:t>izobraževanja odraslih (ZIO-1) se izvaja svetovalna dejavnost, kjer se usmerja odrasle k dokumentiranju pridobljenih kompetenc pri neformalnem in priložnostnem učenju, za osebni razvoj, nadaljnje izobraževanje in vključevanje na trg dela. V okviru EKP 2021-2027 pa je predviden še razvoj kariernega svetovanja.</w:t>
            </w:r>
          </w:p>
        </w:tc>
      </w:tr>
      <w:tr w:rsidR="00823317" w14:paraId="68115992"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F24D60"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8F1A12"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E7CEDF"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F832E7"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C5A55B" w14:textId="77777777" w:rsidR="00A77B3E" w:rsidRDefault="00B16CCF">
            <w:pPr>
              <w:spacing w:before="5pt"/>
              <w:rPr>
                <w:color w:val="000000"/>
                <w:sz w:val="20"/>
              </w:rPr>
            </w:pPr>
            <w:r>
              <w:rPr>
                <w:color w:val="000000"/>
                <w:sz w:val="20"/>
              </w:rPr>
              <w:t>3. ukrepe za zagotavljanje enakega dostopa do kakovostnega, cenovno sprejemljivega, ustreznega, nesegregiranega in vključujočega izobraževanja in usposabljanja ter udeležbe v njem in njegove zaključitve, hkrati pa pridobivanje ključnih kompetenc na vseh ravneh, vključno s terciarnim izobraževanjem,</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655AF1" w14:textId="77777777" w:rsidR="00A77B3E" w:rsidRDefault="00B16CC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5EA2F3" w14:textId="77777777" w:rsidR="00A77B3E" w:rsidRDefault="00B16CCF">
            <w:pPr>
              <w:spacing w:before="5pt"/>
              <w:rPr>
                <w:color w:val="000000"/>
                <w:sz w:val="20"/>
              </w:rPr>
            </w:pPr>
            <w:r>
              <w:rPr>
                <w:color w:val="000000"/>
                <w:sz w:val="20"/>
              </w:rPr>
              <w:t>Bela knjiga o vzgoji in izobraževanju v Republiki Sloveniji,</w:t>
            </w:r>
          </w:p>
          <w:p w14:paraId="5C9DFE1F" w14:textId="77777777" w:rsidR="00A77B3E" w:rsidRDefault="00B16CCF">
            <w:pPr>
              <w:spacing w:before="5pt"/>
              <w:rPr>
                <w:color w:val="000000"/>
                <w:sz w:val="20"/>
              </w:rPr>
            </w:pPr>
            <w:r>
              <w:rPr>
                <w:color w:val="000000"/>
                <w:sz w:val="20"/>
              </w:rPr>
              <w:t>Področna zakonodaja, ki opredeljuje posamezno raven izobraževanja,</w:t>
            </w:r>
          </w:p>
          <w:p w14:paraId="342ACDCB" w14:textId="77777777" w:rsidR="00A77B3E" w:rsidRDefault="00B16CCF">
            <w:pPr>
              <w:spacing w:before="5pt"/>
              <w:rPr>
                <w:color w:val="000000"/>
                <w:sz w:val="20"/>
              </w:rPr>
            </w:pPr>
            <w:r>
              <w:rPr>
                <w:color w:val="000000"/>
                <w:sz w:val="20"/>
              </w:rPr>
              <w:t>Strategija višjega strokovnega izobraževanja 20-30,</w:t>
            </w:r>
          </w:p>
          <w:p w14:paraId="6925B91D" w14:textId="77777777" w:rsidR="00A77B3E" w:rsidRDefault="00B16CCF">
            <w:pPr>
              <w:spacing w:before="5pt"/>
              <w:rPr>
                <w:color w:val="000000"/>
                <w:sz w:val="20"/>
              </w:rPr>
            </w:pPr>
            <w:r>
              <w:rPr>
                <w:color w:val="000000"/>
                <w:sz w:val="20"/>
              </w:rPr>
              <w:t>Resolucija o nacionalnem programu visokega šolstva do  šolstva do 2030,</w:t>
            </w:r>
          </w:p>
          <w:p w14:paraId="673B7B9A" w14:textId="77777777" w:rsidR="00A77B3E" w:rsidRDefault="00B16CCF">
            <w:pPr>
              <w:spacing w:before="5pt"/>
              <w:rPr>
                <w:color w:val="000000"/>
                <w:sz w:val="20"/>
              </w:rPr>
            </w:pPr>
            <w:r>
              <w:rPr>
                <w:color w:val="000000"/>
                <w:sz w:val="20"/>
              </w:rPr>
              <w:t xml:space="preserve">Resolucija o nacionalnem programu izobraževanja odraslih v Republiki Sloveniji za obdobje 2022–2030 </w:t>
            </w:r>
          </w:p>
          <w:p w14:paraId="7001BCA0" w14:textId="77777777" w:rsidR="00A77B3E" w:rsidRDefault="00B16CCF">
            <w:pPr>
              <w:spacing w:before="5pt"/>
              <w:rPr>
                <w:color w:val="000000"/>
                <w:sz w:val="20"/>
              </w:rPr>
            </w:pPr>
            <w:r>
              <w:rPr>
                <w:color w:val="000000"/>
                <w:sz w:val="20"/>
              </w:rPr>
              <w:t>Merila za izbiro kandidatov v primeru omejitve vpisa v programe srednjega poklicnega izobraževanja, srednjega strokovnega in tehniškega izobraževanja ter gimnazij</w:t>
            </w:r>
          </w:p>
          <w:p w14:paraId="0DAE45BB" w14:textId="77777777" w:rsidR="00A77B3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B5D74B" w14:textId="77777777" w:rsidR="00A77B3E" w:rsidRDefault="00B16CCF">
            <w:pPr>
              <w:spacing w:before="5pt"/>
              <w:rPr>
                <w:color w:val="000000"/>
                <w:sz w:val="20"/>
              </w:rPr>
            </w:pPr>
            <w:r>
              <w:rPr>
                <w:color w:val="000000"/>
                <w:sz w:val="20"/>
              </w:rPr>
              <w:t xml:space="preserve">Področna zakonodaja kot ključne cilje vzgoje in izobraževanja opredeljuje: zagotavljanje optimalnega razvoja, razvijanje enakih možnosti za vse vsakega ne glede na osebne okoliščine z upoštevanjem razvojnih zakonitosti posameznika, zagotavljanje splošne izobrazbe in pridobivanja poklica ter zagotavljanje najvišje možne stopnje kakovostne izobrazbe čim večjemu deležu prebivalstva. V primeru omejitve vpisa veljajo za vse kandidate enaka merila. Navedene resolucije in strategije, ki so bile že sprejete, vključujejo dodatne ukrepe zagotavljanja enakega dostopa do kakovostnega, ustreznega ter vključujočega izobraževanja in usposabljanja. Na področju pridobivanja in krepitve ključnih kompetenc so cilji izobraževanja predvsem vzgajati za medsebojno strpnost, spodbujati zavest o enakosti spolov, razvoj kompetenc za aktivno sodelovanje v demokratični družbi, vzgoja za trajnostni razvoj. Vsakdo ima torej pravico do kakovostne vzgoje in izobraževanja za vseživljenjsko učenje, stalni osebni in strokovni razvoj, katerega cilj je </w:t>
            </w:r>
            <w:r>
              <w:rPr>
                <w:color w:val="000000"/>
                <w:sz w:val="20"/>
              </w:rPr>
              <w:lastRenderedPageBreak/>
              <w:t>razvijanje ključnih zmožnosti oziroma znanj.</w:t>
            </w:r>
          </w:p>
        </w:tc>
      </w:tr>
      <w:tr w:rsidR="00823317" w14:paraId="6E6B1BC3"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A623A8"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B2DA46"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6C54D2"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FEC845"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55B995" w14:textId="77777777" w:rsidR="00A77B3E" w:rsidRDefault="00B16CCF">
            <w:pPr>
              <w:spacing w:before="5pt"/>
              <w:rPr>
                <w:color w:val="000000"/>
                <w:sz w:val="20"/>
              </w:rPr>
            </w:pPr>
            <w:r>
              <w:rPr>
                <w:color w:val="000000"/>
                <w:sz w:val="20"/>
              </w:rPr>
              <w:t>4. mehanizem usklajevanja, ki zajema vse ravni izobraževanja in usposabljanja, vključno s terciarnim izobraževanjem, in jasno razdelitev pristojnosti med zadevnimi nacionalnimi in/ali regionalnimi telesi,</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BD8403" w14:textId="77777777" w:rsidR="00A77B3E" w:rsidRDefault="00B16CC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7E3CBC" w14:textId="77777777" w:rsidR="00A77B3E" w:rsidRDefault="00B16CCF">
            <w:pPr>
              <w:spacing w:before="5pt"/>
              <w:rPr>
                <w:color w:val="000000"/>
                <w:sz w:val="20"/>
              </w:rPr>
            </w:pPr>
            <w:r>
              <w:rPr>
                <w:color w:val="000000"/>
                <w:sz w:val="20"/>
              </w:rPr>
              <w:t>Zakon o organizaciji in financiranju vzgoje in izobraževanja,</w:t>
            </w:r>
          </w:p>
          <w:p w14:paraId="44ECC360" w14:textId="77777777" w:rsidR="00A77B3E" w:rsidRDefault="00B16CCF">
            <w:pPr>
              <w:spacing w:before="5pt"/>
              <w:rPr>
                <w:color w:val="000000"/>
                <w:sz w:val="20"/>
              </w:rPr>
            </w:pPr>
            <w:r>
              <w:rPr>
                <w:color w:val="000000"/>
                <w:sz w:val="20"/>
              </w:rPr>
              <w:t>Zakon o visokem šolstvu,</w:t>
            </w:r>
          </w:p>
          <w:p w14:paraId="4A1013DD" w14:textId="77777777" w:rsidR="00A77B3E" w:rsidRDefault="00B16CCF">
            <w:pPr>
              <w:spacing w:before="5pt"/>
              <w:rPr>
                <w:color w:val="000000"/>
                <w:sz w:val="20"/>
              </w:rPr>
            </w:pPr>
            <w:r>
              <w:rPr>
                <w:color w:val="000000"/>
                <w:sz w:val="20"/>
              </w:rPr>
              <w:t xml:space="preserve">Resolucija o nacionalnem programu izobraževanja odraslih v Republiki Sloveniji za obdobje 2022–2030 </w:t>
            </w:r>
          </w:p>
          <w:p w14:paraId="65D6E4E4" w14:textId="77777777" w:rsidR="00A77B3E" w:rsidRDefault="00B16CCF">
            <w:pPr>
              <w:spacing w:before="5pt"/>
              <w:rPr>
                <w:color w:val="000000"/>
                <w:sz w:val="20"/>
              </w:rPr>
            </w:pPr>
            <w:r>
              <w:rPr>
                <w:color w:val="000000"/>
                <w:sz w:val="20"/>
              </w:rPr>
              <w:t>.</w:t>
            </w:r>
          </w:p>
          <w:p w14:paraId="0017F658" w14:textId="77777777" w:rsidR="00A77B3E" w:rsidRDefault="00A77B3E">
            <w:pPr>
              <w:spacing w:before="5pt"/>
              <w:rPr>
                <w:color w:val="000000"/>
                <w:sz w:val="20"/>
              </w:rPr>
            </w:pPr>
          </w:p>
          <w:p w14:paraId="32523695" w14:textId="77777777" w:rsidR="00A77B3E" w:rsidRDefault="00B16CCF">
            <w:pPr>
              <w:spacing w:before="5pt"/>
              <w:rPr>
                <w:color w:val="000000"/>
                <w:sz w:val="20"/>
              </w:rPr>
            </w:pPr>
            <w:r>
              <w:rPr>
                <w:color w:val="000000"/>
                <w:sz w:val="20"/>
              </w:rPr>
              <w:t>Sklep o ustanovitvi in nalogah Sveta Vlade Republike Slovenije za študentska vprašanj</w:t>
            </w:r>
          </w:p>
          <w:p w14:paraId="1704B6D8" w14:textId="77777777" w:rsidR="00A77B3E" w:rsidRDefault="00A77B3E">
            <w:pPr>
              <w:spacing w:before="5pt"/>
              <w:rPr>
                <w:color w:val="000000"/>
                <w:sz w:val="20"/>
              </w:rPr>
            </w:pPr>
          </w:p>
          <w:p w14:paraId="2AE72CE0" w14:textId="77777777" w:rsidR="00A77B3E" w:rsidRDefault="00B16CCF">
            <w:pPr>
              <w:spacing w:before="5pt"/>
              <w:rPr>
                <w:color w:val="000000"/>
                <w:sz w:val="20"/>
              </w:rPr>
            </w:pPr>
            <w:r>
              <w:rPr>
                <w:color w:val="000000"/>
                <w:sz w:val="20"/>
              </w:rPr>
              <w:t>ter druga zakonodaja s področja vzgoje in izobraževanja</w:t>
            </w:r>
          </w:p>
          <w:p w14:paraId="01B14DE4" w14:textId="77777777" w:rsidR="00A77B3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05E65E" w14:textId="77777777" w:rsidR="00A77B3E" w:rsidRDefault="00B16CCF">
            <w:pPr>
              <w:spacing w:before="5pt"/>
              <w:rPr>
                <w:color w:val="000000"/>
                <w:sz w:val="20"/>
              </w:rPr>
            </w:pPr>
            <w:r>
              <w:rPr>
                <w:color w:val="000000"/>
                <w:sz w:val="20"/>
              </w:rPr>
              <w:t>Zakonodaja in podzakonski akti določajo organe, njihove pristojnosti, vodenje postopkov za pripravo javno veljavnih izobraževalnih programov in jasno razmejitev pristojnosti med organi.</w:t>
            </w:r>
          </w:p>
          <w:p w14:paraId="1F636305" w14:textId="77777777" w:rsidR="00A77B3E" w:rsidRDefault="00A77B3E">
            <w:pPr>
              <w:spacing w:before="5pt"/>
              <w:rPr>
                <w:color w:val="000000"/>
                <w:sz w:val="20"/>
              </w:rPr>
            </w:pPr>
          </w:p>
          <w:p w14:paraId="42DA6A22" w14:textId="77777777" w:rsidR="00A77B3E" w:rsidRDefault="00B16CCF">
            <w:pPr>
              <w:spacing w:before="5pt"/>
              <w:rPr>
                <w:color w:val="000000"/>
                <w:sz w:val="20"/>
              </w:rPr>
            </w:pPr>
            <w:r>
              <w:rPr>
                <w:color w:val="000000"/>
                <w:sz w:val="20"/>
              </w:rPr>
              <w:t>ZOFVI jasno opredeljuje vlogo strokovnih svetov za splošno in poklicno ter strokovno izobraževanje ter izobraževanje odraslih. Strokovni svet Republike Slovenije za splošno izobraževanje med drugim določa in daje mnenje k programom na področju poklicnega in strokovnega izobraževanja za pripadnike italijanske in madžarske narodne skupnosti ter k predmetnim in izpitnim katalogom znanj v delu, ki se nanaša na splošnoizobraževalne predmete oziroma vsebine v poklicnem oziroma strokovnem izobraževanju. Na področju visokega šolstva je Svet za visoko šolstvo posvetovalni organ ministra, ki spremlja vsa področja izobraževanja in skrbi za skladnost in usklajenost vseh ravni izobraževanja in usposabljanja. Svet za visoko šolstvo pri svojem delu sodeluje s strokovnimi sveti za posamezna področja vzgoje in izobraževanja ter znanosti in tehnologije in Nacionalno agencijo Republike Slovenije za kakovost v visokem šolstvu (NAKVIS).</w:t>
            </w:r>
          </w:p>
          <w:p w14:paraId="50267534" w14:textId="77777777" w:rsidR="00A77B3E" w:rsidRDefault="00A77B3E">
            <w:pPr>
              <w:spacing w:before="5pt"/>
              <w:rPr>
                <w:color w:val="000000"/>
                <w:sz w:val="20"/>
              </w:rPr>
            </w:pPr>
          </w:p>
        </w:tc>
      </w:tr>
      <w:tr w:rsidR="00823317" w14:paraId="00A87510"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14F9CF"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C03851"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3D4527"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92DF2D"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88C4C5" w14:textId="77777777" w:rsidR="00A77B3E" w:rsidRDefault="00B16CCF">
            <w:pPr>
              <w:spacing w:before="5pt"/>
              <w:rPr>
                <w:color w:val="000000"/>
                <w:sz w:val="20"/>
              </w:rPr>
            </w:pPr>
            <w:r>
              <w:rPr>
                <w:color w:val="000000"/>
                <w:sz w:val="20"/>
              </w:rPr>
              <w:t>5. ureditve spremljanja, vrednotenja in pregleda strateškega okvira politike,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F1AA7C" w14:textId="77777777" w:rsidR="00A77B3E" w:rsidRDefault="00B16CC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2626A0" w14:textId="77777777" w:rsidR="00A77B3E" w:rsidRDefault="00B16CCF">
            <w:pPr>
              <w:spacing w:before="5pt"/>
              <w:rPr>
                <w:color w:val="000000"/>
                <w:sz w:val="20"/>
              </w:rPr>
            </w:pPr>
            <w:r>
              <w:rPr>
                <w:color w:val="000000"/>
                <w:sz w:val="20"/>
              </w:rPr>
              <w:t>Zakon o organizaciji in financiranju vzgoje in izobraževanja</w:t>
            </w:r>
          </w:p>
          <w:p w14:paraId="39A477DB" w14:textId="77777777" w:rsidR="00A77B3E" w:rsidRDefault="00A77B3E">
            <w:pPr>
              <w:spacing w:before="5pt"/>
              <w:rPr>
                <w:color w:val="000000"/>
                <w:sz w:val="20"/>
              </w:rPr>
            </w:pPr>
          </w:p>
          <w:p w14:paraId="7596DB15" w14:textId="77777777" w:rsidR="00A77B3E" w:rsidRDefault="00B16CCF">
            <w:pPr>
              <w:spacing w:before="5pt"/>
              <w:rPr>
                <w:color w:val="000000"/>
                <w:sz w:val="20"/>
              </w:rPr>
            </w:pPr>
            <w:r>
              <w:rPr>
                <w:color w:val="000000"/>
                <w:sz w:val="20"/>
              </w:rPr>
              <w:t>Nacionalni okvir za ugotavljanje in zagotavljanje kakovosti na področju vzgoje in izobraževanja</w:t>
            </w:r>
          </w:p>
          <w:p w14:paraId="375F9C41" w14:textId="77777777" w:rsidR="00A77B3E" w:rsidRDefault="00A77B3E">
            <w:pPr>
              <w:spacing w:before="5pt"/>
              <w:rPr>
                <w:color w:val="000000"/>
                <w:sz w:val="20"/>
              </w:rPr>
            </w:pPr>
          </w:p>
          <w:p w14:paraId="69FA4B8B" w14:textId="77777777" w:rsidR="00A77B3E" w:rsidRDefault="00B16CCF">
            <w:pPr>
              <w:spacing w:before="5pt"/>
              <w:rPr>
                <w:color w:val="000000"/>
                <w:sz w:val="20"/>
              </w:rPr>
            </w:pPr>
            <w:r>
              <w:rPr>
                <w:color w:val="000000"/>
                <w:sz w:val="20"/>
              </w:rPr>
              <w:t>Zakon o poklicnem in strokovnem izobraževanju</w:t>
            </w:r>
          </w:p>
          <w:p w14:paraId="4230FCD8" w14:textId="77777777" w:rsidR="00A77B3E" w:rsidRDefault="00A77B3E">
            <w:pPr>
              <w:spacing w:before="5pt"/>
              <w:rPr>
                <w:color w:val="000000"/>
                <w:sz w:val="20"/>
              </w:rPr>
            </w:pPr>
          </w:p>
          <w:p w14:paraId="6C60D324" w14:textId="77777777" w:rsidR="00A77B3E" w:rsidRDefault="00B16CCF">
            <w:pPr>
              <w:spacing w:before="5pt"/>
              <w:rPr>
                <w:color w:val="000000"/>
                <w:sz w:val="20"/>
              </w:rPr>
            </w:pPr>
            <w:r>
              <w:rPr>
                <w:color w:val="000000"/>
                <w:sz w:val="20"/>
              </w:rPr>
              <w:t>Zakon o višjem strokovnem izobraževanju</w:t>
            </w:r>
          </w:p>
          <w:p w14:paraId="599102C3" w14:textId="77777777" w:rsidR="00A77B3E" w:rsidRDefault="00A77B3E">
            <w:pPr>
              <w:spacing w:before="5pt"/>
              <w:rPr>
                <w:color w:val="000000"/>
                <w:sz w:val="20"/>
              </w:rPr>
            </w:pPr>
          </w:p>
          <w:p w14:paraId="2B23E841" w14:textId="77777777" w:rsidR="00A77B3E" w:rsidRDefault="00B16CCF">
            <w:pPr>
              <w:spacing w:before="5pt"/>
              <w:rPr>
                <w:color w:val="000000"/>
                <w:sz w:val="20"/>
              </w:rPr>
            </w:pPr>
            <w:r>
              <w:rPr>
                <w:color w:val="000000"/>
                <w:sz w:val="20"/>
              </w:rPr>
              <w:t>Zakon o visokem šolstvu</w:t>
            </w:r>
          </w:p>
          <w:p w14:paraId="1B91D14B" w14:textId="77777777" w:rsidR="00A77B3E" w:rsidRDefault="00A77B3E">
            <w:pPr>
              <w:spacing w:before="5pt"/>
              <w:rPr>
                <w:color w:val="000000"/>
                <w:sz w:val="20"/>
              </w:rPr>
            </w:pPr>
          </w:p>
          <w:p w14:paraId="4416EF41" w14:textId="77777777" w:rsidR="00A77B3E" w:rsidRDefault="00B16CCF">
            <w:pPr>
              <w:spacing w:before="5pt"/>
              <w:rPr>
                <w:color w:val="000000"/>
                <w:sz w:val="20"/>
              </w:rPr>
            </w:pPr>
            <w:r>
              <w:rPr>
                <w:color w:val="000000"/>
                <w:sz w:val="20"/>
              </w:rPr>
              <w:t>Zakon o izobraževanju odraslih</w:t>
            </w:r>
          </w:p>
          <w:p w14:paraId="3EE5759E" w14:textId="77777777" w:rsidR="00A77B3E" w:rsidRDefault="00A77B3E">
            <w:pPr>
              <w:spacing w:before="5pt"/>
              <w:rPr>
                <w:color w:val="000000"/>
                <w:sz w:val="20"/>
              </w:rPr>
            </w:pPr>
          </w:p>
          <w:p w14:paraId="03DE028C" w14:textId="77777777" w:rsidR="00A77B3E" w:rsidRDefault="00B16CCF">
            <w:pPr>
              <w:spacing w:before="5pt"/>
              <w:rPr>
                <w:color w:val="000000"/>
                <w:sz w:val="20"/>
              </w:rPr>
            </w:pPr>
            <w:r>
              <w:rPr>
                <w:color w:val="000000"/>
                <w:sz w:val="20"/>
              </w:rPr>
              <w:t xml:space="preserve">Resolucija o nacionalnem programu visokega šolstva do  šolstva do 2030 </w:t>
            </w:r>
          </w:p>
          <w:p w14:paraId="771467A8" w14:textId="77777777" w:rsidR="00A77B3E" w:rsidRDefault="00A77B3E">
            <w:pPr>
              <w:spacing w:before="5pt"/>
              <w:rPr>
                <w:color w:val="000000"/>
                <w:sz w:val="20"/>
              </w:rPr>
            </w:pPr>
          </w:p>
          <w:p w14:paraId="64D99E13" w14:textId="77777777" w:rsidR="00A77B3E" w:rsidRDefault="00B16CCF">
            <w:pPr>
              <w:spacing w:before="5pt"/>
              <w:rPr>
                <w:color w:val="000000"/>
                <w:sz w:val="20"/>
              </w:rPr>
            </w:pPr>
            <w:r>
              <w:rPr>
                <w:color w:val="000000"/>
                <w:sz w:val="20"/>
              </w:rPr>
              <w:t>Resolucija o nacionalnem programu izobraževanja odraslih v Republiki Sloveniji za obdobje 2022–2030</w:t>
            </w:r>
          </w:p>
          <w:p w14:paraId="0B923D76" w14:textId="77777777" w:rsidR="00A77B3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4C8354" w14:textId="77777777" w:rsidR="00A77B3E" w:rsidRDefault="00B16CCF">
            <w:pPr>
              <w:spacing w:before="5pt"/>
              <w:rPr>
                <w:color w:val="000000"/>
                <w:sz w:val="20"/>
              </w:rPr>
            </w:pPr>
            <w:r>
              <w:rPr>
                <w:color w:val="000000"/>
                <w:sz w:val="20"/>
              </w:rPr>
              <w:t xml:space="preserve">Sistem ugotavljanja in zagotavljanja kakovosti izobraževanja temelji na notranjem presojanju kakovosti oziroma samoevalvaciji vzgojno-izobraževalnih organizacij. Vzporedno z obstoječo samoevalvacijo bodo ohranjene različne oblike zunanje evalvacije, ki so že v veljavi (Inšpektorat RS za šolstvo in šport, nacionalna preverjanja znanja, (poklicna) matura, mednarodno primerjalno ugotavljanje dosežkov učencev na posamičnih področjih učenja prek mednarodnih raziskav, nacionalne evalvacijske študije, postopki posodabljanja vzgojno-izobraževalnega dela). </w:t>
            </w:r>
          </w:p>
          <w:p w14:paraId="0656EE7B" w14:textId="77777777" w:rsidR="00A77B3E" w:rsidRDefault="00A77B3E">
            <w:pPr>
              <w:spacing w:before="5pt"/>
              <w:rPr>
                <w:color w:val="000000"/>
                <w:sz w:val="20"/>
              </w:rPr>
            </w:pPr>
          </w:p>
          <w:p w14:paraId="5007AAAA" w14:textId="77777777" w:rsidR="00A77B3E" w:rsidRDefault="00B16CCF">
            <w:pPr>
              <w:spacing w:before="5pt"/>
              <w:rPr>
                <w:color w:val="000000"/>
                <w:sz w:val="20"/>
              </w:rPr>
            </w:pPr>
            <w:r>
              <w:rPr>
                <w:color w:val="000000"/>
                <w:sz w:val="20"/>
              </w:rPr>
              <w:t>Svet za kakovost in evalvacije (ZOFVI) skrbi za ugotavljanje in zagotavljanje kakovosti v vrtcih in šolah na nacionalni ravni, na področju visokega šolstva, ZVSI določa Komisijo za spremljanje in zagotavljanje kakovosti višjih strokovnih šol, v skladu z ZVis pa kakovost visokošolskih zavodov in študijskih programov ocenjujejo visokošolski zavodi (samoevalvacija) in NAKVIS (zunanja evalvacija). S slednjimi med drugim zagotavlja usklajenost   visokošolskega in višjega strokovnega izobraževanja.</w:t>
            </w:r>
          </w:p>
          <w:p w14:paraId="512B2E9F" w14:textId="77777777" w:rsidR="00A77B3E" w:rsidRDefault="00A77B3E">
            <w:pPr>
              <w:spacing w:before="5pt"/>
              <w:rPr>
                <w:color w:val="000000"/>
                <w:sz w:val="20"/>
              </w:rPr>
            </w:pPr>
          </w:p>
        </w:tc>
      </w:tr>
      <w:tr w:rsidR="00823317" w14:paraId="32E74650"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9F9E7C"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8FD350"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AA8851"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3C669E"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39710C" w14:textId="77777777" w:rsidR="00A77B3E" w:rsidRDefault="00B16CCF">
            <w:pPr>
              <w:spacing w:before="5pt"/>
              <w:rPr>
                <w:color w:val="000000"/>
                <w:sz w:val="20"/>
              </w:rPr>
            </w:pPr>
            <w:r>
              <w:rPr>
                <w:color w:val="000000"/>
                <w:sz w:val="20"/>
              </w:rPr>
              <w:t xml:space="preserve">6. ukrepe za ciljno skupino nizko usposobljenih, nizko kvalificiranih odraslih in tistih, ki prihajajo iz socialno in </w:t>
            </w:r>
            <w:r>
              <w:rPr>
                <w:color w:val="000000"/>
                <w:sz w:val="20"/>
              </w:rPr>
              <w:lastRenderedPageBreak/>
              <w:t>ekonomsko prikrajšanih okolij ter so na poti izpopolnjevanja,</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B2B54D" w14:textId="77777777" w:rsidR="00A77B3E" w:rsidRDefault="00B16CCF">
            <w:pPr>
              <w:spacing w:before="5pt"/>
              <w:jc w:val="center"/>
              <w:rPr>
                <w:color w:val="000000"/>
                <w:sz w:val="20"/>
              </w:rPr>
            </w:pPr>
            <w:r>
              <w:rPr>
                <w:color w:val="000000"/>
                <w:sz w:val="20"/>
              </w:rPr>
              <w:lastRenderedPageBreak/>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E1F995" w14:textId="77777777" w:rsidR="00A77B3E" w:rsidRDefault="00B16CCF">
            <w:pPr>
              <w:spacing w:before="5pt"/>
              <w:rPr>
                <w:color w:val="000000"/>
                <w:sz w:val="20"/>
              </w:rPr>
            </w:pPr>
            <w:r>
              <w:rPr>
                <w:color w:val="000000"/>
                <w:sz w:val="20"/>
              </w:rPr>
              <w:t>Resolucija o nacionalnem programu izobraževanja odraslih v Republiki Sloveniji za obdobje 2022–2030</w:t>
            </w:r>
          </w:p>
          <w:p w14:paraId="24307BDC" w14:textId="77777777" w:rsidR="00A77B3E" w:rsidRDefault="00A77B3E">
            <w:pPr>
              <w:spacing w:before="5pt"/>
              <w:rPr>
                <w:color w:val="000000"/>
                <w:sz w:val="20"/>
              </w:rPr>
            </w:pPr>
          </w:p>
          <w:p w14:paraId="730C7046" w14:textId="77777777" w:rsidR="00A77B3E" w:rsidRDefault="00B16CCF">
            <w:pPr>
              <w:spacing w:before="5pt"/>
              <w:rPr>
                <w:color w:val="000000"/>
                <w:sz w:val="20"/>
              </w:rPr>
            </w:pPr>
            <w:r>
              <w:rPr>
                <w:color w:val="000000"/>
                <w:sz w:val="20"/>
              </w:rPr>
              <w:t>Zakon o organizaciji in financiranju vzgoje in izobraževanja</w:t>
            </w:r>
          </w:p>
          <w:p w14:paraId="3F3C26F7" w14:textId="77777777" w:rsidR="00A77B3E" w:rsidRDefault="00A77B3E">
            <w:pPr>
              <w:spacing w:before="5pt"/>
              <w:rPr>
                <w:color w:val="000000"/>
                <w:sz w:val="20"/>
              </w:rPr>
            </w:pPr>
          </w:p>
          <w:p w14:paraId="01AF9D30" w14:textId="77777777" w:rsidR="00A77B3E" w:rsidRDefault="00B16CCF">
            <w:pPr>
              <w:spacing w:before="5pt"/>
              <w:rPr>
                <w:color w:val="000000"/>
                <w:sz w:val="20"/>
              </w:rPr>
            </w:pPr>
            <w:r>
              <w:rPr>
                <w:color w:val="000000"/>
                <w:sz w:val="20"/>
              </w:rPr>
              <w:t>Zakon o izobraževanju odraslih</w:t>
            </w:r>
          </w:p>
          <w:p w14:paraId="492DEA8B" w14:textId="77777777" w:rsidR="00A77B3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8BA181" w14:textId="77777777" w:rsidR="00A77B3E" w:rsidRDefault="00B16CCF">
            <w:pPr>
              <w:spacing w:before="5pt"/>
              <w:rPr>
                <w:color w:val="000000"/>
                <w:sz w:val="20"/>
              </w:rPr>
            </w:pPr>
            <w:r>
              <w:rPr>
                <w:color w:val="000000"/>
                <w:sz w:val="20"/>
              </w:rPr>
              <w:lastRenderedPageBreak/>
              <w:t xml:space="preserve">V skladu z mednarodnimi priporočili, veljavno zakonodajo na področju in strateškim dokumentom v pripravi, Slovenija naslavlja navedene ukrepe na </w:t>
            </w:r>
            <w:r>
              <w:rPr>
                <w:color w:val="000000"/>
                <w:sz w:val="20"/>
              </w:rPr>
              <w:lastRenderedPageBreak/>
              <w:t>področju izobraževanja odraslih. S sprejetjem novega nacionalnega program bo določena podlaga za oblikovanje konkretnih ukrepov. Cilji so: povečati vključenost odraslih v vseživljenjsko izobraževanje in učenje, dvigniti raven temeljnih zmožnosti in izboljšati splošno izobraženost, dvigniti izobrazbeno raven odraslih, povečati usposobljenost prebivalstva za uspešno odzivanje na potrebe in zahteve trga dela ter izboljšati in okrepiti podporne dejavnosti za učenje in vključevanje v izobraževanje.</w:t>
            </w:r>
          </w:p>
          <w:p w14:paraId="64BF9586" w14:textId="77777777" w:rsidR="00A77B3E" w:rsidRDefault="00A77B3E">
            <w:pPr>
              <w:spacing w:before="5pt"/>
              <w:rPr>
                <w:color w:val="000000"/>
                <w:sz w:val="20"/>
              </w:rPr>
            </w:pPr>
          </w:p>
          <w:p w14:paraId="24D81059" w14:textId="77777777" w:rsidR="00A77B3E" w:rsidRDefault="00B16CCF">
            <w:pPr>
              <w:spacing w:before="5pt"/>
              <w:rPr>
                <w:color w:val="000000"/>
                <w:sz w:val="20"/>
              </w:rPr>
            </w:pPr>
            <w:r>
              <w:rPr>
                <w:color w:val="000000"/>
                <w:sz w:val="20"/>
              </w:rPr>
              <w:t>V skladu z ZIO-1 je treba med drugim spodbujati nižje izobražene in druge ranljive skupine za izobraževanje in učenje. V ta namen predlog novega nacionalnega programa izobraževanja odraslih do 2030 določa oblikovanje novih programov usposabljanja, ki bodo namenjeni integraciji težje zaposljivih kategorij (starejših, nižje izobraženih in kvalificiranih delavcev, priseljencev z neustreznimi kvalifikacijami) in ranljivih skupin prebivalstva (fizično, mentalno ali situacijsko prikrajšanih).</w:t>
            </w:r>
          </w:p>
          <w:p w14:paraId="0FF7DD08" w14:textId="77777777" w:rsidR="00A77B3E" w:rsidRDefault="00A77B3E">
            <w:pPr>
              <w:spacing w:before="5pt"/>
              <w:rPr>
                <w:color w:val="000000"/>
                <w:sz w:val="20"/>
              </w:rPr>
            </w:pPr>
          </w:p>
        </w:tc>
      </w:tr>
      <w:tr w:rsidR="00823317" w14:paraId="1613A87F"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812CB2"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9CAD5E"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B396A4"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A6BA7D"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4D2DFE" w14:textId="77777777" w:rsidR="00A77B3E" w:rsidRDefault="00B16CCF">
            <w:pPr>
              <w:spacing w:before="5pt"/>
              <w:rPr>
                <w:color w:val="000000"/>
                <w:sz w:val="20"/>
              </w:rPr>
            </w:pPr>
            <w:r>
              <w:rPr>
                <w:color w:val="000000"/>
                <w:sz w:val="20"/>
              </w:rPr>
              <w:t>7. ukrepe za podporo učiteljem, vodjem usposabljanja in akademskemu osebju, kar zadeva ustrezne učne metode, ocenjevanje in potrjevanje ključnih kompetenc,</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EA485B" w14:textId="77777777" w:rsidR="00A77B3E" w:rsidRDefault="00B16CC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E6B829" w14:textId="77777777" w:rsidR="00A77B3E" w:rsidRDefault="00B16CCF">
            <w:pPr>
              <w:spacing w:before="5pt"/>
              <w:rPr>
                <w:color w:val="000000"/>
                <w:sz w:val="20"/>
              </w:rPr>
            </w:pPr>
            <w:r>
              <w:rPr>
                <w:color w:val="000000"/>
                <w:sz w:val="20"/>
              </w:rPr>
              <w:t>Zakon o organizaciji in financiranju vzgoje in izobraževanja</w:t>
            </w:r>
          </w:p>
          <w:p w14:paraId="2E339BFE" w14:textId="77777777" w:rsidR="00A77B3E" w:rsidRDefault="00A77B3E">
            <w:pPr>
              <w:spacing w:before="5pt"/>
              <w:rPr>
                <w:color w:val="000000"/>
                <w:sz w:val="20"/>
              </w:rPr>
            </w:pPr>
          </w:p>
          <w:p w14:paraId="0CF4215D" w14:textId="77777777" w:rsidR="00A77B3E" w:rsidRDefault="00B16CCF">
            <w:pPr>
              <w:spacing w:before="5pt"/>
              <w:rPr>
                <w:color w:val="000000"/>
                <w:sz w:val="20"/>
              </w:rPr>
            </w:pPr>
            <w:r>
              <w:rPr>
                <w:color w:val="000000"/>
                <w:sz w:val="20"/>
              </w:rPr>
              <w:t>Zakon o vrtcih</w:t>
            </w:r>
          </w:p>
          <w:p w14:paraId="0CB0B3B5" w14:textId="77777777" w:rsidR="00A77B3E" w:rsidRDefault="00A77B3E">
            <w:pPr>
              <w:spacing w:before="5pt"/>
              <w:rPr>
                <w:color w:val="000000"/>
                <w:sz w:val="20"/>
              </w:rPr>
            </w:pPr>
          </w:p>
          <w:p w14:paraId="71EAEA73" w14:textId="77777777" w:rsidR="00A77B3E" w:rsidRDefault="00B16CCF">
            <w:pPr>
              <w:spacing w:before="5pt"/>
              <w:rPr>
                <w:color w:val="000000"/>
                <w:sz w:val="20"/>
              </w:rPr>
            </w:pPr>
            <w:r>
              <w:rPr>
                <w:color w:val="000000"/>
                <w:sz w:val="20"/>
              </w:rPr>
              <w:lastRenderedPageBreak/>
              <w:t>Zakon o osnovni šoli</w:t>
            </w:r>
          </w:p>
          <w:p w14:paraId="5C312F1B" w14:textId="77777777" w:rsidR="00A77B3E" w:rsidRDefault="00A77B3E">
            <w:pPr>
              <w:spacing w:before="5pt"/>
              <w:rPr>
                <w:color w:val="000000"/>
                <w:sz w:val="20"/>
              </w:rPr>
            </w:pPr>
          </w:p>
          <w:p w14:paraId="65E901A3" w14:textId="77777777" w:rsidR="00A77B3E" w:rsidRDefault="00B16CCF">
            <w:pPr>
              <w:spacing w:before="5pt"/>
              <w:rPr>
                <w:color w:val="000000"/>
                <w:sz w:val="20"/>
              </w:rPr>
            </w:pPr>
            <w:r>
              <w:rPr>
                <w:color w:val="000000"/>
                <w:sz w:val="20"/>
              </w:rPr>
              <w:t>Zakon o gimnazijah</w:t>
            </w:r>
          </w:p>
          <w:p w14:paraId="36F0BA75" w14:textId="77777777" w:rsidR="00A77B3E" w:rsidRDefault="00A77B3E">
            <w:pPr>
              <w:spacing w:before="5pt"/>
              <w:rPr>
                <w:color w:val="000000"/>
                <w:sz w:val="20"/>
              </w:rPr>
            </w:pPr>
          </w:p>
          <w:p w14:paraId="4C2DF817" w14:textId="77777777" w:rsidR="00A77B3E" w:rsidRDefault="00B16CCF">
            <w:pPr>
              <w:spacing w:before="5pt"/>
              <w:rPr>
                <w:color w:val="000000"/>
                <w:sz w:val="20"/>
              </w:rPr>
            </w:pPr>
            <w:r>
              <w:rPr>
                <w:color w:val="000000"/>
                <w:sz w:val="20"/>
              </w:rPr>
              <w:t>Zakon o višjem strokovnem izobraževanju</w:t>
            </w:r>
          </w:p>
          <w:p w14:paraId="1A935F2D" w14:textId="77777777" w:rsidR="00A77B3E" w:rsidRDefault="00A77B3E">
            <w:pPr>
              <w:spacing w:before="5pt"/>
              <w:rPr>
                <w:color w:val="000000"/>
                <w:sz w:val="20"/>
              </w:rPr>
            </w:pPr>
          </w:p>
          <w:p w14:paraId="22B70C81" w14:textId="77777777" w:rsidR="00A77B3E" w:rsidRDefault="00B16CCF">
            <w:pPr>
              <w:spacing w:before="5pt"/>
              <w:rPr>
                <w:color w:val="000000"/>
                <w:sz w:val="20"/>
              </w:rPr>
            </w:pPr>
            <w:r>
              <w:rPr>
                <w:color w:val="000000"/>
                <w:sz w:val="20"/>
              </w:rPr>
              <w:t>Strategija višjega strokovnega izobraževanja 20-30</w:t>
            </w:r>
          </w:p>
          <w:p w14:paraId="63676B75" w14:textId="77777777" w:rsidR="00A77B3E" w:rsidRDefault="00A77B3E">
            <w:pPr>
              <w:spacing w:before="5pt"/>
              <w:rPr>
                <w:color w:val="000000"/>
                <w:sz w:val="20"/>
              </w:rPr>
            </w:pPr>
          </w:p>
          <w:p w14:paraId="119242FF" w14:textId="77777777" w:rsidR="00A77B3E" w:rsidRDefault="00B16CCF">
            <w:pPr>
              <w:spacing w:before="5pt"/>
              <w:rPr>
                <w:color w:val="000000"/>
                <w:sz w:val="20"/>
              </w:rPr>
            </w:pPr>
            <w:r>
              <w:rPr>
                <w:color w:val="000000"/>
                <w:sz w:val="20"/>
              </w:rPr>
              <w:t>Zakon o visokem šolstvu</w:t>
            </w:r>
          </w:p>
          <w:p w14:paraId="3320DBCC" w14:textId="77777777" w:rsidR="00A77B3E" w:rsidRDefault="00A77B3E">
            <w:pPr>
              <w:spacing w:before="5pt"/>
              <w:rPr>
                <w:color w:val="000000"/>
                <w:sz w:val="20"/>
              </w:rPr>
            </w:pPr>
          </w:p>
          <w:p w14:paraId="0E9CEC91" w14:textId="77777777" w:rsidR="00A77B3E" w:rsidRDefault="00B16CCF">
            <w:pPr>
              <w:spacing w:before="5pt"/>
              <w:rPr>
                <w:color w:val="000000"/>
                <w:sz w:val="20"/>
              </w:rPr>
            </w:pPr>
            <w:r>
              <w:rPr>
                <w:color w:val="000000"/>
                <w:sz w:val="20"/>
              </w:rPr>
              <w:t xml:space="preserve">Resolucija o nacionalnem programu visokega šolstva do  šolstva do 2030 </w:t>
            </w:r>
          </w:p>
          <w:p w14:paraId="352C26C8" w14:textId="77777777" w:rsidR="00A77B3E" w:rsidRDefault="00A77B3E">
            <w:pPr>
              <w:spacing w:before="5pt"/>
              <w:rPr>
                <w:color w:val="000000"/>
                <w:sz w:val="20"/>
              </w:rPr>
            </w:pPr>
          </w:p>
          <w:p w14:paraId="79D891A8" w14:textId="77777777" w:rsidR="00A77B3E" w:rsidRDefault="00B16CCF">
            <w:pPr>
              <w:spacing w:before="5pt"/>
              <w:rPr>
                <w:color w:val="000000"/>
                <w:sz w:val="20"/>
              </w:rPr>
            </w:pPr>
            <w:r>
              <w:rPr>
                <w:color w:val="000000"/>
                <w:sz w:val="20"/>
              </w:rPr>
              <w:t>Zakon o izobraževanju odraslih</w:t>
            </w:r>
          </w:p>
          <w:p w14:paraId="0458D36B" w14:textId="77777777" w:rsidR="00A77B3E" w:rsidRDefault="00A77B3E">
            <w:pPr>
              <w:spacing w:before="5pt"/>
              <w:rPr>
                <w:color w:val="000000"/>
                <w:sz w:val="20"/>
              </w:rPr>
            </w:pPr>
          </w:p>
          <w:p w14:paraId="5EB36D3C" w14:textId="77777777" w:rsidR="00A77B3E" w:rsidRDefault="00B16CCF">
            <w:pPr>
              <w:spacing w:before="5pt"/>
              <w:rPr>
                <w:color w:val="000000"/>
                <w:sz w:val="20"/>
              </w:rPr>
            </w:pPr>
            <w:r>
              <w:rPr>
                <w:color w:val="000000"/>
                <w:sz w:val="20"/>
              </w:rPr>
              <w:t>Resolucija o nacionalnem programu izobraževanja odraslih v Republiki Sloveniji za obdobje 2022–2030</w:t>
            </w:r>
          </w:p>
          <w:p w14:paraId="24728DEF" w14:textId="77777777" w:rsidR="00A77B3E" w:rsidRDefault="00A77B3E">
            <w:pPr>
              <w:spacing w:before="5pt"/>
              <w:rPr>
                <w:color w:val="000000"/>
                <w:sz w:val="20"/>
              </w:rPr>
            </w:pPr>
          </w:p>
          <w:p w14:paraId="59BBDC52" w14:textId="77777777" w:rsidR="00A77B3E" w:rsidRDefault="00B16CCF">
            <w:pPr>
              <w:spacing w:before="5pt"/>
              <w:rPr>
                <w:color w:val="000000"/>
                <w:sz w:val="20"/>
              </w:rPr>
            </w:pPr>
            <w:r>
              <w:rPr>
                <w:color w:val="000000"/>
                <w:sz w:val="20"/>
              </w:rPr>
              <w:t>ter podzakonski akti</w:t>
            </w:r>
          </w:p>
          <w:p w14:paraId="17000F1B" w14:textId="77777777" w:rsidR="00A77B3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504610" w14:textId="77777777" w:rsidR="00A77B3E" w:rsidRDefault="00B16CCF">
            <w:pPr>
              <w:spacing w:before="5pt"/>
              <w:rPr>
                <w:color w:val="000000"/>
                <w:sz w:val="20"/>
              </w:rPr>
            </w:pPr>
            <w:r>
              <w:rPr>
                <w:color w:val="000000"/>
                <w:sz w:val="20"/>
              </w:rPr>
              <w:lastRenderedPageBreak/>
              <w:t xml:space="preserve">V skladu z ZOFVI ter ostalimi področnimi zakoni za posamezne ravni izobraževanje ter podzakonskimi akti je opredeljen osnovni kompetenc strokovnih delavcev v vzgojno-izobraževalnih institucijah ter pogoji za opravljanje pedagoškega dela. V </w:t>
            </w:r>
            <w:r>
              <w:rPr>
                <w:color w:val="000000"/>
                <w:sz w:val="20"/>
              </w:rPr>
              <w:lastRenderedPageBreak/>
              <w:t xml:space="preserve">Kolektivni pogodbi za dejavnost vzgoje in izobraževanja v Republiki Sloveniji pa je podrobneje opredeljeno stalno strokovno izobraževanje, izpopolnjevanje in usposabljanje zaposlenih v zavodu ali pri delodajalcu v dejavnosti vzgoje in izobraževanja. </w:t>
            </w:r>
          </w:p>
          <w:p w14:paraId="3A9CCA0D" w14:textId="77777777" w:rsidR="00A77B3E" w:rsidRDefault="00A77B3E">
            <w:pPr>
              <w:spacing w:before="5pt"/>
              <w:rPr>
                <w:color w:val="000000"/>
                <w:sz w:val="20"/>
              </w:rPr>
            </w:pPr>
          </w:p>
          <w:p w14:paraId="2C00207A" w14:textId="77777777" w:rsidR="00A77B3E" w:rsidRDefault="00B16CCF">
            <w:pPr>
              <w:spacing w:before="5pt"/>
              <w:rPr>
                <w:color w:val="000000"/>
                <w:sz w:val="20"/>
              </w:rPr>
            </w:pPr>
            <w:r>
              <w:rPr>
                <w:color w:val="000000"/>
                <w:sz w:val="20"/>
              </w:rPr>
              <w:t>Poleg tega so se za opravljanje dejavnosti in nalog ustanovili javni zavodi (ZRSŠ, CPI, ACS, RIC), ki skrbijo za spremljanje strokovnih kadrov, metod poučevanja in usposabljanj. Redno usposabljanje strokovnih kadrov v vzgoji in izobraževanju omogoča krepitev kompetenc, ki se zaradi nenehnih sprememb v naravi vzgojno-izobraževalnega dela izkazujejo kot pomembne za kakovostno vzgojno-izobraževalno delo. Na področju visokega šolstva NAKVIS preverja institucionalno pedagoško podporo in povezavo z notranjim sistemom zagotavljanja kakovosti.</w:t>
            </w:r>
          </w:p>
          <w:p w14:paraId="1BEAB44D" w14:textId="77777777" w:rsidR="00A77B3E" w:rsidRDefault="00A77B3E">
            <w:pPr>
              <w:spacing w:before="5pt"/>
              <w:rPr>
                <w:color w:val="000000"/>
                <w:sz w:val="20"/>
              </w:rPr>
            </w:pPr>
          </w:p>
        </w:tc>
      </w:tr>
      <w:tr w:rsidR="00823317" w14:paraId="522B1794"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33BE4C"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1818E3"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7FADE8"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3F7746"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CF71AD" w14:textId="77777777" w:rsidR="00A77B3E" w:rsidRDefault="00B16CCF">
            <w:pPr>
              <w:spacing w:before="5pt"/>
              <w:rPr>
                <w:color w:val="000000"/>
                <w:sz w:val="20"/>
              </w:rPr>
            </w:pPr>
            <w:r>
              <w:rPr>
                <w:color w:val="000000"/>
                <w:sz w:val="20"/>
              </w:rPr>
              <w:t xml:space="preserve">8. ukrepe za spodbujanje mobilnosti učencev in zaposlenih ter transnacionalnega sodelovanja ponudnikov izobraževanja in usposabljanja, </w:t>
            </w:r>
            <w:r>
              <w:rPr>
                <w:color w:val="000000"/>
                <w:sz w:val="20"/>
              </w:rPr>
              <w:lastRenderedPageBreak/>
              <w:t>vključno s priznavanjem učnih rezultatov in kvalifikacij;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48CAFE" w14:textId="77777777" w:rsidR="00A77B3E" w:rsidRDefault="00B16CCF">
            <w:pPr>
              <w:spacing w:before="5pt"/>
              <w:jc w:val="center"/>
              <w:rPr>
                <w:color w:val="000000"/>
                <w:sz w:val="20"/>
              </w:rPr>
            </w:pPr>
            <w:r>
              <w:rPr>
                <w:color w:val="000000"/>
                <w:sz w:val="20"/>
              </w:rPr>
              <w:lastRenderedPageBreak/>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A0679C" w14:textId="77777777" w:rsidR="00A77B3E" w:rsidRDefault="00B16CCF">
            <w:pPr>
              <w:spacing w:before="5pt"/>
              <w:rPr>
                <w:color w:val="000000"/>
                <w:sz w:val="20"/>
              </w:rPr>
            </w:pPr>
            <w:r>
              <w:rPr>
                <w:color w:val="000000"/>
                <w:sz w:val="20"/>
              </w:rPr>
              <w:t>Zakon o organizaciji in financiranju vzgoje in izobraževanja</w:t>
            </w:r>
          </w:p>
          <w:p w14:paraId="60B3B6E5" w14:textId="77777777" w:rsidR="00A77B3E" w:rsidRDefault="00A77B3E">
            <w:pPr>
              <w:spacing w:before="5pt"/>
              <w:rPr>
                <w:color w:val="000000"/>
                <w:sz w:val="20"/>
              </w:rPr>
            </w:pPr>
          </w:p>
          <w:p w14:paraId="697C4655" w14:textId="77777777" w:rsidR="00A77B3E" w:rsidRDefault="00B16CCF">
            <w:pPr>
              <w:spacing w:before="5pt"/>
              <w:rPr>
                <w:color w:val="000000"/>
                <w:sz w:val="20"/>
              </w:rPr>
            </w:pPr>
            <w:r>
              <w:rPr>
                <w:color w:val="000000"/>
                <w:sz w:val="20"/>
              </w:rPr>
              <w:t xml:space="preserve">Sklep o ustanovitvi Centra RS za mobilnost in evropske programe </w:t>
            </w:r>
            <w:r>
              <w:rPr>
                <w:color w:val="000000"/>
                <w:sz w:val="20"/>
              </w:rPr>
              <w:lastRenderedPageBreak/>
              <w:t>izobraževanja in usposabljanja (CMEPIUS)</w:t>
            </w:r>
          </w:p>
          <w:p w14:paraId="5FA30E3B" w14:textId="77777777" w:rsidR="00A77B3E" w:rsidRDefault="00A77B3E">
            <w:pPr>
              <w:spacing w:before="5pt"/>
              <w:rPr>
                <w:color w:val="000000"/>
                <w:sz w:val="20"/>
              </w:rPr>
            </w:pPr>
          </w:p>
          <w:p w14:paraId="0D65E818" w14:textId="77777777" w:rsidR="00A77B3E" w:rsidRDefault="00B16CCF">
            <w:pPr>
              <w:spacing w:before="5pt"/>
              <w:rPr>
                <w:color w:val="000000"/>
                <w:sz w:val="20"/>
              </w:rPr>
            </w:pPr>
            <w:r>
              <w:rPr>
                <w:color w:val="000000"/>
                <w:sz w:val="20"/>
              </w:rPr>
              <w:t>Zakon o višjem strokovnem izobraževanju</w:t>
            </w:r>
          </w:p>
          <w:p w14:paraId="1985A176" w14:textId="77777777" w:rsidR="00A77B3E" w:rsidRDefault="00A77B3E">
            <w:pPr>
              <w:spacing w:before="5pt"/>
              <w:rPr>
                <w:color w:val="000000"/>
                <w:sz w:val="20"/>
              </w:rPr>
            </w:pPr>
          </w:p>
          <w:p w14:paraId="368FDCF2" w14:textId="77777777" w:rsidR="00A77B3E" w:rsidRDefault="00B16CCF">
            <w:pPr>
              <w:spacing w:before="5pt"/>
              <w:rPr>
                <w:color w:val="000000"/>
                <w:sz w:val="20"/>
              </w:rPr>
            </w:pPr>
            <w:r>
              <w:rPr>
                <w:color w:val="000000"/>
                <w:sz w:val="20"/>
              </w:rPr>
              <w:t>Strategija višjega strokovnega izobraževanja 20-30</w:t>
            </w:r>
          </w:p>
          <w:p w14:paraId="481C08C7" w14:textId="77777777" w:rsidR="00A77B3E" w:rsidRDefault="00A77B3E">
            <w:pPr>
              <w:spacing w:before="5pt"/>
              <w:rPr>
                <w:color w:val="000000"/>
                <w:sz w:val="20"/>
              </w:rPr>
            </w:pPr>
          </w:p>
          <w:p w14:paraId="7689A477" w14:textId="77777777" w:rsidR="00A77B3E" w:rsidRDefault="00B16CCF">
            <w:pPr>
              <w:spacing w:before="5pt"/>
              <w:rPr>
                <w:color w:val="000000"/>
                <w:sz w:val="20"/>
              </w:rPr>
            </w:pPr>
            <w:r>
              <w:rPr>
                <w:color w:val="000000"/>
                <w:sz w:val="20"/>
              </w:rPr>
              <w:t>Zakon o visokem šolstvu</w:t>
            </w:r>
          </w:p>
          <w:p w14:paraId="197751D5" w14:textId="77777777" w:rsidR="00A77B3E" w:rsidRDefault="00A77B3E">
            <w:pPr>
              <w:spacing w:before="5pt"/>
              <w:rPr>
                <w:color w:val="000000"/>
                <w:sz w:val="20"/>
              </w:rPr>
            </w:pPr>
          </w:p>
          <w:p w14:paraId="118B21BD" w14:textId="77777777" w:rsidR="00A77B3E" w:rsidRDefault="00B16CCF">
            <w:pPr>
              <w:spacing w:before="5pt"/>
              <w:rPr>
                <w:color w:val="000000"/>
                <w:sz w:val="20"/>
              </w:rPr>
            </w:pPr>
            <w:r>
              <w:rPr>
                <w:color w:val="000000"/>
                <w:sz w:val="20"/>
              </w:rPr>
              <w:t xml:space="preserve">Resolucija o nacionalnem programu visokega šolstva do  šolstva do 2030 </w:t>
            </w:r>
          </w:p>
          <w:p w14:paraId="2199FC78" w14:textId="77777777" w:rsidR="00A77B3E" w:rsidRDefault="00A77B3E">
            <w:pPr>
              <w:spacing w:before="5pt"/>
              <w:rPr>
                <w:color w:val="000000"/>
                <w:sz w:val="20"/>
              </w:rPr>
            </w:pPr>
          </w:p>
          <w:p w14:paraId="2B7752E6" w14:textId="77777777" w:rsidR="00A77B3E" w:rsidRDefault="00B16CCF">
            <w:pPr>
              <w:spacing w:before="5pt"/>
              <w:rPr>
                <w:color w:val="000000"/>
                <w:sz w:val="20"/>
              </w:rPr>
            </w:pPr>
            <w:r>
              <w:rPr>
                <w:color w:val="000000"/>
                <w:sz w:val="20"/>
              </w:rPr>
              <w:t>Zakon o izobraževanju odraslih</w:t>
            </w:r>
          </w:p>
          <w:p w14:paraId="1BB40A16" w14:textId="77777777" w:rsidR="00A77B3E" w:rsidRDefault="00A77B3E">
            <w:pPr>
              <w:spacing w:before="5pt"/>
              <w:rPr>
                <w:color w:val="000000"/>
                <w:sz w:val="20"/>
              </w:rPr>
            </w:pPr>
          </w:p>
          <w:p w14:paraId="64F3C13C" w14:textId="77777777" w:rsidR="00A77B3E" w:rsidRDefault="00B16CCF">
            <w:pPr>
              <w:spacing w:before="5pt"/>
              <w:rPr>
                <w:color w:val="000000"/>
                <w:sz w:val="20"/>
              </w:rPr>
            </w:pPr>
            <w:r>
              <w:rPr>
                <w:color w:val="000000"/>
                <w:sz w:val="20"/>
              </w:rPr>
              <w:t>Resolucija o nacionalnem programu izobraževanja odraslih v Republiki Sloveniji za obdobje 2022–2030</w:t>
            </w:r>
          </w:p>
          <w:p w14:paraId="7649136E" w14:textId="77777777" w:rsidR="00A77B3E" w:rsidRDefault="00A77B3E">
            <w:pPr>
              <w:spacing w:before="5pt"/>
              <w:rPr>
                <w:color w:val="000000"/>
                <w:sz w:val="20"/>
              </w:rPr>
            </w:pPr>
          </w:p>
          <w:p w14:paraId="6C7B4DBB" w14:textId="77777777" w:rsidR="00A77B3E" w:rsidRDefault="00B16CCF">
            <w:pPr>
              <w:spacing w:before="5pt"/>
              <w:rPr>
                <w:color w:val="000000"/>
                <w:sz w:val="20"/>
              </w:rPr>
            </w:pPr>
            <w:r>
              <w:rPr>
                <w:color w:val="000000"/>
                <w:sz w:val="20"/>
              </w:rPr>
              <w:t>Zakon o vrednotenju in priznavanju izobraževanja</w:t>
            </w:r>
          </w:p>
          <w:p w14:paraId="5161F8FE" w14:textId="77777777" w:rsidR="00A77B3E" w:rsidRDefault="00B16CCF">
            <w:pPr>
              <w:spacing w:before="5pt"/>
              <w:rPr>
                <w:color w:val="000000"/>
                <w:sz w:val="20"/>
              </w:rPr>
            </w:pPr>
            <w:r>
              <w:rPr>
                <w:color w:val="000000"/>
                <w:sz w:val="20"/>
              </w:rPr>
              <w:t>Zakon o slovenskem ogrodju kvalifikaci</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99FE11" w14:textId="77777777" w:rsidR="00A77B3E" w:rsidRDefault="00B16CCF">
            <w:pPr>
              <w:spacing w:before="5pt"/>
              <w:rPr>
                <w:color w:val="000000"/>
                <w:sz w:val="20"/>
              </w:rPr>
            </w:pPr>
            <w:r>
              <w:rPr>
                <w:color w:val="000000"/>
                <w:sz w:val="20"/>
              </w:rPr>
              <w:lastRenderedPageBreak/>
              <w:t xml:space="preserve">Slovenska zakonodaja in strateški dokumenti spodbujajo mobilnost učencev in mednarodno sodelovanje strokovnjakov. Za uspešno izvajanje mobilnosti je bil ustanovljen CMEPIUS. </w:t>
            </w:r>
          </w:p>
          <w:p w14:paraId="4CB4AB31" w14:textId="77777777" w:rsidR="00A77B3E" w:rsidRDefault="00A77B3E">
            <w:pPr>
              <w:spacing w:before="5pt"/>
              <w:rPr>
                <w:color w:val="000000"/>
                <w:sz w:val="20"/>
              </w:rPr>
            </w:pPr>
          </w:p>
          <w:p w14:paraId="4A18488C" w14:textId="77777777" w:rsidR="00A77B3E" w:rsidRDefault="00B16CCF">
            <w:pPr>
              <w:spacing w:before="5pt"/>
              <w:rPr>
                <w:color w:val="000000"/>
                <w:sz w:val="20"/>
              </w:rPr>
            </w:pPr>
            <w:r>
              <w:rPr>
                <w:color w:val="000000"/>
                <w:sz w:val="20"/>
              </w:rPr>
              <w:lastRenderedPageBreak/>
              <w:t>V okviru vseh treh strateških dokumentov (ki bodo veljali do leta 2030) je posebna pozornost namenjena spodbujanju mednarodnega sodelovanja, izpopolnjevanja v okviru transnacionalnega sodelovanja ter prenosom dobrih praks.</w:t>
            </w:r>
          </w:p>
          <w:p w14:paraId="20A40338" w14:textId="77777777" w:rsidR="00A77B3E" w:rsidRDefault="00A77B3E">
            <w:pPr>
              <w:spacing w:before="5pt"/>
              <w:rPr>
                <w:color w:val="000000"/>
                <w:sz w:val="20"/>
              </w:rPr>
            </w:pPr>
          </w:p>
          <w:p w14:paraId="4F1C4572" w14:textId="77777777" w:rsidR="00A77B3E" w:rsidRDefault="00B16CCF">
            <w:pPr>
              <w:spacing w:before="5pt"/>
              <w:rPr>
                <w:color w:val="000000"/>
                <w:sz w:val="20"/>
              </w:rPr>
            </w:pPr>
            <w:r>
              <w:rPr>
                <w:color w:val="000000"/>
                <w:sz w:val="20"/>
              </w:rPr>
              <w:t>V skladu z mednarodnimi pogodbami oziroma direktivami so vzpostavljeni okviri za vrednotenje in priznavanje izobrazbe ter priznavanje poklicnih kvalifikacij.</w:t>
            </w:r>
          </w:p>
          <w:p w14:paraId="0AA118E8" w14:textId="77777777" w:rsidR="00A77B3E" w:rsidRDefault="00A77B3E">
            <w:pPr>
              <w:spacing w:before="5pt"/>
              <w:rPr>
                <w:color w:val="000000"/>
                <w:sz w:val="20"/>
              </w:rPr>
            </w:pPr>
          </w:p>
          <w:p w14:paraId="614544BC" w14:textId="77777777" w:rsidR="00A77B3E" w:rsidRDefault="00B16CCF">
            <w:pPr>
              <w:spacing w:before="5pt"/>
              <w:rPr>
                <w:color w:val="000000"/>
                <w:sz w:val="20"/>
              </w:rPr>
            </w:pPr>
            <w:r>
              <w:rPr>
                <w:color w:val="000000"/>
                <w:sz w:val="20"/>
              </w:rPr>
              <w:t>Zakon o vrednotenju in priznavanju izobraževanja ureja vrednotenje izobraževanja ter določa pristojen organ, ureja postopek, merila in določa organ priznavanja tujega izobraževanja za namen nadaljevanja izobraževanja. Zakon o slovenskem ogrodju kvalifikacij ureja umeščanje kvalifikacij iz SOK v Evropsko ogrodje kvalifikacij za vseživljenjsko učenje in v Evropsko ogrodje visokošolskih kvalifikacij. Zakon o postopku priznavanja poklicnih kvalifikacij za opravljanje reguliranih poklicev pa opredeljuje postopke priznavanja v teh primerih.</w:t>
            </w:r>
          </w:p>
          <w:p w14:paraId="396AD2F0" w14:textId="77777777" w:rsidR="00A77B3E" w:rsidRDefault="00A77B3E">
            <w:pPr>
              <w:spacing w:before="5pt"/>
              <w:rPr>
                <w:color w:val="000000"/>
                <w:sz w:val="20"/>
              </w:rPr>
            </w:pPr>
          </w:p>
        </w:tc>
      </w:tr>
      <w:tr w:rsidR="00823317" w14:paraId="4310A64B"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34732A" w14:textId="77777777" w:rsidR="00A77B3E" w:rsidRDefault="00B16CCF">
            <w:pPr>
              <w:spacing w:before="5pt"/>
              <w:rPr>
                <w:color w:val="000000"/>
                <w:sz w:val="20"/>
              </w:rPr>
            </w:pPr>
            <w:r>
              <w:rPr>
                <w:color w:val="000000"/>
                <w:sz w:val="20"/>
              </w:rPr>
              <w:lastRenderedPageBreak/>
              <w:t xml:space="preserve">4.4. Nacionalni strateški okvir politike za socialno vključevanje in </w:t>
            </w:r>
            <w:r>
              <w:rPr>
                <w:color w:val="000000"/>
                <w:sz w:val="20"/>
              </w:rPr>
              <w:lastRenderedPageBreak/>
              <w:t>zmanjševanje revščine</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32E967" w14:textId="77777777" w:rsidR="00A77B3E" w:rsidRDefault="00A77B3E">
            <w:pPr>
              <w:spacing w:before="5pt"/>
              <w:rPr>
                <w:color w:val="000000"/>
                <w:sz w:val="20"/>
              </w:rPr>
            </w:pPr>
          </w:p>
          <w:p w14:paraId="2130D169" w14:textId="77777777" w:rsidR="00A77B3E" w:rsidRDefault="00B16CCF">
            <w:pPr>
              <w:spacing w:before="5pt"/>
              <w:rPr>
                <w:color w:val="000000"/>
                <w:sz w:val="20"/>
                <w:szCs w:val="20"/>
              </w:rPr>
            </w:pPr>
            <w:r>
              <w:rPr>
                <w:color w:val="000000"/>
                <w:sz w:val="20"/>
                <w:szCs w:val="20"/>
              </w:rPr>
              <w:t>ESS+</w:t>
            </w:r>
            <w:r>
              <w:rPr>
                <w:color w:val="000000"/>
                <w:sz w:val="20"/>
                <w:szCs w:val="20"/>
              </w:rPr>
              <w:br/>
              <w:t>ESRR</w:t>
            </w:r>
          </w:p>
          <w:p w14:paraId="68DE7D70"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7F18CA" w14:textId="77777777" w:rsidR="00A77B3E" w:rsidRDefault="00A77B3E">
            <w:pPr>
              <w:spacing w:before="5pt"/>
              <w:rPr>
                <w:color w:val="000000"/>
                <w:sz w:val="20"/>
              </w:rPr>
            </w:pPr>
          </w:p>
          <w:p w14:paraId="38E6D4D3" w14:textId="77777777" w:rsidR="00A77B3E" w:rsidRDefault="00B16CCF">
            <w:pPr>
              <w:spacing w:before="5pt"/>
              <w:rPr>
                <w:color w:val="000000"/>
                <w:sz w:val="20"/>
                <w:szCs w:val="20"/>
              </w:rPr>
            </w:pPr>
            <w:r>
              <w:rPr>
                <w:color w:val="000000"/>
                <w:sz w:val="20"/>
                <w:szCs w:val="20"/>
              </w:rPr>
              <w:t xml:space="preserve">ESO4.8. Pospeševanje dejavnega </w:t>
            </w:r>
            <w:r>
              <w:rPr>
                <w:color w:val="000000"/>
                <w:sz w:val="20"/>
                <w:szCs w:val="20"/>
              </w:rPr>
              <w:lastRenderedPageBreak/>
              <w:t>vključevanja za spodbujanje enakih možnosti, nediskriminacije in aktivne udeležbe ter povečevanje zaposljivosti, zlasti za prikrajšane skupine</w:t>
            </w:r>
            <w:r>
              <w:rPr>
                <w:color w:val="000000"/>
                <w:sz w:val="20"/>
                <w:szCs w:val="20"/>
              </w:rPr>
              <w:br/>
              <w:t>RSO4.3. Spodbujanje socialno-ekonomskega vključevanja marginaliziranih skupnosti, gospodinjstev z nizkimi dohodki in prikrajšanih skupin, tudi ljudi s posebnimi potrebami, s celostnimi ukrepi, vključno s stanovanjskimi in socialnimi storitvami</w:t>
            </w:r>
          </w:p>
          <w:p w14:paraId="0A7F7B85" w14:textId="77777777" w:rsidR="00A77B3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B26120" w14:textId="77777777" w:rsidR="00A77B3E" w:rsidRDefault="00B16CCF">
            <w:pPr>
              <w:spacing w:before="5pt"/>
              <w:jc w:val="center"/>
              <w:rPr>
                <w:color w:val="000000"/>
                <w:sz w:val="20"/>
              </w:rPr>
            </w:pPr>
            <w:r>
              <w:rPr>
                <w:color w:val="000000"/>
                <w:sz w:val="20"/>
              </w:rPr>
              <w:lastRenderedPageBreak/>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44F139" w14:textId="77777777" w:rsidR="00A77B3E" w:rsidRDefault="00B16CCF">
            <w:pPr>
              <w:spacing w:before="5pt"/>
              <w:rPr>
                <w:color w:val="000000"/>
                <w:sz w:val="20"/>
              </w:rPr>
            </w:pPr>
            <w:r>
              <w:rPr>
                <w:color w:val="000000"/>
                <w:sz w:val="20"/>
              </w:rPr>
              <w:t xml:space="preserve">Vzpostavljen je nacionalni ali regionalni strateški okvir politike ali zakonodajni okvir za socialno vključevanje in zmanjševanje revščine, ki vključuje:1. z dokazi </w:t>
            </w:r>
            <w:r>
              <w:rPr>
                <w:color w:val="000000"/>
                <w:sz w:val="20"/>
              </w:rPr>
              <w:lastRenderedPageBreak/>
              <w:t>podprto prepoznavanje revščine in socialne izključenosti, vključno z revščino otrok, zlasti kar zadeva enakopraven dostop do kakovostnih storitev za otroke v ranljivem položaju, pa tudi brezdomstvom, prostorsko in izobraževalno segregacijo, omejenim dostopom do osnovnih storitev in infrastrukture ter posebnimi potrebami ranljivih ljudi vseh starosti,</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E7076C" w14:textId="77777777" w:rsidR="00A77B3E" w:rsidRDefault="00B16CCF">
            <w:pPr>
              <w:spacing w:before="5pt"/>
              <w:jc w:val="center"/>
              <w:rPr>
                <w:color w:val="000000"/>
                <w:sz w:val="20"/>
              </w:rPr>
            </w:pPr>
            <w:r>
              <w:rPr>
                <w:color w:val="000000"/>
                <w:sz w:val="20"/>
              </w:rPr>
              <w:lastRenderedPageBreak/>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14B3D8" w14:textId="77777777" w:rsidR="00A77B3E" w:rsidRDefault="00B16CCF">
            <w:pPr>
              <w:spacing w:before="5pt"/>
              <w:rPr>
                <w:color w:val="000000"/>
                <w:sz w:val="20"/>
              </w:rPr>
            </w:pPr>
            <w:r>
              <w:rPr>
                <w:color w:val="000000"/>
                <w:sz w:val="20"/>
              </w:rPr>
              <w:t xml:space="preserve">1. Resolucija o nacionalnem programu socialnega varstva za obdobje 2021 do 2030 (ReNPSV21–30) (sprejeta 23. 3. 2022): </w:t>
            </w:r>
            <w:r>
              <w:rPr>
                <w:color w:val="000000"/>
                <w:sz w:val="20"/>
              </w:rPr>
              <w:lastRenderedPageBreak/>
              <w:t>http://www.pisrs.si/Pis.web/pregledPredpisa?id=RESO137,</w:t>
            </w:r>
          </w:p>
          <w:p w14:paraId="234437D1" w14:textId="77777777" w:rsidR="00A77B3E" w:rsidRDefault="00A77B3E">
            <w:pPr>
              <w:spacing w:before="5pt"/>
              <w:rPr>
                <w:color w:val="000000"/>
                <w:sz w:val="20"/>
              </w:rPr>
            </w:pPr>
          </w:p>
          <w:p w14:paraId="0B1E184F" w14:textId="77777777" w:rsidR="00A77B3E" w:rsidRDefault="00B16CCF">
            <w:pPr>
              <w:spacing w:before="5pt"/>
              <w:rPr>
                <w:color w:val="000000"/>
                <w:sz w:val="20"/>
              </w:rPr>
            </w:pPr>
            <w:r>
              <w:rPr>
                <w:color w:val="000000"/>
                <w:sz w:val="20"/>
              </w:rPr>
              <w:t>2. Zakon o socialnem varstvu: http://pisrs.si/Pis.web/pregledPredpisa?id=ZAKO869</w:t>
            </w:r>
          </w:p>
          <w:p w14:paraId="1C9737D6" w14:textId="77777777" w:rsidR="00A77B3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45DBDD" w14:textId="77777777" w:rsidR="00A77B3E" w:rsidRDefault="00B16CCF">
            <w:pPr>
              <w:spacing w:before="5pt"/>
              <w:rPr>
                <w:color w:val="000000"/>
                <w:sz w:val="20"/>
              </w:rPr>
            </w:pPr>
            <w:r>
              <w:rPr>
                <w:color w:val="000000"/>
                <w:sz w:val="20"/>
              </w:rPr>
              <w:lastRenderedPageBreak/>
              <w:t xml:space="preserve">ReNPSV 2021–2030 določa zbiranje podatkov za identificirana področja s strani SURS in OSTAT. Na podlagi podatkov so v Izvedbenem načrtu Nacionalnega programa socialnega </w:t>
            </w:r>
            <w:r>
              <w:rPr>
                <w:color w:val="000000"/>
                <w:sz w:val="20"/>
              </w:rPr>
              <w:lastRenderedPageBreak/>
              <w:t>varstva (NIN) opredeljeni kratkoročni ukrepi. Dodatno pri prepoznavanju problematike pripomorejo raziskave na področju revščine, ki jih na podlagi Zakona o socialnem varstvu izvaja Inštitut za socialno varstvo (IRSSV). Mapiranje potreb po storitvah socialnega varstva je bilo na MDDSZ pripravljeno 15. 2. 2021. Cilji ReNPSV21-30 so zastavljeni tako, da odgovarjajo na identificirane socialne problematike in izzive, ki jih spremenjene demografske, ekonomske in družbene okoliščine predstavljajo za sistem socialnega varstva v Sloveniji. Pri opredelitvi ciljev predstavljajo osnovo izhodišča za delovanje sistema socialnega varstva, ocena uresničitve ReNPSV13-20 in ključne okoliščine in dejavniki, za katere se (informacije in projekcije) predpostavlja, da bodo vplivali na sistem socialnega varstva do leta 2030, ter izzivov razvoja sistema samega.</w:t>
            </w:r>
          </w:p>
        </w:tc>
      </w:tr>
      <w:tr w:rsidR="00823317" w14:paraId="56AD038F"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C87292"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E03762"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B99D9E"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E08945"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FEF1DD" w14:textId="77777777" w:rsidR="00A77B3E" w:rsidRDefault="00B16CCF">
            <w:pPr>
              <w:spacing w:before="5pt"/>
              <w:rPr>
                <w:color w:val="000000"/>
                <w:sz w:val="20"/>
              </w:rPr>
            </w:pPr>
            <w:r>
              <w:rPr>
                <w:color w:val="000000"/>
                <w:sz w:val="20"/>
              </w:rPr>
              <w:t>2. ukrepe za preprečevanje segregacije in boj proti njej na vseh področjih, vključno s socialno zaščito, vključujočimi trgi dela in dostopom do kakovostnih storitev za ranljive osebe, vključno z migranti in begunci,</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915DF0" w14:textId="77777777" w:rsidR="00A77B3E" w:rsidRDefault="00B16CC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CD91F0" w14:textId="77777777" w:rsidR="00A77B3E" w:rsidRDefault="00B16CCF">
            <w:pPr>
              <w:spacing w:before="5pt"/>
              <w:rPr>
                <w:color w:val="000000"/>
                <w:sz w:val="20"/>
              </w:rPr>
            </w:pPr>
            <w:r>
              <w:rPr>
                <w:color w:val="000000"/>
                <w:sz w:val="20"/>
              </w:rPr>
              <w:t>1. Resolucija o nacionalnem programu socialnega varstva za obdobje 2021 do 2030 (ReNPSV21–30) (sprejeta 23. 3. 2022): http://www.pisrs.si/Pis.web/pregledPredpisa?id=RESO137,</w:t>
            </w:r>
          </w:p>
          <w:p w14:paraId="5A645E2E" w14:textId="77777777" w:rsidR="00A77B3E" w:rsidRDefault="00A77B3E">
            <w:pPr>
              <w:spacing w:before="5pt"/>
              <w:rPr>
                <w:color w:val="000000"/>
                <w:sz w:val="20"/>
              </w:rPr>
            </w:pPr>
          </w:p>
          <w:p w14:paraId="577DFB2D" w14:textId="77777777" w:rsidR="00A77B3E" w:rsidRDefault="00B16CCF">
            <w:pPr>
              <w:spacing w:before="5pt"/>
              <w:rPr>
                <w:color w:val="000000"/>
                <w:sz w:val="20"/>
              </w:rPr>
            </w:pPr>
            <w:r>
              <w:rPr>
                <w:color w:val="000000"/>
                <w:sz w:val="20"/>
              </w:rPr>
              <w:t>2. Zakon o socialnem varstvu: http://pisrs.si/Pis.web/pregledPredpisa?id=ZAKO869</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19DFD7" w14:textId="77777777" w:rsidR="00A77B3E" w:rsidRDefault="00B16CCF">
            <w:pPr>
              <w:spacing w:before="5pt"/>
              <w:rPr>
                <w:color w:val="000000"/>
                <w:sz w:val="20"/>
              </w:rPr>
            </w:pPr>
            <w:r>
              <w:rPr>
                <w:color w:val="000000"/>
                <w:sz w:val="20"/>
              </w:rPr>
              <w:t>Na podlagi 2. člena Zakona o socialnem varstvu se sprejme Resolucijo o nacionalnem programu socialnega varstva, ki opredeljuje med drugim tudi osnovna izhodišča ter cilje in strategije socialnega varstva, na opredeljenih področjih v merilu. Nacionalni izvedbeni načrt pripravlja nacionalna koordinacijska skupina, ki jo imenuje Vlada RS. V izvedbenem načrtu so podrobneje navedeni ukrepi za doseganje ciljev opredeljenih v resoluciji.</w:t>
            </w:r>
          </w:p>
        </w:tc>
      </w:tr>
      <w:tr w:rsidR="00823317" w14:paraId="43C5F08B"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6E7797"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EEB240"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390549"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8C98A9"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C96EC0" w14:textId="77777777" w:rsidR="00A77B3E" w:rsidRDefault="00B16CCF">
            <w:pPr>
              <w:spacing w:before="5pt"/>
              <w:rPr>
                <w:color w:val="000000"/>
                <w:sz w:val="20"/>
              </w:rPr>
            </w:pPr>
            <w:r>
              <w:rPr>
                <w:color w:val="000000"/>
                <w:sz w:val="20"/>
              </w:rPr>
              <w:t>3. ukrepe za prehod z institucionalne oskrbe na oskrbo v družini in skupnosti,</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AA900B" w14:textId="77777777" w:rsidR="00A77B3E" w:rsidRDefault="00B16CC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64DD1A" w14:textId="77777777" w:rsidR="00A77B3E" w:rsidRDefault="00B16CCF">
            <w:pPr>
              <w:spacing w:before="5pt"/>
              <w:rPr>
                <w:color w:val="000000"/>
                <w:sz w:val="20"/>
              </w:rPr>
            </w:pPr>
            <w:r>
              <w:rPr>
                <w:color w:val="000000"/>
                <w:sz w:val="20"/>
              </w:rPr>
              <w:t>Resolucija o nacionalnem programu socialnega varstva za obdobje 2021 do 2030 (ReNPSV21–30) (sprejeta 23. 3. 2022): http://www.pisrs.si/Pis.web/pregledPredpisa?id=RESO137</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82DF85" w14:textId="77777777" w:rsidR="00A77B3E" w:rsidRDefault="00B16CCF">
            <w:pPr>
              <w:spacing w:before="5pt"/>
              <w:rPr>
                <w:color w:val="000000"/>
                <w:sz w:val="20"/>
              </w:rPr>
            </w:pPr>
            <w:r>
              <w:rPr>
                <w:color w:val="000000"/>
                <w:sz w:val="20"/>
              </w:rPr>
              <w:t>V obdobju izvajanja ReNPSV21–30 bo na področju institucionalnih nastanitev z oskrbo poudarek na prehodu iz institucij v skupnostne oblike bivanja in oskrbe (deinstitucionalizacija; predvsem za osebe s posebnimi potrebami). Eden od ciljev resolucije je »Sprememba razmerja med uporabniki skupnostnih oblik socialnega varstva in uporabniki institucionalnih oblik socialnega varstva oziroma povečanje deleža uporabnikov skupnostnih oblik in zmanjšanje deleža uporabnikov institucionalnih oblik socialnega varstva«. Za dosego tega cilja so opredeljeni ukrepi, kot so storitve za ohranjanje samostojnega, neodvisnega življenja doma in aktivno vključevanje v skupnost (skupnostne oblike storitev) in storitve za samostojno življenje doma in aktivno vključevanje v skupnost (skupnostne storitve), ki podaljšujejo bivanje v domačem okolju in preprečujejo socialno izključenost.</w:t>
            </w:r>
          </w:p>
        </w:tc>
      </w:tr>
      <w:tr w:rsidR="00823317" w14:paraId="4D33A408"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A9EED2"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3BBE76"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069C58"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A8AFE4"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708216" w14:textId="77777777" w:rsidR="00A77B3E" w:rsidRDefault="00B16CCF">
            <w:pPr>
              <w:spacing w:before="5pt"/>
              <w:rPr>
                <w:color w:val="000000"/>
                <w:sz w:val="20"/>
              </w:rPr>
            </w:pPr>
            <w:r>
              <w:rPr>
                <w:color w:val="000000"/>
                <w:sz w:val="20"/>
              </w:rPr>
              <w:t>4. ureditve za zagotovitev, da njegova zasnova, izvajanje, spremljanje in pregled potekajo v tesnem sodelovanju z zadevnimi deležniki, vključno s socialnimi partnerji in ustreznimi organizacijami civilne družbe;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3B7209" w14:textId="77777777" w:rsidR="00A77B3E" w:rsidRDefault="00B16CC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92C0A0" w14:textId="77777777" w:rsidR="00A77B3E" w:rsidRDefault="00B16CCF">
            <w:pPr>
              <w:spacing w:before="5pt"/>
              <w:rPr>
                <w:color w:val="000000"/>
                <w:sz w:val="20"/>
              </w:rPr>
            </w:pPr>
            <w:r>
              <w:rPr>
                <w:color w:val="000000"/>
                <w:sz w:val="20"/>
              </w:rPr>
              <w:t>Resolucija o nacionalnem programu socialnega varstva za obdobje 2021 do 2030 (ReNPSV21–30) (sprejeta 23. 3. 2022): http://www.pisrs.si/Pis.web/pregledPredpisa?id=RESO137</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F48F8A" w14:textId="77777777" w:rsidR="00A77B3E" w:rsidRDefault="00B16CCF">
            <w:pPr>
              <w:spacing w:before="5pt"/>
              <w:rPr>
                <w:color w:val="000000"/>
                <w:sz w:val="20"/>
              </w:rPr>
            </w:pPr>
            <w:r>
              <w:rPr>
                <w:color w:val="000000"/>
                <w:sz w:val="20"/>
              </w:rPr>
              <w:t xml:space="preserve">Poglavje 5 ReNPSV21–30 opredeljuje izvajanje in spremljanje uresničevanja resolucije. Najkasneje v roku enega meseca po sprejetju ReNPSV21-30 Vlada RS imenuje Nacionalno koordinacijsko skupino. Nacionalna koordinacijska skupina je sestavljena iz predstavnikov izvajalcev na področju socialnega varstva (vključno s predstavniki nevladnih organizacij, ki jih te predlagajo same), predstavnikov skupin uporabnikov, predstavnikov lokalne skupnosti in različnih sektorjev države ter predstavnika Inštituta RS za </w:t>
            </w:r>
            <w:r>
              <w:rPr>
                <w:color w:val="000000"/>
                <w:sz w:val="20"/>
              </w:rPr>
              <w:lastRenderedPageBreak/>
              <w:t>socialno varstvo (v nadaljevanju: IRSSV). Za redno letno spremljanje izvajanja ReNPSV21-30 in pripadajočih nacionalnih izvedbenih načrtov je zadolžen IRSSV, ki mu letno poročajo posamezni izvajalci storitev in programov, ki so del mreže javne službe, nosilci ukrepov, opredeljeni v izvedbenih načrtih, pristojna ministrstva in ostale službe, ki so zadolžene za izvajanje posameznih delov Nacionalnega programa socialnega varstva 2021–2030.</w:t>
            </w:r>
          </w:p>
        </w:tc>
      </w:tr>
      <w:tr w:rsidR="00823317" w14:paraId="0DA37D61"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28AD55" w14:textId="77777777" w:rsidR="00A77B3E" w:rsidRDefault="00B16CCF">
            <w:pPr>
              <w:spacing w:before="5pt"/>
              <w:rPr>
                <w:color w:val="000000"/>
                <w:sz w:val="20"/>
              </w:rPr>
            </w:pPr>
            <w:r>
              <w:rPr>
                <w:color w:val="000000"/>
                <w:sz w:val="20"/>
              </w:rPr>
              <w:lastRenderedPageBreak/>
              <w:t>4.6. Strateški okvir politike za zdravstveno varstvo in dolgotrajno oskrbo</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8E7B56" w14:textId="77777777" w:rsidR="00A77B3E" w:rsidRDefault="00A77B3E">
            <w:pPr>
              <w:spacing w:before="5pt"/>
              <w:rPr>
                <w:color w:val="000000"/>
                <w:sz w:val="20"/>
              </w:rPr>
            </w:pPr>
          </w:p>
          <w:p w14:paraId="151E4379" w14:textId="77777777" w:rsidR="00A77B3E" w:rsidRDefault="00B16CCF">
            <w:pPr>
              <w:spacing w:before="5pt"/>
              <w:rPr>
                <w:color w:val="000000"/>
                <w:sz w:val="20"/>
                <w:szCs w:val="20"/>
              </w:rPr>
            </w:pPr>
            <w:r>
              <w:rPr>
                <w:color w:val="000000"/>
                <w:sz w:val="20"/>
                <w:szCs w:val="20"/>
              </w:rPr>
              <w:t>ESS+</w:t>
            </w:r>
            <w:r>
              <w:rPr>
                <w:color w:val="000000"/>
                <w:sz w:val="20"/>
                <w:szCs w:val="20"/>
              </w:rPr>
              <w:br/>
              <w:t>ESRR</w:t>
            </w:r>
          </w:p>
          <w:p w14:paraId="450F3965"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19B99F" w14:textId="77777777" w:rsidR="00A77B3E" w:rsidRDefault="00A77B3E">
            <w:pPr>
              <w:spacing w:before="5pt"/>
              <w:rPr>
                <w:color w:val="000000"/>
                <w:sz w:val="20"/>
              </w:rPr>
            </w:pPr>
          </w:p>
          <w:p w14:paraId="19F2F21D" w14:textId="77777777" w:rsidR="00A77B3E" w:rsidRDefault="00B16CCF">
            <w:pPr>
              <w:spacing w:before="5pt"/>
              <w:rPr>
                <w:color w:val="000000"/>
                <w:sz w:val="20"/>
                <w:szCs w:val="20"/>
              </w:rPr>
            </w:pPr>
            <w:r>
              <w:rPr>
                <w:color w:val="000000"/>
                <w:sz w:val="20"/>
                <w:szCs w:val="20"/>
              </w:rPr>
              <w:t xml:space="preserve">ESO4.11. Krepitev enakopravnega in pravočasnega dostopa do kakovostnih, trajnostnih in cenovno ugodnih storitev, vključno s storitvami, ki spodbujajo dostop do stanovanj, in storitvami oskrbe, usmerjene v posameznika, vključno z zdravstveno oskrbo; posodobitev sistemov socialne zaščite, vključno s spodbujanjem </w:t>
            </w:r>
            <w:r>
              <w:rPr>
                <w:color w:val="000000"/>
                <w:sz w:val="20"/>
                <w:szCs w:val="20"/>
              </w:rPr>
              <w:lastRenderedPageBreak/>
              <w:t>dostopa do socialne zaščite, s posebnim poudarkom na otrocih in prikrajšanih skupinah; izboljšanje dostopnosti, tudi za invalide, učinkovitosti in odpornosti zdravstvenih sistemov in storitev dolgotrajne oskrbe</w:t>
            </w:r>
            <w:r>
              <w:rPr>
                <w:color w:val="000000"/>
                <w:sz w:val="20"/>
                <w:szCs w:val="20"/>
              </w:rPr>
              <w:br/>
              <w:t>RSO4.5. Zagotavljanje enakega dostopa do zdravstvenega varstva in krepitev odpornosti zdravstvenih sistemov, vključno z osnovnim zdravstvenim varstvom, ter spodbujanje prehoda z institucionalne oskrbe na oskrbo v družini in skupnosti</w:t>
            </w:r>
          </w:p>
          <w:p w14:paraId="183F0500" w14:textId="77777777" w:rsidR="00A77B3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AF88E6" w14:textId="77777777" w:rsidR="00A77B3E" w:rsidRDefault="00B16CCF">
            <w:pPr>
              <w:spacing w:before="5pt"/>
              <w:jc w:val="center"/>
              <w:rPr>
                <w:color w:val="000000"/>
                <w:sz w:val="20"/>
              </w:rPr>
            </w:pPr>
            <w:r>
              <w:rPr>
                <w:color w:val="000000"/>
                <w:sz w:val="20"/>
              </w:rPr>
              <w:lastRenderedPageBreak/>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23A65D" w14:textId="77777777" w:rsidR="00A77B3E" w:rsidRDefault="00B16CCF">
            <w:pPr>
              <w:spacing w:before="5pt"/>
              <w:rPr>
                <w:color w:val="000000"/>
                <w:sz w:val="20"/>
              </w:rPr>
            </w:pPr>
            <w:r>
              <w:rPr>
                <w:color w:val="000000"/>
                <w:sz w:val="20"/>
              </w:rPr>
              <w:t xml:space="preserve">Vzpostavljen je nacionalni ali regionalni strateški okvir politike za zdravje, ki vključuje:1. kartiranje potreb na področju zdravja in dolgotrajne oskrbe, tudi kar zadeva zdravstveno in negovalno osebje, za zagotovitev trajnostnih in usklajenih ukrepov, </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B20A35" w14:textId="77777777" w:rsidR="00A77B3E" w:rsidRDefault="00B16CC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3E9DF1" w14:textId="77777777" w:rsidR="00A77B3E" w:rsidRDefault="00B16CCF">
            <w:pPr>
              <w:spacing w:before="5pt"/>
              <w:rPr>
                <w:color w:val="000000"/>
                <w:sz w:val="20"/>
              </w:rPr>
            </w:pPr>
            <w:r>
              <w:rPr>
                <w:color w:val="000000"/>
                <w:sz w:val="20"/>
              </w:rPr>
              <w:t>Kartiranje potreb na področju zdravstva in dolgotrajne oskrbe</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3E2F26" w14:textId="77777777" w:rsidR="00A77B3E" w:rsidRDefault="00B16CCF">
            <w:pPr>
              <w:spacing w:before="5pt"/>
              <w:rPr>
                <w:color w:val="000000"/>
                <w:sz w:val="20"/>
              </w:rPr>
            </w:pPr>
            <w:r>
              <w:rPr>
                <w:color w:val="000000"/>
                <w:sz w:val="20"/>
              </w:rPr>
              <w:t>Dokument kartiranja potreb, ki je bil sprejet dne 13. 9. 2022, vsebuje podatke o investicijskih potrebah javnih zavodov zdravstva in dolgotrajne oskrbe v Sloveniji. Dokument je bil neformalno usklajen z EK.</w:t>
            </w:r>
          </w:p>
        </w:tc>
      </w:tr>
      <w:tr w:rsidR="00823317" w14:paraId="55D52029"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0DAB08"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6745F9"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F422CC"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E7AE92"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20F54C" w14:textId="77777777" w:rsidR="00A77B3E" w:rsidRDefault="00B16CCF">
            <w:pPr>
              <w:spacing w:before="5pt"/>
              <w:rPr>
                <w:color w:val="000000"/>
                <w:sz w:val="20"/>
              </w:rPr>
            </w:pPr>
            <w:r>
              <w:rPr>
                <w:color w:val="000000"/>
                <w:sz w:val="20"/>
              </w:rPr>
              <w:t>2. ukrepe za zagotovitev učinkovitosti, trajnostnosti, dostopnosti in cenovne dosegljivosti zdravstvenih storitev in storitev dolgotrajne oskrbe, vključno s posebnim poudarkom na osebah, izključenih iz sistemov zdravstvenega varstva in dolgotrajne oskrbe, vključno s tistimi, ki jih je najtežje doseči,</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6F51C7" w14:textId="77777777" w:rsidR="00A77B3E" w:rsidRDefault="00B16CC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A13216" w14:textId="77777777" w:rsidR="00A77B3E" w:rsidRDefault="00B16CCF">
            <w:pPr>
              <w:spacing w:before="5pt"/>
              <w:rPr>
                <w:color w:val="000000"/>
                <w:sz w:val="20"/>
              </w:rPr>
            </w:pPr>
            <w:r>
              <w:rPr>
                <w:color w:val="000000"/>
                <w:sz w:val="20"/>
              </w:rPr>
              <w:t>Resolucija o nacionalnem planu zdravstvenega varstva 2016–2025 »Skupaj za družbo zdravja« (ReNPZV16–25): http://www.pisrs.si/Pis.web/pregledPredpisa?id=RESO102</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0B33F5" w14:textId="77777777" w:rsidR="00A77B3E" w:rsidRDefault="00B16CCF">
            <w:pPr>
              <w:spacing w:before="5pt"/>
              <w:rPr>
                <w:color w:val="000000"/>
                <w:sz w:val="20"/>
              </w:rPr>
            </w:pPr>
            <w:r>
              <w:rPr>
                <w:color w:val="000000"/>
                <w:sz w:val="20"/>
              </w:rPr>
              <w:t xml:space="preserve">Resolucija o nacionalnem planu zdravstvenega varstva 2016–2025 »Skupaj za družbo zdravja« naslavlja ukrepe za dosego učinkovitega, vzdržnega in finančno dostopnega zdravstvenega sistema in sistema dolgotrajne oskrbe. Cilji optimizacije sistema, zapisani v resoluciji so: integrirana in celovita obravnava; enaka dostopnost do kakovostne in varne oskrbe čim bližje prebivalcem; usmerjenost v preventivno zdravstveno varstvo; boljša povezanost med ravnmi zdravstvene dejavnosti in s socialnim </w:t>
            </w:r>
            <w:r>
              <w:rPr>
                <w:color w:val="000000"/>
                <w:sz w:val="20"/>
              </w:rPr>
              <w:lastRenderedPageBreak/>
              <w:t>varstvom; upoštevane spreminjajoče se zdravstvene potrebe starajoče se populacije in usmerjenost v uporabnika in njegovo opolnomočenja. Cilji bodo doseženi z enakomerno in pravično obremenitvijo zavarovancev s prispevki, večjo razpršenostjo virov za financiranje zdravstvenega varstva in uvajanjem oziroma opuščanjem metod zdravljenja na osnovi preglednega sistema.</w:t>
            </w:r>
          </w:p>
        </w:tc>
      </w:tr>
      <w:tr w:rsidR="00823317" w14:paraId="54187E06"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3F9CEF"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746712"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A30D43"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407025"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1B2D1C" w14:textId="77777777" w:rsidR="00A77B3E" w:rsidRDefault="00B16CCF">
            <w:pPr>
              <w:spacing w:before="5pt"/>
              <w:rPr>
                <w:color w:val="000000"/>
                <w:sz w:val="20"/>
              </w:rPr>
            </w:pPr>
            <w:r>
              <w:rPr>
                <w:color w:val="000000"/>
                <w:sz w:val="20"/>
              </w:rPr>
              <w:t>3. ukrepe za spodbujanje storitev v okviru skupnosti in družine prek deinstitucionalizacije, vključno s preprečevanjem in osnovnim zdravstvenim varstvom, oskrbo na domu in storitvami v okviru skupnosti.</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9E53C7" w14:textId="77777777" w:rsidR="00A77B3E" w:rsidRDefault="00B16CC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00D382" w14:textId="77777777" w:rsidR="00A77B3E" w:rsidRDefault="00B16CCF">
            <w:pPr>
              <w:spacing w:before="5pt"/>
              <w:rPr>
                <w:color w:val="000000"/>
                <w:sz w:val="20"/>
              </w:rPr>
            </w:pPr>
            <w:r>
              <w:rPr>
                <w:color w:val="000000"/>
                <w:sz w:val="20"/>
              </w:rPr>
              <w:t>Resolucija o nacionalnem planu zdravstvenega varstva 2016–2025 »Skupaj za družbo zdravja« (ReNPZV16–25): http://www.pisrs.si/Pis.web/pregledPredpisa?id=RESO102</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BEF060" w14:textId="77777777" w:rsidR="00A77B3E" w:rsidRDefault="00B16CCF">
            <w:pPr>
              <w:spacing w:before="5pt"/>
              <w:rPr>
                <w:color w:val="000000"/>
                <w:sz w:val="20"/>
              </w:rPr>
            </w:pPr>
            <w:r>
              <w:rPr>
                <w:color w:val="000000"/>
                <w:sz w:val="20"/>
              </w:rPr>
              <w:t xml:space="preserve">Resolucija o nacionalnem planu zdravstvenega varstva 2016–2025 »Skupaj za družbo zdravja« naslavlja ukrepe za krepitev in varovanje zdravja in preprečevanje bolezni. Temelji na pristopu »zdravje v vseh politikah« in krepitvi dejavnosti javnega zdravja na primarni ravni. Cilji ukrepov so preprečevanje bolezni, zgodnje odkrivanje bolezni ter zmanjševanje neenakosti v zdravju.  </w:t>
            </w:r>
          </w:p>
        </w:tc>
      </w:tr>
    </w:tbl>
    <w:p w14:paraId="4AA77C47" w14:textId="77777777" w:rsidR="00A77B3E" w:rsidRDefault="00B16CCF">
      <w:pPr>
        <w:pStyle w:val="Naslov1"/>
        <w:spacing w:before="5pt" w:after="0pt"/>
        <w:rPr>
          <w:rFonts w:ascii="Times New Roman" w:hAnsi="Times New Roman" w:cs="Times New Roman"/>
          <w:b w:val="0"/>
          <w:color w:val="000000"/>
          <w:sz w:val="24"/>
        </w:rPr>
      </w:pPr>
      <w:r>
        <w:rPr>
          <w:rFonts w:ascii="Times New Roman" w:hAnsi="Times New Roman" w:cs="Times New Roman"/>
          <w:b w:val="0"/>
          <w:color w:val="000000"/>
          <w:sz w:val="20"/>
        </w:rPr>
        <w:br w:type="page"/>
      </w:r>
      <w:bookmarkStart w:id="714" w:name="_Toc256001475"/>
      <w:r>
        <w:rPr>
          <w:rFonts w:ascii="Times New Roman" w:hAnsi="Times New Roman" w:cs="Times New Roman"/>
          <w:b w:val="0"/>
          <w:color w:val="000000"/>
          <w:sz w:val="24"/>
        </w:rPr>
        <w:lastRenderedPageBreak/>
        <w:t>5. Organi, pristojni za program</w:t>
      </w:r>
      <w:bookmarkEnd w:id="714"/>
    </w:p>
    <w:p w14:paraId="1657904E" w14:textId="77777777" w:rsidR="00A77B3E" w:rsidRDefault="00B16CCF">
      <w:pPr>
        <w:spacing w:before="5pt"/>
        <w:rPr>
          <w:color w:val="000000"/>
          <w:sz w:val="0"/>
        </w:rPr>
      </w:pPr>
      <w:r>
        <w:rPr>
          <w:color w:val="000000"/>
        </w:rPr>
        <w:t>Sklic: člen 22(3)(k) ter člena 71 in 84 uredbe o skupnih določbah</w:t>
      </w:r>
    </w:p>
    <w:p w14:paraId="3847B204" w14:textId="77777777" w:rsidR="00A77B3E" w:rsidRDefault="00B16CCF">
      <w:pPr>
        <w:pStyle w:val="Naslov2"/>
        <w:spacing w:before="5pt" w:after="0pt"/>
        <w:rPr>
          <w:rFonts w:ascii="TimesNewRoman" w:eastAsia="TimesNewRoman" w:hAnsi="TimesNewRoman" w:cs="TimesNewRoman"/>
          <w:b w:val="0"/>
          <w:i w:val="0"/>
          <w:color w:val="000000"/>
          <w:sz w:val="24"/>
        </w:rPr>
      </w:pPr>
      <w:bookmarkStart w:id="715" w:name="_Toc256001476"/>
      <w:r>
        <w:rPr>
          <w:rFonts w:ascii="TimesNewRoman" w:eastAsia="TimesNewRoman" w:hAnsi="TimesNewRoman" w:cs="TimesNewRoman"/>
          <w:b w:val="0"/>
          <w:i w:val="0"/>
          <w:color w:val="000000"/>
          <w:sz w:val="24"/>
        </w:rPr>
        <w:t>Tabela 13: Organi, pristojni za program</w:t>
      </w:r>
      <w:bookmarkEnd w:id="715"/>
    </w:p>
    <w:p w14:paraId="31850757"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910"/>
        <w:gridCol w:w="2808"/>
        <w:gridCol w:w="2236"/>
        <w:gridCol w:w="2522"/>
        <w:gridCol w:w="4696"/>
      </w:tblGrid>
      <w:tr w:rsidR="00823317" w14:paraId="46D6E750"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775DCF" w14:textId="77777777" w:rsidR="00A77B3E" w:rsidRDefault="00B16CCF">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Organi, pristojni za program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56B9CD" w14:textId="77777777" w:rsidR="00A77B3E" w:rsidRDefault="00B16CCF">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Ime nosilca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229AA8" w14:textId="77777777" w:rsidR="00A77B3E" w:rsidRDefault="00B16CCF">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Kontaktna oseba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93E6D0" w14:textId="77777777" w:rsidR="00A77B3E" w:rsidRDefault="00B16CCF">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Položaj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0A93DB" w14:textId="77777777" w:rsidR="00A77B3E" w:rsidRDefault="00B16CCF">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E-naslov</w:t>
            </w:r>
          </w:p>
        </w:tc>
      </w:tr>
      <w:tr w:rsidR="00823317" w14:paraId="39291B6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74CF17" w14:textId="77777777" w:rsidR="00A77B3E" w:rsidRDefault="00B16CCF">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Organ upravljanja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3975D4" w14:textId="77777777" w:rsidR="00A77B3E" w:rsidRDefault="00B16CCF">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Ministry of Cohesion and Regional Development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6A2300" w14:textId="77777777" w:rsidR="00A77B3E" w:rsidRDefault="00B16CCF">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Mojca Aljančič</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CDA0CD" w14:textId="77777777" w:rsidR="00A77B3E" w:rsidRDefault="00B16CCF">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General Director of Cohesion Policy Directorate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9E9E3B" w14:textId="77777777" w:rsidR="00A77B3E" w:rsidRDefault="00B16CCF">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mojca.aljancic@gov.si</w:t>
            </w:r>
          </w:p>
        </w:tc>
      </w:tr>
      <w:tr w:rsidR="00823317" w14:paraId="62D8E07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0CC2FC" w14:textId="77777777" w:rsidR="00A77B3E" w:rsidRDefault="00B16CCF">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Revizijski organ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A140D1" w14:textId="77777777" w:rsidR="00A77B3E" w:rsidRDefault="00B16CCF">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Ministrstvo za finance, Urad RS za nadzor proračuna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409B1F" w14:textId="77777777" w:rsidR="00A77B3E" w:rsidRDefault="00B16CCF">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Patricija Pergar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8BBE37" w14:textId="77777777" w:rsidR="00A77B3E" w:rsidRDefault="00B16CCF">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Director, Budget Supervision Office of the Republic of Slovenia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0D2889" w14:textId="77777777" w:rsidR="00A77B3E" w:rsidRDefault="00B16CCF">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patricija.pergar@gov.si</w:t>
            </w:r>
          </w:p>
        </w:tc>
      </w:tr>
      <w:tr w:rsidR="00823317" w14:paraId="16F905A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28271F" w14:textId="77777777" w:rsidR="00A77B3E" w:rsidRDefault="00B16CCF">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Telo, ki prejema plačila Evropske komisije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71ADB2" w14:textId="77777777" w:rsidR="00A77B3E" w:rsidRDefault="00B16CCF">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Ministrstvo za finance, Sektor za upravljanje s sredstvi EU/CA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2172EA" w14:textId="77777777" w:rsidR="00A77B3E" w:rsidRDefault="00B16CCF">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Evelyn Filip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42280B" w14:textId="77777777" w:rsidR="00A77B3E" w:rsidRDefault="00B16CCF">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Head of Accouting Authority, Ministry of Finance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06E7D8" w14:textId="77777777" w:rsidR="00A77B3E" w:rsidRDefault="00B16CCF">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gp.mf@gov.si</w:t>
            </w:r>
          </w:p>
        </w:tc>
      </w:tr>
      <w:tr w:rsidR="00823317" w14:paraId="3EC96DC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5A1295" w14:textId="77777777" w:rsidR="00A77B3E" w:rsidRDefault="00B16CCF">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Telo, ki prejema plačila Evropske komisije v primeru tehnične pomoči v skladu s členom 36(5) uredbe o skupnih določbah</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87CC33" w14:textId="77777777" w:rsidR="00A77B3E" w:rsidRDefault="00B16CCF">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Ministrstvo za finance, Sektor za upravljanje s sredstvi EU/CA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B193DA" w14:textId="77777777" w:rsidR="00A77B3E" w:rsidRDefault="00B16CCF">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Evelyn Filip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81C512" w14:textId="77777777" w:rsidR="00A77B3E" w:rsidRDefault="00B16CCF">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Head of Accouting Authority, Ministry of Finance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722A31" w14:textId="77777777" w:rsidR="00A77B3E" w:rsidRDefault="00B16CCF">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gp.mf@gov.si</w:t>
            </w:r>
          </w:p>
        </w:tc>
      </w:tr>
      <w:tr w:rsidR="00823317" w14:paraId="3F58E71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85F656" w14:textId="77777777" w:rsidR="00A77B3E" w:rsidRDefault="00B16CCF">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Organ, ki ni organ upravljanja, zadolžen za računovodsko funkcijo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48292B" w14:textId="77777777" w:rsidR="00A77B3E" w:rsidRDefault="00B16CCF">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Ministrstvo za finance, Sektor za upravljanje s sredstvi EU/CA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602DFC" w14:textId="77777777" w:rsidR="00A77B3E" w:rsidRDefault="00B16CCF">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Evelyn Filip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D114CF" w14:textId="77777777" w:rsidR="00A77B3E" w:rsidRDefault="00B16CCF">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Head of Accouting Authority, Ministry of Finance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181135" w14:textId="77777777" w:rsidR="00A77B3E" w:rsidRDefault="00B16CCF">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gp.mf@gov.si</w:t>
            </w:r>
          </w:p>
        </w:tc>
      </w:tr>
    </w:tbl>
    <w:p w14:paraId="50A5FFBF" w14:textId="77777777" w:rsidR="00A77B3E" w:rsidRDefault="00A77B3E">
      <w:pPr>
        <w:spacing w:before="5pt"/>
        <w:rPr>
          <w:rFonts w:ascii="TimesNewRoman" w:eastAsia="TimesNewRoman" w:hAnsi="TimesNewRoman" w:cs="TimesNewRoman"/>
          <w:color w:val="000000"/>
          <w:sz w:val="20"/>
        </w:rPr>
      </w:pPr>
    </w:p>
    <w:p w14:paraId="0B512A8A" w14:textId="77777777" w:rsidR="00A77B3E" w:rsidRDefault="00B16CCF">
      <w:pPr>
        <w:pStyle w:val="Naslov2"/>
        <w:spacing w:before="5pt" w:after="0pt"/>
        <w:rPr>
          <w:rFonts w:ascii="TimesNewRoman" w:eastAsia="TimesNewRoman" w:hAnsi="TimesNewRoman" w:cs="TimesNewRoman"/>
          <w:b w:val="0"/>
          <w:i w:val="0"/>
          <w:color w:val="000000"/>
          <w:sz w:val="24"/>
        </w:rPr>
      </w:pPr>
      <w:bookmarkStart w:id="716" w:name="_Toc256001477"/>
      <w:r>
        <w:rPr>
          <w:rFonts w:ascii="TimesNewRoman" w:eastAsia="TimesNewRoman" w:hAnsi="TimesNewRoman" w:cs="TimesNewRoman"/>
          <w:b w:val="0"/>
          <w:i w:val="0"/>
          <w:color w:val="000000"/>
          <w:sz w:val="24"/>
        </w:rPr>
        <w:t>Porazdelitev povrnjenih zneskov za tehnično pomoč v skladu s členom 36(5) uredbe o skupnih določbah, če je za prejemanje plačil Komisije opredeljenih več teles</w:t>
      </w:r>
      <w:bookmarkEnd w:id="716"/>
    </w:p>
    <w:p w14:paraId="43D9B60A" w14:textId="77777777" w:rsidR="00A77B3E" w:rsidRDefault="00A77B3E">
      <w:pPr>
        <w:spacing w:before="5pt"/>
        <w:rPr>
          <w:rFonts w:ascii="TimesNewRoman" w:eastAsia="TimesNewRoman" w:hAnsi="TimesNewRoman" w:cs="TimesNewRoman"/>
          <w:color w:val="000000"/>
          <w:sz w:val="0"/>
        </w:rPr>
      </w:pPr>
    </w:p>
    <w:p w14:paraId="12298988"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t>Sklic: člen 22(3) uredbe o skupnih določbah</w:t>
      </w:r>
    </w:p>
    <w:p w14:paraId="5E8DEF76"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t>Tabela 13A: Del odstotnih deležev iz člena 36(5)(b) uredbe o skupnih določbah, ki bi se povrnil organom, ki prejemajo plačila Komisije v primeru tehnične pomoči v skladu s členom 36(5) uredbe o skupnih določbah (v odstotnih točkah)</w:t>
      </w:r>
    </w:p>
    <w:p w14:paraId="06285F88" w14:textId="77777777" w:rsidR="00A77B3E" w:rsidRDefault="00A77B3E">
      <w:pPr>
        <w:spacing w:before="5pt"/>
        <w:rPr>
          <w:rFonts w:ascii="TimesNewRoman" w:eastAsia="TimesNewRoman" w:hAnsi="TimesNewRoman" w:cs="TimesNewRoman"/>
          <w:color w:val="000000"/>
          <w:sz w:val="12"/>
        </w:rPr>
      </w:pPr>
    </w:p>
    <w:p w14:paraId="55E599D4" w14:textId="77777777" w:rsidR="00A77B3E" w:rsidRDefault="00A77B3E">
      <w:pPr>
        <w:spacing w:before="5pt"/>
        <w:rPr>
          <w:rFonts w:ascii="TimesNewRoman" w:eastAsia="TimesNewRoman" w:hAnsi="TimesNewRoman" w:cs="TimesNewRoman"/>
          <w:color w:val="000000"/>
        </w:rPr>
        <w:sectPr w:rsidR="00A77B3E">
          <w:headerReference w:type="even" r:id="rId31"/>
          <w:headerReference w:type="default" r:id="rId32"/>
          <w:footerReference w:type="even" r:id="rId33"/>
          <w:footerReference w:type="default" r:id="rId34"/>
          <w:headerReference w:type="first" r:id="rId35"/>
          <w:footerReference w:type="first" r:id="rId36"/>
          <w:pgSz w:w="841.90pt" w:h="595.30pt" w:orient="landscape"/>
          <w:pgMar w:top="36pt" w:right="36pt" w:bottom="43.20pt" w:left="46.80pt" w:header="14.40pt" w:footer="3.60pt" w:gutter="0pt"/>
          <w:cols w:space="36pt"/>
          <w:noEndnote/>
          <w:docGrid w:linePitch="360"/>
        </w:sectPr>
      </w:pPr>
    </w:p>
    <w:p w14:paraId="644B4769" w14:textId="77777777" w:rsidR="00A77B3E" w:rsidRDefault="00B16CCF">
      <w:pPr>
        <w:pStyle w:val="Naslov1"/>
        <w:spacing w:before="5pt" w:after="0pt"/>
        <w:rPr>
          <w:rFonts w:ascii="TimesNewRoman" w:eastAsia="TimesNewRoman" w:hAnsi="TimesNewRoman" w:cs="TimesNewRoman"/>
          <w:b w:val="0"/>
          <w:color w:val="000000"/>
          <w:sz w:val="24"/>
        </w:rPr>
      </w:pPr>
      <w:bookmarkStart w:id="717" w:name="_Toc256001478"/>
      <w:r>
        <w:rPr>
          <w:rFonts w:ascii="TimesNewRoman" w:eastAsia="TimesNewRoman" w:hAnsi="TimesNewRoman" w:cs="TimesNewRoman"/>
          <w:b w:val="0"/>
          <w:color w:val="000000"/>
          <w:sz w:val="24"/>
        </w:rPr>
        <w:lastRenderedPageBreak/>
        <w:t>6. Partnerstvo</w:t>
      </w:r>
      <w:bookmarkEnd w:id="717"/>
    </w:p>
    <w:p w14:paraId="36FF687A" w14:textId="77777777" w:rsidR="00A77B3E" w:rsidRDefault="00B16CCF">
      <w:pPr>
        <w:spacing w:before="5pt"/>
        <w:rPr>
          <w:rFonts w:ascii="TimesNewRoman" w:eastAsia="TimesNewRoman" w:hAnsi="TimesNewRoman" w:cs="TimesNewRoman"/>
          <w:color w:val="000000"/>
          <w:sz w:val="16"/>
        </w:rPr>
      </w:pPr>
      <w:r>
        <w:rPr>
          <w:rFonts w:ascii="TimesNewRoman" w:eastAsia="TimesNewRoman" w:hAnsi="TimesNewRoman" w:cs="TimesNewRoman"/>
          <w:color w:val="000000"/>
        </w:rPr>
        <w:t>Sklic: člen 22(3)(h) uredbe o skupnih določbah</w:t>
      </w:r>
    </w:p>
    <w:p w14:paraId="7F57E848"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823317" w14:paraId="0EF5FE74"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771BCC" w14:textId="77777777" w:rsidR="00A77B3E" w:rsidRDefault="00A77B3E">
            <w:pPr>
              <w:spacing w:before="5pt"/>
              <w:rPr>
                <w:rFonts w:ascii="TimesNewRoman" w:eastAsia="TimesNewRoman" w:hAnsi="TimesNewRoman" w:cs="TimesNewRoman"/>
                <w:color w:val="000000"/>
                <w:sz w:val="0"/>
              </w:rPr>
            </w:pPr>
          </w:p>
          <w:p w14:paraId="767254DF"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t>Slovenija namenja veliko pozornosti izvajanju načela partnerstva tako v procesu priprave programskih dokumentov kot v procesu izvajanja. Z vključenostjo partnerjev v načrtovanje, izvajanje, nadziranje in ocenjevanje projektov, ki prejemajo sredstva EU, dosegamo, da se sredstva porabljajo tam, kjer so najbolj potrebna, in na najboljši možen način, saj so pri snovanju in izvajanju najučinkovitejših investicijskih strategij upoštevani vsi relevantni vidiki.</w:t>
            </w:r>
          </w:p>
          <w:p w14:paraId="1B2EE134" w14:textId="77777777" w:rsidR="00A77B3E" w:rsidRDefault="00A77B3E">
            <w:pPr>
              <w:spacing w:before="5pt"/>
              <w:rPr>
                <w:rFonts w:ascii="TimesNewRoman" w:eastAsia="TimesNewRoman" w:hAnsi="TimesNewRoman" w:cs="TimesNewRoman"/>
                <w:color w:val="000000"/>
              </w:rPr>
            </w:pPr>
          </w:p>
          <w:p w14:paraId="70825AD5"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t>Organizacija in izvajanje partnerstva se izvajata v skladu z 8. členom Uredbe (EU) 2021/1060 in Evropskim kodeksom dobre prakse za partnerstvo v okviru evropskih strukturnih in investicijskih skladov, določenim v Delegirani uredbi (EU) št. 240/2014.</w:t>
            </w:r>
          </w:p>
          <w:p w14:paraId="53E3A081" w14:textId="77777777" w:rsidR="00A77B3E" w:rsidRDefault="00A77B3E">
            <w:pPr>
              <w:spacing w:before="5pt"/>
              <w:rPr>
                <w:rFonts w:ascii="TimesNewRoman" w:eastAsia="TimesNewRoman" w:hAnsi="TimesNewRoman" w:cs="TimesNewRoman"/>
                <w:color w:val="000000"/>
              </w:rPr>
            </w:pPr>
          </w:p>
          <w:p w14:paraId="5E9149E8"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t>Načrtovanje, izvajanje, nadziranje in ocenjevanje programa poteka v sodelovanju s pristojnimi regionalnimi, lokalnimi, mestnimi in drugimi javnimi organi, ekonomskimi in socialnimi partnerji, predstavniki civilne družbe ter drugimi zainteresiranimi deležniki za izvajanje skladov EU, zlasti skupinami, pri katerih obstaja večje tveganje diskriminacije in socialne izključenosti.</w:t>
            </w:r>
          </w:p>
          <w:p w14:paraId="06CD2958" w14:textId="77777777" w:rsidR="00A77B3E" w:rsidRDefault="00A77B3E">
            <w:pPr>
              <w:spacing w:before="5pt"/>
              <w:rPr>
                <w:rFonts w:ascii="TimesNewRoman" w:eastAsia="TimesNewRoman" w:hAnsi="TimesNewRoman" w:cs="TimesNewRoman"/>
                <w:color w:val="000000"/>
              </w:rPr>
            </w:pPr>
          </w:p>
          <w:p w14:paraId="07B7C334"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t>Partnerjem je zagotovljeno pravočasno informiranje in sprotno sodelovanje preko enotnega spletnega portala skladov EU www.evropskasredstva.si, interaktivne svetovalke Eme, v naprej napovedanih dogodkov in posvetovanj, vključno z objavo vprašanj, pobud in odgovorov s posvetovanj z deležniki na omenjenem portalu. V skladu s kodeksom zasedanj odbora za spremljanje ter drugih oblik sodelovanja.</w:t>
            </w:r>
          </w:p>
          <w:p w14:paraId="2FC85824" w14:textId="77777777" w:rsidR="00A77B3E" w:rsidRDefault="00A77B3E">
            <w:pPr>
              <w:spacing w:before="5pt"/>
              <w:rPr>
                <w:rFonts w:ascii="TimesNewRoman" w:eastAsia="TimesNewRoman" w:hAnsi="TimesNewRoman" w:cs="TimesNewRoman"/>
                <w:color w:val="000000"/>
              </w:rPr>
            </w:pPr>
          </w:p>
          <w:p w14:paraId="33EA2409"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t>Partnerji so v procesu priprave programa vključeni predvsem v analizo in opredelitev potreb, prednostnih nalog, razporeditev razpoložljivih sredstev in določitev načina izvajanja.</w:t>
            </w:r>
          </w:p>
          <w:p w14:paraId="387547A2" w14:textId="77777777" w:rsidR="00A77B3E" w:rsidRDefault="00A77B3E">
            <w:pPr>
              <w:spacing w:before="5pt"/>
              <w:rPr>
                <w:rFonts w:ascii="TimesNewRoman" w:eastAsia="TimesNewRoman" w:hAnsi="TimesNewRoman" w:cs="TimesNewRoman"/>
                <w:color w:val="000000"/>
              </w:rPr>
            </w:pPr>
          </w:p>
          <w:p w14:paraId="0649EDF1"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t>Tekom programskega obdobja bomo spodbujali izmenjevanje izkušenj in vzajemno učenje, ob koncu programskega obdobja pa bomo ocenili vlogo partnerjev in učinkovitosti partnerstva v programskem obdobju.</w:t>
            </w:r>
          </w:p>
          <w:p w14:paraId="5D39F317" w14:textId="77777777" w:rsidR="00A77B3E" w:rsidRDefault="00A77B3E">
            <w:pPr>
              <w:spacing w:before="5pt"/>
              <w:rPr>
                <w:rFonts w:ascii="TimesNewRoman" w:eastAsia="TimesNewRoman" w:hAnsi="TimesNewRoman" w:cs="TimesNewRoman"/>
                <w:color w:val="000000"/>
              </w:rPr>
            </w:pPr>
          </w:p>
          <w:p w14:paraId="132FB092"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b/>
                <w:bCs/>
                <w:color w:val="000000"/>
              </w:rPr>
              <w:t>Ukrepi, sprejeti za vključitev ustreznih partnerjev v pripravo programov in njihovih sprememb:</w:t>
            </w:r>
          </w:p>
          <w:p w14:paraId="27958424"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t>Partnerji in splošna javnost se lahko v pripravo programskih dokumentov neposredno vključijo preko spletnega obrazca na naslovu perspektive.eu-skladi.si/, vse relevantne informacije o evropskih sredstvih pa podaja interaktivna svetovalka Ema na novem enotnem spletnem portalu www.evropskasredstva.si ali brezplačni telefonski številki 080 20 23. Na omenjenem spletnem portalu sproti in pravočasno objavljamo termine fizičnih in virtualnih posvetovanj. Vprašanja, pobude in odgovori s posvetovanj z deležniki se objavijo na omenjenem portalu. Partnerje in zainteresirano javnost k sodelovanju spodbujamo tudi s pozivi v mesečnem e-informatorju Vizija kohezija in preko družbenih omrežij.</w:t>
            </w:r>
          </w:p>
          <w:p w14:paraId="2DFB2E46" w14:textId="77777777" w:rsidR="00A77B3E" w:rsidRDefault="00A77B3E">
            <w:pPr>
              <w:spacing w:before="5pt"/>
              <w:rPr>
                <w:rFonts w:ascii="TimesNewRoman" w:eastAsia="TimesNewRoman" w:hAnsi="TimesNewRoman" w:cs="TimesNewRoman"/>
                <w:color w:val="000000"/>
              </w:rPr>
            </w:pPr>
          </w:p>
          <w:p w14:paraId="182AFB10"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b/>
                <w:bCs/>
                <w:color w:val="000000"/>
              </w:rPr>
              <w:t>Načrtovani ukrepi za zagotovitev sodelovanja partnerjev pri izvajanju programov:</w:t>
            </w:r>
          </w:p>
          <w:p w14:paraId="43EE612A"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t>Celotno programsko obdobje bodo partnerji aktivno vključeni v proces izvajanja preko sodelovanja v odboru za spremljanje. Ves čas jim bo na voljo interaktivna svetovalka Ema na enotnem spletnem portalu www.evropskasredstva.si ali brezplačni telefonski številki 080 20 23.</w:t>
            </w:r>
          </w:p>
          <w:p w14:paraId="2B12659F" w14:textId="77777777" w:rsidR="00A77B3E" w:rsidRDefault="00A77B3E">
            <w:pPr>
              <w:spacing w:before="5pt"/>
              <w:rPr>
                <w:rFonts w:ascii="TimesNewRoman" w:eastAsia="TimesNewRoman" w:hAnsi="TimesNewRoman" w:cs="TimesNewRoman"/>
                <w:color w:val="000000"/>
              </w:rPr>
            </w:pPr>
          </w:p>
          <w:p w14:paraId="7BD144AC"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t>Podrobneje je načelo partnerstva opisano v dokumentu: Načelo partnerstva v okviru priprave programskih dokumentov za izvajanje EKP 2021-27 ter samega izvajanja Programa.</w:t>
            </w:r>
          </w:p>
          <w:p w14:paraId="2644785E" w14:textId="77777777" w:rsidR="00A77B3E" w:rsidRDefault="00A77B3E">
            <w:pPr>
              <w:spacing w:before="5pt"/>
              <w:rPr>
                <w:rFonts w:ascii="TimesNewRoman" w:eastAsia="TimesNewRoman" w:hAnsi="TimesNewRoman" w:cs="TimesNewRoman"/>
                <w:color w:val="000000"/>
                <w:sz w:val="6"/>
              </w:rPr>
            </w:pPr>
          </w:p>
          <w:p w14:paraId="2BCA679F" w14:textId="77777777" w:rsidR="00A77B3E" w:rsidRDefault="00A77B3E">
            <w:pPr>
              <w:spacing w:before="5pt"/>
              <w:rPr>
                <w:rFonts w:ascii="TimesNewRoman" w:eastAsia="TimesNewRoman" w:hAnsi="TimesNewRoman" w:cs="TimesNewRoman"/>
                <w:color w:val="000000"/>
                <w:sz w:val="6"/>
              </w:rPr>
            </w:pPr>
          </w:p>
        </w:tc>
      </w:tr>
    </w:tbl>
    <w:p w14:paraId="0E2F6AC1" w14:textId="77777777" w:rsidR="00A77B3E" w:rsidRDefault="00B16CCF">
      <w:pPr>
        <w:pStyle w:val="Naslov1"/>
        <w:spacing w:before="5pt" w:after="0pt"/>
        <w:rPr>
          <w:rFonts w:ascii="TimesNewRoman" w:eastAsia="TimesNewRoman" w:hAnsi="TimesNewRoman" w:cs="TimesNewRoman"/>
          <w:b w:val="0"/>
          <w:color w:val="000000"/>
          <w:sz w:val="24"/>
        </w:rPr>
      </w:pPr>
      <w:r>
        <w:rPr>
          <w:rFonts w:ascii="TimesNewRoman" w:eastAsia="TimesNewRoman" w:hAnsi="TimesNewRoman" w:cs="TimesNewRoman"/>
          <w:b w:val="0"/>
          <w:color w:val="000000"/>
          <w:sz w:val="24"/>
        </w:rPr>
        <w:lastRenderedPageBreak/>
        <w:br w:type="page"/>
      </w:r>
      <w:bookmarkStart w:id="718" w:name="_Toc256001479"/>
      <w:r>
        <w:rPr>
          <w:rFonts w:ascii="TimesNewRoman" w:eastAsia="TimesNewRoman" w:hAnsi="TimesNewRoman" w:cs="TimesNewRoman"/>
          <w:b w:val="0"/>
          <w:color w:val="000000"/>
          <w:sz w:val="24"/>
        </w:rPr>
        <w:lastRenderedPageBreak/>
        <w:t>7. Komuniciranje in prepoznavnost</w:t>
      </w:r>
      <w:bookmarkEnd w:id="718"/>
    </w:p>
    <w:p w14:paraId="4C1F33F2" w14:textId="77777777" w:rsidR="00A77B3E" w:rsidRDefault="00B16CCF">
      <w:pPr>
        <w:spacing w:before="5pt"/>
        <w:rPr>
          <w:rFonts w:ascii="TimesNewRoman" w:eastAsia="TimesNewRoman" w:hAnsi="TimesNewRoman" w:cs="TimesNewRoman"/>
          <w:color w:val="000000"/>
          <w:sz w:val="16"/>
        </w:rPr>
      </w:pPr>
      <w:r>
        <w:rPr>
          <w:rFonts w:ascii="TimesNewRoman" w:eastAsia="TimesNewRoman" w:hAnsi="TimesNewRoman" w:cs="TimesNewRoman"/>
          <w:color w:val="000000"/>
        </w:rPr>
        <w:t>Sklic: člen 22(3)(j) uredbe o skupnih določbah</w:t>
      </w:r>
    </w:p>
    <w:p w14:paraId="6418AFD7"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823317" w14:paraId="68DAF0CE"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1EBEA6" w14:textId="77777777" w:rsidR="00A77B3E" w:rsidRDefault="00A77B3E">
            <w:pPr>
              <w:spacing w:before="5pt"/>
              <w:rPr>
                <w:rFonts w:ascii="TimesNewRoman" w:eastAsia="TimesNewRoman" w:hAnsi="TimesNewRoman" w:cs="TimesNewRoman"/>
                <w:color w:val="000000"/>
                <w:sz w:val="0"/>
              </w:rPr>
            </w:pPr>
          </w:p>
          <w:p w14:paraId="10849D3B"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t>OOsrednji namen strategije komuniciranja evropske kohezijske politike (v nadaljevanju EKP) v Sloveniji je zagotavljanje obveščenosti javnosti in njene aktivne vključenosti. Interno javnost, splošno javnost, (potencialne) upravičence, partnerje in medije obveščamo o možnostih, pogojih in načinu pridobivanja sredstev iz Evropskih strukturnih in investicijskih skladov ter o učinkih in rezultatih EKP v Sloveniji.</w:t>
            </w:r>
          </w:p>
          <w:p w14:paraId="4A909961" w14:textId="77777777" w:rsidR="00A77B3E" w:rsidRDefault="00A77B3E">
            <w:pPr>
              <w:spacing w:before="5pt"/>
              <w:rPr>
                <w:rFonts w:ascii="TimesNewRoman" w:eastAsia="TimesNewRoman" w:hAnsi="TimesNewRoman" w:cs="TimesNewRoman"/>
                <w:color w:val="000000"/>
              </w:rPr>
            </w:pPr>
          </w:p>
          <w:p w14:paraId="2858F9E1"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t>V programskem obdobju 2021-27 bo Slovenija razdeljena na dve kohezijski regiji – Vzhodno in Zahodno. Komunikacijske aktivnosti bodo iz izvedbenega vidika enotne, iz vsebinskega vidika pa prilagojene glede na interese ciljnih skupin v posamezni kohezijski regiji. V izvajanje promocije EKP bomo aktivno vključevali tudi deležnike in partnerje, med drugim preko vsakoletne izvedbe dogodka “EU projekt, moj projekt”, preko dobrih zgodb, predstavitev primerov dobrih praks, mini družbenih kampanj v sklopu »Evropa v moji regiji« kampanje, predstavitev na dogodkih in sejmih. Komuniciranje projektov bomo v določenem delu prilagodili tudi področju, ki bo razglašeno v okviru izbrane teme Evropskega leta.</w:t>
            </w:r>
          </w:p>
          <w:p w14:paraId="7876E5D5" w14:textId="77777777" w:rsidR="00A77B3E" w:rsidRDefault="00A77B3E">
            <w:pPr>
              <w:spacing w:before="5pt"/>
              <w:rPr>
                <w:rFonts w:ascii="TimesNewRoman" w:eastAsia="TimesNewRoman" w:hAnsi="TimesNewRoman" w:cs="TimesNewRoman"/>
                <w:color w:val="000000"/>
              </w:rPr>
            </w:pPr>
          </w:p>
          <w:p w14:paraId="045C05F5"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t>V prvi polovici obdobja 2021-27 bo v ospredju seznanjanje javnosti z novostmi v izvajanju EKP, obveščanje o možnostih sofinanciranja in spodbujanje vključevanja deležnikov v proces koriščenja evropskih sredstev. V tem delu bomo predstavili programske dokumente ter zagotovili njihovo razumevanje tudi s pomočjo interaktivne svetovalke Eme na spletnem portalu www.evropskasredstva.si, ki bo ažurno odgovarjala na vprašanja zainteresirane javnosti. Prav tako bomo komunicirali prednostna področja EU za obdobje 2021-27, samostojno in v odnosu do slovenskih ciljev politik, prednosti in koristi članstva v EU. V drugi polovici bo večji poudarek na gradnji pozitivne percepcije EKP v splošni javnosti s komuniciranjem dobrih rezultatov, pri čemer bodo »glavni ambasadorji« uspešni projekti in njihove zgodbe.</w:t>
            </w:r>
          </w:p>
          <w:p w14:paraId="595D38EE" w14:textId="77777777" w:rsidR="00A77B3E" w:rsidRDefault="00A77B3E">
            <w:pPr>
              <w:spacing w:before="5pt"/>
              <w:rPr>
                <w:rFonts w:ascii="TimesNewRoman" w:eastAsia="TimesNewRoman" w:hAnsi="TimesNewRoman" w:cs="TimesNewRoman"/>
                <w:color w:val="000000"/>
              </w:rPr>
            </w:pPr>
          </w:p>
          <w:p w14:paraId="685DF3C0"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t>Cilj komunikacijskih aktivnosti je ohranjati delež anketiranih, ki pozitivno ocenjujejo EKP nad 90 % in delež 85 % vprašanih, ki poznajo vsaj en projekt, sofinanciran z evropskimi sredstvi, kar bo na letnem nivoju merjeno z neodvisno spletno javnomnenjsko raziskavo. Anketiranci bodo povprašani tudi o informativni vrednosti uporabljanih komunikacijskih kanalov in predlogih za izboljšave ter o prednostnih nalogah EU in njenih politikah v povezavi s sofinanciranimi projekti. V letih 2024 in 2027 bomo izvedli spletno javnomnenjsko raziskavo, v katero bomo vključili prijavitelje in upravičence. Občasno bomo med obiskovalci dogodkov izvedli hitro raziskavo z anonimnim vprašalnikom.</w:t>
            </w:r>
          </w:p>
          <w:p w14:paraId="775CFF2A" w14:textId="77777777" w:rsidR="00A77B3E" w:rsidRDefault="00A77B3E">
            <w:pPr>
              <w:spacing w:before="5pt"/>
              <w:rPr>
                <w:rFonts w:ascii="TimesNewRoman" w:eastAsia="TimesNewRoman" w:hAnsi="TimesNewRoman" w:cs="TimesNewRoman"/>
                <w:color w:val="000000"/>
              </w:rPr>
            </w:pPr>
          </w:p>
          <w:p w14:paraId="45B5D61C"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t>Za uspešno izvajanje komunikacijskih aktivnosti bodo uporabljena različna komunikacijska orodja, ki se bodo prilagajala ciljnim skupinam, vsebini in izvajanju EKP ter aktualnim trendom. Velik poudarek bo na digitalnih komunikacijskih kanalih, predvsem na spletnem portalu www.evropskasredstva.si. Še vedno bosta v uporabi kot orodji obveščanja Facebook in Instagram profil EU skladi. Konec leta 2020 je bilo sledilcev na FB 5728, na IG pa okrog 450. Število sledilcev na FB želimo do konca obdobja 2021-2027 podvojiti, na IG pa povečati za štirikrat. Prav tako bomo okrepili LinkedIn kanal.</w:t>
            </w:r>
          </w:p>
          <w:p w14:paraId="6BE3C0B8" w14:textId="77777777" w:rsidR="00A77B3E" w:rsidRDefault="00A77B3E">
            <w:pPr>
              <w:spacing w:before="5pt"/>
              <w:rPr>
                <w:rFonts w:ascii="TimesNewRoman" w:eastAsia="TimesNewRoman" w:hAnsi="TimesNewRoman" w:cs="TimesNewRoman"/>
                <w:color w:val="000000"/>
              </w:rPr>
            </w:pPr>
          </w:p>
          <w:p w14:paraId="1B6536CD"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Posebej velik poudarek bo na približevanju EKP mladim. To bomo dosegli z uporabo socialnih omrežij, konkretno družbenega omrežja Instagram, dolgoročno umestitvijo vsebin EKP v učni proces osnovnih in srednjih šol in sodelovanjem v projektu ASOC. Srednjo generacijo bomo dosegli preko družbenega omrežja Facebook. Zaposlene, delodajalce in podjetnike bomo dosegli preko profila na LinkedInu. Starejšo generacijo pa bomo prvenstveno nagovarjali v živo, npr. z udeležbo na sejmih. Upravičence, potencialne upravičence in agencije bomo mesečno obveščali preko mesečnega e-informatorja Vizija </w:t>
            </w:r>
            <w:r>
              <w:rPr>
                <w:rFonts w:ascii="TimesNewRoman" w:eastAsia="TimesNewRoman" w:hAnsi="TimesNewRoman" w:cs="TimesNewRoman"/>
                <w:color w:val="000000"/>
              </w:rPr>
              <w:lastRenderedPageBreak/>
              <w:t>kohezija. Konec leta 2020 je bilo prejemnikov e-novic 2305, do konca obdobja 2021-27 želimo to številko podvojiti.</w:t>
            </w:r>
          </w:p>
          <w:p w14:paraId="14F415F1" w14:textId="77777777" w:rsidR="00A77B3E" w:rsidRDefault="00A77B3E">
            <w:pPr>
              <w:spacing w:before="5pt"/>
              <w:rPr>
                <w:rFonts w:ascii="TimesNewRoman" w:eastAsia="TimesNewRoman" w:hAnsi="TimesNewRoman" w:cs="TimesNewRoman"/>
                <w:color w:val="000000"/>
              </w:rPr>
            </w:pPr>
          </w:p>
          <w:p w14:paraId="72FA6C41"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t>Posebna pozornost bo namenjena komuniciranju operacij strateškega pomena. Pri komuniciranju vsebin operacij strateškega pomena bomo sledili priročniku EK Communicating operations of strategic importance in 2021–27. S pravilnikom bomo določili naloge upravičencev, ki bodo npr. otvoritvene ali zaključne prireditve, vodeni ogledi, delavnice in druge aktivnosti z udeležbo zunanje javnosti, medijske aktivnosti in komuniciranje preko družbenih omrežij.</w:t>
            </w:r>
          </w:p>
          <w:p w14:paraId="0C17F22D" w14:textId="77777777" w:rsidR="00A77B3E" w:rsidRDefault="00A77B3E">
            <w:pPr>
              <w:spacing w:before="5pt"/>
              <w:rPr>
                <w:rFonts w:ascii="TimesNewRoman" w:eastAsia="TimesNewRoman" w:hAnsi="TimesNewRoman" w:cs="TimesNewRoman"/>
                <w:color w:val="000000"/>
              </w:rPr>
            </w:pPr>
          </w:p>
          <w:p w14:paraId="0DB265DE"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t>Finančna sredstva za izvajanje aktivnosti komuniciranja na sistemski ravni bodo zagotovljena v višini 0,2 % Programa. Predvidoma bo 30 % sredstev namenjenih produkcijskim, oglaševalskim in drugim digitalnim aktivnostim v medijih in na družbenih omrežjih, 30 % organizaciji dogodkov in udeležbi na dogodkih, 20 % promocijskim izdelkom, publikacijam in drugim tiskovinam vključno z grafičnim oblikovanjem in dostavo, 5 % izvedbi javnomnenjskih raziskav in upravljanju s spletnim portalom, preostanek pa drugim podpornim aktivnostim, vključno z možnostjo financiranja zaposlitev komunikatorjev v okviru mreže INFORM-SI.</w:t>
            </w:r>
          </w:p>
          <w:p w14:paraId="0FFAADFF" w14:textId="77777777" w:rsidR="00A77B3E" w:rsidRDefault="00A77B3E">
            <w:pPr>
              <w:spacing w:before="5pt"/>
              <w:rPr>
                <w:rFonts w:ascii="TimesNewRoman" w:eastAsia="TimesNewRoman" w:hAnsi="TimesNewRoman" w:cs="TimesNewRoman"/>
                <w:color w:val="000000"/>
              </w:rPr>
            </w:pPr>
          </w:p>
          <w:p w14:paraId="1EF1D9E5"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t>Skladno z 48. členom Uredbe bosta skrbnika za programsko komuniciranje 2021-27 Marjanca Scheicher in Beti Blagus.</w:t>
            </w:r>
          </w:p>
          <w:p w14:paraId="3F40D9E4" w14:textId="77777777" w:rsidR="00A77B3E" w:rsidRDefault="00A77B3E">
            <w:pPr>
              <w:spacing w:before="5pt"/>
              <w:rPr>
                <w:rFonts w:ascii="TimesNewRoman" w:eastAsia="TimesNewRoman" w:hAnsi="TimesNewRoman" w:cs="TimesNewRoman"/>
                <w:color w:val="000000"/>
                <w:sz w:val="6"/>
              </w:rPr>
            </w:pPr>
          </w:p>
          <w:p w14:paraId="35F3E668" w14:textId="77777777" w:rsidR="00A77B3E" w:rsidRDefault="00A77B3E">
            <w:pPr>
              <w:spacing w:before="5pt"/>
              <w:rPr>
                <w:rFonts w:ascii="TimesNewRoman" w:eastAsia="TimesNewRoman" w:hAnsi="TimesNewRoman" w:cs="TimesNewRoman"/>
                <w:color w:val="000000"/>
                <w:sz w:val="6"/>
              </w:rPr>
            </w:pPr>
          </w:p>
        </w:tc>
      </w:tr>
    </w:tbl>
    <w:p w14:paraId="3255048D" w14:textId="77777777" w:rsidR="00A77B3E" w:rsidRDefault="00B16CCF">
      <w:pPr>
        <w:pStyle w:val="Naslov1"/>
        <w:spacing w:before="5pt" w:after="0pt"/>
        <w:rPr>
          <w:rFonts w:ascii="TimesNewRoman" w:eastAsia="TimesNewRoman" w:hAnsi="TimesNewRoman" w:cs="TimesNewRoman"/>
          <w:b w:val="0"/>
          <w:color w:val="000000"/>
          <w:sz w:val="24"/>
        </w:rPr>
      </w:pPr>
      <w:r>
        <w:rPr>
          <w:rFonts w:ascii="TimesNewRoman" w:eastAsia="TimesNewRoman" w:hAnsi="TimesNewRoman" w:cs="TimesNewRoman"/>
          <w:b w:val="0"/>
          <w:color w:val="000000"/>
          <w:sz w:val="24"/>
        </w:rPr>
        <w:lastRenderedPageBreak/>
        <w:br w:type="page"/>
      </w:r>
      <w:bookmarkStart w:id="719" w:name="_Toc256001480"/>
      <w:r>
        <w:rPr>
          <w:rFonts w:ascii="TimesNewRoman" w:eastAsia="TimesNewRoman" w:hAnsi="TimesNewRoman" w:cs="TimesNewRoman"/>
          <w:b w:val="0"/>
          <w:color w:val="000000"/>
          <w:sz w:val="24"/>
        </w:rPr>
        <w:lastRenderedPageBreak/>
        <w:t>8. Uporaba stroškov na enoto, pavšalnih zneskov, pavšalnih stopenj in financiranja, ki ni povezano s stroški</w:t>
      </w:r>
      <w:bookmarkEnd w:id="719"/>
    </w:p>
    <w:p w14:paraId="029C566A" w14:textId="77777777" w:rsidR="00A77B3E" w:rsidRDefault="00B16CCF">
      <w:pPr>
        <w:spacing w:before="5pt"/>
        <w:rPr>
          <w:rFonts w:ascii="TimesNewRoman" w:eastAsia="TimesNewRoman" w:hAnsi="TimesNewRoman" w:cs="TimesNewRoman"/>
          <w:color w:val="000000"/>
          <w:sz w:val="12"/>
        </w:rPr>
      </w:pPr>
      <w:r>
        <w:rPr>
          <w:rFonts w:ascii="TimesNewRoman" w:eastAsia="TimesNewRoman" w:hAnsi="TimesNewRoman" w:cs="TimesNewRoman"/>
          <w:color w:val="000000"/>
        </w:rPr>
        <w:t>Sklic: člena 94 in 95 uredbe o skupnih določbah</w:t>
      </w:r>
    </w:p>
    <w:p w14:paraId="42ABD508" w14:textId="77777777" w:rsidR="00A77B3E" w:rsidRDefault="00B16CCF">
      <w:pPr>
        <w:pStyle w:val="Naslov2"/>
        <w:spacing w:before="5pt" w:after="0pt"/>
        <w:rPr>
          <w:rFonts w:ascii="TimesNewRoman" w:eastAsia="TimesNewRoman" w:hAnsi="TimesNewRoman" w:cs="TimesNewRoman"/>
          <w:b w:val="0"/>
          <w:i w:val="0"/>
          <w:color w:val="000000"/>
          <w:sz w:val="24"/>
        </w:rPr>
      </w:pPr>
      <w:bookmarkStart w:id="720" w:name="_Toc256001481"/>
      <w:r>
        <w:rPr>
          <w:rFonts w:ascii="TimesNewRoman" w:eastAsia="TimesNewRoman" w:hAnsi="TimesNewRoman" w:cs="TimesNewRoman"/>
          <w:b w:val="0"/>
          <w:i w:val="0"/>
          <w:color w:val="000000"/>
          <w:sz w:val="24"/>
        </w:rPr>
        <w:t>Tabela 14: Uporaba stroškov na enoto, pavšalnih zneskov, pavšalnih stopenj in financiranja, ki ni povezano s stroški</w:t>
      </w:r>
      <w:bookmarkEnd w:id="720"/>
    </w:p>
    <w:p w14:paraId="55187A69"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6284"/>
        <w:gridCol w:w="1978"/>
        <w:gridCol w:w="1978"/>
      </w:tblGrid>
      <w:tr w:rsidR="00823317" w14:paraId="41801C3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1CEB35" w14:textId="77777777" w:rsidR="00A77B3E" w:rsidRDefault="00B16CCF">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Načrtovana uporaba členov 94 in 95 uredbe o skupnih določbah</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781AA9" w14:textId="77777777" w:rsidR="00A77B3E" w:rsidRDefault="00B16CCF">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Da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A38708" w14:textId="77777777" w:rsidR="00A77B3E" w:rsidRDefault="00B16CCF">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Ne</w:t>
            </w:r>
          </w:p>
        </w:tc>
      </w:tr>
      <w:tr w:rsidR="00823317" w14:paraId="708AE4A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C8444C" w14:textId="77777777" w:rsidR="00A77B3E" w:rsidRDefault="00B16CCF">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Od sprejetja programa se bo uporabljalo povračilo prispevka Unije na podlagi stroškov na enoto, pavšalnih zneskov in pavšalnih stopenj v okviru prednostne naloge v skladu s členom 94 uredbe o skupnih določbah</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F10648" w14:textId="77777777" w:rsidR="00A77B3E" w:rsidRDefault="00B16CCF">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fldChar w:fldCharType="begin">
                <w:ffData>
                  <w:name w:val=""/>
                  <w:enabled/>
                  <w:calcOnExit w:val="0"/>
                  <w:checkBox>
                    <w:size w:val="10pt"/>
                    <w:default w:val="0"/>
                    <w:checked w:val="0"/>
                  </w:checkBox>
                </w:ffData>
              </w:fldChar>
            </w:r>
            <w:r>
              <w:rPr>
                <w:rFonts w:ascii="TimesNewRoman" w:eastAsia="TimesNewRoman" w:hAnsi="TimesNewRoman" w:cs="TimesNewRoman"/>
                <w:color w:val="000000"/>
                <w:sz w:val="20"/>
              </w:rPr>
              <w:instrText xml:space="preserve"> FORMCHECKBOX </w:instrText>
            </w:r>
            <w:r w:rsidR="001D0AD2">
              <w:rPr>
                <w:rFonts w:ascii="TimesNewRoman" w:eastAsia="TimesNewRoman" w:hAnsi="TimesNewRoman" w:cs="TimesNewRoman"/>
                <w:color w:val="000000"/>
                <w:sz w:val="20"/>
              </w:rPr>
            </w:r>
            <w:r w:rsidR="001D0AD2">
              <w:rPr>
                <w:rFonts w:ascii="TimesNewRoman" w:eastAsia="TimesNewRoman" w:hAnsi="TimesNewRoman" w:cs="TimesNewRoman"/>
                <w:color w:val="000000"/>
                <w:sz w:val="20"/>
              </w:rPr>
              <w:fldChar w:fldCharType="separate"/>
            </w:r>
            <w:r>
              <w:rPr>
                <w:rFonts w:ascii="TimesNewRoman" w:eastAsia="TimesNewRoman" w:hAnsi="TimesNewRoman" w:cs="TimesNewRoman"/>
                <w:color w:val="000000"/>
                <w:sz w:val="20"/>
              </w:rPr>
              <w:fldChar w:fldCharType="end"/>
            </w:r>
            <w:r>
              <w:rPr>
                <w:rFonts w:ascii="TimesNewRoman" w:eastAsia="TimesNewRoman" w:hAnsi="TimesNewRoman" w:cs="TimesNewRoman"/>
                <w:color w:val="000000"/>
                <w:sz w:val="20"/>
              </w:rPr>
              <w:t xml:space="preserve">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8AB691" w14:textId="77777777" w:rsidR="00A77B3E" w:rsidRDefault="00B16CCF">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fldChar w:fldCharType="begin">
                <w:ffData>
                  <w:name w:val=""/>
                  <w:enabled/>
                  <w:calcOnExit w:val="0"/>
                  <w:checkBox>
                    <w:size w:val="10pt"/>
                    <w:default w:val="1"/>
                    <w:checked/>
                  </w:checkBox>
                </w:ffData>
              </w:fldChar>
            </w:r>
            <w:r>
              <w:rPr>
                <w:rFonts w:ascii="TimesNewRoman" w:eastAsia="TimesNewRoman" w:hAnsi="TimesNewRoman" w:cs="TimesNewRoman"/>
                <w:color w:val="000000"/>
                <w:sz w:val="20"/>
              </w:rPr>
              <w:instrText xml:space="preserve"> FORMCHECKBOX </w:instrText>
            </w:r>
            <w:r w:rsidR="001D0AD2">
              <w:rPr>
                <w:rFonts w:ascii="TimesNewRoman" w:eastAsia="TimesNewRoman" w:hAnsi="TimesNewRoman" w:cs="TimesNewRoman"/>
                <w:color w:val="000000"/>
                <w:sz w:val="20"/>
              </w:rPr>
            </w:r>
            <w:r w:rsidR="001D0AD2">
              <w:rPr>
                <w:rFonts w:ascii="TimesNewRoman" w:eastAsia="TimesNewRoman" w:hAnsi="TimesNewRoman" w:cs="TimesNewRoman"/>
                <w:color w:val="000000"/>
                <w:sz w:val="20"/>
              </w:rPr>
              <w:fldChar w:fldCharType="separate"/>
            </w:r>
            <w:r>
              <w:rPr>
                <w:rFonts w:ascii="TimesNewRoman" w:eastAsia="TimesNewRoman" w:hAnsi="TimesNewRoman" w:cs="TimesNewRoman"/>
                <w:color w:val="000000"/>
                <w:sz w:val="20"/>
              </w:rPr>
              <w:fldChar w:fldCharType="end"/>
            </w:r>
            <w:r>
              <w:rPr>
                <w:rFonts w:ascii="TimesNewRoman" w:eastAsia="TimesNewRoman" w:hAnsi="TimesNewRoman" w:cs="TimesNewRoman"/>
                <w:color w:val="000000"/>
                <w:sz w:val="20"/>
              </w:rPr>
              <w:t xml:space="preserve"> </w:t>
            </w:r>
          </w:p>
        </w:tc>
      </w:tr>
      <w:tr w:rsidR="00823317" w14:paraId="027C643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724D1C" w14:textId="77777777" w:rsidR="00A77B3E" w:rsidRDefault="00B16CCF">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Od sprejetja programa se bo uporabljalo povračilo prispevka Unije na podlagi financiranja, ki ni povezano s stroški, v skladu s členom 95 uredbe o skupnih določbah</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04E372" w14:textId="77777777" w:rsidR="00A77B3E" w:rsidRDefault="00B16CCF">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fldChar w:fldCharType="begin">
                <w:ffData>
                  <w:name w:val=""/>
                  <w:enabled/>
                  <w:calcOnExit w:val="0"/>
                  <w:checkBox>
                    <w:size w:val="10pt"/>
                    <w:default w:val="0"/>
                    <w:checked w:val="0"/>
                  </w:checkBox>
                </w:ffData>
              </w:fldChar>
            </w:r>
            <w:r>
              <w:rPr>
                <w:rFonts w:ascii="TimesNewRoman" w:eastAsia="TimesNewRoman" w:hAnsi="TimesNewRoman" w:cs="TimesNewRoman"/>
                <w:color w:val="000000"/>
                <w:sz w:val="20"/>
              </w:rPr>
              <w:instrText xml:space="preserve"> FORMCHECKBOX </w:instrText>
            </w:r>
            <w:r w:rsidR="001D0AD2">
              <w:rPr>
                <w:rFonts w:ascii="TimesNewRoman" w:eastAsia="TimesNewRoman" w:hAnsi="TimesNewRoman" w:cs="TimesNewRoman"/>
                <w:color w:val="000000"/>
                <w:sz w:val="20"/>
              </w:rPr>
            </w:r>
            <w:r w:rsidR="001D0AD2">
              <w:rPr>
                <w:rFonts w:ascii="TimesNewRoman" w:eastAsia="TimesNewRoman" w:hAnsi="TimesNewRoman" w:cs="TimesNewRoman"/>
                <w:color w:val="000000"/>
                <w:sz w:val="20"/>
              </w:rPr>
              <w:fldChar w:fldCharType="separate"/>
            </w:r>
            <w:r>
              <w:rPr>
                <w:rFonts w:ascii="TimesNewRoman" w:eastAsia="TimesNewRoman" w:hAnsi="TimesNewRoman" w:cs="TimesNewRoman"/>
                <w:color w:val="000000"/>
                <w:sz w:val="20"/>
              </w:rPr>
              <w:fldChar w:fldCharType="end"/>
            </w:r>
            <w:r>
              <w:rPr>
                <w:rFonts w:ascii="TimesNewRoman" w:eastAsia="TimesNewRoman" w:hAnsi="TimesNewRoman" w:cs="TimesNewRoman"/>
                <w:color w:val="000000"/>
                <w:sz w:val="20"/>
              </w:rPr>
              <w:t xml:space="preserve">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964FB3" w14:textId="77777777" w:rsidR="00A77B3E" w:rsidRDefault="00B16CCF">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fldChar w:fldCharType="begin">
                <w:ffData>
                  <w:name w:val=""/>
                  <w:enabled/>
                  <w:calcOnExit w:val="0"/>
                  <w:checkBox>
                    <w:size w:val="10pt"/>
                    <w:default w:val="1"/>
                    <w:checked/>
                  </w:checkBox>
                </w:ffData>
              </w:fldChar>
            </w:r>
            <w:r>
              <w:rPr>
                <w:rFonts w:ascii="TimesNewRoman" w:eastAsia="TimesNewRoman" w:hAnsi="TimesNewRoman" w:cs="TimesNewRoman"/>
                <w:color w:val="000000"/>
                <w:sz w:val="20"/>
              </w:rPr>
              <w:instrText xml:space="preserve"> FORMCHECKBOX </w:instrText>
            </w:r>
            <w:r w:rsidR="001D0AD2">
              <w:rPr>
                <w:rFonts w:ascii="TimesNewRoman" w:eastAsia="TimesNewRoman" w:hAnsi="TimesNewRoman" w:cs="TimesNewRoman"/>
                <w:color w:val="000000"/>
                <w:sz w:val="20"/>
              </w:rPr>
            </w:r>
            <w:r w:rsidR="001D0AD2">
              <w:rPr>
                <w:rFonts w:ascii="TimesNewRoman" w:eastAsia="TimesNewRoman" w:hAnsi="TimesNewRoman" w:cs="TimesNewRoman"/>
                <w:color w:val="000000"/>
                <w:sz w:val="20"/>
              </w:rPr>
              <w:fldChar w:fldCharType="separate"/>
            </w:r>
            <w:r>
              <w:rPr>
                <w:rFonts w:ascii="TimesNewRoman" w:eastAsia="TimesNewRoman" w:hAnsi="TimesNewRoman" w:cs="TimesNewRoman"/>
                <w:color w:val="000000"/>
                <w:sz w:val="20"/>
              </w:rPr>
              <w:fldChar w:fldCharType="end"/>
            </w:r>
            <w:r>
              <w:rPr>
                <w:rFonts w:ascii="TimesNewRoman" w:eastAsia="TimesNewRoman" w:hAnsi="TimesNewRoman" w:cs="TimesNewRoman"/>
                <w:color w:val="000000"/>
                <w:sz w:val="20"/>
              </w:rPr>
              <w:t xml:space="preserve"> </w:t>
            </w:r>
          </w:p>
        </w:tc>
      </w:tr>
    </w:tbl>
    <w:p w14:paraId="791D51D1" w14:textId="77777777" w:rsidR="00A77B3E" w:rsidRDefault="00A77B3E">
      <w:pPr>
        <w:spacing w:before="5pt"/>
        <w:jc w:val="center"/>
        <w:rPr>
          <w:rFonts w:ascii="TimesNewRoman" w:eastAsia="TimesNewRoman" w:hAnsi="TimesNewRoman" w:cs="TimesNewRoman"/>
          <w:color w:val="000000"/>
          <w:sz w:val="20"/>
        </w:rPr>
        <w:sectPr w:rsidR="00A77B3E">
          <w:headerReference w:type="even" r:id="rId37"/>
          <w:headerReference w:type="default" r:id="rId38"/>
          <w:footerReference w:type="even" r:id="rId39"/>
          <w:footerReference w:type="default" r:id="rId40"/>
          <w:headerReference w:type="first" r:id="rId41"/>
          <w:footerReference w:type="first" r:id="rId42"/>
          <w:pgSz w:w="595.30pt" w:h="841.90pt"/>
          <w:pgMar w:top="36pt" w:right="46.80pt" w:bottom="43.20pt" w:left="36pt" w:header="0pt" w:footer="3.60pt" w:gutter="0pt"/>
          <w:cols w:space="36pt"/>
          <w:noEndnote/>
          <w:docGrid w:linePitch="360"/>
        </w:sectPr>
      </w:pPr>
    </w:p>
    <w:p w14:paraId="74D8B5D6" w14:textId="77777777" w:rsidR="00A77B3E" w:rsidRDefault="00B16CCF">
      <w:pPr>
        <w:pStyle w:val="Naslov1"/>
        <w:spacing w:before="5pt" w:after="0pt"/>
        <w:rPr>
          <w:rFonts w:ascii="TimesNewRoman" w:eastAsia="TimesNewRoman" w:hAnsi="TimesNewRoman" w:cs="TimesNewRoman"/>
          <w:b w:val="0"/>
          <w:color w:val="000000"/>
          <w:sz w:val="24"/>
        </w:rPr>
      </w:pPr>
      <w:bookmarkStart w:id="721" w:name="_Toc256001482"/>
      <w:r>
        <w:rPr>
          <w:rFonts w:ascii="TimesNewRoman" w:eastAsia="TimesNewRoman" w:hAnsi="TimesNewRoman" w:cs="TimesNewRoman"/>
          <w:b w:val="0"/>
          <w:color w:val="000000"/>
          <w:sz w:val="24"/>
        </w:rPr>
        <w:lastRenderedPageBreak/>
        <w:t>Dodatek 1: Prispevek Unije na podlagi stroškov na enoto, pavšalnih zneskov in pavšalnih stopenj</w:t>
      </w:r>
      <w:bookmarkEnd w:id="721"/>
    </w:p>
    <w:p w14:paraId="38C4CDB3" w14:textId="77777777" w:rsidR="00A77B3E" w:rsidRDefault="00B16CCF">
      <w:pPr>
        <w:pStyle w:val="Naslov2"/>
        <w:spacing w:before="5pt" w:after="0pt"/>
        <w:rPr>
          <w:rFonts w:ascii="TimesNewRoman" w:eastAsia="TimesNewRoman" w:hAnsi="TimesNewRoman" w:cs="TimesNewRoman"/>
          <w:b w:val="0"/>
          <w:i w:val="0"/>
          <w:color w:val="000000"/>
          <w:sz w:val="24"/>
        </w:rPr>
      </w:pPr>
      <w:bookmarkStart w:id="722" w:name="_Toc256001483"/>
      <w:r>
        <w:rPr>
          <w:rFonts w:ascii="TimesNewRoman" w:eastAsia="TimesNewRoman" w:hAnsi="TimesNewRoman" w:cs="TimesNewRoman"/>
          <w:b w:val="0"/>
          <w:i w:val="0"/>
          <w:color w:val="000000"/>
          <w:sz w:val="24"/>
        </w:rPr>
        <w:t>A. Povzetek glavnih elementov</w:t>
      </w:r>
      <w:bookmarkEnd w:id="722"/>
    </w:p>
    <w:p w14:paraId="711428B6"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998"/>
        <w:gridCol w:w="997"/>
        <w:gridCol w:w="1994"/>
        <w:gridCol w:w="1995"/>
        <w:gridCol w:w="1498"/>
        <w:gridCol w:w="999"/>
        <w:gridCol w:w="998"/>
        <w:gridCol w:w="999"/>
        <w:gridCol w:w="998"/>
        <w:gridCol w:w="1497"/>
        <w:gridCol w:w="1000"/>
        <w:gridCol w:w="1199"/>
      </w:tblGrid>
      <w:tr w:rsidR="00823317" w14:paraId="3D5CB982" w14:textId="77777777">
        <w:trPr>
          <w:tblHeader/>
        </w:trPr>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6AC268" w14:textId="77777777" w:rsidR="00A77B3E" w:rsidRDefault="00B16CCF">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Prednostna naloga</w:t>
            </w: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B0E605" w14:textId="77777777" w:rsidR="00A77B3E" w:rsidRDefault="00B16CCF">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Sklad</w:t>
            </w:r>
          </w:p>
        </w:tc>
        <w:tc>
          <w:tcPr>
            <w:tcW w:w="10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47550A4" w14:textId="77777777" w:rsidR="00A77B3E" w:rsidRDefault="00B16CCF">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Specifični cilj</w:t>
            </w:r>
          </w:p>
        </w:tc>
        <w:tc>
          <w:tcPr>
            <w:tcW w:w="10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A3831E" w14:textId="77777777" w:rsidR="00A77B3E" w:rsidRDefault="00B16CCF">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Kategorija regije</w:t>
            </w:r>
          </w:p>
        </w:tc>
        <w:tc>
          <w:tcPr>
            <w:tcW w:w="7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2E9B9B7" w14:textId="77777777" w:rsidR="00A77B3E" w:rsidRDefault="00B16CCF">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 xml:space="preserve">          Ocenjeni delež skupnih dodeljenih finančnih sredstev v okviru prednostne naloge, za katerega bodo veljale poenostavljene možnosti obračunavanja stroškov, v %            </w:t>
            </w:r>
          </w:p>
        </w:tc>
        <w:tc>
          <w:tcPr>
            <w:tcW w:w="1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867493" w14:textId="77777777" w:rsidR="00A77B3E" w:rsidRDefault="00B16CCF">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Vrste zajetih operacij</w:t>
            </w:r>
          </w:p>
        </w:tc>
        <w:tc>
          <w:tcPr>
            <w:tcW w:w="1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33161B" w14:textId="77777777" w:rsidR="00A77B3E" w:rsidRDefault="00B16CCF">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Kazalnik, ki sproži povračilo</w:t>
            </w:r>
          </w:p>
        </w:tc>
        <w:tc>
          <w:tcPr>
            <w:tcW w:w="7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E3B019" w14:textId="77777777" w:rsidR="00A77B3E" w:rsidRDefault="00B16CCF">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 xml:space="preserve">            Merska enota za kazalnik, ki sproži povračilo           </w:t>
            </w: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E781F5" w14:textId="77777777" w:rsidR="00A77B3E" w:rsidRDefault="00B16CCF">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Vrsta poenostavljenih možnosti obračunavanja stroškov (standardna lestvica stroškov na enoto, pavšalnih zneskov ali pavšalne stopnje)</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7151D2" w14:textId="77777777" w:rsidR="00A77B3E" w:rsidRDefault="00B16CCF">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Znesek (v EUR) ali odstotni delež (v primeru pavšalne stopnje) poenostavljenih možnosti obračunavanja stroškov</w:t>
            </w:r>
          </w:p>
        </w:tc>
      </w:tr>
      <w:tr w:rsidR="00823317" w14:paraId="5A39259E" w14:textId="77777777">
        <w:trPr>
          <w:tblHeader/>
        </w:trPr>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945905C" w14:textId="77777777" w:rsidR="00A77B3E" w:rsidRDefault="00A77B3E">
            <w:pPr>
              <w:spacing w:before="5pt"/>
              <w:jc w:val="center"/>
              <w:rPr>
                <w:rFonts w:ascii="TimesNewRoman" w:eastAsia="TimesNewRoman" w:hAnsi="TimesNewRoman" w:cs="TimesNewRoman"/>
                <w:color w:val="000000"/>
                <w:sz w:val="12"/>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BFF4FB" w14:textId="77777777" w:rsidR="00A77B3E" w:rsidRDefault="00A77B3E">
            <w:pPr>
              <w:spacing w:before="5pt"/>
              <w:jc w:val="center"/>
              <w:rPr>
                <w:rFonts w:ascii="TimesNewRoman" w:eastAsia="TimesNewRoman" w:hAnsi="TimesNewRoman" w:cs="TimesNewRoman"/>
                <w:color w:val="000000"/>
                <w:sz w:val="12"/>
              </w:rPr>
            </w:pPr>
          </w:p>
        </w:tc>
        <w:tc>
          <w:tcPr>
            <w:tcW w:w="10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26400A" w14:textId="77777777" w:rsidR="00A77B3E" w:rsidRDefault="00A77B3E">
            <w:pPr>
              <w:spacing w:before="5pt"/>
              <w:jc w:val="center"/>
              <w:rPr>
                <w:rFonts w:ascii="TimesNewRoman" w:eastAsia="TimesNewRoman" w:hAnsi="TimesNewRoman" w:cs="TimesNewRoman"/>
                <w:color w:val="000000"/>
                <w:sz w:val="12"/>
              </w:rPr>
            </w:pPr>
          </w:p>
        </w:tc>
        <w:tc>
          <w:tcPr>
            <w:tcW w:w="10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73870B" w14:textId="77777777" w:rsidR="00A77B3E" w:rsidRDefault="00A77B3E">
            <w:pPr>
              <w:spacing w:before="5pt"/>
              <w:jc w:val="center"/>
              <w:rPr>
                <w:rFonts w:ascii="TimesNewRoman" w:eastAsia="TimesNewRoman" w:hAnsi="TimesNewRoman" w:cs="TimesNewRoman"/>
                <w:color w:val="000000"/>
                <w:sz w:val="12"/>
              </w:rPr>
            </w:pPr>
          </w:p>
        </w:tc>
        <w:tc>
          <w:tcPr>
            <w:tcW w:w="7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106871" w14:textId="77777777" w:rsidR="00A77B3E" w:rsidRDefault="00A77B3E">
            <w:pPr>
              <w:spacing w:before="5pt"/>
              <w:jc w:val="center"/>
              <w:rPr>
                <w:rFonts w:ascii="TimesNewRoman" w:eastAsia="TimesNewRoman" w:hAnsi="TimesNewRoman" w:cs="TimesNewRoman"/>
                <w:color w:val="000000"/>
                <w:sz w:val="12"/>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83A0C5" w14:textId="77777777" w:rsidR="00A77B3E" w:rsidRDefault="00B16CCF">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Oznaka(1)</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BBB115" w14:textId="77777777" w:rsidR="00A77B3E" w:rsidRDefault="00B16CCF">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Opis</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8554DD" w14:textId="77777777" w:rsidR="00A77B3E" w:rsidRDefault="00B16CCF">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Oznaka(2)</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155AC7" w14:textId="77777777" w:rsidR="00A77B3E" w:rsidRDefault="00B16CCF">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Opis</w:t>
            </w:r>
          </w:p>
        </w:tc>
        <w:tc>
          <w:tcPr>
            <w:tcW w:w="7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4882D8" w14:textId="77777777" w:rsidR="00A77B3E" w:rsidRDefault="00A77B3E">
            <w:pPr>
              <w:spacing w:before="5pt"/>
              <w:jc w:val="center"/>
              <w:rPr>
                <w:rFonts w:ascii="TimesNewRoman" w:eastAsia="TimesNewRoman" w:hAnsi="TimesNewRoman" w:cs="TimesNewRoman"/>
                <w:color w:val="000000"/>
                <w:sz w:val="12"/>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D090A8" w14:textId="77777777" w:rsidR="00A77B3E" w:rsidRDefault="00A77B3E">
            <w:pPr>
              <w:spacing w:before="5pt"/>
              <w:jc w:val="center"/>
              <w:rPr>
                <w:rFonts w:ascii="TimesNewRoman" w:eastAsia="TimesNewRoman" w:hAnsi="TimesNewRoman" w:cs="TimesNewRoman"/>
                <w:color w:val="000000"/>
                <w:sz w:val="12"/>
              </w:rPr>
            </w:pP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4A3DFF" w14:textId="77777777" w:rsidR="00A77B3E" w:rsidRDefault="00A77B3E">
            <w:pPr>
              <w:spacing w:before="5pt"/>
              <w:jc w:val="center"/>
              <w:rPr>
                <w:rFonts w:ascii="TimesNewRoman" w:eastAsia="TimesNewRoman" w:hAnsi="TimesNewRoman" w:cs="TimesNewRoman"/>
                <w:color w:val="000000"/>
                <w:sz w:val="12"/>
              </w:rPr>
            </w:pPr>
          </w:p>
        </w:tc>
      </w:tr>
    </w:tbl>
    <w:p w14:paraId="5D651143" w14:textId="77777777" w:rsidR="00A77B3E" w:rsidRDefault="00B16CCF">
      <w:pPr>
        <w:spacing w:before="5pt"/>
        <w:rPr>
          <w:rFonts w:ascii="TimesNewRoman" w:eastAsia="TimesNewRoman" w:hAnsi="TimesNewRoman" w:cs="TimesNewRoman"/>
          <w:color w:val="000000"/>
          <w:sz w:val="16"/>
        </w:rPr>
      </w:pPr>
      <w:r>
        <w:rPr>
          <w:rFonts w:ascii="TimesNewRoman" w:eastAsia="TimesNewRoman" w:hAnsi="TimesNewRoman" w:cs="TimesNewRoman"/>
          <w:color w:val="000000"/>
          <w:sz w:val="16"/>
        </w:rPr>
        <w:t>(1) To se nanaša na kodo za razsežnost „področje ukrepanja“ v tabeli 1 Priloge I k uredbi o skupnih določbah in Prilogi IV k uredbi o ESPRA.</w:t>
      </w:r>
    </w:p>
    <w:p w14:paraId="095422A4" w14:textId="77777777" w:rsidR="00A77B3E" w:rsidRDefault="00B16CCF">
      <w:pPr>
        <w:spacing w:before="5pt"/>
        <w:rPr>
          <w:rFonts w:ascii="TimesNewRoman" w:eastAsia="TimesNewRoman" w:hAnsi="TimesNewRoman" w:cs="TimesNewRoman"/>
          <w:color w:val="000000"/>
          <w:sz w:val="16"/>
        </w:rPr>
      </w:pPr>
      <w:r>
        <w:rPr>
          <w:rFonts w:ascii="TimesNewRoman" w:eastAsia="TimesNewRoman" w:hAnsi="TimesNewRoman" w:cs="TimesNewRoman"/>
          <w:color w:val="000000"/>
          <w:sz w:val="16"/>
        </w:rPr>
        <w:t>(2)  To se nanaša na kodo skupnega kazalnika, če je ustrezno.</w:t>
      </w:r>
    </w:p>
    <w:p w14:paraId="7BC1A53F" w14:textId="77777777" w:rsidR="00A77B3E" w:rsidRDefault="00A77B3E">
      <w:pPr>
        <w:spacing w:before="5pt"/>
        <w:rPr>
          <w:rFonts w:ascii="TimesNewRoman" w:eastAsia="TimesNewRoman" w:hAnsi="TimesNewRoman" w:cs="TimesNewRoman"/>
          <w:color w:val="000000"/>
        </w:rPr>
        <w:sectPr w:rsidR="00A77B3E">
          <w:headerReference w:type="even" r:id="rId43"/>
          <w:headerReference w:type="default" r:id="rId44"/>
          <w:footerReference w:type="even" r:id="rId45"/>
          <w:footerReference w:type="default" r:id="rId46"/>
          <w:headerReference w:type="first" r:id="rId47"/>
          <w:footerReference w:type="first" r:id="rId48"/>
          <w:pgSz w:w="841.90pt" w:h="595.30pt" w:orient="landscape"/>
          <w:pgMar w:top="36pt" w:right="36pt" w:bottom="43.20pt" w:left="46.80pt" w:header="14.40pt" w:footer="3.60pt" w:gutter="0pt"/>
          <w:cols w:space="36pt"/>
          <w:noEndnote/>
          <w:docGrid w:linePitch="360"/>
        </w:sectPr>
      </w:pPr>
    </w:p>
    <w:p w14:paraId="4EED6084"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Dodatek 1: Prispevek Unije na podlagi stroškov na enoto, pavšalnih zneskov in pavšalnih stopenj</w:t>
      </w:r>
    </w:p>
    <w:p w14:paraId="039C80E6" w14:textId="77777777" w:rsidR="00A77B3E" w:rsidRDefault="00B16CCF">
      <w:pPr>
        <w:pStyle w:val="Naslov2"/>
        <w:spacing w:before="5pt" w:after="0pt"/>
        <w:rPr>
          <w:rFonts w:ascii="TimesNewRoman" w:eastAsia="TimesNewRoman" w:hAnsi="TimesNewRoman" w:cs="TimesNewRoman"/>
          <w:b w:val="0"/>
          <w:i w:val="0"/>
          <w:color w:val="000000"/>
          <w:sz w:val="24"/>
        </w:rPr>
      </w:pPr>
      <w:bookmarkStart w:id="723" w:name="_Toc256001484"/>
      <w:r>
        <w:rPr>
          <w:rFonts w:ascii="TimesNewRoman" w:eastAsia="TimesNewRoman" w:hAnsi="TimesNewRoman" w:cs="TimesNewRoman"/>
          <w:b w:val="0"/>
          <w:i w:val="0"/>
          <w:color w:val="000000"/>
          <w:sz w:val="24"/>
        </w:rPr>
        <w:t>B. Podrobnosti glede na vrsto operacije</w:t>
      </w:r>
      <w:bookmarkEnd w:id="723"/>
    </w:p>
    <w:p w14:paraId="26099BF9" w14:textId="77777777" w:rsidR="00A77B3E" w:rsidRDefault="00A77B3E">
      <w:pPr>
        <w:spacing w:before="5pt"/>
        <w:rPr>
          <w:rFonts w:ascii="TimesNewRoman" w:eastAsia="TimesNewRoman" w:hAnsi="TimesNewRoman" w:cs="TimesNewRoman"/>
          <w:color w:val="000000"/>
        </w:rPr>
      </w:pPr>
    </w:p>
    <w:p w14:paraId="59B15D92" w14:textId="77777777" w:rsidR="00A77B3E" w:rsidRDefault="00B16CCF">
      <w:pPr>
        <w:pStyle w:val="Naslov2"/>
        <w:spacing w:before="5pt" w:after="0pt"/>
        <w:rPr>
          <w:rFonts w:ascii="TimesNewRoman" w:eastAsia="TimesNewRoman" w:hAnsi="TimesNewRoman" w:cs="TimesNewRoman"/>
          <w:b w:val="0"/>
          <w:i w:val="0"/>
          <w:color w:val="000000"/>
          <w:sz w:val="24"/>
        </w:rPr>
      </w:pPr>
      <w:bookmarkStart w:id="724" w:name="_Toc256001485"/>
      <w:r>
        <w:rPr>
          <w:rFonts w:ascii="TimesNewRoman" w:eastAsia="TimesNewRoman" w:hAnsi="TimesNewRoman" w:cs="TimesNewRoman"/>
          <w:b w:val="0"/>
          <w:i w:val="0"/>
          <w:color w:val="000000"/>
          <w:sz w:val="24"/>
        </w:rPr>
        <w:t>C. Izračun standardnih stroškov na enoto, pavšalnih zneskov in pavšalnih stopenj</w:t>
      </w:r>
      <w:bookmarkEnd w:id="724"/>
    </w:p>
    <w:p w14:paraId="045F9A23" w14:textId="77777777" w:rsidR="00A77B3E" w:rsidRDefault="00B16CCF">
      <w:pPr>
        <w:pStyle w:val="Naslov2"/>
        <w:spacing w:before="5pt" w:after="0pt"/>
        <w:rPr>
          <w:rFonts w:ascii="TimesNewRoman" w:eastAsia="TimesNewRoman" w:hAnsi="TimesNewRoman" w:cs="TimesNewRoman"/>
          <w:b w:val="0"/>
          <w:i w:val="0"/>
          <w:color w:val="000000"/>
          <w:sz w:val="24"/>
        </w:rPr>
      </w:pPr>
      <w:bookmarkStart w:id="725" w:name="_Toc256001486"/>
      <w:r>
        <w:rPr>
          <w:rFonts w:ascii="TimesNewRoman" w:eastAsia="TimesNewRoman" w:hAnsi="TimesNewRoman" w:cs="TimesNewRoman"/>
          <w:b w:val="0"/>
          <w:i w:val="0"/>
          <w:color w:val="000000"/>
          <w:sz w:val="24"/>
        </w:rPr>
        <w:t>1. Vir podatkov, uporabljenih za izračun standardnih stroškov na enoto, pavšalnih zneskov ali pavšalnih stopenj (kdo je predložil, zbral in evidentiral podatke; kje so podatki shranjeni; presečni datumi; potrjevanje itd.)</w:t>
      </w:r>
      <w:bookmarkEnd w:id="725"/>
    </w:p>
    <w:p w14:paraId="62A8DA00" w14:textId="77777777" w:rsidR="00A77B3E" w:rsidRDefault="00A77B3E">
      <w:pPr>
        <w:spacing w:before="5pt"/>
        <w:rPr>
          <w:rFonts w:ascii="TimesNewRoman" w:eastAsia="TimesNewRoman" w:hAnsi="TimesNewRoman" w:cs="TimesNewRoman"/>
          <w:color w:val="000000"/>
        </w:rPr>
      </w:pPr>
    </w:p>
    <w:tbl>
      <w:tblPr>
        <w:tblW w:w="99.0%" w:type="pct"/>
        <w:tblInd w:w="4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020"/>
      </w:tblGrid>
      <w:tr w:rsidR="00823317" w14:paraId="1D0EA338" w14:textId="77777777">
        <w:tc>
          <w:tcPr>
            <w:tcW w:w="60pt" w:type="dxa"/>
            <w:tcBorders>
              <w:top w:val="single" w:sz="4" w:space="0" w:color="000000"/>
              <w:start w:val="single" w:sz="4" w:space="0" w:color="000000"/>
              <w:bottom w:val="single" w:sz="4" w:space="0" w:color="000000"/>
              <w:end w:val="single" w:sz="4" w:space="0" w:color="000000"/>
            </w:tcBorders>
            <w:tcMar>
              <w:top w:w="1pt" w:type="dxa"/>
              <w:start w:w="6pt" w:type="dxa"/>
              <w:bottom w:w="6pt" w:type="dxa"/>
              <w:end w:w="6pt" w:type="dxa"/>
            </w:tcMar>
            <w:vAlign w:val="bottom"/>
          </w:tcPr>
          <w:p w14:paraId="02C00F11" w14:textId="77777777" w:rsidR="00A77B3E" w:rsidRDefault="00A77B3E">
            <w:pPr>
              <w:spacing w:before="5pt"/>
              <w:rPr>
                <w:color w:val="000000"/>
              </w:rPr>
            </w:pPr>
          </w:p>
        </w:tc>
      </w:tr>
    </w:tbl>
    <w:p w14:paraId="55985CFB" w14:textId="77777777" w:rsidR="00A77B3E" w:rsidRDefault="00A77B3E">
      <w:pPr>
        <w:spacing w:before="5pt"/>
        <w:rPr>
          <w:color w:val="000000"/>
        </w:rPr>
      </w:pPr>
    </w:p>
    <w:p w14:paraId="5133FE85" w14:textId="77777777" w:rsidR="00A77B3E" w:rsidRDefault="00B16CCF">
      <w:pPr>
        <w:pStyle w:val="Naslov2"/>
        <w:spacing w:before="5pt" w:after="0pt"/>
        <w:rPr>
          <w:rFonts w:ascii="TimesNewRoman" w:eastAsia="TimesNewRoman" w:hAnsi="TimesNewRoman" w:cs="TimesNewRoman"/>
          <w:b w:val="0"/>
          <w:i w:val="0"/>
          <w:color w:val="000000"/>
          <w:sz w:val="24"/>
        </w:rPr>
      </w:pPr>
      <w:bookmarkStart w:id="726" w:name="_Toc256001487"/>
      <w:r>
        <w:rPr>
          <w:rFonts w:ascii="TimesNewRoman" w:eastAsia="TimesNewRoman" w:hAnsi="TimesNewRoman" w:cs="TimesNewRoman"/>
          <w:b w:val="0"/>
          <w:i w:val="0"/>
          <w:color w:val="000000"/>
          <w:sz w:val="24"/>
        </w:rPr>
        <w:t>2. Navedite, zakaj sta predlagana metoda in izračun na podlagi člena 94(2) uredbe o skupnih določbah relevantna za vrsto operacije.</w:t>
      </w:r>
      <w:bookmarkEnd w:id="726"/>
    </w:p>
    <w:p w14:paraId="52B81F63" w14:textId="77777777" w:rsidR="00A77B3E" w:rsidRDefault="00A77B3E">
      <w:pPr>
        <w:spacing w:before="5pt"/>
        <w:rPr>
          <w:rFonts w:ascii="TimesNewRoman" w:eastAsia="TimesNewRoman" w:hAnsi="TimesNewRoman" w:cs="TimesNewRoman"/>
          <w:color w:val="000000"/>
        </w:rPr>
      </w:pPr>
    </w:p>
    <w:tbl>
      <w:tblPr>
        <w:tblW w:w="99.0%" w:type="pct"/>
        <w:tblInd w:w="4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020"/>
      </w:tblGrid>
      <w:tr w:rsidR="00823317" w14:paraId="15E65523" w14:textId="77777777">
        <w:tc>
          <w:tcPr>
            <w:tcW w:w="60pt" w:type="dxa"/>
            <w:tcBorders>
              <w:top w:val="single" w:sz="4" w:space="0" w:color="000000"/>
              <w:start w:val="single" w:sz="4" w:space="0" w:color="000000"/>
              <w:bottom w:val="single" w:sz="4" w:space="0" w:color="000000"/>
              <w:end w:val="single" w:sz="4" w:space="0" w:color="000000"/>
            </w:tcBorders>
            <w:tcMar>
              <w:top w:w="1pt" w:type="dxa"/>
              <w:start w:w="6pt" w:type="dxa"/>
              <w:bottom w:w="6pt" w:type="dxa"/>
              <w:end w:w="6pt" w:type="dxa"/>
            </w:tcMar>
            <w:vAlign w:val="bottom"/>
          </w:tcPr>
          <w:p w14:paraId="7C990874" w14:textId="77777777" w:rsidR="00A77B3E" w:rsidRDefault="00A77B3E">
            <w:pPr>
              <w:spacing w:before="5pt"/>
              <w:rPr>
                <w:color w:val="000000"/>
              </w:rPr>
            </w:pPr>
          </w:p>
        </w:tc>
      </w:tr>
    </w:tbl>
    <w:p w14:paraId="405CD118" w14:textId="77777777" w:rsidR="00A77B3E" w:rsidRDefault="00A77B3E">
      <w:pPr>
        <w:spacing w:before="5pt"/>
        <w:rPr>
          <w:color w:val="000000"/>
        </w:rPr>
      </w:pPr>
    </w:p>
    <w:p w14:paraId="43CE5418" w14:textId="77777777" w:rsidR="00A77B3E" w:rsidRDefault="00B16CCF">
      <w:pPr>
        <w:pStyle w:val="Naslov2"/>
        <w:spacing w:before="5pt" w:after="0pt"/>
        <w:rPr>
          <w:rFonts w:ascii="TimesNewRoman" w:eastAsia="TimesNewRoman" w:hAnsi="TimesNewRoman" w:cs="TimesNewRoman"/>
          <w:b w:val="0"/>
          <w:i w:val="0"/>
          <w:color w:val="000000"/>
          <w:sz w:val="24"/>
        </w:rPr>
      </w:pPr>
      <w:bookmarkStart w:id="727" w:name="_Toc256001488"/>
      <w:r>
        <w:rPr>
          <w:rFonts w:ascii="TimesNewRoman" w:eastAsia="TimesNewRoman" w:hAnsi="TimesNewRoman" w:cs="TimesNewRoman"/>
          <w:b w:val="0"/>
          <w:i w:val="0"/>
          <w:color w:val="000000"/>
          <w:sz w:val="24"/>
        </w:rPr>
        <w:t>3. Navedite, kako so bili izračuni narejeni, vključno zlasti s predpostavkami v smislu kakovosti ali količin. Če je to relevantno, je treba uporabiti in na zahtevo predložiti statistične dokaze in referenčne vrednosti v obliki, ki jo lahko uporabi Evropska komisija.</w:t>
      </w:r>
      <w:bookmarkEnd w:id="727"/>
    </w:p>
    <w:p w14:paraId="5D7CF668" w14:textId="77777777" w:rsidR="00A77B3E" w:rsidRDefault="00A77B3E">
      <w:pPr>
        <w:spacing w:before="5pt"/>
        <w:rPr>
          <w:rFonts w:ascii="TimesNewRoman" w:eastAsia="TimesNewRoman" w:hAnsi="TimesNewRoman" w:cs="TimesNewRoman"/>
          <w:color w:val="000000"/>
        </w:rPr>
      </w:pPr>
    </w:p>
    <w:tbl>
      <w:tblPr>
        <w:tblW w:w="99.0%" w:type="pct"/>
        <w:tblInd w:w="4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020"/>
      </w:tblGrid>
      <w:tr w:rsidR="00823317" w14:paraId="621DE25E" w14:textId="77777777">
        <w:tc>
          <w:tcPr>
            <w:tcW w:w="60pt" w:type="dxa"/>
            <w:tcBorders>
              <w:top w:val="single" w:sz="4" w:space="0" w:color="000000"/>
              <w:start w:val="single" w:sz="4" w:space="0" w:color="000000"/>
              <w:bottom w:val="single" w:sz="4" w:space="0" w:color="000000"/>
              <w:end w:val="single" w:sz="4" w:space="0" w:color="000000"/>
            </w:tcBorders>
            <w:tcMar>
              <w:top w:w="1pt" w:type="dxa"/>
              <w:start w:w="6pt" w:type="dxa"/>
              <w:bottom w:w="6pt" w:type="dxa"/>
              <w:end w:w="6pt" w:type="dxa"/>
            </w:tcMar>
            <w:vAlign w:val="bottom"/>
          </w:tcPr>
          <w:p w14:paraId="1E05DDE2" w14:textId="77777777" w:rsidR="00A77B3E" w:rsidRDefault="00A77B3E">
            <w:pPr>
              <w:spacing w:before="5pt"/>
              <w:rPr>
                <w:color w:val="000000"/>
              </w:rPr>
            </w:pPr>
          </w:p>
        </w:tc>
      </w:tr>
    </w:tbl>
    <w:p w14:paraId="2F8223FD" w14:textId="77777777" w:rsidR="00A77B3E" w:rsidRDefault="00A77B3E">
      <w:pPr>
        <w:spacing w:before="5pt"/>
        <w:rPr>
          <w:color w:val="000000"/>
        </w:rPr>
      </w:pPr>
    </w:p>
    <w:p w14:paraId="2EAB73B5" w14:textId="77777777" w:rsidR="00A77B3E" w:rsidRDefault="00B16CCF">
      <w:pPr>
        <w:pStyle w:val="Naslov2"/>
        <w:spacing w:before="5pt" w:after="0pt"/>
        <w:rPr>
          <w:rFonts w:ascii="TimesNewRoman" w:eastAsia="TimesNewRoman" w:hAnsi="TimesNewRoman" w:cs="TimesNewRoman"/>
          <w:b w:val="0"/>
          <w:i w:val="0"/>
          <w:color w:val="000000"/>
          <w:sz w:val="24"/>
        </w:rPr>
      </w:pPr>
      <w:bookmarkStart w:id="728" w:name="_Toc256001489"/>
      <w:r>
        <w:rPr>
          <w:rFonts w:ascii="TimesNewRoman" w:eastAsia="TimesNewRoman" w:hAnsi="TimesNewRoman" w:cs="TimesNewRoman"/>
          <w:b w:val="0"/>
          <w:i w:val="0"/>
          <w:color w:val="000000"/>
          <w:sz w:val="24"/>
        </w:rPr>
        <w:t>4. Pojasnite, kako ste zagotovili, da so bili v izračun standardnih stroškov na enoto, pavšalnega zneska ali pavšalne stopnje vključeni le upravičeni izdatki.</w:t>
      </w:r>
      <w:bookmarkEnd w:id="728"/>
    </w:p>
    <w:p w14:paraId="0282B595" w14:textId="77777777" w:rsidR="00A77B3E" w:rsidRDefault="00A77B3E">
      <w:pPr>
        <w:spacing w:before="5pt"/>
        <w:rPr>
          <w:rFonts w:ascii="TimesNewRoman" w:eastAsia="TimesNewRoman" w:hAnsi="TimesNewRoman" w:cs="TimesNewRoman"/>
          <w:color w:val="000000"/>
        </w:rPr>
      </w:pPr>
    </w:p>
    <w:tbl>
      <w:tblPr>
        <w:tblW w:w="99.0%" w:type="pct"/>
        <w:tblInd w:w="4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020"/>
      </w:tblGrid>
      <w:tr w:rsidR="00823317" w14:paraId="2DA72E4B" w14:textId="77777777">
        <w:tc>
          <w:tcPr>
            <w:tcW w:w="60pt" w:type="dxa"/>
            <w:tcBorders>
              <w:top w:val="single" w:sz="4" w:space="0" w:color="000000"/>
              <w:start w:val="single" w:sz="4" w:space="0" w:color="000000"/>
              <w:bottom w:val="single" w:sz="4" w:space="0" w:color="000000"/>
              <w:end w:val="single" w:sz="4" w:space="0" w:color="000000"/>
            </w:tcBorders>
            <w:tcMar>
              <w:top w:w="1pt" w:type="dxa"/>
              <w:start w:w="6pt" w:type="dxa"/>
              <w:bottom w:w="6pt" w:type="dxa"/>
              <w:end w:w="6pt" w:type="dxa"/>
            </w:tcMar>
            <w:vAlign w:val="bottom"/>
          </w:tcPr>
          <w:p w14:paraId="6B7CCBE6" w14:textId="77777777" w:rsidR="00A77B3E" w:rsidRDefault="00A77B3E">
            <w:pPr>
              <w:spacing w:before="5pt"/>
              <w:rPr>
                <w:color w:val="000000"/>
              </w:rPr>
            </w:pPr>
          </w:p>
        </w:tc>
      </w:tr>
    </w:tbl>
    <w:p w14:paraId="01A7C7D8" w14:textId="77777777" w:rsidR="00A77B3E" w:rsidRDefault="00A77B3E">
      <w:pPr>
        <w:spacing w:before="5pt"/>
        <w:rPr>
          <w:color w:val="000000"/>
        </w:rPr>
      </w:pPr>
    </w:p>
    <w:p w14:paraId="1CAA5FB8" w14:textId="77777777" w:rsidR="00A77B3E" w:rsidRDefault="00B16CCF">
      <w:pPr>
        <w:pStyle w:val="Naslov2"/>
        <w:spacing w:before="5pt" w:after="0pt"/>
        <w:rPr>
          <w:rFonts w:ascii="TimesNewRoman" w:eastAsia="TimesNewRoman" w:hAnsi="TimesNewRoman" w:cs="TimesNewRoman"/>
          <w:b w:val="0"/>
          <w:i w:val="0"/>
          <w:color w:val="000000"/>
          <w:sz w:val="24"/>
        </w:rPr>
      </w:pPr>
      <w:bookmarkStart w:id="729" w:name="_Toc256001490"/>
      <w:r>
        <w:rPr>
          <w:rFonts w:ascii="TimesNewRoman" w:eastAsia="TimesNewRoman" w:hAnsi="TimesNewRoman" w:cs="TimesNewRoman"/>
          <w:b w:val="0"/>
          <w:i w:val="0"/>
          <w:color w:val="000000"/>
          <w:sz w:val="24"/>
        </w:rPr>
        <w:t>5. Ocena revizijskega organa v zvezi z metodologijo za izračun in zneski ter ureditvijo za zagotovitev potrjevanja, kakovosti, zbiranja in shranjevanja podatkov.</w:t>
      </w:r>
      <w:bookmarkEnd w:id="729"/>
    </w:p>
    <w:p w14:paraId="4F26DCCD" w14:textId="77777777" w:rsidR="00A77B3E" w:rsidRDefault="00A77B3E">
      <w:pPr>
        <w:spacing w:before="5pt"/>
        <w:rPr>
          <w:rFonts w:ascii="TimesNewRoman" w:eastAsia="TimesNewRoman" w:hAnsi="TimesNewRoman" w:cs="TimesNewRoman"/>
          <w:color w:val="000000"/>
        </w:rPr>
      </w:pPr>
    </w:p>
    <w:tbl>
      <w:tblPr>
        <w:tblW w:w="99.0%" w:type="pct"/>
        <w:tblInd w:w="4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020"/>
      </w:tblGrid>
      <w:tr w:rsidR="00823317" w14:paraId="6D54EFF0" w14:textId="77777777">
        <w:tc>
          <w:tcPr>
            <w:tcW w:w="60pt" w:type="dxa"/>
            <w:tcBorders>
              <w:top w:val="single" w:sz="4" w:space="0" w:color="000000"/>
              <w:start w:val="single" w:sz="4" w:space="0" w:color="000000"/>
              <w:bottom w:val="single" w:sz="4" w:space="0" w:color="000000"/>
              <w:end w:val="single" w:sz="4" w:space="0" w:color="000000"/>
            </w:tcBorders>
            <w:tcMar>
              <w:top w:w="1pt" w:type="dxa"/>
              <w:start w:w="6pt" w:type="dxa"/>
              <w:bottom w:w="6pt" w:type="dxa"/>
              <w:end w:w="6pt" w:type="dxa"/>
            </w:tcMar>
            <w:vAlign w:val="bottom"/>
          </w:tcPr>
          <w:p w14:paraId="20F18A57" w14:textId="77777777" w:rsidR="00A77B3E" w:rsidRDefault="00A77B3E">
            <w:pPr>
              <w:spacing w:before="5pt"/>
              <w:rPr>
                <w:color w:val="000000"/>
              </w:rPr>
            </w:pPr>
          </w:p>
        </w:tc>
      </w:tr>
    </w:tbl>
    <w:p w14:paraId="6E85BD33" w14:textId="77777777" w:rsidR="00A77B3E" w:rsidRDefault="00A77B3E">
      <w:pPr>
        <w:spacing w:before="5pt"/>
        <w:rPr>
          <w:color w:val="000000"/>
        </w:rPr>
        <w:sectPr w:rsidR="00A77B3E">
          <w:pgSz w:w="841.90pt" w:h="595.30pt" w:orient="landscape"/>
          <w:pgMar w:top="36pt" w:right="36pt" w:bottom="43.20pt" w:left="46.80pt" w:header="14.40pt" w:footer="3.60pt" w:gutter="0pt"/>
          <w:cols w:space="36pt"/>
          <w:noEndnote/>
          <w:docGrid w:linePitch="360"/>
        </w:sectPr>
      </w:pPr>
    </w:p>
    <w:p w14:paraId="1BB846D7" w14:textId="77777777" w:rsidR="00A77B3E" w:rsidRDefault="00B16CCF">
      <w:pPr>
        <w:pStyle w:val="Naslov1"/>
        <w:spacing w:before="5pt" w:after="0pt"/>
        <w:rPr>
          <w:rFonts w:ascii="Times New Roman" w:hAnsi="Times New Roman" w:cs="Times New Roman"/>
          <w:b w:val="0"/>
          <w:color w:val="000000"/>
          <w:sz w:val="24"/>
        </w:rPr>
      </w:pPr>
      <w:bookmarkStart w:id="730" w:name="_Toc256001491"/>
      <w:r>
        <w:rPr>
          <w:rFonts w:ascii="Times New Roman" w:hAnsi="Times New Roman" w:cs="Times New Roman"/>
          <w:b w:val="0"/>
          <w:color w:val="000000"/>
          <w:sz w:val="24"/>
        </w:rPr>
        <w:lastRenderedPageBreak/>
        <w:t>Dodatek 2: Prispevek Unije, temelječ na financiranju, ki ni povezano s stroški</w:t>
      </w:r>
      <w:bookmarkEnd w:id="730"/>
    </w:p>
    <w:p w14:paraId="07825C95" w14:textId="77777777" w:rsidR="00A77B3E" w:rsidRDefault="00B16CCF">
      <w:pPr>
        <w:pStyle w:val="Naslov2"/>
        <w:spacing w:before="5pt" w:after="0pt"/>
        <w:rPr>
          <w:rFonts w:ascii="TimesNewRoman" w:eastAsia="TimesNewRoman" w:hAnsi="TimesNewRoman" w:cs="TimesNewRoman"/>
          <w:b w:val="0"/>
          <w:i w:val="0"/>
          <w:color w:val="000000"/>
          <w:sz w:val="24"/>
        </w:rPr>
      </w:pPr>
      <w:bookmarkStart w:id="731" w:name="_Toc256001492"/>
      <w:r>
        <w:rPr>
          <w:rFonts w:ascii="TimesNewRoman" w:eastAsia="TimesNewRoman" w:hAnsi="TimesNewRoman" w:cs="TimesNewRoman"/>
          <w:b w:val="0"/>
          <w:i w:val="0"/>
          <w:color w:val="000000"/>
          <w:sz w:val="24"/>
        </w:rPr>
        <w:t>A. Povzetek glavnih elementov</w:t>
      </w:r>
      <w:bookmarkEnd w:id="731"/>
    </w:p>
    <w:p w14:paraId="2F2675A1"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987"/>
        <w:gridCol w:w="977"/>
        <w:gridCol w:w="1948"/>
        <w:gridCol w:w="986"/>
        <w:gridCol w:w="1474"/>
        <w:gridCol w:w="981"/>
        <w:gridCol w:w="975"/>
        <w:gridCol w:w="1465"/>
        <w:gridCol w:w="981"/>
        <w:gridCol w:w="975"/>
        <w:gridCol w:w="1465"/>
        <w:gridCol w:w="1958"/>
      </w:tblGrid>
      <w:tr w:rsidR="00823317" w14:paraId="3288AD52" w14:textId="77777777">
        <w:trPr>
          <w:tblHeader/>
        </w:trPr>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7B6F7C" w14:textId="77777777" w:rsidR="00A77B3E" w:rsidRDefault="00B16CCF">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Prednostna naloga</w:t>
            </w: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70EB9F" w14:textId="77777777" w:rsidR="00A77B3E" w:rsidRDefault="00B16CCF">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Sklad</w:t>
            </w:r>
          </w:p>
        </w:tc>
        <w:tc>
          <w:tcPr>
            <w:tcW w:w="10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20C0B1A" w14:textId="77777777" w:rsidR="00A77B3E" w:rsidRDefault="00B16CCF">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Specifični cilj</w:t>
            </w: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312C435" w14:textId="77777777" w:rsidR="00A77B3E" w:rsidRDefault="00B16CCF">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Kategorija regije</w:t>
            </w:r>
          </w:p>
        </w:tc>
        <w:tc>
          <w:tcPr>
            <w:tcW w:w="7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FDDDF9" w14:textId="77777777" w:rsidR="00A77B3E" w:rsidRDefault="00B16CCF">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Znesek, zajet s financiranjem, ki ni povezano s stroški</w:t>
            </w:r>
          </w:p>
        </w:tc>
        <w:tc>
          <w:tcPr>
            <w:tcW w:w="1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339868E" w14:textId="77777777" w:rsidR="00A77B3E" w:rsidRDefault="00B16CCF">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Vrste zajetih operacij</w:t>
            </w:r>
          </w:p>
        </w:tc>
        <w:tc>
          <w:tcPr>
            <w:tcW w:w="7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0EBBB0C" w14:textId="77777777" w:rsidR="00A77B3E" w:rsidRDefault="00B16CCF">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Pogoji, ki jih je treba izpolniti / rezultati, ki jih je treba doseči, za povračilo s strani Evropske komisije</w:t>
            </w:r>
          </w:p>
        </w:tc>
        <w:tc>
          <w:tcPr>
            <w:tcW w:w="1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737D73" w14:textId="77777777" w:rsidR="00A77B3E" w:rsidRDefault="00B16CCF">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Kazalnik</w:t>
            </w:r>
          </w:p>
        </w:tc>
        <w:tc>
          <w:tcPr>
            <w:tcW w:w="7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A06031" w14:textId="77777777" w:rsidR="00A77B3E" w:rsidRDefault="00B16CCF">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Merska enota za pogoje, ki jih je treba izpolniti / rezultati, ki jih je treba doseči, za povračilo s strani Evropske komisije</w:t>
            </w:r>
          </w:p>
        </w:tc>
        <w:tc>
          <w:tcPr>
            <w:tcW w:w="10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973994" w14:textId="77777777" w:rsidR="00A77B3E" w:rsidRDefault="00B16CCF">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Načrtovana vrsta metode, ki se uporabi za povračila upravičencu (upravičencem)</w:t>
            </w:r>
          </w:p>
        </w:tc>
      </w:tr>
      <w:tr w:rsidR="00823317" w14:paraId="4CAEA12A" w14:textId="77777777">
        <w:trPr>
          <w:tblHeader/>
        </w:trPr>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6DF25D" w14:textId="77777777" w:rsidR="00A77B3E" w:rsidRDefault="00A77B3E">
            <w:pPr>
              <w:spacing w:before="5pt"/>
              <w:jc w:val="center"/>
              <w:rPr>
                <w:rFonts w:ascii="TimesNewRoman" w:eastAsia="TimesNewRoman" w:hAnsi="TimesNewRoman" w:cs="TimesNewRoman"/>
                <w:color w:val="000000"/>
                <w:sz w:val="12"/>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F7AFE0" w14:textId="77777777" w:rsidR="00A77B3E" w:rsidRDefault="00A77B3E">
            <w:pPr>
              <w:spacing w:before="5pt"/>
              <w:jc w:val="center"/>
              <w:rPr>
                <w:rFonts w:ascii="TimesNewRoman" w:eastAsia="TimesNewRoman" w:hAnsi="TimesNewRoman" w:cs="TimesNewRoman"/>
                <w:color w:val="000000"/>
                <w:sz w:val="12"/>
              </w:rPr>
            </w:pPr>
          </w:p>
        </w:tc>
        <w:tc>
          <w:tcPr>
            <w:tcW w:w="10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D231943" w14:textId="77777777" w:rsidR="00A77B3E" w:rsidRDefault="00A77B3E">
            <w:pPr>
              <w:spacing w:before="5pt"/>
              <w:jc w:val="center"/>
              <w:rPr>
                <w:rFonts w:ascii="TimesNewRoman" w:eastAsia="TimesNewRoman" w:hAnsi="TimesNewRoman" w:cs="TimesNewRoman"/>
                <w:color w:val="000000"/>
                <w:sz w:val="12"/>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68D06F8" w14:textId="77777777" w:rsidR="00A77B3E" w:rsidRDefault="00A77B3E">
            <w:pPr>
              <w:spacing w:before="5pt"/>
              <w:jc w:val="center"/>
              <w:rPr>
                <w:rFonts w:ascii="TimesNewRoman" w:eastAsia="TimesNewRoman" w:hAnsi="TimesNewRoman" w:cs="TimesNewRoman"/>
                <w:color w:val="000000"/>
                <w:sz w:val="12"/>
              </w:rPr>
            </w:pPr>
          </w:p>
        </w:tc>
        <w:tc>
          <w:tcPr>
            <w:tcW w:w="7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511396" w14:textId="77777777" w:rsidR="00A77B3E" w:rsidRDefault="00A77B3E">
            <w:pPr>
              <w:spacing w:before="5pt"/>
              <w:jc w:val="center"/>
              <w:rPr>
                <w:rFonts w:ascii="TimesNewRoman" w:eastAsia="TimesNewRoman" w:hAnsi="TimesNewRoman" w:cs="TimesNewRoman"/>
                <w:color w:val="000000"/>
                <w:sz w:val="12"/>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06943E0" w14:textId="77777777" w:rsidR="00A77B3E" w:rsidRDefault="00B16CCF">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Oznaka (1)</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5DAEE3" w14:textId="77777777" w:rsidR="00A77B3E" w:rsidRDefault="00B16CCF">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Opis</w:t>
            </w:r>
          </w:p>
        </w:tc>
        <w:tc>
          <w:tcPr>
            <w:tcW w:w="7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0AEB06" w14:textId="77777777" w:rsidR="00A77B3E" w:rsidRDefault="00A77B3E">
            <w:pPr>
              <w:spacing w:before="5pt"/>
              <w:jc w:val="center"/>
              <w:rPr>
                <w:rFonts w:ascii="TimesNewRoman" w:eastAsia="TimesNewRoman" w:hAnsi="TimesNewRoman" w:cs="TimesNewRoman"/>
                <w:color w:val="000000"/>
                <w:sz w:val="12"/>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E6ED44" w14:textId="77777777" w:rsidR="00A77B3E" w:rsidRDefault="00B16CCF">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Oznaka (2)</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2935DB" w14:textId="77777777" w:rsidR="00A77B3E" w:rsidRDefault="00B16CCF">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Opis</w:t>
            </w:r>
          </w:p>
        </w:tc>
        <w:tc>
          <w:tcPr>
            <w:tcW w:w="7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0416A8" w14:textId="77777777" w:rsidR="00A77B3E" w:rsidRDefault="00A77B3E">
            <w:pPr>
              <w:spacing w:before="5pt"/>
              <w:jc w:val="center"/>
              <w:rPr>
                <w:rFonts w:ascii="TimesNewRoman" w:eastAsia="TimesNewRoman" w:hAnsi="TimesNewRoman" w:cs="TimesNewRoman"/>
                <w:color w:val="000000"/>
                <w:sz w:val="12"/>
              </w:rPr>
            </w:pPr>
          </w:p>
        </w:tc>
        <w:tc>
          <w:tcPr>
            <w:tcW w:w="10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E60DDD" w14:textId="77777777" w:rsidR="00A77B3E" w:rsidRDefault="00A77B3E">
            <w:pPr>
              <w:spacing w:before="5pt"/>
              <w:jc w:val="center"/>
              <w:rPr>
                <w:rFonts w:ascii="TimesNewRoman" w:eastAsia="TimesNewRoman" w:hAnsi="TimesNewRoman" w:cs="TimesNewRoman"/>
                <w:color w:val="000000"/>
                <w:sz w:val="12"/>
              </w:rPr>
            </w:pPr>
          </w:p>
        </w:tc>
      </w:tr>
    </w:tbl>
    <w:p w14:paraId="6269A5D7" w14:textId="77777777" w:rsidR="00A77B3E" w:rsidRDefault="00B16CCF">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(1) To se nanaša na kodo za razsežnost „področje ukrepanja“ v tabeli 1 Priloge I k uredbi o skupnih določbah in Prilogi IV k uredbi o ESPRA.</w:t>
      </w:r>
    </w:p>
    <w:p w14:paraId="0A0C244B" w14:textId="77777777" w:rsidR="00A77B3E" w:rsidRDefault="00B16CCF">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(2)  To se nanaša na kodo skupnega kazalnika, če je ustrezno.</w:t>
      </w:r>
    </w:p>
    <w:p w14:paraId="0ED8F60A" w14:textId="77777777" w:rsidR="00A77B3E" w:rsidRDefault="00A77B3E">
      <w:pPr>
        <w:spacing w:before="5pt"/>
        <w:rPr>
          <w:rFonts w:ascii="TimesNewRoman" w:eastAsia="TimesNewRoman" w:hAnsi="TimesNewRoman" w:cs="TimesNewRoman"/>
          <w:color w:val="000000"/>
          <w:sz w:val="12"/>
        </w:rPr>
        <w:sectPr w:rsidR="00A77B3E">
          <w:headerReference w:type="even" r:id="rId49"/>
          <w:headerReference w:type="default" r:id="rId50"/>
          <w:footerReference w:type="even" r:id="rId51"/>
          <w:footerReference w:type="default" r:id="rId52"/>
          <w:headerReference w:type="first" r:id="rId53"/>
          <w:footerReference w:type="first" r:id="rId54"/>
          <w:pgSz w:w="841.90pt" w:h="595.30pt" w:orient="landscape"/>
          <w:pgMar w:top="36pt" w:right="36pt" w:bottom="43.20pt" w:left="46.80pt" w:header="14.40pt" w:footer="3.60pt" w:gutter="0pt"/>
          <w:cols w:space="36pt"/>
          <w:noEndnote/>
          <w:docGrid w:linePitch="360"/>
        </w:sectPr>
      </w:pPr>
    </w:p>
    <w:p w14:paraId="3463983A" w14:textId="77777777" w:rsidR="00A77B3E" w:rsidRDefault="00B16CCF">
      <w:pPr>
        <w:pStyle w:val="Naslov2"/>
        <w:spacing w:before="5pt" w:after="0pt"/>
        <w:rPr>
          <w:rFonts w:ascii="TimesNewRoman" w:eastAsia="TimesNewRoman" w:hAnsi="TimesNewRoman" w:cs="TimesNewRoman"/>
          <w:b w:val="0"/>
          <w:i w:val="0"/>
          <w:color w:val="000000"/>
          <w:sz w:val="24"/>
        </w:rPr>
      </w:pPr>
      <w:bookmarkStart w:id="732" w:name="_Toc256001493"/>
      <w:r>
        <w:rPr>
          <w:rFonts w:ascii="TimesNewRoman" w:eastAsia="TimesNewRoman" w:hAnsi="TimesNewRoman" w:cs="TimesNewRoman"/>
          <w:b w:val="0"/>
          <w:i w:val="0"/>
          <w:color w:val="000000"/>
          <w:sz w:val="24"/>
        </w:rPr>
        <w:lastRenderedPageBreak/>
        <w:t>B. Podrobnosti glede na vrsto operacije</w:t>
      </w:r>
      <w:bookmarkEnd w:id="732"/>
    </w:p>
    <w:p w14:paraId="6BD3C48E" w14:textId="77777777" w:rsidR="00A77B3E" w:rsidRDefault="00A77B3E">
      <w:pPr>
        <w:spacing w:before="5pt"/>
        <w:rPr>
          <w:rFonts w:ascii="TimesNewRoman" w:eastAsia="TimesNewRoman" w:hAnsi="TimesNewRoman" w:cs="TimesNewRoman"/>
          <w:color w:val="000000"/>
        </w:rPr>
        <w:sectPr w:rsidR="00A77B3E">
          <w:headerReference w:type="even" r:id="rId55"/>
          <w:headerReference w:type="default" r:id="rId56"/>
          <w:footerReference w:type="even" r:id="rId57"/>
          <w:footerReference w:type="default" r:id="rId58"/>
          <w:headerReference w:type="first" r:id="rId59"/>
          <w:footerReference w:type="first" r:id="rId60"/>
          <w:pgSz w:w="595.30pt" w:h="841.90pt"/>
          <w:pgMar w:top="36pt" w:right="46.80pt" w:bottom="43.20pt" w:left="36pt" w:header="0pt" w:footer="3.60pt" w:gutter="0pt"/>
          <w:cols w:space="36pt"/>
          <w:noEndnote/>
          <w:docGrid w:linePitch="360"/>
        </w:sectPr>
      </w:pPr>
    </w:p>
    <w:p w14:paraId="36287379" w14:textId="77777777" w:rsidR="00A77B3E" w:rsidRDefault="00B16CCF">
      <w:pPr>
        <w:pStyle w:val="Naslov1"/>
        <w:spacing w:before="5pt" w:after="0pt"/>
        <w:rPr>
          <w:rFonts w:ascii="TimesNewRoman" w:eastAsia="TimesNewRoman" w:hAnsi="TimesNewRoman" w:cs="TimesNewRoman"/>
          <w:b w:val="0"/>
          <w:color w:val="000000"/>
          <w:sz w:val="24"/>
        </w:rPr>
      </w:pPr>
      <w:bookmarkStart w:id="733" w:name="_Toc256001494"/>
      <w:r>
        <w:rPr>
          <w:rFonts w:ascii="TimesNewRoman" w:eastAsia="TimesNewRoman" w:hAnsi="TimesNewRoman" w:cs="TimesNewRoman"/>
          <w:b w:val="0"/>
          <w:color w:val="000000"/>
          <w:sz w:val="24"/>
        </w:rPr>
        <w:lastRenderedPageBreak/>
        <w:t>Dodatek 3</w:t>
      </w:r>
      <w:bookmarkEnd w:id="733"/>
    </w:p>
    <w:p w14:paraId="48E2B469" w14:textId="77777777" w:rsidR="00A77B3E" w:rsidRDefault="00A77B3E">
      <w:pPr>
        <w:spacing w:before="5pt"/>
        <w:rPr>
          <w:rFonts w:ascii="TimesNewRoman" w:eastAsia="TimesNewRoman" w:hAnsi="TimesNewRoman" w:cs="TimesNewRoman"/>
          <w:color w:val="000000"/>
          <w:sz w:val="0"/>
        </w:rPr>
      </w:pPr>
    </w:p>
    <w:p w14:paraId="3C2FF69D" w14:textId="77777777" w:rsidR="00A77B3E" w:rsidRDefault="00B16CCF">
      <w:pPr>
        <w:spacing w:before="5pt"/>
        <w:rPr>
          <w:rFonts w:ascii="TimesNewRoman" w:eastAsia="TimesNewRoman" w:hAnsi="TimesNewRoman" w:cs="TimesNewRoman"/>
          <w:color w:val="000000"/>
          <w:sz w:val="0"/>
        </w:rPr>
      </w:pPr>
      <w:r>
        <w:rPr>
          <w:rFonts w:ascii="TimesNewRoman" w:eastAsia="TimesNewRoman" w:hAnsi="TimesNewRoman" w:cs="TimesNewRoman"/>
          <w:color w:val="000000"/>
        </w:rPr>
        <w:t>Člen 22(3) uredbe o skupnih določbah</w:t>
      </w: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823317" w14:paraId="3818A4E8"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14B00B" w14:textId="77777777" w:rsidR="00A77B3E" w:rsidRDefault="00A77B3E">
            <w:pPr>
              <w:spacing w:before="5pt"/>
              <w:rPr>
                <w:rFonts w:ascii="TimesNewRoman" w:eastAsia="TimesNewRoman" w:hAnsi="TimesNewRoman" w:cs="TimesNewRoman"/>
                <w:color w:val="000000"/>
                <w:sz w:val="0"/>
              </w:rPr>
            </w:pPr>
          </w:p>
          <w:p w14:paraId="0FB242A8"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b/>
                <w:bCs/>
                <w:color w:val="000000"/>
                <w:u w:val="single"/>
              </w:rPr>
              <w:t>CP1, RSO1.1:</w:t>
            </w:r>
            <w:r>
              <w:rPr>
                <w:rFonts w:ascii="TimesNewRoman" w:eastAsia="TimesNewRoman" w:hAnsi="TimesNewRoman" w:cs="TimesNewRoman"/>
                <w:b/>
                <w:bCs/>
                <w:color w:val="000000"/>
              </w:rPr>
              <w:t xml:space="preserve"> </w:t>
            </w:r>
            <w:r>
              <w:rPr>
                <w:rFonts w:ascii="TimesNewRoman" w:eastAsia="TimesNewRoman" w:hAnsi="TimesNewRoman" w:cs="TimesNewRoman"/>
                <w:color w:val="000000"/>
              </w:rPr>
              <w:t xml:space="preserve">od 2023 je načrtovana </w:t>
            </w:r>
            <w:r>
              <w:rPr>
                <w:rFonts w:ascii="TimesNewRoman" w:eastAsia="TimesNewRoman" w:hAnsi="TimesNewRoman" w:cs="TimesNewRoman"/>
                <w:b/>
                <w:bCs/>
                <w:color w:val="000000"/>
              </w:rPr>
              <w:t>nadgradnja ključnih raziskovalnih infrastruktur</w:t>
            </w:r>
            <w:r>
              <w:rPr>
                <w:rFonts w:ascii="TimesNewRoman" w:eastAsia="TimesNewRoman" w:hAnsi="TimesNewRoman" w:cs="TimesNewRoman"/>
                <w:color w:val="000000"/>
              </w:rPr>
              <w:t xml:space="preserve"> iz 2014-2020 za večjo konkurenčnost gospodarstva ter znanstvenoraziskovalno ter inovacijsko okolje. Ukrep obsega nadgradnjo RIUM (Q4 2028), nadgradnjo HPC zmogljivosti in nakup vrhunske raziskovalne opreme (Q4 2027), vzpostavitev Tehnološko inovacijskega centra INNOVUM in izgradnjo nove Fakultete za strojništvo (Q4 2029).</w:t>
            </w:r>
          </w:p>
          <w:p w14:paraId="44B3E466"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b/>
                <w:bCs/>
                <w:color w:val="000000"/>
                <w:u w:val="single"/>
              </w:rPr>
              <w:t>CP2, RSO2.4:</w:t>
            </w:r>
            <w:r>
              <w:rPr>
                <w:rFonts w:ascii="TimesNewRoman" w:eastAsia="TimesNewRoman" w:hAnsi="TimesNewRoman" w:cs="TimesNewRoman"/>
                <w:b/>
                <w:bCs/>
                <w:color w:val="000000"/>
              </w:rPr>
              <w:t xml:space="preserve"> zagotovitev poplavne varnosti na porečju Savinje</w:t>
            </w:r>
            <w:r>
              <w:rPr>
                <w:rFonts w:ascii="TimesNewRoman" w:eastAsia="TimesNewRoman" w:hAnsi="TimesNewRoman" w:cs="TimesNewRoman"/>
                <w:color w:val="000000"/>
              </w:rPr>
              <w:t xml:space="preserve"> je nadaljevanje 1. faze projekta, s čimer se bo dejansko zagotovilo potrebno poplavno varnost, saj so večja urbana območja še vedno poplavno ogrožena. V 2024 se načrtuje pridobitev gradbenega dovoljenja, v 2025 začetek izvajanja gradbenih del, zaključek gradnje pa leta 2029.</w:t>
            </w:r>
          </w:p>
          <w:p w14:paraId="444DEDD4"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b/>
                <w:bCs/>
                <w:color w:val="000000"/>
                <w:u w:val="single"/>
              </w:rPr>
              <w:t>CP3, RSO3.1:</w:t>
            </w:r>
            <w:r>
              <w:rPr>
                <w:rFonts w:ascii="TimesNewRoman" w:eastAsia="TimesNewRoman" w:hAnsi="TimesNewRoman" w:cs="TimesNewRoman"/>
                <w:b/>
                <w:bCs/>
                <w:color w:val="000000"/>
              </w:rPr>
              <w:t xml:space="preserve"> nadgradnja 25,93</w:t>
            </w:r>
            <w:r>
              <w:rPr>
                <w:rFonts w:ascii="TimesNewRoman" w:eastAsia="TimesNewRoman" w:hAnsi="TimesNewRoman" w:cs="TimesNewRoman"/>
                <w:color w:val="000000"/>
              </w:rPr>
              <w:t xml:space="preserve"> km dolge </w:t>
            </w:r>
            <w:r>
              <w:rPr>
                <w:rFonts w:ascii="TimesNewRoman" w:eastAsia="TimesNewRoman" w:hAnsi="TimesNewRoman" w:cs="TimesNewRoman"/>
                <w:b/>
                <w:bCs/>
                <w:color w:val="000000"/>
              </w:rPr>
              <w:t>železniške proge d.m.-Dobova-Zidani Most</w:t>
            </w:r>
            <w:r>
              <w:rPr>
                <w:rFonts w:ascii="TimesNewRoman" w:eastAsia="TimesNewRoman" w:hAnsi="TimesNewRoman" w:cs="TimesNewRoman"/>
                <w:color w:val="000000"/>
              </w:rPr>
              <w:t xml:space="preserve"> (odsek d.m.-Dobova-Sevnica), ki je del sredozemskega TEN-T koridorja, bo s povečanjem prepustne zmogljivosti, potovalne hitrosti vlakov in prometne varnosti ter zmanjšanjem obremenjenosti s hrupom na poselitvenih območjih prispevala k odpravi ozkega grla glavne prometne železniške povezave Slovenije s Hrvaško. Zaradi velikosti se bo ukrep izvajal v sklopih od Q2 2025 do Q3 2029.</w:t>
            </w:r>
          </w:p>
          <w:p w14:paraId="7CA9B082"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b/>
                <w:bCs/>
                <w:color w:val="000000"/>
                <w:u w:val="single"/>
              </w:rPr>
              <w:t>CP4, ESO4.2:</w:t>
            </w:r>
            <w:r>
              <w:rPr>
                <w:rFonts w:ascii="TimesNewRoman" w:eastAsia="TimesNewRoman" w:hAnsi="TimesNewRoman" w:cs="TimesNewRoman"/>
                <w:b/>
                <w:bCs/>
                <w:color w:val="000000"/>
              </w:rPr>
              <w:t xml:space="preserve"> modernizacija storitev in povezovanje institucij trga dela </w:t>
            </w:r>
            <w:r>
              <w:rPr>
                <w:rFonts w:ascii="TimesNewRoman" w:eastAsia="TimesNewRoman" w:hAnsi="TimesNewRoman" w:cs="TimesNewRoman"/>
                <w:color w:val="000000"/>
              </w:rPr>
              <w:t>(Q2 2023-Q4 2028) vključuje krepitev mreže pisarn za delodajalce za podporo delodajalcem pri iskanju ustreznih kadrov ter posodobitev storitev v okviru institucij trga dela. Ključni cilj je vzpostavitev platforme za napovedovanje kompetenc, ki bo učinkovito povezovala delodajalce, iskalce zaposlitve in svetovalce ZRSZ.</w:t>
            </w:r>
          </w:p>
          <w:p w14:paraId="14E56AE8"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b/>
                <w:bCs/>
                <w:color w:val="000000"/>
                <w:u w:val="single"/>
              </w:rPr>
              <w:t xml:space="preserve">CP5, RSO5.1: </w:t>
            </w:r>
          </w:p>
          <w:p w14:paraId="40430D8A" w14:textId="77777777" w:rsidR="00A77B3E" w:rsidRDefault="00B16CCF">
            <w:pPr>
              <w:numPr>
                <w:ilvl w:val="0"/>
                <w:numId w:val="40"/>
              </w:numPr>
              <w:spacing w:before="5pt"/>
              <w:rPr>
                <w:rFonts w:ascii="TimesNewRoman" w:eastAsia="TimesNewRoman" w:hAnsi="TimesNewRoman" w:cs="TimesNewRoman"/>
                <w:color w:val="000000"/>
              </w:rPr>
            </w:pPr>
            <w:r>
              <w:rPr>
                <w:rFonts w:ascii="TimesNewRoman" w:eastAsia="TimesNewRoman" w:hAnsi="TimesNewRoman" w:cs="TimesNewRoman"/>
                <w:color w:val="000000"/>
              </w:rPr>
              <w:t>Evropska prestolnica kulture GO! 2025: obnova trga Evropa, Super8 in EPIC centra v obdobju od Q3 2022 do Q3 2025.</w:t>
            </w:r>
          </w:p>
          <w:p w14:paraId="676B3701" w14:textId="77777777" w:rsidR="00A77B3E" w:rsidRDefault="00B16CCF">
            <w:pPr>
              <w:numPr>
                <w:ilvl w:val="0"/>
                <w:numId w:val="40"/>
              </w:numPr>
              <w:spacing w:before="5pt"/>
              <w:rPr>
                <w:rFonts w:ascii="TimesNewRoman" w:eastAsia="TimesNewRoman" w:hAnsi="TimesNewRoman" w:cs="TimesNewRoman"/>
                <w:color w:val="000000"/>
              </w:rPr>
            </w:pPr>
            <w:r>
              <w:rPr>
                <w:rFonts w:ascii="TimesNewRoman" w:eastAsia="TimesNewRoman" w:hAnsi="TimesNewRoman" w:cs="TimesNewRoman"/>
                <w:color w:val="000000"/>
              </w:rPr>
              <w:t>Projekt obnove Centra Rotovž: obnova Mariborske knjižnice, Umetnostne galerije, Mestnega kina v obdobju od Q1 2021 do Q4 2026.</w:t>
            </w:r>
          </w:p>
          <w:p w14:paraId="172A1355" w14:textId="77777777" w:rsidR="00A77B3E" w:rsidRDefault="00B16CCF">
            <w:pPr>
              <w:spacing w:before="5pt"/>
              <w:rPr>
                <w:rFonts w:ascii="TimesNewRoman" w:eastAsia="TimesNewRoman" w:hAnsi="TimesNewRoman" w:cs="TimesNewRoman"/>
                <w:color w:val="000000"/>
              </w:rPr>
            </w:pPr>
            <w:r>
              <w:rPr>
                <w:rFonts w:ascii="TimesNewRoman" w:eastAsia="TimesNewRoman" w:hAnsi="TimesNewRoman" w:cs="TimesNewRoman"/>
                <w:b/>
                <w:bCs/>
                <w:color w:val="000000"/>
                <w:u w:val="single"/>
              </w:rPr>
              <w:t>CP6, JSO8.1:</w:t>
            </w:r>
            <w:r>
              <w:rPr>
                <w:rFonts w:ascii="TimesNewRoman" w:eastAsia="TimesNewRoman" w:hAnsi="TimesNewRoman" w:cs="TimesNewRoman"/>
                <w:color w:val="000000"/>
              </w:rPr>
              <w:t xml:space="preserve"> v </w:t>
            </w:r>
            <w:r>
              <w:rPr>
                <w:rFonts w:ascii="TimesNewRoman" w:eastAsia="TimesNewRoman" w:hAnsi="TimesNewRoman" w:cs="TimesNewRoman"/>
                <w:b/>
                <w:bCs/>
                <w:color w:val="000000"/>
              </w:rPr>
              <w:t>Zasavski regiji</w:t>
            </w:r>
            <w:r>
              <w:rPr>
                <w:rFonts w:ascii="TimesNewRoman" w:eastAsia="TimesNewRoman" w:hAnsi="TimesNewRoman" w:cs="TimesNewRoman"/>
                <w:color w:val="000000"/>
              </w:rPr>
              <w:t xml:space="preserve"> je ključna krepitev kapacitet na področju RRI, zato je ključna vzpostavitev </w:t>
            </w:r>
            <w:r>
              <w:rPr>
                <w:rFonts w:ascii="TimesNewRoman" w:eastAsia="TimesNewRoman" w:hAnsi="TimesNewRoman" w:cs="TimesNewRoman"/>
                <w:b/>
                <w:bCs/>
                <w:color w:val="000000"/>
              </w:rPr>
              <w:t xml:space="preserve">Centra za demonstracijo in usposabljanje na področju brezogljičnih tehnologij </w:t>
            </w:r>
            <w:r>
              <w:rPr>
                <w:rFonts w:ascii="TimesNewRoman" w:eastAsia="TimesNewRoman" w:hAnsi="TimesNewRoman" w:cs="TimesNewRoman"/>
                <w:color w:val="000000"/>
              </w:rPr>
              <w:t>do Q4 2025, ki</w:t>
            </w:r>
            <w:r>
              <w:rPr>
                <w:rFonts w:ascii="TimesNewRoman" w:eastAsia="TimesNewRoman" w:hAnsi="TimesNewRoman" w:cs="TimesNewRoman"/>
                <w:b/>
                <w:bCs/>
                <w:color w:val="000000"/>
              </w:rPr>
              <w:t xml:space="preserve"> </w:t>
            </w:r>
            <w:r>
              <w:rPr>
                <w:rFonts w:ascii="TimesNewRoman" w:eastAsia="TimesNewRoman" w:hAnsi="TimesNewRoman" w:cs="TimesNewRoman"/>
                <w:color w:val="000000"/>
              </w:rPr>
              <w:t xml:space="preserve">bo podprl raziskave brezogljičnih tehnologij za prehod v moderno zeleno usmerjeno industrijo. V </w:t>
            </w:r>
            <w:r>
              <w:rPr>
                <w:rFonts w:ascii="TimesNewRoman" w:eastAsia="TimesNewRoman" w:hAnsi="TimesNewRoman" w:cs="TimesNewRoman"/>
                <w:b/>
                <w:bCs/>
                <w:color w:val="000000"/>
              </w:rPr>
              <w:t>SAŠA regiji</w:t>
            </w:r>
            <w:r>
              <w:rPr>
                <w:rFonts w:ascii="TimesNewRoman" w:eastAsia="TimesNewRoman" w:hAnsi="TimesNewRoman" w:cs="TimesNewRoman"/>
                <w:color w:val="000000"/>
              </w:rPr>
              <w:t xml:space="preserve"> se bo izvedel prehod na </w:t>
            </w:r>
            <w:r>
              <w:rPr>
                <w:rFonts w:ascii="TimesNewRoman" w:eastAsia="TimesNewRoman" w:hAnsi="TimesNewRoman" w:cs="TimesNewRoman"/>
                <w:b/>
                <w:bCs/>
                <w:color w:val="000000"/>
              </w:rPr>
              <w:t>novo generacijo daljinskega ogrevanja</w:t>
            </w:r>
            <w:r>
              <w:rPr>
                <w:rFonts w:ascii="TimesNewRoman" w:eastAsia="TimesNewRoman" w:hAnsi="TimesNewRoman" w:cs="TimesNewRoman"/>
                <w:color w:val="000000"/>
              </w:rPr>
              <w:t>, ki bo ekonomsko in okoljsko trajnostna ter neodvisna od premoga.</w:t>
            </w:r>
          </w:p>
          <w:p w14:paraId="443461EB" w14:textId="77777777" w:rsidR="00A77B3E" w:rsidRDefault="00A77B3E">
            <w:pPr>
              <w:spacing w:before="5pt"/>
              <w:rPr>
                <w:rFonts w:ascii="TimesNewRoman" w:eastAsia="TimesNewRoman" w:hAnsi="TimesNewRoman" w:cs="TimesNewRoman"/>
                <w:color w:val="000000"/>
                <w:sz w:val="6"/>
              </w:rPr>
            </w:pPr>
          </w:p>
          <w:p w14:paraId="289D5D7F" w14:textId="77777777" w:rsidR="00A77B3E" w:rsidRDefault="00A77B3E">
            <w:pPr>
              <w:spacing w:before="5pt"/>
              <w:rPr>
                <w:rFonts w:ascii="TimesNewRoman" w:eastAsia="TimesNewRoman" w:hAnsi="TimesNewRoman" w:cs="TimesNewRoman"/>
                <w:color w:val="000000"/>
                <w:sz w:val="6"/>
              </w:rPr>
            </w:pPr>
          </w:p>
        </w:tc>
      </w:tr>
    </w:tbl>
    <w:p w14:paraId="3A503C41" w14:textId="77777777" w:rsidR="00EB2379" w:rsidRDefault="00B16CCF" w:rsidP="00EB2379">
      <w:pPr>
        <w:pStyle w:val="Naslov1"/>
        <w:spacing w:before="5pt" w:after="0pt"/>
        <w:rPr>
          <w:rFonts w:ascii="Times New Roman" w:hAnsi="Times New Roman" w:cs="Times New Roman"/>
          <w:b w:val="0"/>
          <w:color w:val="000000"/>
          <w:sz w:val="24"/>
        </w:rPr>
      </w:pPr>
      <w:r>
        <w:rPr>
          <w:rFonts w:ascii="TimesNewRoman" w:eastAsia="TimesNewRoman" w:hAnsi="TimesNewRoman" w:cs="TimesNewRoman"/>
          <w:b w:val="0"/>
          <w:color w:val="000000"/>
          <w:sz w:val="24"/>
        </w:rPr>
        <w:br w:type="page"/>
      </w:r>
      <w:bookmarkStart w:id="734" w:name="_Toc256000013"/>
      <w:r w:rsidR="00EB2379">
        <w:rPr>
          <w:rFonts w:ascii="Times New Roman" w:hAnsi="Times New Roman" w:cs="Times New Roman"/>
          <w:b w:val="0"/>
          <w:color w:val="000000"/>
          <w:sz w:val="24"/>
        </w:rPr>
        <w:lastRenderedPageBreak/>
        <w:t>Območni načrt za pravični prehod - ONPP SAŠA.OBMOČNI NAČRT ZA PRAVIČNI PREHOD SAVINJSKO ŠALEŠKE PREMOGOVNE REGIJE (5.0)</w:t>
      </w:r>
      <w:bookmarkEnd w:id="734"/>
    </w:p>
    <w:p w14:paraId="33245392" w14:textId="77777777" w:rsidR="00EB2379" w:rsidRDefault="00EB2379" w:rsidP="00EB2379">
      <w:pPr>
        <w:spacing w:before="5pt"/>
        <w:rPr>
          <w:color w:val="000000"/>
          <w:sz w:val="0"/>
        </w:rPr>
      </w:pPr>
    </w:p>
    <w:p w14:paraId="13A6C63C" w14:textId="77777777" w:rsidR="00EB2379" w:rsidRPr="00EB2379" w:rsidRDefault="00EB2379" w:rsidP="00EB2379">
      <w:pPr>
        <w:pStyle w:val="Naslov1"/>
        <w:spacing w:before="5pt" w:after="0pt"/>
        <w:rPr>
          <w:rFonts w:ascii="Times New Roman" w:hAnsi="Times New Roman" w:cs="Times New Roman"/>
          <w:b w:val="0"/>
          <w:color w:val="000000"/>
          <w:sz w:val="24"/>
          <w:lang w:val="it-IT"/>
        </w:rPr>
      </w:pPr>
      <w:bookmarkStart w:id="735" w:name="_Toc256000014"/>
      <w:r w:rsidRPr="00EB2379">
        <w:rPr>
          <w:rFonts w:ascii="Times New Roman" w:hAnsi="Times New Roman" w:cs="Times New Roman"/>
          <w:b w:val="0"/>
          <w:color w:val="000000"/>
          <w:sz w:val="24"/>
          <w:lang w:val="it-IT"/>
        </w:rPr>
        <w:t>1. Oris procesa prehoda in opredelitev najbolj prizadetih območij v državi članici</w:t>
      </w:r>
      <w:bookmarkEnd w:id="735"/>
    </w:p>
    <w:p w14:paraId="000F9623" w14:textId="77777777" w:rsidR="00EB2379" w:rsidRPr="00EB2379" w:rsidRDefault="00EB2379" w:rsidP="00EB2379">
      <w:pPr>
        <w:spacing w:before="5pt"/>
        <w:rPr>
          <w:color w:val="000000"/>
          <w:sz w:val="0"/>
          <w:lang w:val="it-IT"/>
        </w:rPr>
      </w:pPr>
    </w:p>
    <w:p w14:paraId="70FF61E0" w14:textId="77777777" w:rsidR="00EB2379" w:rsidRDefault="00EB2379" w:rsidP="00EB2379">
      <w:pPr>
        <w:spacing w:before="5pt"/>
        <w:rPr>
          <w:color w:val="000000"/>
          <w:sz w:val="12"/>
        </w:rPr>
      </w:pPr>
      <w:r>
        <w:rPr>
          <w:color w:val="000000"/>
        </w:rPr>
        <w:t>Sklic: člen 11(2)(a) in (b), člen 6</w:t>
      </w:r>
    </w:p>
    <w:p w14:paraId="105AD22E" w14:textId="77777777" w:rsidR="00EB2379" w:rsidRDefault="00EB2379" w:rsidP="00EB2379">
      <w:pPr>
        <w:spacing w:before="5pt"/>
        <w:rPr>
          <w:color w:val="00000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EB2379" w14:paraId="54F2BE27" w14:textId="77777777" w:rsidTr="00FA408F">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3DDCF2" w14:textId="77777777" w:rsidR="00EB2379" w:rsidRDefault="00EB2379" w:rsidP="00FA408F">
            <w:pPr>
              <w:spacing w:before="5pt"/>
              <w:rPr>
                <w:color w:val="000000"/>
                <w:sz w:val="0"/>
              </w:rPr>
            </w:pPr>
          </w:p>
          <w:p w14:paraId="6B51E629" w14:textId="77777777" w:rsidR="00EB2379" w:rsidRDefault="00EB2379" w:rsidP="00FA408F">
            <w:pPr>
              <w:spacing w:before="5pt"/>
              <w:rPr>
                <w:color w:val="000000"/>
              </w:rPr>
            </w:pPr>
            <w:r>
              <w:rPr>
                <w:color w:val="000000"/>
              </w:rPr>
              <w:t>Mejnike prehoda na podnebno nevtralno gospodarstvo postavljata NEPN in NSPP (za vse kratice glej Priloga 7: Seznam kratic).</w:t>
            </w:r>
          </w:p>
          <w:p w14:paraId="3FF7A037" w14:textId="77777777" w:rsidR="00EB2379" w:rsidRDefault="00EB2379" w:rsidP="00FA408F">
            <w:pPr>
              <w:spacing w:before="5pt"/>
              <w:rPr>
                <w:color w:val="000000"/>
              </w:rPr>
            </w:pPr>
          </w:p>
          <w:p w14:paraId="19CA386C" w14:textId="77777777" w:rsidR="00EB2379" w:rsidRDefault="00EB2379" w:rsidP="00FA408F">
            <w:pPr>
              <w:spacing w:before="5pt"/>
              <w:rPr>
                <w:color w:val="000000"/>
              </w:rPr>
            </w:pPr>
            <w:r>
              <w:rPr>
                <w:color w:val="000000"/>
              </w:rPr>
              <w:t>NEPN določa,</w:t>
            </w:r>
          </w:p>
          <w:p w14:paraId="7DE343EC" w14:textId="77777777" w:rsidR="00EB2379" w:rsidRDefault="00EB2379" w:rsidP="00FA408F">
            <w:pPr>
              <w:spacing w:before="5pt"/>
              <w:rPr>
                <w:color w:val="000000"/>
              </w:rPr>
            </w:pPr>
            <w:r>
              <w:rPr>
                <w:color w:val="000000"/>
              </w:rPr>
              <w:t>·da se zmanjša raba fosilnih virov energije in odvisnost od njihovega uvoza s postopnim opuščanjem rabe premoga: vsaj za 30 % do leta 2030 (NEPN, str. 21 in 31);</w:t>
            </w:r>
          </w:p>
          <w:p w14:paraId="12B1B9E3" w14:textId="77777777" w:rsidR="00EB2379" w:rsidRDefault="00EB2379" w:rsidP="00FA408F">
            <w:pPr>
              <w:spacing w:before="5pt"/>
              <w:rPr>
                <w:color w:val="000000"/>
              </w:rPr>
            </w:pPr>
            <w:r>
              <w:rPr>
                <w:color w:val="000000"/>
              </w:rPr>
              <w:t>·do bo do leta 2030 z zaustavitvijo bloka 5 v TEŠ zmanjšan izkop lignita in opuščena raba uvoženega premoga za proizvodnjo električne energije v Energetiki Ljubljana, enota Termoelektrarna toplarna Ljubljana (NEPN, str. 57);</w:t>
            </w:r>
          </w:p>
          <w:p w14:paraId="4734E466" w14:textId="77777777" w:rsidR="00EB2379" w:rsidRDefault="00EB2379" w:rsidP="00FA408F">
            <w:pPr>
              <w:spacing w:before="5pt"/>
              <w:rPr>
                <w:color w:val="000000"/>
              </w:rPr>
            </w:pPr>
            <w:r>
              <w:rPr>
                <w:color w:val="000000"/>
              </w:rPr>
              <w:t>·da bo natančni časovni načrt opuščanja rabe premoga v Sloveniji določen s strategijo za opuščanje rabe premoga in prestrukturiranje premogovnih regij v skladu z načelom pravičnega prehod (NEPN, str. 31 in 34),</w:t>
            </w:r>
          </w:p>
          <w:p w14:paraId="532AF9F7" w14:textId="77777777" w:rsidR="00EB2379" w:rsidRDefault="00EB2379" w:rsidP="00FA408F">
            <w:pPr>
              <w:spacing w:before="5pt"/>
              <w:rPr>
                <w:color w:val="000000"/>
              </w:rPr>
            </w:pPr>
            <w:r>
              <w:rPr>
                <w:color w:val="000000"/>
              </w:rPr>
              <w:t>·da v deležu primarnih virov za proizvodnjo električne energije zmanjšani rabi fosilnih goriv (35 % v letu 2017 na 25 % v letu 2030), ob upoštevanju izboljšane energetske učinkovitosti (35 % do 2030), sledi večja raba OVE (13 % v 2017 na 23 % v 2030), ohranja pa se delež jedrske energije;</w:t>
            </w:r>
          </w:p>
          <w:p w14:paraId="32C45B90" w14:textId="77777777" w:rsidR="00EB2379" w:rsidRPr="00EB2379" w:rsidRDefault="00EB2379" w:rsidP="00FA408F">
            <w:pPr>
              <w:spacing w:before="5pt"/>
              <w:rPr>
                <w:color w:val="000000"/>
                <w:lang w:val="it-IT"/>
              </w:rPr>
            </w:pPr>
            <w:r w:rsidRPr="00EB2379">
              <w:rPr>
                <w:color w:val="000000"/>
                <w:lang w:val="it-IT"/>
              </w:rPr>
              <w:t>·da se bo do 2030 proizvodnja električne energije z uporabo domačega premoga – lignita še ohranila.</w:t>
            </w:r>
          </w:p>
          <w:p w14:paraId="31F96D31" w14:textId="77777777" w:rsidR="00EB2379" w:rsidRPr="00EB2379" w:rsidRDefault="00EB2379" w:rsidP="00FA408F">
            <w:pPr>
              <w:spacing w:before="5pt"/>
              <w:rPr>
                <w:color w:val="000000"/>
                <w:lang w:val="it-IT"/>
              </w:rPr>
            </w:pPr>
          </w:p>
          <w:p w14:paraId="48DECE63" w14:textId="77777777" w:rsidR="00EB2379" w:rsidRPr="00EB2379" w:rsidRDefault="00EB2379" w:rsidP="00FA408F">
            <w:pPr>
              <w:spacing w:before="5pt"/>
              <w:rPr>
                <w:color w:val="000000"/>
                <w:lang w:val="it-IT"/>
              </w:rPr>
            </w:pPr>
            <w:r w:rsidRPr="00EB2379">
              <w:rPr>
                <w:color w:val="000000"/>
                <w:lang w:val="it-IT"/>
              </w:rPr>
              <w:t>NSPP, ki je bila pripravljena na podlagi NEPN, je bila sprejeta januarja 2022 in določa letnico izstopa iz rabe premoga (najkasneje 2033) in ob tem opredeljuje skupno vizijo pravičnega prehoda. Pri pripravi strategije smo že sledili predlogu Evropske komisije (COM/2020/562 z dne 17.9.2020) in odločitvi Evropskega sveta z dne 11. 12.2020, da EU do leta 2030 doseže najmanj 55% znižanje emisij TGP v primerjavi z 1990. Strategija je tako med tremi opredeljenimi scenariji sprejela najbolj ambicioznega in predvidela izstop iz premoga, torej prenehanje obratovanja šestega bloka TEŠ in pridobivanja lignita v regiji SAŠA, najpozneje v letu 2033. NSPP in NEPN tudi določata, da bo ta cilj opuščanja rabe premoga v Sloveniji ustrezno upoštevan v posodobitvi NEPN leta 2024.</w:t>
            </w:r>
          </w:p>
          <w:p w14:paraId="26A080C9" w14:textId="77777777" w:rsidR="00EB2379" w:rsidRPr="00EB2379" w:rsidRDefault="00EB2379" w:rsidP="00FA408F">
            <w:pPr>
              <w:spacing w:before="5pt"/>
              <w:rPr>
                <w:color w:val="000000"/>
                <w:lang w:val="it-IT"/>
              </w:rPr>
            </w:pPr>
          </w:p>
          <w:p w14:paraId="76796A2B" w14:textId="77777777" w:rsidR="00EB2379" w:rsidRPr="00EB2379" w:rsidRDefault="00EB2379" w:rsidP="00FA408F">
            <w:pPr>
              <w:spacing w:before="5pt"/>
              <w:rPr>
                <w:color w:val="000000"/>
                <w:lang w:val="it-IT"/>
              </w:rPr>
            </w:pPr>
            <w:r w:rsidRPr="00EB2379">
              <w:rPr>
                <w:color w:val="000000"/>
                <w:lang w:val="it-IT"/>
              </w:rPr>
              <w:t>Odločitev glede prenehanja rabe premoga tako pomeni, da bo najkasneje do leta 2033 uporaba premoga v Sloveniji popolnoma opuščena, kar velja tako za izkopavanje kot za njegovo uporabo. Dinamika opuščanja rabe premoga bo natančneje določa v programih opuščanja in zapiranja, ki bodo usklajeni z deležniki.</w:t>
            </w:r>
          </w:p>
          <w:p w14:paraId="2AEAFAF1" w14:textId="77777777" w:rsidR="00EB2379" w:rsidRPr="00EB2379" w:rsidRDefault="00EB2379" w:rsidP="00FA408F">
            <w:pPr>
              <w:spacing w:before="5pt"/>
              <w:rPr>
                <w:color w:val="000000"/>
                <w:lang w:val="it-IT"/>
              </w:rPr>
            </w:pPr>
          </w:p>
          <w:p w14:paraId="13A9CB31" w14:textId="77777777" w:rsidR="00EB2379" w:rsidRPr="00EB2379" w:rsidRDefault="00EB2379" w:rsidP="00FA408F">
            <w:pPr>
              <w:spacing w:before="5pt"/>
              <w:rPr>
                <w:color w:val="000000"/>
                <w:lang w:val="it-IT"/>
              </w:rPr>
            </w:pPr>
            <w:r w:rsidRPr="00EB2379">
              <w:rPr>
                <w:color w:val="000000"/>
                <w:lang w:val="it-IT"/>
              </w:rPr>
              <w:t>Proces izstopa iz premoga se bo do leta 2033 izvrševal na dva načina, s postopnim zapiranjem proizvodnih kapacitet, ki koristijo premog in nameščanjem proizvodnih kapacitet iz OVE.</w:t>
            </w:r>
          </w:p>
          <w:p w14:paraId="73E4CFE5" w14:textId="77777777" w:rsidR="00EB2379" w:rsidRPr="00EB2379" w:rsidRDefault="00EB2379" w:rsidP="00FA408F">
            <w:pPr>
              <w:spacing w:before="5pt"/>
              <w:rPr>
                <w:color w:val="000000"/>
                <w:lang w:val="it-IT"/>
              </w:rPr>
            </w:pPr>
          </w:p>
          <w:p w14:paraId="2C086DC4" w14:textId="77777777" w:rsidR="00EB2379" w:rsidRPr="00EB2379" w:rsidRDefault="00EB2379" w:rsidP="00FA408F">
            <w:pPr>
              <w:spacing w:before="5pt"/>
              <w:rPr>
                <w:color w:val="000000"/>
                <w:lang w:val="it-IT"/>
              </w:rPr>
            </w:pPr>
            <w:r w:rsidRPr="00EB2379">
              <w:rPr>
                <w:color w:val="000000"/>
                <w:lang w:val="it-IT"/>
              </w:rPr>
              <w:t xml:space="preserve">Leta 2019 je lastnik Termoelektrarne-toplarne Ljubljana, javno podjetje Energetika Ljubljana, sklenil dogovor o nakupu dveh plinsko-parnih turbin električne moči 2x54 MW, v okviru projekta izgradnje plinsko-parne elektrarne. Slednja je trenutno v izgradnji in bo predvidoma končana v letu 2022. Dve plinsko-parni enoti bosta nadomestili dve od treh premogovnih enot in tako zmanjšali porabo premoga za 70%. Tretji premogovni blok bo ostal, ker je bil v letu 2008 predelan na sokurjenje premoga in lesnih sekancev. Slednji bodo predvidoma nadomestili premog po njegovi ukinitvi. V TEŠ je predvidena zaustavitev 345 MW bloka 5 do konca leta 2030 in 600 MW bloka 6 do konca leta 2033. Bloka 5 in 6 sta </w:t>
            </w:r>
            <w:r w:rsidRPr="00EB2379">
              <w:rPr>
                <w:color w:val="000000"/>
                <w:lang w:val="it-IT"/>
              </w:rPr>
              <w:lastRenderedPageBreak/>
              <w:t>objekta nacionalnega pomena in nadomeščanje njunih kapacitet bo izvedeno na nacionalnem nivoju, regija SAŠA pa bo v okviru pravičnega prehoda prispevala pomemben delež.</w:t>
            </w:r>
          </w:p>
          <w:p w14:paraId="5A67CF7E" w14:textId="77777777" w:rsidR="00EB2379" w:rsidRPr="00EB2379" w:rsidRDefault="00EB2379" w:rsidP="00FA408F">
            <w:pPr>
              <w:spacing w:before="5pt"/>
              <w:rPr>
                <w:color w:val="000000"/>
                <w:lang w:val="it-IT"/>
              </w:rPr>
            </w:pPr>
          </w:p>
          <w:p w14:paraId="5B900610" w14:textId="77777777" w:rsidR="00EB2379" w:rsidRPr="00EB2379" w:rsidRDefault="00EB2379" w:rsidP="00FA408F">
            <w:pPr>
              <w:spacing w:before="5pt"/>
              <w:rPr>
                <w:color w:val="000000"/>
                <w:lang w:val="it-IT"/>
              </w:rPr>
            </w:pPr>
            <w:r w:rsidRPr="00EB2379">
              <w:rPr>
                <w:color w:val="000000"/>
                <w:lang w:val="it-IT"/>
              </w:rPr>
              <w:t>Sorazmerno z zapiranjem proizvodnih kapacitet, ki temeljijo na premogu, se bo zmanjševal tudi izkop premoga v PV, ki bo po letu 2033 popolnoma ustavljen. Od kar je proizvodnja premoga v PV odvisna predvsem od blokov 5 in 6 TEŠ, se le ta giblje okrog 3,5 mio ton letno (vir: PV). Z zaprtjem bloka 5 leta 2030 bo proizvodnja padla za približno tretjino in po letu 2033 popolnoma prenehala, ko bo predvidoma zaustavljen tudi blok 6. Na regionalnem nivoju SAŠA bo s preobrazbo daljinskega ogrevanja poraba premoga ukinjena, ko bo predvidoma po 2028 izvedena druga faza preobrazbe s prehodom na 100% OVE.</w:t>
            </w:r>
          </w:p>
          <w:p w14:paraId="3F45863A" w14:textId="77777777" w:rsidR="00EB2379" w:rsidRPr="00EB2379" w:rsidRDefault="00EB2379" w:rsidP="00FA408F">
            <w:pPr>
              <w:spacing w:before="5pt"/>
              <w:rPr>
                <w:color w:val="000000"/>
                <w:lang w:val="it-IT"/>
              </w:rPr>
            </w:pPr>
          </w:p>
          <w:p w14:paraId="693B46EB" w14:textId="77777777" w:rsidR="00EB2379" w:rsidRPr="00EB2379" w:rsidRDefault="00EB2379" w:rsidP="00FA408F">
            <w:pPr>
              <w:spacing w:before="5pt"/>
              <w:rPr>
                <w:color w:val="000000"/>
                <w:lang w:val="it-IT"/>
              </w:rPr>
            </w:pPr>
            <w:r w:rsidRPr="00EB2379">
              <w:rPr>
                <w:color w:val="000000"/>
                <w:lang w:val="it-IT"/>
              </w:rPr>
              <w:t>Izpad proizvodnje zaradi prenehanja uporabe premoga bo nadomeščen z generacijo iz OVE, predvsem sončne energije, kjer ima Slovenija največji potencial. Konec leta 2021 je bilo v Sloveniji nameščenih 18.322 sončnih elektrarn v skupni moči 466,2 MW. V omenjenem letu je bilo nameščenih 6.307 elektrarn v skupni moči 95 MW. Velika večina novo postavljenih elektrarn je samooskrbnih. Podatki o instalirani moči novih sončnih elektrarn temeljijo na bazi Registra deklaracij za proizvodne naprave električne energije iz OVE (AGEN) in seznama elektrarn v samooskrbi (SODO).</w:t>
            </w:r>
          </w:p>
          <w:p w14:paraId="221C9C22" w14:textId="77777777" w:rsidR="00EB2379" w:rsidRPr="00EB2379" w:rsidRDefault="00EB2379" w:rsidP="00FA408F">
            <w:pPr>
              <w:spacing w:before="5pt"/>
              <w:rPr>
                <w:color w:val="000000"/>
                <w:lang w:val="it-IT"/>
              </w:rPr>
            </w:pPr>
          </w:p>
          <w:p w14:paraId="3E9E9A5F" w14:textId="77777777" w:rsidR="00EB2379" w:rsidRPr="00EB2379" w:rsidRDefault="00EB2379" w:rsidP="00FA408F">
            <w:pPr>
              <w:spacing w:before="5pt"/>
              <w:rPr>
                <w:color w:val="000000"/>
                <w:lang w:val="it-IT"/>
              </w:rPr>
            </w:pPr>
            <w:r w:rsidRPr="00EB2379">
              <w:rPr>
                <w:color w:val="000000"/>
                <w:lang w:val="it-IT"/>
              </w:rPr>
              <w:t>Predvideno letno zmanjšanje TGP kot posledica zaprtja obeh blokov znaša približno 740 – 800 kt ekvivalenta CO2 za blok 5 in 2.300 – 2.700 kt za blok 6.</w:t>
            </w:r>
          </w:p>
          <w:p w14:paraId="6594F611" w14:textId="77777777" w:rsidR="00EB2379" w:rsidRPr="00EB2379" w:rsidRDefault="00EB2379" w:rsidP="00FA408F">
            <w:pPr>
              <w:spacing w:before="5pt"/>
              <w:rPr>
                <w:color w:val="000000"/>
                <w:lang w:val="it-IT"/>
              </w:rPr>
            </w:pPr>
          </w:p>
          <w:p w14:paraId="1EB0D5ED" w14:textId="77777777" w:rsidR="00EB2379" w:rsidRPr="00EB2379" w:rsidRDefault="00EB2379" w:rsidP="00FA408F">
            <w:pPr>
              <w:spacing w:before="5pt"/>
              <w:rPr>
                <w:color w:val="000000"/>
                <w:lang w:val="it-IT"/>
              </w:rPr>
            </w:pPr>
            <w:r w:rsidRPr="00EB2379">
              <w:rPr>
                <w:color w:val="000000"/>
                <w:lang w:val="it-IT"/>
              </w:rPr>
              <w:t>Načrtovana je tudi gradnja HE Mokrice kot zadnje izmed petih hidroelektrarn na Spodnji Savi moči 28 MW. Gradnja se še ni začela. Najverjetneje ne bo dokončana v tem desetletju, ker poteka na sodišču že tretji upravni spor, ki ga je sprožilo društvo za preučevanje rib Slovenije.</w:t>
            </w:r>
          </w:p>
          <w:p w14:paraId="010BA038" w14:textId="77777777" w:rsidR="00EB2379" w:rsidRPr="00EB2379" w:rsidRDefault="00EB2379" w:rsidP="00FA408F">
            <w:pPr>
              <w:spacing w:before="5pt"/>
              <w:rPr>
                <w:color w:val="000000"/>
                <w:lang w:val="it-IT"/>
              </w:rPr>
            </w:pPr>
          </w:p>
          <w:p w14:paraId="360E43E2" w14:textId="77777777" w:rsidR="00EB2379" w:rsidRPr="00EB2379" w:rsidRDefault="00EB2379" w:rsidP="00FA408F">
            <w:pPr>
              <w:spacing w:before="5pt"/>
              <w:rPr>
                <w:color w:val="000000"/>
                <w:lang w:val="it-IT"/>
              </w:rPr>
            </w:pPr>
            <w:r w:rsidRPr="00EB2379">
              <w:rPr>
                <w:color w:val="000000"/>
                <w:lang w:val="it-IT"/>
              </w:rPr>
              <w:t>V regiji SAŠA se v okviru pravičnega prehoda načrtuje na lokaciji TEŠ postavitev kogeneracije na biomaso moči 20-30 MW za zagotavljanje kapacitet daljinskega ogrevanja, velikih toplotnih črpalk za izkoriščanje toplote jezera moči 2x20MW ter plavajoče sončne elektrarne na Šoštanjskem jezeru moči 100 MW.</w:t>
            </w:r>
          </w:p>
          <w:p w14:paraId="5C4F1024" w14:textId="77777777" w:rsidR="00EB2379" w:rsidRPr="00EB2379" w:rsidRDefault="00EB2379" w:rsidP="00FA408F">
            <w:pPr>
              <w:spacing w:before="5pt"/>
              <w:rPr>
                <w:color w:val="000000"/>
                <w:lang w:val="it-IT"/>
              </w:rPr>
            </w:pPr>
          </w:p>
          <w:p w14:paraId="602B0E9E" w14:textId="77777777" w:rsidR="00EB2379" w:rsidRPr="00EB2379" w:rsidRDefault="00EB2379" w:rsidP="00FA408F">
            <w:pPr>
              <w:spacing w:before="5pt"/>
              <w:rPr>
                <w:color w:val="000000"/>
                <w:lang w:val="it-IT"/>
              </w:rPr>
            </w:pPr>
            <w:r w:rsidRPr="00EB2379">
              <w:rPr>
                <w:color w:val="000000"/>
                <w:lang w:val="it-IT"/>
              </w:rPr>
              <w:t>Načrtovano torej je, da se v Sloveniji z usklajenim spodbujanjem iz različnih razvojnih virov naslovi najprej energetsko učinkovitost, ki bo rezultirala v zmanjšanju porabe energije v vseh sektorjih, ter se vzporedno pospešeno spodbudi prehod na obnovljive vire energije. Pomeni, da bodo pospešena vlaganja v sončno energijo, predvsem za proizvodnjo električne energije, deloma pa tudi toplote, v preobrazbo obstoječih sistemov daljinskih ogrevanj na OVE, izkoriščanje geotermalnega potenciala ipd., z namenom nadomeščanja obstoječih fosilnih virov energije (vsaj 100 MW instalirane dodatne nazivne moči OVE v vsakem letu). Seveda ob hkratnem zagotavljanju varnosti pri energetski oskrbi ter povečevanju odpornosti (preprečevanje nesorazmerne energetske odvisnosti).</w:t>
            </w:r>
          </w:p>
          <w:p w14:paraId="6EDC9F8F" w14:textId="77777777" w:rsidR="00EB2379" w:rsidRPr="00EB2379" w:rsidRDefault="00EB2379" w:rsidP="00FA408F">
            <w:pPr>
              <w:spacing w:before="5pt"/>
              <w:rPr>
                <w:color w:val="000000"/>
                <w:lang w:val="it-IT"/>
              </w:rPr>
            </w:pPr>
          </w:p>
          <w:p w14:paraId="20E21AD3" w14:textId="77777777" w:rsidR="00EB2379" w:rsidRPr="00EB2379" w:rsidRDefault="00EB2379" w:rsidP="00FA408F">
            <w:pPr>
              <w:spacing w:before="5pt"/>
              <w:rPr>
                <w:color w:val="000000"/>
                <w:lang w:val="it-IT"/>
              </w:rPr>
            </w:pPr>
            <w:r w:rsidRPr="00EB2379">
              <w:rPr>
                <w:color w:val="000000"/>
                <w:lang w:val="it-IT"/>
              </w:rPr>
              <w:t xml:space="preserve">Delovna skupina za zapiranje Premogovnika Velenje je bila vzpostavljena 19.8.2022 s Sklepom o imenovanju delovne skupine za pripravo predloga novega Zakona o postopnem zapiranju Premogovnika Velenje. Ne glede na časovnico zmanjšanja izkopa in zaprtja Premogovnika Velenje bodo v tem desetletju izvajane aktivnosti za energetski prehod, pri čemer bo ključna preobrazba sistema daljinskega ogrevanja Šaleške doline, ki bopodrobno predstavljena v »Akcijskem načrtu preobrazbe sistema daljinskega ogrevanja Šaleške doline 2022-2030« daljinskega. K energetskemu prehodu bo prispevalo tudi prestrukturiranje objektov na lokaciji Blokov 1-4 TEŠ (toplotni črpalki 2x20 MW, kogeneracija na lesno biomaso in vodikove tehnologije - predvidoma 2023-2027), polnilnica za alternativna goriva (predvidoma 2022-2024) in postavitev plavajoče fotovoltaične elektrarne na Družmirskem in </w:t>
            </w:r>
            <w:r w:rsidRPr="00EB2379">
              <w:rPr>
                <w:color w:val="000000"/>
                <w:lang w:val="it-IT"/>
              </w:rPr>
              <w:lastRenderedPageBreak/>
              <w:t>Šoštanjskem jezeru (predvidoma 2023-2025). Predvideva se namestitev dodatnih kapacitet OVE, kot je opredeljeno s kazalniki v okviru Programa EKP 21-27.</w:t>
            </w:r>
          </w:p>
          <w:p w14:paraId="1D2BDD75" w14:textId="77777777" w:rsidR="00EB2379" w:rsidRPr="00EB2379" w:rsidRDefault="00EB2379" w:rsidP="00FA408F">
            <w:pPr>
              <w:spacing w:before="5pt"/>
              <w:rPr>
                <w:color w:val="000000"/>
                <w:lang w:val="it-IT"/>
              </w:rPr>
            </w:pPr>
          </w:p>
          <w:p w14:paraId="36DB8BF3" w14:textId="77777777" w:rsidR="00EB2379" w:rsidRPr="00EB2379" w:rsidRDefault="00EB2379" w:rsidP="00FA408F">
            <w:pPr>
              <w:spacing w:before="5pt"/>
              <w:rPr>
                <w:color w:val="000000"/>
                <w:lang w:val="it-IT"/>
              </w:rPr>
            </w:pPr>
            <w:r w:rsidRPr="00EB2379">
              <w:rPr>
                <w:color w:val="000000"/>
                <w:lang w:val="it-IT"/>
              </w:rPr>
              <w:t>Zmanjšanje emisij toplogrednih plinov kot posledica zaprtja Bloka 5 bo natančno ovrednoteno v prihajajočem programu zaprtja TEŠ, skladno s cilji NEPN in NSPP ter zasledujoč cilje zelenega dogovora na ravni EU za zmanjšanje emisij za 55% do leta 2030 glede na leto 1990. Projekcija zmanjšanja emisij CO2 zaradi zaprtja bloka 5 je sicer bila pripravljena v okviru energetskih bilanc, ki so bile pripravljene kot strokovna podlaga za NEPN. Prav tako je na podlagi energetskih bilanc za NEPN, ki sicer še niso upoštevale izstopa iz premoga najkasneje v letu 2033, mogoče oceniti projekcijo predvidenega zmanjšanja emisij zaradi zaprtja Bloka 6. Obe projekciji sta podani v tabeli na naslednji strani.</w:t>
            </w:r>
          </w:p>
          <w:p w14:paraId="1F94B6D5" w14:textId="77777777" w:rsidR="00EB2379" w:rsidRPr="00EB2379" w:rsidRDefault="00EB2379" w:rsidP="00FA408F">
            <w:pPr>
              <w:spacing w:before="5pt"/>
              <w:rPr>
                <w:color w:val="000000"/>
                <w:lang w:val="it-IT"/>
              </w:rPr>
            </w:pPr>
          </w:p>
          <w:p w14:paraId="2736BCC8" w14:textId="77777777" w:rsidR="00EB2379" w:rsidRPr="00EB2379" w:rsidRDefault="00EB2379" w:rsidP="00FA408F">
            <w:pPr>
              <w:spacing w:before="5pt"/>
              <w:rPr>
                <w:color w:val="000000"/>
                <w:lang w:val="it-IT"/>
              </w:rPr>
            </w:pPr>
            <w:r w:rsidRPr="00EB2379">
              <w:rPr>
                <w:color w:val="000000"/>
                <w:lang w:val="it-IT"/>
              </w:rPr>
              <w:t>V okviru Poročila o semestru 2020 je EK opredelila približno 100 regij ali območij, ki so upravičena do "pravičnega prehoda". Razlog predstavlja odvisnost območja in pričakovano prilagajanje delavcev ali izgube delovnih mest v proizvodnji in uporabi fosilnih goriv ali proizvodnji z največjo intenzivnostjo toplogrednih plinov. Med temi regijami sta bili opredeljeni dve slovenski premogovni regiji, Zasavska in SAŠA.</w:t>
            </w:r>
          </w:p>
          <w:p w14:paraId="79F50F5B" w14:textId="77777777" w:rsidR="00EB2379" w:rsidRPr="00EB2379" w:rsidRDefault="00EB2379" w:rsidP="00FA408F">
            <w:pPr>
              <w:spacing w:before="5pt"/>
              <w:rPr>
                <w:color w:val="000000"/>
                <w:lang w:val="it-IT"/>
              </w:rPr>
            </w:pPr>
          </w:p>
          <w:p w14:paraId="495B19EF" w14:textId="77777777" w:rsidR="00EB2379" w:rsidRPr="00EB2379" w:rsidRDefault="00EB2379" w:rsidP="00FA408F">
            <w:pPr>
              <w:spacing w:before="5pt"/>
              <w:rPr>
                <w:color w:val="000000"/>
                <w:lang w:val="it-IT"/>
              </w:rPr>
            </w:pPr>
            <w:r w:rsidRPr="00EB2379">
              <w:rPr>
                <w:color w:val="000000"/>
                <w:lang w:val="it-IT"/>
              </w:rPr>
              <w:t>Nacionalna strategija za izstop iz premoga in prestrukturiranje premogovnih regij, ki je bila sprejeta 13.1.2022, prepoznava Zasavje in SAŠA regijo kot dve premogovni regiji, ki ju je treba prestrukturirati v skladu z načeli pravičnega prehoda.</w:t>
            </w:r>
          </w:p>
          <w:p w14:paraId="46FEB3AD" w14:textId="77777777" w:rsidR="00EB2379" w:rsidRPr="00EB2379" w:rsidRDefault="00EB2379" w:rsidP="00FA408F">
            <w:pPr>
              <w:spacing w:before="5pt"/>
              <w:rPr>
                <w:color w:val="000000"/>
                <w:lang w:val="it-IT"/>
              </w:rPr>
            </w:pPr>
            <w:r w:rsidRPr="00EB2379">
              <w:rPr>
                <w:b/>
                <w:bCs/>
                <w:color w:val="000000"/>
                <w:lang w:val="it-IT"/>
              </w:rPr>
              <w:t>Opis stanja v SAŠA premogovni regiji</w:t>
            </w:r>
          </w:p>
          <w:p w14:paraId="343FC31F" w14:textId="77777777" w:rsidR="00EB2379" w:rsidRPr="00EB2379" w:rsidRDefault="00EB2379" w:rsidP="00FA408F">
            <w:pPr>
              <w:spacing w:before="5pt"/>
              <w:rPr>
                <w:color w:val="000000"/>
                <w:lang w:val="it-IT"/>
              </w:rPr>
            </w:pPr>
            <w:r w:rsidRPr="00EB2379">
              <w:rPr>
                <w:color w:val="000000"/>
                <w:lang w:val="it-IT"/>
              </w:rPr>
              <w:t>V SAŠA premogovni regiji PV in TEŠ še obratujeta. Njuna vloga je pomembna tako z vidika zagotavljanja delovnih mest kot zanesljive oskrbe z električno energijo. NSPP ugotavlja, da ima proizvodnja energije v TEŠ pomembno vlogo v nacionalni mešanici energetskih virov, saj v povprečju proizvede okrog 35 % električne energije v državi, v sušnih obdobjih pa preko polovico porabe. Proizvodnja rudnika, ki je odvisna predvsem od porabe termoelektrarne se giblje okrog 3,5 milijona ton lignita letno.</w:t>
            </w:r>
          </w:p>
          <w:p w14:paraId="0D2D5CD9" w14:textId="77777777" w:rsidR="00EB2379" w:rsidRPr="00EB2379" w:rsidRDefault="00EB2379" w:rsidP="00FA408F">
            <w:pPr>
              <w:spacing w:before="5pt"/>
              <w:rPr>
                <w:color w:val="000000"/>
                <w:lang w:val="it-IT"/>
              </w:rPr>
            </w:pPr>
          </w:p>
          <w:p w14:paraId="204FA97B" w14:textId="77777777" w:rsidR="00EB2379" w:rsidRPr="00EB2379" w:rsidRDefault="00EB2379" w:rsidP="00FA408F">
            <w:pPr>
              <w:spacing w:before="5pt"/>
              <w:rPr>
                <w:color w:val="000000"/>
                <w:lang w:val="it-IT"/>
              </w:rPr>
            </w:pPr>
            <w:r w:rsidRPr="00EB2379">
              <w:rPr>
                <w:color w:val="000000"/>
                <w:lang w:val="it-IT"/>
              </w:rPr>
              <w:t>Pri analiziranju neposrednega vpliva na zaposlitveno strukturo je bil predmet primerjave število zaposlenih v premogovniški industriji kot absolutno število na občino in kot relativno število (odstotek aktivne delovne sile na občino). Skupino Premogovnik Velenje, sestavljajo štiri povezana podjetja, ki so sredi leta zaposlovala 1.895 oseb, večina od njih je imela registrirano stalno prebivališče v občinah (Velenje, Šoštanj, Mislinja, Šmartno ob Paki).[1] Od tega je bilo 1.691 zaposlenih samo iz občinah Velenje in Šoštanj. Glede na odstotek delovno aktivnih prebivalcev, zaposlenih v premogovništvu, izstopajo 3 občine (Velenje, Šoštanj in Šmartno ob Paki), kjer ta sektor neposredno zaposluje med 7 % in 12,5 % delovno aktivnega prebivalstva. Leta 2018 so prebivalci teh treh občin predstavljali kar 78 % vseh neposredno zaposlenih v lokalni premogovniški in energetski industriji.</w:t>
            </w:r>
          </w:p>
          <w:p w14:paraId="2B259373" w14:textId="77777777" w:rsidR="00EB2379" w:rsidRPr="00EB2379" w:rsidRDefault="00EB2379" w:rsidP="00FA408F">
            <w:pPr>
              <w:spacing w:before="5pt"/>
              <w:rPr>
                <w:color w:val="000000"/>
                <w:lang w:val="it-IT"/>
              </w:rPr>
            </w:pPr>
          </w:p>
          <w:p w14:paraId="5B966C5B" w14:textId="77777777" w:rsidR="00EB2379" w:rsidRPr="00EB2379" w:rsidRDefault="00EB2379" w:rsidP="00FA408F">
            <w:pPr>
              <w:spacing w:before="5pt"/>
              <w:rPr>
                <w:color w:val="000000"/>
                <w:lang w:val="it-IT"/>
              </w:rPr>
            </w:pPr>
            <w:r w:rsidRPr="00EB2379">
              <w:rPr>
                <w:color w:val="000000"/>
                <w:lang w:val="it-IT"/>
              </w:rPr>
              <w:t>Drug pomemben vidik vpliva premogovniške industrije na regijo in občine je gospodarski. Analiza kumulativnega obsega transakcij med subjekti premogovništva (PV in TEŠ) in podjetji iz lokalnega poslovnega okolja, pokaže da je po absolutni kumulativna vrednost transakcij med subjekti premogovniške industrije in lokalnimi podjetji (na občino in 3 letno povprečje; 2017-2019) izstopata občini Velenje in Šoštanj. Relativna odvisnost lokalnega poslovnega okolja pa je velika v občinah Velenje, Šoštanj in Šmartno ob Paki (1,1 do 11,8 % celotnega prihodka vseh gospodarskih družb v občini v letu 2018 predstavlja prihodek od premogovne industrije). Poslovno okolje Mislinje ima le manjše neposredne poslovne vezi s premogovno industrijo.</w:t>
            </w:r>
          </w:p>
          <w:p w14:paraId="34C7C723" w14:textId="77777777" w:rsidR="00EB2379" w:rsidRPr="00EB2379" w:rsidRDefault="00EB2379" w:rsidP="00FA408F">
            <w:pPr>
              <w:spacing w:before="5pt"/>
              <w:rPr>
                <w:color w:val="000000"/>
                <w:lang w:val="it-IT"/>
              </w:rPr>
            </w:pPr>
          </w:p>
          <w:p w14:paraId="6F2F48A7" w14:textId="77777777" w:rsidR="00EB2379" w:rsidRPr="00EB2379" w:rsidRDefault="00EB2379" w:rsidP="00FA408F">
            <w:pPr>
              <w:spacing w:before="5pt"/>
              <w:rPr>
                <w:color w:val="000000"/>
                <w:lang w:val="it-IT"/>
              </w:rPr>
            </w:pPr>
            <w:r w:rsidRPr="00EB2379">
              <w:rPr>
                <w:color w:val="000000"/>
                <w:lang w:val="it-IT"/>
              </w:rPr>
              <w:lastRenderedPageBreak/>
              <w:t xml:space="preserve">Za opredelitev območja vpliva premogovniške industrije je bil v analizi, izvedeni ob pripravi akcijskega načrta[2] upoštevan gospodarski vpliv na strukturo zaposlovanja in na podporo poslovnemu okolju. Območje treh občin </w:t>
            </w:r>
            <w:r w:rsidRPr="00EB2379">
              <w:rPr>
                <w:b/>
                <w:bCs/>
                <w:color w:val="000000"/>
                <w:lang w:val="it-IT"/>
              </w:rPr>
              <w:t xml:space="preserve">Velenje, Šoštanj in Šmartno ob Paki </w:t>
            </w:r>
            <w:r w:rsidRPr="00EB2379">
              <w:rPr>
                <w:color w:val="000000"/>
                <w:lang w:val="it-IT"/>
              </w:rPr>
              <w:t xml:space="preserve">je bilo, je in bo tudi v prihodnje najbolj izpostavljeno spremembam okolja in s tem povezanim tveganjem. V tem območju je leta 2020 živelo 17,4 % oziroma 45.799 prebivalcev celotne Savinjske regije. Glede na zgodovinsko povezanost predstavljajo te tri občine celovito enoto, zato to območje </w:t>
            </w:r>
            <w:r w:rsidRPr="00EB2379">
              <w:rPr>
                <w:b/>
                <w:bCs/>
                <w:color w:val="000000"/>
                <w:lang w:val="it-IT"/>
              </w:rPr>
              <w:t xml:space="preserve">opredeljujemo kot ožje vplivno območje. </w:t>
            </w:r>
            <w:r w:rsidRPr="00EB2379">
              <w:rPr>
                <w:color w:val="000000"/>
                <w:lang w:val="it-IT"/>
              </w:rPr>
              <w:t>Celotna SAŠA premogovna regija pa vključuje</w:t>
            </w:r>
            <w:r w:rsidRPr="00EB2379">
              <w:rPr>
                <w:b/>
                <w:bCs/>
                <w:color w:val="000000"/>
                <w:lang w:val="it-IT"/>
              </w:rPr>
              <w:t xml:space="preserve"> </w:t>
            </w:r>
            <w:r w:rsidRPr="00EB2379">
              <w:rPr>
                <w:color w:val="000000"/>
                <w:lang w:val="it-IT"/>
              </w:rPr>
              <w:t xml:space="preserve">zaokroženo </w:t>
            </w:r>
            <w:r w:rsidRPr="00EB2379">
              <w:rPr>
                <w:b/>
                <w:bCs/>
                <w:color w:val="000000"/>
                <w:lang w:val="it-IT"/>
              </w:rPr>
              <w:t xml:space="preserve">celoto desetih občin </w:t>
            </w:r>
            <w:r w:rsidRPr="00EB2379">
              <w:rPr>
                <w:color w:val="000000"/>
                <w:lang w:val="it-IT"/>
              </w:rPr>
              <w:t xml:space="preserve">(občine Gornji Grad, Ljubno, Luče, Mozirje, Nazarje, Rečica ob Savinji, Solčava, Šmartno ob Paki, Šoštanj in MOV) in je opredeljena kot širše vplivno območje) v katerih je leta 2020 živelo kar 25,5 % oziroma 67.172 prebivalcev celotne Savinjske regije. Na tem </w:t>
            </w:r>
            <w:r w:rsidRPr="00EB2379">
              <w:rPr>
                <w:b/>
                <w:bCs/>
                <w:color w:val="000000"/>
                <w:lang w:val="it-IT"/>
              </w:rPr>
              <w:t>širšem vplivnem območju</w:t>
            </w:r>
            <w:r w:rsidRPr="00EB2379">
              <w:rPr>
                <w:color w:val="000000"/>
                <w:lang w:val="it-IT"/>
              </w:rPr>
              <w:t xml:space="preserve"> so se vzpostavile močne zgodovinske, gospodarske in kulturne vezi, ki se dnevno prepletajo na številnih ravneh javnega in zasebnega življenja.</w:t>
            </w:r>
            <w:r w:rsidRPr="00EB2379">
              <w:rPr>
                <w:b/>
                <w:bCs/>
                <w:color w:val="000000"/>
                <w:lang w:val="it-IT"/>
              </w:rPr>
              <w:t xml:space="preserve"> </w:t>
            </w:r>
            <w:r w:rsidRPr="00EB2379">
              <w:rPr>
                <w:color w:val="000000"/>
                <w:lang w:val="it-IT"/>
              </w:rPr>
              <w:t>Ključni strateški cilji ter nadaljnji ukrepi pravičnega prehoda so usmerjeni v ustvarjanje pozitivnih vplivov na ožje vplivno območje, pri čemer se ti vplivi lahko dosegajo z izvajanjem ukrepov znotraj celotne SAŠA premogovne regije.</w:t>
            </w:r>
          </w:p>
          <w:p w14:paraId="04031EB1" w14:textId="77777777" w:rsidR="00EB2379" w:rsidRPr="00EB2379" w:rsidRDefault="00EB2379" w:rsidP="00FA408F">
            <w:pPr>
              <w:spacing w:before="5pt"/>
              <w:rPr>
                <w:color w:val="000000"/>
                <w:lang w:val="it-IT"/>
              </w:rPr>
            </w:pPr>
          </w:p>
          <w:p w14:paraId="06BD0EB2" w14:textId="77777777" w:rsidR="00EB2379" w:rsidRPr="00EB2379" w:rsidRDefault="00EB2379" w:rsidP="00FA408F">
            <w:pPr>
              <w:spacing w:before="5pt"/>
              <w:rPr>
                <w:color w:val="000000"/>
                <w:lang w:val="it-IT"/>
              </w:rPr>
            </w:pPr>
            <w:r w:rsidRPr="00EB2379">
              <w:rPr>
                <w:color w:val="000000"/>
                <w:lang w:val="it-IT"/>
              </w:rPr>
              <w:t>V Sloveniji je SAŠA na čelu med regijami, ko gre za vprašanje TGP, kljub relativno majhnemu številu prebivalcev. Verificirane emisije TGP so leta 2019 znašale okoli 3,8 mio ton CO2e in so znašale več kot 50 % nacionalne vrednosti verificiranih emisij (6,3 mio t CO2e) in vse so posledica delovanja TEŠ. Nacionalni cilji za dekarbonizacijo zato za regijo predstavljajo nesorazmerno breme.[3]</w:t>
            </w:r>
          </w:p>
          <w:p w14:paraId="1DE98474" w14:textId="77777777" w:rsidR="00EB2379" w:rsidRPr="00EB2379" w:rsidRDefault="00EB2379" w:rsidP="00FA408F">
            <w:pPr>
              <w:spacing w:before="5pt"/>
              <w:rPr>
                <w:color w:val="000000"/>
                <w:lang w:val="it-IT"/>
              </w:rPr>
            </w:pPr>
          </w:p>
          <w:p w14:paraId="228B1C0D" w14:textId="77777777" w:rsidR="00EB2379" w:rsidRPr="00EB2379" w:rsidRDefault="00EB2379" w:rsidP="00FA408F">
            <w:pPr>
              <w:spacing w:before="5pt"/>
              <w:rPr>
                <w:color w:val="000000"/>
                <w:lang w:val="it-IT"/>
              </w:rPr>
            </w:pPr>
            <w:r w:rsidRPr="00EB2379">
              <w:rPr>
                <w:color w:val="000000"/>
                <w:lang w:val="it-IT"/>
              </w:rPr>
              <w:t>Dolga rudarska tradicija je poleg gospodarske odvisnosti pomembno vplivala tudi na lokalno družbo in vedenjske vzorce lokalnega prebivalstva, ki nima izrazite podjetniške miselnosti in ni pripravljeno spreminjati kariernih poti. Premogovništvo je v regiji pustilo tudi negativne okoljske vplive. Med drugim so kot posledica posedanja terena v regiji nastala tri umetna jezera. Nasip med Velenjskim in Družmirskim jezerom, ki je še vedno zelo izpostavljeno ugrezanju, zato je njegova dokončna podoba še v nastajanju. Pregrada, ki meri 80 ha, ima pomembno vlogo pri zagotavljanju poplavne varnosti, ker preprečuje zlitje Družmirskega in razlitje Velenjskega jezera. Območje pregrade ni stabilno, saj se ta nahaja nad odkopno jamo Preloge (ta bo postopno zaprta do leta 2025) je del območja sanacije rudniških ugreznin, kjer je nastalo tudi odlagališče elektrofiltrskega pepela, ki leži nad odkopnim območjem PV. Kljub nenehnemu saniranju in odpravljanju posledic ugrezanja, kar je v preteklosti financiral PV, prihaja do pogrezanja in premikov pregrade, kar predstavlja potencialno poplavno nevarnost.</w:t>
            </w:r>
          </w:p>
          <w:p w14:paraId="4DBFE441" w14:textId="77777777" w:rsidR="00EB2379" w:rsidRPr="00EB2379" w:rsidRDefault="00EB2379" w:rsidP="00FA408F">
            <w:pPr>
              <w:spacing w:before="5pt"/>
              <w:rPr>
                <w:color w:val="000000"/>
                <w:lang w:val="it-IT"/>
              </w:rPr>
            </w:pPr>
          </w:p>
          <w:p w14:paraId="55A48108" w14:textId="77777777" w:rsidR="00EB2379" w:rsidRPr="00EB2379" w:rsidRDefault="00EB2379" w:rsidP="00FA408F">
            <w:pPr>
              <w:spacing w:before="5pt"/>
              <w:rPr>
                <w:color w:val="000000"/>
                <w:lang w:val="it-IT"/>
              </w:rPr>
            </w:pPr>
            <w:r w:rsidRPr="00EB2379">
              <w:rPr>
                <w:color w:val="000000"/>
                <w:lang w:val="it-IT"/>
              </w:rPr>
              <w:t>Vplivi odvisnosti od premoga so v lokalnem okolju torej izraziti, zato bomo k pravičnemu izstopu regije iz premoga, prispevali tudi s sprejemom zakonov o gospodarskem prestrukturiranju regije in zapiranju premogovnika, kot je predvideno v NEPN.</w:t>
            </w:r>
          </w:p>
          <w:p w14:paraId="22F6ED92" w14:textId="77777777" w:rsidR="00EB2379" w:rsidRPr="00EB2379" w:rsidRDefault="00EB2379" w:rsidP="00FA408F">
            <w:pPr>
              <w:spacing w:before="5pt"/>
              <w:rPr>
                <w:color w:val="000000"/>
                <w:lang w:val="it-IT"/>
              </w:rPr>
            </w:pPr>
            <w:r w:rsidRPr="00EB2379">
              <w:rPr>
                <w:color w:val="000000"/>
                <w:lang w:val="it-IT"/>
              </w:rPr>
              <w:t xml:space="preserve">Vsebina poglavja s tabelaričnimi in grafičnimi prikazi je razvidna v Prilogi 3: 1. </w:t>
            </w:r>
            <w:r w:rsidRPr="00EB2379">
              <w:rPr>
                <w:b/>
                <w:bCs/>
                <w:color w:val="000000"/>
                <w:lang w:val="it-IT"/>
              </w:rPr>
              <w:t>Osnutek procesa prehoda in opredelitev najbolj prizadetih območij v državi članici –celotno poglavje, vključno s tabelaričnimi in grafičnimi prikazi</w:t>
            </w:r>
          </w:p>
          <w:p w14:paraId="7604AF76" w14:textId="77777777" w:rsidR="00EB2379" w:rsidRPr="00EB2379" w:rsidRDefault="00EB2379" w:rsidP="00FA408F">
            <w:pPr>
              <w:spacing w:before="5pt"/>
              <w:rPr>
                <w:color w:val="000000"/>
                <w:lang w:val="it-IT"/>
              </w:rPr>
            </w:pPr>
          </w:p>
          <w:p w14:paraId="2CCC2F44" w14:textId="77777777" w:rsidR="00EB2379" w:rsidRDefault="00EB2379" w:rsidP="00FA408F">
            <w:pPr>
              <w:spacing w:before="5pt"/>
              <w:rPr>
                <w:color w:val="000000"/>
              </w:rPr>
            </w:pPr>
            <w:r>
              <w:rPr>
                <w:color w:val="000000"/>
              </w:rPr>
              <w:t>[1] ORP SAŠA 2021-2027</w:t>
            </w:r>
          </w:p>
          <w:p w14:paraId="303DFEAC" w14:textId="77777777" w:rsidR="00EB2379" w:rsidRDefault="00EB2379" w:rsidP="00FA408F">
            <w:pPr>
              <w:spacing w:before="5pt"/>
              <w:rPr>
                <w:color w:val="000000"/>
              </w:rPr>
            </w:pPr>
            <w:r>
              <w:rPr>
                <w:color w:val="000000"/>
              </w:rPr>
              <w:t>[2] Preparation of National Strategy and Action Plans for Transition from Coal of Slovenian Coal Regions: Report on Analysis of Key Opportunities and Challenges, September 2020, Deloitte</w:t>
            </w:r>
          </w:p>
          <w:p w14:paraId="555FE473" w14:textId="77777777" w:rsidR="00EB2379" w:rsidRDefault="00EB2379" w:rsidP="00FA408F">
            <w:pPr>
              <w:spacing w:before="5pt"/>
              <w:rPr>
                <w:color w:val="000000"/>
              </w:rPr>
            </w:pPr>
            <w:r>
              <w:rPr>
                <w:color w:val="000000"/>
              </w:rPr>
              <w:t>[3] Action plan for Savinjsko – Šaleška Coal Region in Transition, Deloitte, May 2021</w:t>
            </w:r>
          </w:p>
          <w:p w14:paraId="5ACBF30E" w14:textId="77777777" w:rsidR="00EB2379" w:rsidRDefault="00EB2379" w:rsidP="00FA408F">
            <w:pPr>
              <w:spacing w:before="5pt"/>
              <w:rPr>
                <w:color w:val="000000"/>
                <w:sz w:val="6"/>
              </w:rPr>
            </w:pPr>
          </w:p>
          <w:p w14:paraId="5D3853C6" w14:textId="77777777" w:rsidR="00EB2379" w:rsidRDefault="00EB2379" w:rsidP="00FA408F">
            <w:pPr>
              <w:spacing w:before="5pt"/>
              <w:rPr>
                <w:color w:val="000000"/>
                <w:sz w:val="6"/>
              </w:rPr>
            </w:pPr>
          </w:p>
        </w:tc>
      </w:tr>
    </w:tbl>
    <w:p w14:paraId="7F75B53B" w14:textId="77777777" w:rsidR="00EB2379" w:rsidRDefault="00EB2379" w:rsidP="00EB2379">
      <w:pPr>
        <w:spacing w:before="5pt"/>
        <w:rPr>
          <w:color w:val="000000"/>
          <w:sz w:val="12"/>
        </w:rPr>
      </w:pPr>
    </w:p>
    <w:p w14:paraId="61B69B2F" w14:textId="77777777" w:rsidR="00EB2379" w:rsidRDefault="00EB2379" w:rsidP="00EB2379">
      <w:pPr>
        <w:pStyle w:val="Naslov1"/>
        <w:spacing w:before="5pt" w:after="0pt"/>
        <w:rPr>
          <w:rFonts w:ascii="Times New Roman" w:hAnsi="Times New Roman" w:cs="Times New Roman"/>
          <w:b w:val="0"/>
          <w:color w:val="000000"/>
          <w:sz w:val="24"/>
        </w:rPr>
      </w:pPr>
      <w:bookmarkStart w:id="736" w:name="_Toc256000015"/>
      <w:r>
        <w:rPr>
          <w:rFonts w:ascii="Times New Roman" w:hAnsi="Times New Roman" w:cs="Times New Roman"/>
          <w:b w:val="0"/>
          <w:color w:val="000000"/>
          <w:sz w:val="24"/>
        </w:rPr>
        <w:t>2. Ocena izzivov, povezanih s prehodom, za vsako opredeljeno območje</w:t>
      </w:r>
      <w:bookmarkEnd w:id="736"/>
    </w:p>
    <w:p w14:paraId="356C3291" w14:textId="77777777" w:rsidR="00EB2379" w:rsidRDefault="00EB2379" w:rsidP="00EB2379">
      <w:pPr>
        <w:spacing w:before="5pt"/>
        <w:rPr>
          <w:color w:val="000000"/>
          <w:sz w:val="0"/>
        </w:rPr>
      </w:pPr>
    </w:p>
    <w:p w14:paraId="12DCAC03" w14:textId="77777777" w:rsidR="00EB2379" w:rsidRDefault="00EB2379" w:rsidP="00EB2379">
      <w:pPr>
        <w:spacing w:before="5pt"/>
        <w:rPr>
          <w:color w:val="000000"/>
          <w:sz w:val="6"/>
        </w:rPr>
      </w:pPr>
      <w:r>
        <w:rPr>
          <w:color w:val="000000"/>
        </w:rPr>
        <w:t>Sklic: člen 11(2)(c)</w:t>
      </w:r>
    </w:p>
    <w:p w14:paraId="36BF9F92" w14:textId="77777777" w:rsidR="00EB2379" w:rsidRDefault="00EB2379" w:rsidP="00EB2379">
      <w:pPr>
        <w:spacing w:before="5pt"/>
        <w:rPr>
          <w:color w:val="000000"/>
          <w:sz w:val="6"/>
        </w:rPr>
      </w:pPr>
    </w:p>
    <w:p w14:paraId="70596B85" w14:textId="77777777" w:rsidR="00EB2379" w:rsidRDefault="00EB2379" w:rsidP="00EB2379">
      <w:pPr>
        <w:pStyle w:val="Naslov2"/>
        <w:spacing w:before="5pt" w:after="0pt"/>
        <w:rPr>
          <w:rFonts w:ascii="Times New Roman" w:hAnsi="Times New Roman" w:cs="Times New Roman"/>
          <w:b w:val="0"/>
          <w:i w:val="0"/>
          <w:color w:val="000000"/>
          <w:sz w:val="24"/>
        </w:rPr>
      </w:pPr>
      <w:bookmarkStart w:id="737" w:name="_Toc256000016"/>
      <w:r>
        <w:rPr>
          <w:rFonts w:ascii="Times New Roman" w:hAnsi="Times New Roman" w:cs="Times New Roman"/>
          <w:b w:val="0"/>
          <w:i w:val="0"/>
          <w:color w:val="000000"/>
          <w:sz w:val="24"/>
        </w:rPr>
        <w:lastRenderedPageBreak/>
        <w:t>Ozemlje: SAVINJSKO ŠALEŠKA PREMOGOVNA REGIJA</w:t>
      </w:r>
      <w:bookmarkEnd w:id="737"/>
    </w:p>
    <w:p w14:paraId="317EB219" w14:textId="77777777" w:rsidR="00EB2379" w:rsidRDefault="00EB2379" w:rsidP="00EB2379">
      <w:pPr>
        <w:spacing w:before="5pt"/>
        <w:rPr>
          <w:color w:val="000000"/>
          <w:sz w:val="0"/>
        </w:rPr>
      </w:pPr>
    </w:p>
    <w:p w14:paraId="64832865" w14:textId="77777777" w:rsidR="00EB2379" w:rsidRDefault="00EB2379" w:rsidP="00EB2379">
      <w:pPr>
        <w:pStyle w:val="Naslov3"/>
        <w:spacing w:before="5pt" w:after="0pt"/>
        <w:rPr>
          <w:rFonts w:ascii="Times New Roman" w:hAnsi="Times New Roman" w:cs="Times New Roman"/>
          <w:b w:val="0"/>
          <w:color w:val="000000"/>
          <w:sz w:val="24"/>
        </w:rPr>
      </w:pPr>
      <w:bookmarkStart w:id="738" w:name="_Toc256000017"/>
      <w:r>
        <w:rPr>
          <w:rFonts w:ascii="Times New Roman" w:hAnsi="Times New Roman" w:cs="Times New Roman"/>
          <w:b w:val="0"/>
          <w:color w:val="000000"/>
          <w:sz w:val="24"/>
        </w:rPr>
        <w:t>2.1. Ocena gospodarskih, socialnih in območnih učinkov prehoda na podnebno nevtralno gospodarstvo Unije do leta 2050</w:t>
      </w:r>
      <w:bookmarkEnd w:id="738"/>
    </w:p>
    <w:p w14:paraId="16B19731" w14:textId="77777777" w:rsidR="00EB2379" w:rsidRDefault="00EB2379" w:rsidP="00EB2379">
      <w:pPr>
        <w:spacing w:before="5pt"/>
        <w:rPr>
          <w:color w:val="000000"/>
          <w:sz w:val="0"/>
        </w:rPr>
      </w:pPr>
    </w:p>
    <w:p w14:paraId="3601E6E0" w14:textId="77777777" w:rsidR="00EB2379" w:rsidRDefault="00EB2379" w:rsidP="00EB2379">
      <w:pPr>
        <w:spacing w:before="5pt"/>
        <w:rPr>
          <w:color w:val="000000"/>
          <w:sz w:val="16"/>
        </w:rPr>
      </w:pPr>
      <w:r>
        <w:rPr>
          <w:color w:val="000000"/>
        </w:rPr>
        <w:t>Sklic: člen 11(2)(c)</w:t>
      </w:r>
    </w:p>
    <w:p w14:paraId="0203026F" w14:textId="77777777" w:rsidR="00EB2379" w:rsidRDefault="00EB2379" w:rsidP="00EB2379">
      <w:pPr>
        <w:spacing w:before="5pt"/>
        <w:rPr>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EB2379" w14:paraId="5A16C521" w14:textId="77777777" w:rsidTr="00FA408F">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8114BF" w14:textId="77777777" w:rsidR="00EB2379" w:rsidRPr="00EB2379" w:rsidRDefault="00EB2379" w:rsidP="00FA408F">
            <w:pPr>
              <w:spacing w:before="5pt"/>
              <w:rPr>
                <w:color w:val="000000"/>
                <w:sz w:val="0"/>
                <w:lang w:val="it-IT"/>
              </w:rPr>
            </w:pPr>
          </w:p>
          <w:p w14:paraId="1B05B49D" w14:textId="77777777" w:rsidR="00EB2379" w:rsidRPr="00EB2379" w:rsidRDefault="00EB2379" w:rsidP="00FA408F">
            <w:pPr>
              <w:spacing w:before="5pt"/>
              <w:rPr>
                <w:color w:val="000000"/>
                <w:lang w:val="it-IT"/>
              </w:rPr>
            </w:pPr>
            <w:r w:rsidRPr="00EB2379">
              <w:rPr>
                <w:color w:val="000000"/>
                <w:lang w:val="it-IT"/>
              </w:rPr>
              <w:t>SAŠA regija je še edina v državi, v kateri potekajo premogovne dejavnosti in kjer deluje termoelektrarna na premog. Zaradi opuščanja rabe premoga bodo, kot že omenjeno najbolj prizadete tri občine. Kot navaja Analiza vrzeli za SAŠA regijo (Priloga 1) je bilo v teh treh občinah leta 2021 v podjetjih, ki so povezana z rabo premoga zaposlenih 2.473 prebivalcev. Med zaposlenimi v SAŠA regiji prevladujejo moški (55,5 %). Po starostni strukturi je največji delež (44 %) v skupini med 35 in 49 leti. Mladi zaposleni (med 15 – 29 let) predstavljajo 15 %, kar je primerljivo z deležem mladih zaposlenih v Zasavju. Največja občina Velenje, bo zaradi opuščanja rabe premoga najbolj prizadeta, saj so prihodki občinskega proračuna, ki so povezani s premogovno dejavnostjo sorazmerno visoki (11,8 %) v primerjavi s Šoštanjem (5,1 %) in Šmartnim ob Paki (1,1 %).[1]</w:t>
            </w:r>
          </w:p>
          <w:p w14:paraId="44EEB19E" w14:textId="77777777" w:rsidR="00EB2379" w:rsidRPr="00EB2379" w:rsidRDefault="00EB2379" w:rsidP="00FA408F">
            <w:pPr>
              <w:spacing w:before="5pt"/>
              <w:rPr>
                <w:color w:val="000000"/>
                <w:lang w:val="it-IT"/>
              </w:rPr>
            </w:pPr>
            <w:r w:rsidRPr="00EB2379">
              <w:rPr>
                <w:color w:val="000000"/>
                <w:lang w:val="it-IT"/>
              </w:rPr>
              <w:t>V podjetjih povezanih z izrabo premoga je med zaposlenimi največ tistih, ki spadajo v starostno skupino med 45 – 50 let (20 % vseh zaposlenih), po velikosti sledi starostna skupina med 40- 50 let. Zaposleni v starostni skupini med 20 – 35 let predstavljajo le 26 % vseh, kar je mogoče med drugim pripisati tudi dejstvu, da zaposlitve v tem sektorju za mlade, ki na trg dela šele vstopajo, niso najbolj privlačne. Druga značilnost v tem sektorju so dolgotrajne zaposlitve, kar kaže na to, da bo ob postopnem zapiranju rudnika, prehod zaposlenih v druge sektorje lahko težaven. Analiza vrzeli tako pokaže, da je večina zaposlenih v PV in skupini PV tam zaposlena več kot deset let, kar 16 % zaposlenih pa ima tam med 25 in 30 let delovne dobe, 20 % pa celo več kot 30 let. Ta izrazita nizka delovna mobilnost kaže na to, da bo treba sredstva usmetiti v diverzifikacijo dela energetskih podjetij in tako ohraniti delovna mesta, čeprav so lahko izkušnje zaposlenih lahko zanimive tudi v drugih delovno-intenzivnih panogah, kot sta denimo predelovalna industrija in pa gradbeništvo.</w:t>
            </w:r>
          </w:p>
          <w:p w14:paraId="1420D849" w14:textId="77777777" w:rsidR="00EB2379" w:rsidRPr="00EB2379" w:rsidRDefault="00EB2379" w:rsidP="00FA408F">
            <w:pPr>
              <w:spacing w:before="5pt"/>
              <w:rPr>
                <w:color w:val="000000"/>
                <w:lang w:val="it-IT"/>
              </w:rPr>
            </w:pPr>
            <w:r w:rsidRPr="00EB2379">
              <w:rPr>
                <w:color w:val="000000"/>
                <w:lang w:val="it-IT"/>
              </w:rPr>
              <w:t>Izobrazbena struktura je pričakovana. Kar 37,4 % zaposlenih (brez TEŠ) ima izobrazbo s področja rudarstva/geodezije, sledi pa področje inženirjev (23 %), elektrotehniki predstavljajo 11 %. Velika večina zaposlenih ima srednješolsko izobrazbo z dodatnim poklicnim usposabljanjem, redki pa so zaposleni z visokošolsko in podiplomsko izobrazbo.</w:t>
            </w:r>
          </w:p>
          <w:p w14:paraId="4B1632D9" w14:textId="77777777" w:rsidR="00EB2379" w:rsidRDefault="00EB2379" w:rsidP="00FA408F">
            <w:pPr>
              <w:spacing w:before="5pt"/>
              <w:rPr>
                <w:color w:val="000000"/>
              </w:rPr>
            </w:pPr>
            <w:r w:rsidRPr="00EB2379">
              <w:rPr>
                <w:color w:val="000000"/>
                <w:lang w:val="it-IT"/>
              </w:rPr>
              <w:t xml:space="preserve">Tudi z ustrezno podporo preobrazbi energetskega sektorja bomo lahko prispevali k ohranjanju delovnih mest. Pri čemer bo posebno pozornost treba nameniti tistim zaposlenim, ki svojih znanj in kompetenc ne bi mogli uporabiti v drugih sektorjih. To še posebej velja za starejše, tiste, ki imajo v tem sektorju dolg staž ali pa imajo skromne kompetence. Prav ti zaposleni bi lahko v sektorju vztrajali najdlje. Podatki o zaposlenih v TEŠ za leto namreč 2020 kažejo, da je tudi v TEŠ, kjer je bilo v letu 2020 322 zaposlenih, največ zaposlenih iz starostne skupine od 45 do 55 let, kar je skoraj 40% vseh zaposlenih. </w:t>
            </w:r>
            <w:r>
              <w:rPr>
                <w:color w:val="000000"/>
              </w:rPr>
              <w:t>Več kot 60% zaposlenih ima še več kot 10 let do upokojitve. Visokošolsko in podiplomsko izobrazbo ima manj kot 6% zaposlenih.</w:t>
            </w:r>
          </w:p>
          <w:p w14:paraId="2DA98FDE" w14:textId="77777777" w:rsidR="00EB2379" w:rsidRDefault="00EB2379" w:rsidP="00FA408F">
            <w:pPr>
              <w:spacing w:before="5pt"/>
              <w:rPr>
                <w:color w:val="000000"/>
              </w:rPr>
            </w:pPr>
            <w:r>
              <w:rPr>
                <w:color w:val="000000"/>
              </w:rPr>
              <w:t>Številna podjetja v regiji se že soočajo s pomanjkanjem ustrezno usposobljene delovne sile, kot so denimo elektrotehniki ali inženirji. Zato imajo ti zaposleni v premogovništvu, ki bi se vključili v ustrezne programe prekvalifikacij, dokaj ugodne možnosti za prezaposlitev, razvoja in ko se bo začel proces postopnega opuščanja rabe premoga. Pri tem bo treba oblikovati zelo kakovostne in ciljane programe usposabljanja in s katerimi bi zadostili potrebam po bodočih delovnih mestih ter s katerimi bomo zmanjševali obstoječo vrzel na med ponudbo in povpraševanjem na trgu dela. Predvsem bodo v ospredju programi prekvalifikacij in pridobitve veljavne formalne izobrazbe, pridobivanje certifikata nacionalne poklicne kvalifikacije oz. NPK in sicer za področja gradbeništva, strojništva, kovinarstva, elektrotehnike, energetike, lesarstva, sanacije okolja in ravnanja z odpadki, predelovalne industrije, logistike, skladiščenja in vzdrževanja, proizvodnje gospodinjskih aparatov oz. bele tehnike ipd.</w:t>
            </w:r>
          </w:p>
          <w:p w14:paraId="5D00F3BD" w14:textId="77777777" w:rsidR="00EB2379" w:rsidRDefault="00EB2379" w:rsidP="00FA408F">
            <w:pPr>
              <w:spacing w:before="5pt"/>
              <w:rPr>
                <w:color w:val="000000"/>
              </w:rPr>
            </w:pPr>
            <w:r>
              <w:rPr>
                <w:color w:val="000000"/>
              </w:rPr>
              <w:t xml:space="preserve">Po ocenah bo do 2033 najmanj 22 % trenutno zaposlenih v premogovnem sektorju upravičenih do upokojitve. Več sto rudarjev bo delalo na zapiralnih delih, tako da je po oceni Ministrstva za infrastrukturo rešitev treba najti za približno tretjino od 1139 zaposlenih v PV (podatki iz analize vrzeli </w:t>
            </w:r>
            <w:r>
              <w:rPr>
                <w:color w:val="000000"/>
              </w:rPr>
              <w:lastRenderedPageBreak/>
              <w:t>[2]; zaposleni z več kot 20 let do upokojitve). Prilagoditev trga dela je ena ključnih gonilnih sil razvoja SAŠA območja. Predvsem zato, ker bo potrebno hitro prilagajanje glede na prestrukturiranje regije ob zapiranju rudnika. Poleg posodobitve nacionalnih programov za prilagoditev trgu dela, bo območje potrebovalo tudi svoje lastne programe »po meri«, ki bodo omogočili prilagajanje glede na trenutne razmere na trgu dela. Zaradi njihove starostne in izobrazbene strukture bo treba ukrepe v okviru tega programa, ki bodo usmerjeni v diverzifikacijo in prestrukturiranje energetskega sektorja, oblikovati tako, da bodo podpirali prehod države v podnebno nevtralnost in da bodo ti zaposleni lahko obdržali aktivno zaposlitev.</w:t>
            </w:r>
          </w:p>
          <w:p w14:paraId="08938D6E" w14:textId="77777777" w:rsidR="00EB2379" w:rsidRDefault="00EB2379" w:rsidP="00FA408F">
            <w:pPr>
              <w:spacing w:before="5pt"/>
              <w:rPr>
                <w:color w:val="000000"/>
              </w:rPr>
            </w:pPr>
            <w:r>
              <w:rPr>
                <w:color w:val="000000"/>
              </w:rPr>
              <w:t>Na podlagi izkušenj iz Zasavja je mogoče sklepati, da bodo ob opuščanju rabe premoga najbolj prizadeti zaposleni v starostni skupini nad 40 let, brez ali le z osnovnošolsko izobrazbo, ki imajo več kot 10 let delovnih izkušenj. Podatki iz sektorja rabe premoga pa kažejo, da mladi nimajo velikega interesa za delo v tem sektorju, zato se v njem zaposlujejo le redki mladi. Sektor rabe premoga tako ne predstavlja pomembnega zaposlovalnega »magneta« za mlade ali za to, da bodo mladi in visoko usposobljeni zaposleni zaradi delovnih mest v tem sektorju ostajali v regiji. Za privabljanje in zadržanje mladih (starostna skupina 15 – 29 let) v regiji je za njihovo usposabljanje in prakse treba zagotoviti dodatna sredstva.</w:t>
            </w:r>
          </w:p>
          <w:p w14:paraId="1FA55A6D" w14:textId="77777777" w:rsidR="00EB2379" w:rsidRPr="00EB2379" w:rsidRDefault="00EB2379" w:rsidP="00FA408F">
            <w:pPr>
              <w:spacing w:before="5pt"/>
              <w:rPr>
                <w:color w:val="000000"/>
                <w:lang w:val="it-IT"/>
              </w:rPr>
            </w:pPr>
            <w:r w:rsidRPr="00EB2379">
              <w:rPr>
                <w:color w:val="000000"/>
                <w:lang w:val="it-IT"/>
              </w:rPr>
              <w:t>V regiji so prisotna tako mala in srednje velika podjetja, pa tudi velika podjetja. V celotni SAŠA regiji trenutno deluje 1.170 podjetij, letno se njihovo število v povprečju poveča za 2 % (od leta 2011). Nova podjetja so nastajala tudi v času pandemije Covid19, čeprav v malo manjšem številu kot v treh letih pred tem. Pandemija se je negativno odrazila tudi na trgu dela, saj je delo izgubilo 8 % zaposlenih. To je izničilo počasno rast zaposlenih v novo nastalih podjetjih v obdobju 2015 – 2019 (povprečno 1,6 % letna rast). Postopno opuščanje rabe premoga bo negativno vplivalo na zaposlenost, zato morajo biti prednostni ukrepi usmerjeni v to, da zaposleni v energetskem sektorju ohranijo delovna mesta. Za dosego tega cilja bo treba oblikovati ustrezne aktivnosti in podporo na področjih preusposabljanja, dodatnega usposabljanja, štipendiranja in ustvarjanja novih delovnih mest s podporo »brown field« in »green field« investicijam. Pozornost bi bilo treba usmeriti v ohranjanje pozitivne stopnje rasti delovno aktivnega prebivalstva, saj izkušnje iz Zasavja kažejo, da posamezniki, ki niso na trgu dela, lahko ostanejo brez dela več kot leto dni, zaradi česar je njihovo vračanje v zaposlitev velik izziv.</w:t>
            </w:r>
          </w:p>
          <w:p w14:paraId="258ADA8C" w14:textId="77777777" w:rsidR="00EB2379" w:rsidRPr="00EB2379" w:rsidRDefault="00EB2379" w:rsidP="00FA408F">
            <w:pPr>
              <w:spacing w:before="5pt"/>
              <w:rPr>
                <w:color w:val="000000"/>
                <w:lang w:val="it-IT"/>
              </w:rPr>
            </w:pPr>
            <w:r w:rsidRPr="00EB2379">
              <w:rPr>
                <w:color w:val="000000"/>
                <w:lang w:val="it-IT"/>
              </w:rPr>
              <w:t>Podrobnejši pregled strukture gospodarskih subjektov pokaže, da se je med letoma 2011 in 2020 število velikih podjetij zmanjšalo (s 14 na 8). S tem se je v tem obdobju zmanjšal tudi delež zaposlenih, ki so delali v velikih podjetjih (brez energetskih) in je leta 2020 znašal 45,5 % (57,6 % v letu 2011). Ne glede na ta upad, pa velika podjetja predstavljajo pomembnega zaposlovalca in so zato pomemben deležnik v procesu preobrazbe regije, saj je njihova vloga, da ohranijo in ustvarijo nova delovna mesta z višjo dodano vrednostjo nezanemarljiva. Ob tem je treba poudariti tudi to, da se velika neenergetska podjetja (npr. Gorenje mali in veliki gospodinjski aparati, Skaza proizvodnja plastike, Turna proizvodnja komponent za industrijo bele tehnike, itd.) v regiji soočajo z nenehnim pomanjkanjem ustrezno usposobljene delovne sile. Prav zato je upravičena podpora velikim podjetjem pri širitvi njihovega poslovanja in zaposlovanja, vendar pa mora to temeljiti na robustni in prilagojeni strategiji usklajevanja povpraševanja s ponudbo na trgu dela, saj v gospodarskem sektorju v regiji ugotavljajo, da je na tem področju velika vrzel. Ker vsa velika podjetja že načrtujejo širitev proizvodnih dejavnosti in se hkrati že soočajo s pomanjkanjem ustreznih zaposlenih, bi lahko z indikativnim seznamom širitvenih načrtov glavnih zaposlovalcev v regiji pomagali zmanjšati to vrzel.</w:t>
            </w:r>
          </w:p>
          <w:p w14:paraId="5AEEE342" w14:textId="77777777" w:rsidR="00EB2379" w:rsidRPr="00EB2379" w:rsidRDefault="00EB2379" w:rsidP="00FA408F">
            <w:pPr>
              <w:spacing w:before="5pt"/>
              <w:rPr>
                <w:color w:val="000000"/>
                <w:lang w:val="it-IT"/>
              </w:rPr>
            </w:pPr>
            <w:r w:rsidRPr="00EB2379">
              <w:rPr>
                <w:color w:val="000000"/>
                <w:lang w:val="it-IT"/>
              </w:rPr>
              <w:t>V času priprave tega dokumenta so velika podjetja pa tudi komunale (in občine) predstavila načrtovane projekte s katerimi želijo prispevati k preobrazbi regije. Projekti kažejo na to, da bo v procesu preobrazbe regije sektor energetike še naprej igral pomembno vlogo. Večje število načrtovanih projektov, ki se nanašajo na upravičena področja SPP, je povezano s sektorjem energetike ali prenove/spremembe rabe starih energetskih lokacij, območij, itd. Med predlogi so prekrivanja, zato jih je treba ustrezno prioritizirati in pri oceni njihove primernosti/upravičenosti ustrezno upoštevati tudi načelo onesnaževalec plača. Pri podpori je treba sredstva ustrezno povezati z drugimi dostopnimi finančnimi viri. Projekti, ki so jih predlagala druga velika podjetja v regiji, ki niso v sektorju energetike, lahko ob ustrezni podpori za njihovo izvedbo ustvarijo okoli 630 dodatnih delovnih mest v naslednjih nekaj letih.</w:t>
            </w:r>
          </w:p>
          <w:p w14:paraId="19912FDF" w14:textId="77777777" w:rsidR="00EB2379" w:rsidRPr="00EB2379" w:rsidRDefault="00EB2379" w:rsidP="00FA408F">
            <w:pPr>
              <w:spacing w:before="5pt"/>
              <w:rPr>
                <w:color w:val="000000"/>
                <w:lang w:val="it-IT"/>
              </w:rPr>
            </w:pPr>
            <w:r w:rsidRPr="00EB2379">
              <w:rPr>
                <w:color w:val="000000"/>
                <w:lang w:val="it-IT"/>
              </w:rPr>
              <w:t xml:space="preserve">V sektorju MSP je bilo v zadnjih desetih letih mogoče opaziti naraščanje tako števila podjetij, kot tudi zaposlenih v njih. V letu 2020 je bilo v tem segmentu zaposlenih 12 % več ljudi kot leta 2011, kar je </w:t>
            </w:r>
            <w:r w:rsidRPr="00EB2379">
              <w:rPr>
                <w:color w:val="000000"/>
                <w:lang w:val="it-IT"/>
              </w:rPr>
              <w:lastRenderedPageBreak/>
              <w:t>mogoče pripisati tudi prezaposlitvam zaradi zapiranja velikih regijskih podjetij. Potrebno je spodbuditi diverzifikacijo gospodarstva v smislu sektorske in velikostne raznolikosti, kar vključuje uravnotežene naložbe v razvoj raznolikih panog kot so elektroindustrija, gozdarstvo in lesna industrija, turizem, kmetijstvo in trajnostna pridelava hrane, energetika kot gospodarski sektor, proizvodnja in predelava kovin, ter nove tehnologije (zlasti avtomatizacija in robotika) v smislu koriščenja novih in razvojnih priložnosti. Ker je sektor robusten, je treba podporo usmeriti v programe, ki so se izkazali kot koristni pri odpiranju novih delovnih mest npr. SAŠA inkubator d.o.o., v katerem so nastala mnoga uspešna MSP (npr. Autotech avtomatizacija in robotizacija, ki je svojo proizvodnjo razširil tudi izven Slovenije). Tudi ta podjetja se soočajo z mankom podpore pri širitvi proizvodnje in iskanju prostora za nove proizvodne linije ter s pomanjkanjem ustrezno usposobljene delovne sile. Zato je potreba po industrijsko-tehnološkem parku, ki bo zagotovil ugodne prostorske pogoje hitro rastočim podjetjem (scale up podjetjem), ki so proizvodno naravnani, izjemno velika. Ob ustrezni institucionalni podpori in/ali dostopu do ne/povratnih virov, oba segmenta podjetij zanimajo »green field« in »brown field« naložbe, pri čemer bodo imele slednje prednost.</w:t>
            </w:r>
          </w:p>
          <w:p w14:paraId="71E65021" w14:textId="77777777" w:rsidR="00EB2379" w:rsidRPr="00EB2379" w:rsidRDefault="00EB2379" w:rsidP="00FA408F">
            <w:pPr>
              <w:spacing w:before="5pt"/>
              <w:rPr>
                <w:color w:val="000000"/>
                <w:lang w:val="it-IT"/>
              </w:rPr>
            </w:pPr>
            <w:r w:rsidRPr="00EB2379">
              <w:rPr>
                <w:color w:val="000000"/>
                <w:lang w:val="it-IT"/>
              </w:rPr>
              <w:t>Večina občin SAŠA regije je podeželskih z nizko gostoto poselitve, slabo prometno infrastrukturo in nekonkurenčnim javnim prevozom. Najbolj razvita občina v regiji z urbanimi značilnostmi je MO Velenje, katere mestno naselje ima zadovoljivo infrastrukturo ter ponuja bolj trajnostne oblike mobilnosti. Vendar bi bilo potrebno celotni SAŠA regiji še veliko narediti na področju širitve ponudbe, optimizacije in razogljičenja JPP, širitvi sistema izposoje koles na druge občine in spodbujanju daljinskega kolesarjenja za namen dnevne mobilnosti (npr. z izposojo e-koles) ter vzpostavitvi multimodalnih točk za lažji prehod iz osebnega avtomobila na bolj trajnostne načine prevoza npr. z vzpostavitvijo P+R vozlišč za zagotavljanje učinkovitejših dnevnih migracij in ter spodbujanje koriščenja okolju bolj prijaznih načinov prevoza. Za razvoj celotne Šaleške doline je omejitveni dejavnik tudi slabša regionalna povezava do V. vseevropskega prometnega koridorja, kar se bo sicer izboljšalo z izgradnjo ceste v 3. razvojni osi RS. Do Velenja poteka regionalna železniška proga C3 Celje–Velenje.</w:t>
            </w:r>
          </w:p>
          <w:p w14:paraId="2B9D0530" w14:textId="77777777" w:rsidR="00EB2379" w:rsidRPr="00EB2379" w:rsidRDefault="00EB2379" w:rsidP="00FA408F">
            <w:pPr>
              <w:spacing w:before="5pt"/>
              <w:rPr>
                <w:color w:val="000000"/>
                <w:lang w:val="it-IT"/>
              </w:rPr>
            </w:pPr>
            <w:r w:rsidRPr="00EB2379">
              <w:rPr>
                <w:color w:val="000000"/>
                <w:lang w:val="it-IT"/>
              </w:rPr>
              <w:t>Premogovnik Velenje pri pridobivanju lignita povzroča posedanje in deformacije površine, akumulacijo vode in formiranje jezer z različnimi nivoji gladine. Lignit odkopavajo z velenjsko širokočelno metodo, kjer prihaja do rušenja krovninskih plasti v odkopne prostore. Vplivi na površino se delijo na neposredne in posredne. Neposredni se pojavljajo nad lokacijo odkopa, najprej se pokažejo kot razpokano površje, ki se prične pogrezati. V Šaleški dolini so zaradi pogrezanja nastala tri jezera: Škalsko, Velenjsko in Družmirsko. Družmirsko jezero se bo v prihodnosti še povečevalo, ker pod njem še poteka odkopavanje premoga. Posredni vplivi se pojavljajo na obrobju velenjske kadunje. Zato prihaja do premika površin, plazenja brežin in seizmično induciranih pojavov. Elektrofiltrski pepel se odlaga na nasip med Velenjskim in Družmirskim jezerom, ki preprečuje prelitje vode iz enega v drugo jezero.</w:t>
            </w:r>
          </w:p>
          <w:p w14:paraId="41DCDE60" w14:textId="77777777" w:rsidR="00EB2379" w:rsidRPr="00EB2379" w:rsidRDefault="00EB2379" w:rsidP="00FA408F">
            <w:pPr>
              <w:spacing w:before="5pt"/>
              <w:rPr>
                <w:color w:val="000000"/>
                <w:lang w:val="it-IT"/>
              </w:rPr>
            </w:pPr>
            <w:r w:rsidRPr="00EB2379">
              <w:rPr>
                <w:color w:val="000000"/>
                <w:lang w:val="it-IT"/>
              </w:rPr>
              <w:t>Pri Premogovniku je problem tudi onesnaževanje zraka s težkimi kovinami. V količinah izpihanega zraka iz ventilacijskih jaškov se nahajajo izpusti kroma, svinca, mangana in živega srebra. Premogovnik ustvarja tudi emisije toplogrednih plinov, metana in CO2.</w:t>
            </w:r>
          </w:p>
          <w:p w14:paraId="514BDDD8" w14:textId="77777777" w:rsidR="00EB2379" w:rsidRPr="00EB2379" w:rsidRDefault="00EB2379" w:rsidP="00FA408F">
            <w:pPr>
              <w:spacing w:before="5pt"/>
              <w:rPr>
                <w:color w:val="000000"/>
                <w:lang w:val="it-IT"/>
              </w:rPr>
            </w:pPr>
            <w:r w:rsidRPr="00EB2379">
              <w:rPr>
                <w:color w:val="000000"/>
                <w:lang w:val="it-IT"/>
              </w:rPr>
              <w:t>Zaradi dolgoletnih kombiniranih vplivov pridobivanja lignita in obratovanja TEŠ, podtalnica v Šaleški dolini ni vir pitne vode za prebivalce občin Šoštanj in Velenje.</w:t>
            </w:r>
          </w:p>
          <w:p w14:paraId="668A808E" w14:textId="77777777" w:rsidR="00EB2379" w:rsidRPr="00EB2379" w:rsidRDefault="00EB2379" w:rsidP="00FA408F">
            <w:pPr>
              <w:spacing w:before="5pt"/>
              <w:rPr>
                <w:color w:val="000000"/>
                <w:lang w:val="it-IT"/>
              </w:rPr>
            </w:pPr>
            <w:r w:rsidRPr="00EB2379">
              <w:rPr>
                <w:color w:val="000000"/>
                <w:lang w:val="it-IT"/>
              </w:rPr>
              <w:t>V pepelu, žlindri in sadri, ki se letno odlaga na še kopni pas med Velenjskim in Družmirskim jezerom, da se ohranja nad vodo se nahajajo znatne količine težkih kovin.</w:t>
            </w:r>
          </w:p>
          <w:p w14:paraId="6A72C6A9" w14:textId="77777777" w:rsidR="00EB2379" w:rsidRPr="00EB2379" w:rsidRDefault="00EB2379" w:rsidP="00FA408F">
            <w:pPr>
              <w:spacing w:before="5pt"/>
              <w:rPr>
                <w:color w:val="000000"/>
                <w:lang w:val="it-IT"/>
              </w:rPr>
            </w:pPr>
            <w:r w:rsidRPr="00EB2379">
              <w:rPr>
                <w:color w:val="000000"/>
                <w:lang w:val="it-IT"/>
              </w:rPr>
              <w:t>Emisije radona predstavljajo okoljski problem tako pri premogovniku kot pri termoelektrarni.</w:t>
            </w:r>
          </w:p>
          <w:p w14:paraId="503C43FE" w14:textId="77777777" w:rsidR="00EB2379" w:rsidRPr="00EB2379" w:rsidRDefault="00EB2379" w:rsidP="00FA408F">
            <w:pPr>
              <w:spacing w:before="5pt"/>
              <w:rPr>
                <w:color w:val="000000"/>
                <w:lang w:val="it-IT"/>
              </w:rPr>
            </w:pPr>
            <w:r w:rsidRPr="00EB2379">
              <w:rPr>
                <w:color w:val="000000"/>
                <w:lang w:val="it-IT"/>
              </w:rPr>
              <w:t>Okoljske posledice uporabe premoga v TEŠ se kažejo predvsem v emisijah v zrak in v hrupu. Težke kovine se sproščajo tudi preko dimnikov TEŠ, kljub elektrostatskim filtrom in mokrim izpiranjem dimnih plinov za odstranjevanje žveplovih oksidov</w:t>
            </w:r>
          </w:p>
          <w:p w14:paraId="3309581E" w14:textId="77777777" w:rsidR="00EB2379" w:rsidRPr="00EB2379" w:rsidRDefault="00EB2379" w:rsidP="00FA408F">
            <w:pPr>
              <w:spacing w:before="5pt"/>
              <w:rPr>
                <w:color w:val="000000"/>
                <w:lang w:val="it-IT"/>
              </w:rPr>
            </w:pPr>
          </w:p>
          <w:p w14:paraId="08863F82" w14:textId="77777777" w:rsidR="00EB2379" w:rsidRDefault="00EB2379" w:rsidP="00FA408F">
            <w:pPr>
              <w:spacing w:before="5pt"/>
              <w:rPr>
                <w:color w:val="000000"/>
              </w:rPr>
            </w:pPr>
            <w:r>
              <w:rPr>
                <w:color w:val="000000"/>
              </w:rPr>
              <w:t>[1] Labor Market Savinjsko-Šaleška Region, S. Risteska, junij 2022 in Action Plan for Savinjsko-Šaleška Coal Region in Transition, Deloitte, maj 2021</w:t>
            </w:r>
          </w:p>
          <w:p w14:paraId="213F1214" w14:textId="77777777" w:rsidR="00EB2379" w:rsidRDefault="00EB2379" w:rsidP="00FA408F">
            <w:pPr>
              <w:spacing w:before="5pt"/>
              <w:rPr>
                <w:color w:val="000000"/>
              </w:rPr>
            </w:pPr>
            <w:r>
              <w:rPr>
                <w:color w:val="000000"/>
              </w:rPr>
              <w:t>[2] Labor Market Savinjsko-Šaleška Region, S. Risteska, junij 2022, graph 2</w:t>
            </w:r>
          </w:p>
          <w:p w14:paraId="0BA5576B" w14:textId="77777777" w:rsidR="00EB2379" w:rsidRDefault="00EB2379" w:rsidP="00FA408F">
            <w:pPr>
              <w:spacing w:before="5pt"/>
              <w:rPr>
                <w:color w:val="000000"/>
                <w:sz w:val="6"/>
              </w:rPr>
            </w:pPr>
          </w:p>
          <w:p w14:paraId="611768A7" w14:textId="77777777" w:rsidR="00EB2379" w:rsidRDefault="00EB2379" w:rsidP="00FA408F">
            <w:pPr>
              <w:spacing w:before="5pt"/>
              <w:rPr>
                <w:color w:val="000000"/>
                <w:sz w:val="6"/>
              </w:rPr>
            </w:pPr>
          </w:p>
        </w:tc>
      </w:tr>
    </w:tbl>
    <w:p w14:paraId="3695637F" w14:textId="77777777" w:rsidR="00EB2379" w:rsidRDefault="00EB2379" w:rsidP="00EB2379">
      <w:pPr>
        <w:spacing w:before="5pt"/>
        <w:rPr>
          <w:color w:val="000000"/>
          <w:sz w:val="0"/>
        </w:rPr>
      </w:pPr>
    </w:p>
    <w:p w14:paraId="1C16D72E" w14:textId="77777777" w:rsidR="00EB2379" w:rsidRPr="00EB2379" w:rsidRDefault="00EB2379" w:rsidP="00EB2379">
      <w:pPr>
        <w:pStyle w:val="Naslov3"/>
        <w:spacing w:before="5pt" w:after="0pt"/>
        <w:rPr>
          <w:rFonts w:ascii="Times New Roman" w:hAnsi="Times New Roman" w:cs="Times New Roman"/>
          <w:b w:val="0"/>
          <w:color w:val="000000"/>
          <w:sz w:val="24"/>
          <w:lang w:val="it-IT"/>
        </w:rPr>
      </w:pPr>
      <w:bookmarkStart w:id="739" w:name="_Toc256000018"/>
      <w:r w:rsidRPr="00EB2379">
        <w:rPr>
          <w:rFonts w:ascii="Times New Roman" w:hAnsi="Times New Roman" w:cs="Times New Roman"/>
          <w:b w:val="0"/>
          <w:color w:val="000000"/>
          <w:sz w:val="24"/>
          <w:lang w:val="it-IT"/>
        </w:rPr>
        <w:lastRenderedPageBreak/>
        <w:t>2.2. Razvojne potrebe in cilji do leta 2030 z namenom doseči podnebno nevtralno gospodarstvo Unije do leta 2050</w:t>
      </w:r>
      <w:bookmarkEnd w:id="739"/>
    </w:p>
    <w:p w14:paraId="3349C399" w14:textId="77777777" w:rsidR="00EB2379" w:rsidRPr="00EB2379" w:rsidRDefault="00EB2379" w:rsidP="00EB2379">
      <w:pPr>
        <w:spacing w:before="5pt"/>
        <w:rPr>
          <w:color w:val="000000"/>
          <w:sz w:val="0"/>
          <w:lang w:val="it-IT"/>
        </w:rPr>
      </w:pPr>
    </w:p>
    <w:p w14:paraId="2FE18DCA" w14:textId="77777777" w:rsidR="00EB2379" w:rsidRDefault="00EB2379" w:rsidP="00EB2379">
      <w:pPr>
        <w:spacing w:before="5pt"/>
        <w:rPr>
          <w:color w:val="000000"/>
          <w:sz w:val="16"/>
        </w:rPr>
      </w:pPr>
      <w:r>
        <w:rPr>
          <w:color w:val="000000"/>
        </w:rPr>
        <w:t>Sklic: člen 11(2)(d)</w:t>
      </w:r>
    </w:p>
    <w:p w14:paraId="7B09439D" w14:textId="77777777" w:rsidR="00EB2379" w:rsidRDefault="00EB2379" w:rsidP="00EB2379">
      <w:pPr>
        <w:spacing w:before="5pt"/>
        <w:rPr>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EB2379" w:rsidRPr="00EB2379" w14:paraId="76D8F12B" w14:textId="77777777" w:rsidTr="00FA408F">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73D7F2" w14:textId="77777777" w:rsidR="00EB2379" w:rsidRDefault="00EB2379" w:rsidP="00FA408F">
            <w:pPr>
              <w:spacing w:before="5pt"/>
              <w:rPr>
                <w:color w:val="000000"/>
                <w:sz w:val="0"/>
              </w:rPr>
            </w:pPr>
          </w:p>
          <w:p w14:paraId="503026C5" w14:textId="77777777" w:rsidR="00EB2379" w:rsidRDefault="00EB2379" w:rsidP="00FA408F">
            <w:pPr>
              <w:spacing w:before="5pt"/>
              <w:rPr>
                <w:color w:val="000000"/>
              </w:rPr>
            </w:pPr>
            <w:r>
              <w:rPr>
                <w:color w:val="000000"/>
              </w:rPr>
              <w:t>2.2.1 Razvojne potrebe</w:t>
            </w:r>
          </w:p>
          <w:p w14:paraId="624C34D2" w14:textId="77777777" w:rsidR="00EB2379" w:rsidRDefault="00EB2379" w:rsidP="00FA408F">
            <w:pPr>
              <w:spacing w:before="5pt"/>
              <w:rPr>
                <w:color w:val="000000"/>
              </w:rPr>
            </w:pPr>
          </w:p>
          <w:p w14:paraId="209353A7" w14:textId="77777777" w:rsidR="00EB2379" w:rsidRPr="00EB2379" w:rsidRDefault="00EB2379" w:rsidP="00FA408F">
            <w:pPr>
              <w:spacing w:before="5pt"/>
              <w:rPr>
                <w:color w:val="000000"/>
                <w:lang w:val="it-IT"/>
              </w:rPr>
            </w:pPr>
            <w:r>
              <w:rPr>
                <w:color w:val="000000"/>
              </w:rPr>
              <w:t xml:space="preserve">Za vpogled v stanje v SAŠA premogovniški regiji je bila ob pripravi NSPP izvedena temeljita primerjalna analiza, kjer so bili obravnavani vsi elementi pravičnega prehoda – energetski prehod, tranzicija človeškega kapitala in družbene infrastrukture, tranzicija gospodarstva in okolja. </w:t>
            </w:r>
            <w:r w:rsidRPr="00EB2379">
              <w:rPr>
                <w:color w:val="000000"/>
                <w:lang w:val="it-IT"/>
              </w:rPr>
              <w:t>Na osnovi podatkov SURS in sodb deležnikov je bila izdelana ocena stanja in opredeljene glavne razvojne potrebe v posamezni premogovni regiji.</w:t>
            </w:r>
          </w:p>
          <w:p w14:paraId="4EFCEEB5" w14:textId="77777777" w:rsidR="00EB2379" w:rsidRPr="00EB2379" w:rsidRDefault="00EB2379" w:rsidP="00FA408F">
            <w:pPr>
              <w:spacing w:before="5pt"/>
              <w:rPr>
                <w:color w:val="000000"/>
                <w:lang w:val="it-IT"/>
              </w:rPr>
            </w:pPr>
          </w:p>
          <w:p w14:paraId="585E62B4" w14:textId="77777777" w:rsidR="00EB2379" w:rsidRPr="00EB2379" w:rsidRDefault="00EB2379" w:rsidP="00FA408F">
            <w:pPr>
              <w:spacing w:before="5pt"/>
              <w:rPr>
                <w:color w:val="000000"/>
                <w:lang w:val="it-IT"/>
              </w:rPr>
            </w:pPr>
            <w:r w:rsidRPr="00EB2379">
              <w:rPr>
                <w:color w:val="000000"/>
                <w:lang w:val="it-IT"/>
              </w:rPr>
              <w:t xml:space="preserve">Za področje </w:t>
            </w:r>
            <w:r w:rsidRPr="00EB2379">
              <w:rPr>
                <w:b/>
                <w:bCs/>
                <w:color w:val="000000"/>
                <w:lang w:val="it-IT"/>
              </w:rPr>
              <w:t>energetike</w:t>
            </w:r>
            <w:r w:rsidRPr="00EB2379">
              <w:rPr>
                <w:color w:val="000000"/>
                <w:lang w:val="it-IT"/>
              </w:rPr>
              <w:t xml:space="preserve"> med splošne razvojne potrebe regije, kot izhaja iz NSPP[1], ki jo je Vlada RS sprejela 13.1.2022 in tudi iz Območnega razvojnega programa[2], spadajo:</w:t>
            </w:r>
          </w:p>
          <w:p w14:paraId="37FD8223" w14:textId="77777777" w:rsidR="00EB2379" w:rsidRPr="00EB2379" w:rsidRDefault="00EB2379" w:rsidP="00FA408F">
            <w:pPr>
              <w:spacing w:before="5pt"/>
              <w:rPr>
                <w:color w:val="000000"/>
                <w:lang w:val="it-IT"/>
              </w:rPr>
            </w:pPr>
            <w:r w:rsidRPr="00EB2379">
              <w:rPr>
                <w:color w:val="000000"/>
                <w:lang w:val="it-IT"/>
              </w:rPr>
              <w:t>-povečanje zanesljivosti regijske oskrbe;</w:t>
            </w:r>
          </w:p>
          <w:p w14:paraId="13763E07" w14:textId="77777777" w:rsidR="00EB2379" w:rsidRPr="00EB2379" w:rsidRDefault="00EB2379" w:rsidP="00FA408F">
            <w:pPr>
              <w:spacing w:before="5pt"/>
              <w:rPr>
                <w:color w:val="000000"/>
                <w:lang w:val="it-IT"/>
              </w:rPr>
            </w:pPr>
            <w:r w:rsidRPr="00EB2379">
              <w:rPr>
                <w:color w:val="000000"/>
                <w:lang w:val="it-IT"/>
              </w:rPr>
              <w:t>-večji delež OVE v končni rabi energije,</w:t>
            </w:r>
          </w:p>
          <w:p w14:paraId="3A3646B2" w14:textId="77777777" w:rsidR="00EB2379" w:rsidRPr="00EB2379" w:rsidRDefault="00EB2379" w:rsidP="00FA408F">
            <w:pPr>
              <w:spacing w:before="5pt"/>
              <w:rPr>
                <w:color w:val="000000"/>
                <w:lang w:val="it-IT"/>
              </w:rPr>
            </w:pPr>
            <w:r w:rsidRPr="00EB2379">
              <w:rPr>
                <w:color w:val="000000"/>
                <w:lang w:val="it-IT"/>
              </w:rPr>
              <w:t>-povečevanje URE in povečanje zmogljivosti shranjevanja energije;</w:t>
            </w:r>
          </w:p>
          <w:p w14:paraId="4F42DE53" w14:textId="77777777" w:rsidR="00EB2379" w:rsidRDefault="00EB2379" w:rsidP="00FA408F">
            <w:pPr>
              <w:spacing w:before="5pt"/>
              <w:rPr>
                <w:color w:val="000000"/>
              </w:rPr>
            </w:pPr>
            <w:r>
              <w:rPr>
                <w:color w:val="000000"/>
              </w:rPr>
              <w:t>-ohranitev in nadgradnja energetskih lokacij v regiji;</w:t>
            </w:r>
          </w:p>
          <w:p w14:paraId="5357F0D1" w14:textId="77777777" w:rsidR="00EB2379" w:rsidRDefault="00EB2379" w:rsidP="00FA408F">
            <w:pPr>
              <w:spacing w:before="5pt"/>
              <w:rPr>
                <w:color w:val="000000"/>
              </w:rPr>
            </w:pPr>
            <w:r>
              <w:rPr>
                <w:color w:val="000000"/>
              </w:rPr>
              <w:t>-vzpostavitev zanesljivega daljinskega ogrevanja iz OVE vključno z optimizacijo obstoječega sistema, da bo lahko v naslednji fazi prilagojen za OVE (nizkotemperaturni režim).</w:t>
            </w:r>
          </w:p>
          <w:p w14:paraId="6FBE5385" w14:textId="77777777" w:rsidR="00EB2379" w:rsidRDefault="00EB2379" w:rsidP="00FA408F">
            <w:pPr>
              <w:spacing w:before="5pt"/>
              <w:rPr>
                <w:color w:val="000000"/>
              </w:rPr>
            </w:pPr>
          </w:p>
          <w:p w14:paraId="73970E19" w14:textId="77777777" w:rsidR="00EB2379" w:rsidRDefault="00EB2379" w:rsidP="00FA408F">
            <w:pPr>
              <w:spacing w:before="5pt"/>
              <w:rPr>
                <w:color w:val="000000"/>
              </w:rPr>
            </w:pPr>
            <w:r>
              <w:rPr>
                <w:color w:val="000000"/>
              </w:rPr>
              <w:t>Proizvodnja in shranjevanje energije iz OVE sta temeljni dejavnosti, ki bosta katalizirali nastanek novih delovnih mest in kateri bosta zagotovili ohranitev usmerjenosti regije v energetski sektor.</w:t>
            </w:r>
          </w:p>
          <w:p w14:paraId="0504CDCC" w14:textId="77777777" w:rsidR="00EB2379" w:rsidRDefault="00EB2379" w:rsidP="00FA408F">
            <w:pPr>
              <w:spacing w:before="5pt"/>
              <w:rPr>
                <w:color w:val="000000"/>
              </w:rPr>
            </w:pPr>
            <w:r>
              <w:rPr>
                <w:color w:val="000000"/>
              </w:rPr>
              <w:t>Naložbe so zasnovane kot stebri gospodarskih ekosistemov znotraj obetavnih panog prihodnosti, okrog katerih bodo delovala predvsem mala in srednja podjetja.</w:t>
            </w:r>
          </w:p>
          <w:p w14:paraId="2457B033" w14:textId="77777777" w:rsidR="00EB2379" w:rsidRDefault="00EB2379" w:rsidP="00FA408F">
            <w:pPr>
              <w:spacing w:before="5pt"/>
              <w:rPr>
                <w:color w:val="000000"/>
              </w:rPr>
            </w:pPr>
          </w:p>
          <w:p w14:paraId="530F6AFE" w14:textId="77777777" w:rsidR="00EB2379" w:rsidRDefault="00EB2379" w:rsidP="00FA408F">
            <w:pPr>
              <w:spacing w:before="5pt"/>
              <w:rPr>
                <w:color w:val="000000"/>
              </w:rPr>
            </w:pPr>
            <w:r>
              <w:rPr>
                <w:color w:val="000000"/>
              </w:rPr>
              <w:t xml:space="preserve">Na področju </w:t>
            </w:r>
            <w:r>
              <w:rPr>
                <w:b/>
                <w:bCs/>
                <w:color w:val="000000"/>
              </w:rPr>
              <w:t>razvoja človeških virov</w:t>
            </w:r>
            <w:r>
              <w:rPr>
                <w:color w:val="000000"/>
              </w:rPr>
              <w:t xml:space="preserve"> je v regiji identificiranih več področij. Potrebno je nadgraditi izobraževalni sistem, s ciljem zmanjšanja neskladij med med potrebami delodajalcev ter znanji in spretnostmi na trgu dela. Pomembna je obogatitev in krepitev ključnih kompetenc šolajočih (predvsem kompetence podjetnosti, digitalne in zelene kompetence) in digitalno preobraziti šolski prostor. Vzpostaviti bo treba okolje za razvoj podjetniške miselnosti celotne generacije in zagotavljanje več programov za spodbujanje podjetništva.</w:t>
            </w:r>
          </w:p>
          <w:p w14:paraId="118883A5" w14:textId="77777777" w:rsidR="00EB2379" w:rsidRDefault="00EB2379" w:rsidP="00FA408F">
            <w:pPr>
              <w:spacing w:before="5pt"/>
              <w:rPr>
                <w:color w:val="000000"/>
              </w:rPr>
            </w:pPr>
          </w:p>
          <w:p w14:paraId="3D2EFD99" w14:textId="77777777" w:rsidR="00EB2379" w:rsidRDefault="00EB2379" w:rsidP="00FA408F">
            <w:pPr>
              <w:spacing w:before="5pt"/>
              <w:rPr>
                <w:color w:val="000000"/>
              </w:rPr>
            </w:pPr>
            <w:r>
              <w:rPr>
                <w:color w:val="000000"/>
              </w:rPr>
              <w:t>Razvojne potrebe gredo v smeri zagotavljanja povezovanja različnih deležnikov v okolju in odpiranju delovnih mest z visoko dodano vrednostjo, s katerimi bi lahko deloma reševali tudi vprašanje presežnih visoko kvalificiranih delavcev v energetiki. Izobraževalne vsebine bodo zajemale predvsem področja podjetništva, zelene transformacije in fotovoltaike, krepitve socialnih kompetenc, dvig digitalne pismenosti, recikliranja in predelave odpadkov, plastike ter proizvodnje alternativnih goriv oz. krožnega gospodarstva. Posebno pozornost bomo namenili krepitvi splošnih in specifičnih kompetenc za dvig snovne in energetske učinkovitosti, prilagajanje na podnebne spremembe in upravljanje naravnih virov, v sektorjih, ki so ključni za zeleni prehod (industrija, gradnje, energetika, promet).</w:t>
            </w:r>
          </w:p>
          <w:p w14:paraId="4EC3BA50" w14:textId="77777777" w:rsidR="00EB2379" w:rsidRPr="00EB2379" w:rsidRDefault="00EB2379" w:rsidP="00FA408F">
            <w:pPr>
              <w:spacing w:before="5pt"/>
              <w:rPr>
                <w:color w:val="000000"/>
                <w:lang w:val="it-IT"/>
              </w:rPr>
            </w:pPr>
            <w:r w:rsidRPr="00EB2379">
              <w:rPr>
                <w:color w:val="000000"/>
                <w:lang w:val="it-IT"/>
              </w:rPr>
              <w:t xml:space="preserve">Prav tako so potrebne naložbe v razvoj </w:t>
            </w:r>
            <w:r w:rsidRPr="00EB2379">
              <w:rPr>
                <w:b/>
                <w:bCs/>
                <w:color w:val="000000"/>
                <w:lang w:val="it-IT"/>
              </w:rPr>
              <w:t>socialne in ostale infrastrukture</w:t>
            </w:r>
            <w:r w:rsidRPr="00EB2379">
              <w:rPr>
                <w:color w:val="000000"/>
                <w:lang w:val="it-IT"/>
              </w:rPr>
              <w:t xml:space="preserve"> po načelih trajnostnega razvoja ter digitalizacijo na vseh področjih. Ključne so potrebe na področju zagotavljanja dostopnih javnih najemnih stanovanj in ohranjanju stanovanj, ki so že danes v socialni funkciji.</w:t>
            </w:r>
          </w:p>
          <w:p w14:paraId="45CF5FD6" w14:textId="77777777" w:rsidR="00EB2379" w:rsidRPr="00EB2379" w:rsidRDefault="00EB2379" w:rsidP="00FA408F">
            <w:pPr>
              <w:spacing w:before="5pt"/>
              <w:rPr>
                <w:color w:val="000000"/>
                <w:lang w:val="it-IT"/>
              </w:rPr>
            </w:pPr>
            <w:r w:rsidRPr="00EB2379">
              <w:rPr>
                <w:color w:val="000000"/>
                <w:lang w:val="it-IT"/>
              </w:rPr>
              <w:t xml:space="preserve">Razvojne potrebe, povezane s tranzicijo </w:t>
            </w:r>
            <w:r w:rsidRPr="00EB2379">
              <w:rPr>
                <w:b/>
                <w:bCs/>
                <w:color w:val="000000"/>
                <w:lang w:val="it-IT"/>
              </w:rPr>
              <w:t>gospodarstva</w:t>
            </w:r>
            <w:r w:rsidRPr="00EB2379">
              <w:rPr>
                <w:color w:val="000000"/>
                <w:lang w:val="it-IT"/>
              </w:rPr>
              <w:t>, vključujejo:</w:t>
            </w:r>
          </w:p>
          <w:p w14:paraId="3F9C673D" w14:textId="77777777" w:rsidR="00EB2379" w:rsidRPr="00EB2379" w:rsidRDefault="00EB2379" w:rsidP="00FA408F">
            <w:pPr>
              <w:spacing w:before="5pt"/>
              <w:rPr>
                <w:color w:val="000000"/>
                <w:lang w:val="it-IT"/>
              </w:rPr>
            </w:pPr>
            <w:r w:rsidRPr="00EB2379">
              <w:rPr>
                <w:color w:val="000000"/>
                <w:lang w:val="it-IT"/>
              </w:rPr>
              <w:t>·diverzifikacijo lokalnega gospodarstva glede na sektorsko in velikostno raznolikost;</w:t>
            </w:r>
          </w:p>
          <w:p w14:paraId="6E316879" w14:textId="77777777" w:rsidR="00EB2379" w:rsidRPr="00EB2379" w:rsidRDefault="00EB2379" w:rsidP="00FA408F">
            <w:pPr>
              <w:spacing w:before="5pt"/>
              <w:rPr>
                <w:color w:val="000000"/>
                <w:lang w:val="it-IT"/>
              </w:rPr>
            </w:pPr>
            <w:r w:rsidRPr="00EB2379">
              <w:rPr>
                <w:color w:val="000000"/>
                <w:lang w:val="it-IT"/>
              </w:rPr>
              <w:lastRenderedPageBreak/>
              <w:t>·uravnotežena vlaganja v razvoj različnih panog, kot so na primer elektroindustrija, avtomobilska industrija, IT sektor, gozdarstvo in lesna industrija, turizem, kmetijstvo in trajnostna pridelava hrane, energetika kot gospodarski sektor, proizvodnja in predelava kovin in nekovin, farmacevtska industrija ter nove tehnologije (zlasti avtomatizacija in robotika);</w:t>
            </w:r>
          </w:p>
          <w:p w14:paraId="7881D793" w14:textId="77777777" w:rsidR="00EB2379" w:rsidRPr="00EB2379" w:rsidRDefault="00EB2379" w:rsidP="00FA408F">
            <w:pPr>
              <w:spacing w:before="5pt"/>
              <w:rPr>
                <w:color w:val="000000"/>
                <w:lang w:val="it-IT"/>
              </w:rPr>
            </w:pPr>
            <w:r w:rsidRPr="00EB2379">
              <w:rPr>
                <w:color w:val="000000"/>
                <w:lang w:val="it-IT"/>
              </w:rPr>
              <w:t>·izboljšanje zmogljivosti poslovnega okolja za privabljanje javnega in zasebnega financiranja podjetij (neposredne domače in tuje naložbe);</w:t>
            </w:r>
          </w:p>
          <w:p w14:paraId="283818B7" w14:textId="77777777" w:rsidR="00EB2379" w:rsidRPr="00EB2379" w:rsidRDefault="00EB2379" w:rsidP="00FA408F">
            <w:pPr>
              <w:spacing w:before="5pt"/>
              <w:rPr>
                <w:color w:val="000000"/>
                <w:lang w:val="it-IT"/>
              </w:rPr>
            </w:pPr>
            <w:r w:rsidRPr="00EB2379">
              <w:rPr>
                <w:color w:val="000000"/>
                <w:lang w:val="it-IT"/>
              </w:rPr>
              <w:t>·nadaljnjo podporo in spodbude za razvoj zagonskih podjetij in krepiti vlaganja v raziskave, razvoj in inovacije ter sodelovanje med raziskovalnimi organizacijami in gospodarstvom v regiji ter v razvoj turizma</w:t>
            </w:r>
            <w:r w:rsidRPr="00EB2379">
              <w:rPr>
                <w:b/>
                <w:bCs/>
                <w:color w:val="000000"/>
                <w:lang w:val="it-IT"/>
              </w:rPr>
              <w:t>.</w:t>
            </w:r>
          </w:p>
          <w:p w14:paraId="0B18F721" w14:textId="77777777" w:rsidR="00EB2379" w:rsidRPr="00EB2379" w:rsidRDefault="00EB2379" w:rsidP="00FA408F">
            <w:pPr>
              <w:spacing w:before="5pt"/>
              <w:rPr>
                <w:color w:val="000000"/>
                <w:lang w:val="it-IT"/>
              </w:rPr>
            </w:pPr>
          </w:p>
          <w:p w14:paraId="57CD6DE0" w14:textId="77777777" w:rsidR="00EB2379" w:rsidRPr="00EB2379" w:rsidRDefault="00EB2379" w:rsidP="00FA408F">
            <w:pPr>
              <w:spacing w:before="5pt"/>
              <w:rPr>
                <w:color w:val="000000"/>
                <w:lang w:val="it-IT"/>
              </w:rPr>
            </w:pPr>
          </w:p>
          <w:p w14:paraId="7EFD0FC0" w14:textId="77777777" w:rsidR="00EB2379" w:rsidRPr="00EB2379" w:rsidRDefault="00EB2379" w:rsidP="00FA408F">
            <w:pPr>
              <w:spacing w:before="5pt"/>
              <w:rPr>
                <w:color w:val="000000"/>
                <w:lang w:val="it-IT"/>
              </w:rPr>
            </w:pPr>
            <w:r w:rsidRPr="00EB2379">
              <w:rPr>
                <w:color w:val="000000"/>
                <w:lang w:val="it-IT"/>
              </w:rPr>
              <w:t xml:space="preserve">Dediščina premogovništva je regijo zaznamovala s </w:t>
            </w:r>
            <w:r w:rsidRPr="00EB2379">
              <w:rPr>
                <w:b/>
                <w:bCs/>
                <w:color w:val="000000"/>
                <w:lang w:val="it-IT"/>
              </w:rPr>
              <w:t>prostorsko in okoljsko degradiranimi območji.</w:t>
            </w:r>
            <w:r w:rsidRPr="00EB2379">
              <w:rPr>
                <w:color w:val="000000"/>
                <w:lang w:val="it-IT"/>
              </w:rPr>
              <w:t xml:space="preserve"> Razvojni potencial predstavljajo tudi stara in opuščena industrijska območja.</w:t>
            </w:r>
          </w:p>
          <w:p w14:paraId="4D522FBC" w14:textId="77777777" w:rsidR="00EB2379" w:rsidRPr="00EB2379" w:rsidRDefault="00EB2379" w:rsidP="00FA408F">
            <w:pPr>
              <w:spacing w:before="5pt"/>
              <w:rPr>
                <w:color w:val="000000"/>
                <w:lang w:val="it-IT"/>
              </w:rPr>
            </w:pPr>
            <w:r w:rsidRPr="00EB2379">
              <w:rPr>
                <w:color w:val="000000"/>
                <w:lang w:val="it-IT"/>
              </w:rPr>
              <w:t>Vprašanje dnevnega migriranja je povezano tudi s problematiko povezljivosti oziroma pomanjkljivo infrastrukturo za spodbujanje trajnostne mobilnosti in neustrezno kakovostjo storitev javnega prevoza.</w:t>
            </w:r>
          </w:p>
          <w:p w14:paraId="64FE2A38" w14:textId="77777777" w:rsidR="00EB2379" w:rsidRPr="00EB2379" w:rsidRDefault="00EB2379" w:rsidP="00FA408F">
            <w:pPr>
              <w:spacing w:before="5pt"/>
              <w:rPr>
                <w:color w:val="000000"/>
                <w:lang w:val="it-IT"/>
              </w:rPr>
            </w:pPr>
            <w:r w:rsidRPr="00EB2379">
              <w:rPr>
                <w:color w:val="000000"/>
                <w:lang w:val="it-IT"/>
              </w:rPr>
              <w:t>2.2.2. Cilji in rezultati</w:t>
            </w:r>
          </w:p>
          <w:p w14:paraId="05A687E7" w14:textId="77777777" w:rsidR="00EB2379" w:rsidRPr="00EB2379" w:rsidRDefault="00EB2379" w:rsidP="00FA408F">
            <w:pPr>
              <w:spacing w:before="5pt"/>
              <w:rPr>
                <w:color w:val="000000"/>
                <w:lang w:val="it-IT"/>
              </w:rPr>
            </w:pPr>
            <w:r w:rsidRPr="00EB2379">
              <w:rPr>
                <w:b/>
                <w:bCs/>
                <w:color w:val="000000"/>
                <w:lang w:val="it-IT"/>
              </w:rPr>
              <w:t>SC 1:</w:t>
            </w:r>
            <w:r w:rsidRPr="00EB2379">
              <w:rPr>
                <w:color w:val="000000"/>
                <w:lang w:val="it-IT"/>
              </w:rPr>
              <w:t xml:space="preserve"> </w:t>
            </w:r>
            <w:r w:rsidRPr="00EB2379">
              <w:rPr>
                <w:b/>
                <w:bCs/>
                <w:color w:val="000000"/>
                <w:lang w:val="it-IT"/>
              </w:rPr>
              <w:t xml:space="preserve">Pravični energetski prehod SAŠA regije. </w:t>
            </w:r>
            <w:r w:rsidRPr="00EB2379">
              <w:rPr>
                <w:color w:val="000000"/>
                <w:lang w:val="it-IT"/>
              </w:rPr>
              <w:t>Rezultati, ki jih pričakujemo na tem področju v sinergiji z drugimi razpoložljivimi sredstvi, vključno z MPP so:</w:t>
            </w:r>
          </w:p>
          <w:p w14:paraId="60B86F6C" w14:textId="77777777" w:rsidR="00EB2379" w:rsidRPr="00EB2379" w:rsidRDefault="00EB2379" w:rsidP="00FA408F">
            <w:pPr>
              <w:spacing w:before="5pt"/>
              <w:rPr>
                <w:color w:val="000000"/>
                <w:lang w:val="it-IT"/>
              </w:rPr>
            </w:pPr>
            <w:r w:rsidRPr="00EB2379">
              <w:rPr>
                <w:color w:val="000000"/>
                <w:lang w:val="it-IT"/>
              </w:rPr>
              <w:t>-preurejena energetska lokacija z uporabo najboljših razpoložljivih tehnologij za prestrukturiranje regijskega gospodarstva in razogljičenje regije;</w:t>
            </w:r>
          </w:p>
          <w:p w14:paraId="1E977F84" w14:textId="77777777" w:rsidR="00EB2379" w:rsidRPr="00EB2379" w:rsidRDefault="00EB2379" w:rsidP="00FA408F">
            <w:pPr>
              <w:spacing w:before="5pt"/>
              <w:rPr>
                <w:color w:val="000000"/>
                <w:lang w:val="it-IT"/>
              </w:rPr>
            </w:pPr>
            <w:r w:rsidRPr="00EB2379">
              <w:rPr>
                <w:color w:val="000000"/>
                <w:lang w:val="it-IT"/>
              </w:rPr>
              <w:t>-preurejeni sistemi daljinskega ogrevanja;</w:t>
            </w:r>
          </w:p>
          <w:p w14:paraId="3503B967" w14:textId="77777777" w:rsidR="00EB2379" w:rsidRPr="00EB2379" w:rsidRDefault="00EB2379" w:rsidP="00FA408F">
            <w:pPr>
              <w:spacing w:before="5pt"/>
              <w:rPr>
                <w:color w:val="000000"/>
                <w:lang w:val="it-IT"/>
              </w:rPr>
            </w:pPr>
            <w:r w:rsidRPr="00EB2379">
              <w:rPr>
                <w:color w:val="000000"/>
                <w:lang w:val="it-IT"/>
              </w:rPr>
              <w:t>-večji delež proizvodnje in rabe OVE v regiji, vključno s skladiščenjem, na saniranih in revitaliziranih prostorsko in okoljsko degradiranih območjih, povezanih s premogovništvom in rabo premoga;</w:t>
            </w:r>
          </w:p>
          <w:p w14:paraId="6AEC8513" w14:textId="77777777" w:rsidR="00EB2379" w:rsidRPr="00EB2379" w:rsidRDefault="00EB2379" w:rsidP="00FA408F">
            <w:pPr>
              <w:spacing w:before="5pt"/>
              <w:rPr>
                <w:color w:val="000000"/>
                <w:lang w:val="it-IT"/>
              </w:rPr>
            </w:pPr>
            <w:r w:rsidRPr="00EB2379">
              <w:rPr>
                <w:color w:val="000000"/>
                <w:lang w:val="it-IT"/>
              </w:rPr>
              <w:t>-manjša poraba energije v vseh sektorjih.</w:t>
            </w:r>
          </w:p>
          <w:p w14:paraId="0EBA0FE2" w14:textId="77777777" w:rsidR="00EB2379" w:rsidRPr="00EB2379" w:rsidRDefault="00EB2379" w:rsidP="00FA408F">
            <w:pPr>
              <w:spacing w:before="5pt"/>
              <w:rPr>
                <w:color w:val="000000"/>
                <w:lang w:val="it-IT"/>
              </w:rPr>
            </w:pPr>
          </w:p>
          <w:p w14:paraId="13000CD3" w14:textId="77777777" w:rsidR="00EB2379" w:rsidRPr="00EB2379" w:rsidRDefault="00EB2379" w:rsidP="00FA408F">
            <w:pPr>
              <w:spacing w:before="5pt"/>
              <w:rPr>
                <w:color w:val="000000"/>
                <w:lang w:val="it-IT"/>
              </w:rPr>
            </w:pPr>
            <w:r w:rsidRPr="00EB2379">
              <w:rPr>
                <w:b/>
                <w:bCs/>
                <w:color w:val="000000"/>
                <w:lang w:val="it-IT"/>
              </w:rPr>
              <w:t>SC 2:</w:t>
            </w:r>
            <w:r w:rsidRPr="00EB2379">
              <w:rPr>
                <w:color w:val="000000"/>
                <w:lang w:val="it-IT"/>
              </w:rPr>
              <w:t xml:space="preserve"> </w:t>
            </w:r>
            <w:r w:rsidRPr="00EB2379">
              <w:rPr>
                <w:b/>
                <w:bCs/>
                <w:color w:val="000000"/>
                <w:lang w:val="it-IT"/>
              </w:rPr>
              <w:t xml:space="preserve">Zaposlitve in veščine za </w:t>
            </w:r>
            <w:r w:rsidRPr="00EB2379">
              <w:rPr>
                <w:color w:val="000000"/>
                <w:lang w:val="it-IT"/>
              </w:rPr>
              <w:t>ustreznost in zadostnost usposobljenih delavcev v smeri zelene preobrazbe na naslednjih področjih: pridobivanje in shranjevanje energije iz obnovljivih virov, trajnostne gradnje in energetska učinkovitost, krožna ekonomija, ravnanje z vodnimi viri in trajnostna mobilnost z rezultatom višjega deleža udeležencev:</w:t>
            </w:r>
          </w:p>
          <w:p w14:paraId="03F8A537" w14:textId="77777777" w:rsidR="00EB2379" w:rsidRPr="00EB2379" w:rsidRDefault="00EB2379" w:rsidP="00FA408F">
            <w:pPr>
              <w:spacing w:before="5pt"/>
              <w:rPr>
                <w:color w:val="000000"/>
                <w:lang w:val="it-IT"/>
              </w:rPr>
            </w:pPr>
            <w:r w:rsidRPr="00EB2379">
              <w:rPr>
                <w:color w:val="000000"/>
                <w:lang w:val="it-IT"/>
              </w:rPr>
              <w:t>-ki so končali usposabljanje, ki so se dokvalificirali.</w:t>
            </w:r>
          </w:p>
          <w:p w14:paraId="74E6E90C" w14:textId="77777777" w:rsidR="00EB2379" w:rsidRPr="00EB2379" w:rsidRDefault="00EB2379" w:rsidP="00FA408F">
            <w:pPr>
              <w:spacing w:before="5pt"/>
              <w:rPr>
                <w:color w:val="000000"/>
                <w:lang w:val="it-IT"/>
              </w:rPr>
            </w:pPr>
            <w:r w:rsidRPr="00EB2379">
              <w:rPr>
                <w:color w:val="000000"/>
                <w:lang w:val="it-IT"/>
              </w:rPr>
              <w:t>-ki imajo po zaključku sodelovanja zaposlitev,</w:t>
            </w:r>
          </w:p>
          <w:p w14:paraId="598768CB" w14:textId="77777777" w:rsidR="00EB2379" w:rsidRPr="00EB2379" w:rsidRDefault="00EB2379" w:rsidP="00FA408F">
            <w:pPr>
              <w:spacing w:before="5pt"/>
              <w:rPr>
                <w:color w:val="000000"/>
                <w:lang w:val="it-IT"/>
              </w:rPr>
            </w:pPr>
            <w:r w:rsidRPr="00EB2379">
              <w:rPr>
                <w:color w:val="000000"/>
                <w:lang w:val="it-IT"/>
              </w:rPr>
              <w:t>-ki so po zaključku vključeni v izobraževanje ali usposabljanje,</w:t>
            </w:r>
          </w:p>
          <w:p w14:paraId="3ACC2244" w14:textId="77777777" w:rsidR="00EB2379" w:rsidRPr="00EB2379" w:rsidRDefault="00EB2379" w:rsidP="00FA408F">
            <w:pPr>
              <w:spacing w:before="5pt"/>
              <w:rPr>
                <w:color w:val="000000"/>
                <w:lang w:val="it-IT"/>
              </w:rPr>
            </w:pPr>
          </w:p>
          <w:p w14:paraId="444B6178" w14:textId="77777777" w:rsidR="00EB2379" w:rsidRPr="00EB2379" w:rsidRDefault="00EB2379" w:rsidP="00FA408F">
            <w:pPr>
              <w:spacing w:before="5pt"/>
              <w:rPr>
                <w:color w:val="000000"/>
                <w:lang w:val="it-IT"/>
              </w:rPr>
            </w:pPr>
            <w:r w:rsidRPr="00EB2379">
              <w:rPr>
                <w:color w:val="000000"/>
                <w:lang w:val="it-IT"/>
              </w:rPr>
              <w:t>Pri tem se bodo ukrepi smiselno dopolnjevali z že organiziranimi usposabljanji s področja brezplačnega energetskega svetovanja v okviru mreže EN SVET v okviru Eko sklada[3]. Vzporedno bo v dogovoru med partnerji Vzpostavljen program za dodatno svetovanje in pomoč na področju energije.</w:t>
            </w:r>
          </w:p>
          <w:p w14:paraId="1AE71F79" w14:textId="77777777" w:rsidR="00EB2379" w:rsidRPr="00EB2379" w:rsidRDefault="00EB2379" w:rsidP="00FA408F">
            <w:pPr>
              <w:spacing w:before="5pt"/>
              <w:rPr>
                <w:color w:val="000000"/>
                <w:lang w:val="it-IT"/>
              </w:rPr>
            </w:pPr>
          </w:p>
          <w:p w14:paraId="2FAF277F" w14:textId="77777777" w:rsidR="00EB2379" w:rsidRPr="00EB2379" w:rsidRDefault="00EB2379" w:rsidP="00FA408F">
            <w:pPr>
              <w:spacing w:before="5pt"/>
              <w:rPr>
                <w:color w:val="000000"/>
                <w:lang w:val="it-IT"/>
              </w:rPr>
            </w:pPr>
            <w:r w:rsidRPr="00EB2379">
              <w:rPr>
                <w:b/>
                <w:bCs/>
                <w:color w:val="000000"/>
                <w:lang w:val="it-IT"/>
              </w:rPr>
              <w:t>SC 3:Trajnosten, prožen in raznolik gospodarski razvoj</w:t>
            </w:r>
            <w:r w:rsidRPr="00EB2379">
              <w:rPr>
                <w:color w:val="000000"/>
                <w:lang w:val="it-IT"/>
              </w:rPr>
              <w:t>, v okviru katerega načrtujemo prispevek k doseganju naslednjih rezultatov</w:t>
            </w:r>
            <w:r w:rsidRPr="00EB2379">
              <w:rPr>
                <w:b/>
                <w:bCs/>
                <w:color w:val="000000"/>
                <w:lang w:val="it-IT"/>
              </w:rPr>
              <w:t>:</w:t>
            </w:r>
          </w:p>
          <w:p w14:paraId="6D8AF200" w14:textId="77777777" w:rsidR="00EB2379" w:rsidRPr="00EB2379" w:rsidRDefault="00EB2379" w:rsidP="00FA408F">
            <w:pPr>
              <w:spacing w:before="5pt"/>
              <w:rPr>
                <w:color w:val="000000"/>
                <w:lang w:val="it-IT"/>
              </w:rPr>
            </w:pPr>
            <w:r w:rsidRPr="00EB2379">
              <w:rPr>
                <w:color w:val="000000"/>
                <w:lang w:val="it-IT"/>
              </w:rPr>
              <w:t>-dvig produktivnosti/dodane vrednosti v regiji zaradi prehoda v industrijo 4.0 in digitalizacije,</w:t>
            </w:r>
          </w:p>
          <w:p w14:paraId="0672D30E" w14:textId="77777777" w:rsidR="00EB2379" w:rsidRPr="00EB2379" w:rsidRDefault="00EB2379" w:rsidP="00FA408F">
            <w:pPr>
              <w:spacing w:before="5pt"/>
              <w:rPr>
                <w:color w:val="000000"/>
                <w:lang w:val="it-IT"/>
              </w:rPr>
            </w:pPr>
            <w:r w:rsidRPr="00EB2379">
              <w:rPr>
                <w:color w:val="000000"/>
                <w:lang w:val="it-IT"/>
              </w:rPr>
              <w:t>-regija se uveljavi kot vozlišče za RRI v trajnostnih nizkoogljičnih krožnih rešitvah (ne samo v energetskih),</w:t>
            </w:r>
          </w:p>
          <w:p w14:paraId="7E1766AC" w14:textId="77777777" w:rsidR="00EB2379" w:rsidRPr="00EB2379" w:rsidRDefault="00EB2379" w:rsidP="00FA408F">
            <w:pPr>
              <w:spacing w:before="5pt"/>
              <w:rPr>
                <w:color w:val="000000"/>
                <w:lang w:val="it-IT"/>
              </w:rPr>
            </w:pPr>
            <w:r w:rsidRPr="00EB2379">
              <w:rPr>
                <w:color w:val="000000"/>
                <w:lang w:val="it-IT"/>
              </w:rPr>
              <w:t>-vzpostavljeni modeli krožnega gospodarstva za večjo surovinsko samozadostnost v regiji,</w:t>
            </w:r>
          </w:p>
          <w:p w14:paraId="62CAC33A" w14:textId="77777777" w:rsidR="00EB2379" w:rsidRPr="00EB2379" w:rsidRDefault="00EB2379" w:rsidP="00FA408F">
            <w:pPr>
              <w:spacing w:before="5pt"/>
              <w:rPr>
                <w:color w:val="000000"/>
                <w:lang w:val="it-IT"/>
              </w:rPr>
            </w:pPr>
            <w:r w:rsidRPr="00EB2379">
              <w:rPr>
                <w:color w:val="000000"/>
                <w:lang w:val="it-IT"/>
              </w:rPr>
              <w:t>-večje število investicij v regiji,</w:t>
            </w:r>
          </w:p>
          <w:p w14:paraId="17B073E5" w14:textId="77777777" w:rsidR="00EB2379" w:rsidRPr="00EB2379" w:rsidRDefault="00EB2379" w:rsidP="00FA408F">
            <w:pPr>
              <w:spacing w:before="5pt"/>
              <w:rPr>
                <w:color w:val="000000"/>
                <w:lang w:val="it-IT"/>
              </w:rPr>
            </w:pPr>
            <w:r w:rsidRPr="00EB2379">
              <w:rPr>
                <w:color w:val="000000"/>
                <w:lang w:val="it-IT"/>
              </w:rPr>
              <w:t>-prestrukturirana TEŠ in PV.</w:t>
            </w:r>
          </w:p>
          <w:p w14:paraId="675ADA47" w14:textId="77777777" w:rsidR="00EB2379" w:rsidRPr="00EB2379" w:rsidRDefault="00EB2379" w:rsidP="00FA408F">
            <w:pPr>
              <w:spacing w:before="5pt"/>
              <w:rPr>
                <w:color w:val="000000"/>
                <w:lang w:val="it-IT"/>
              </w:rPr>
            </w:pPr>
            <w:r w:rsidRPr="00EB2379">
              <w:rPr>
                <w:color w:val="000000"/>
                <w:lang w:val="it-IT"/>
              </w:rPr>
              <w:lastRenderedPageBreak/>
              <w:t>SC4: Cenovno dostopna in trajnostna stanovanja s ciljem ohranjanja obstoječega fonda javnih najemnih stanovanj, kjer načrtujemo prispevek k doseganju naslednjih rezultatov:</w:t>
            </w:r>
          </w:p>
          <w:p w14:paraId="2374B794" w14:textId="77777777" w:rsidR="00EB2379" w:rsidRPr="00EB2379" w:rsidRDefault="00EB2379" w:rsidP="00FA408F">
            <w:pPr>
              <w:spacing w:before="5pt"/>
              <w:rPr>
                <w:color w:val="000000"/>
                <w:lang w:val="it-IT"/>
              </w:rPr>
            </w:pPr>
            <w:r w:rsidRPr="00EB2379">
              <w:rPr>
                <w:color w:val="000000"/>
                <w:lang w:val="it-IT"/>
              </w:rPr>
              <w:t>- ohranjeni bivalni pogoji prebivajočih v stanovanjih, ki so v lasti PV in TEŠ,</w:t>
            </w:r>
          </w:p>
          <w:p w14:paraId="4FB35DD0" w14:textId="77777777" w:rsidR="00EB2379" w:rsidRPr="00EB2379" w:rsidRDefault="00EB2379" w:rsidP="00FA408F">
            <w:pPr>
              <w:spacing w:before="5pt"/>
              <w:rPr>
                <w:color w:val="000000"/>
                <w:lang w:val="it-IT"/>
              </w:rPr>
            </w:pPr>
            <w:r w:rsidRPr="00EB2379">
              <w:rPr>
                <w:color w:val="000000"/>
                <w:lang w:val="it-IT"/>
              </w:rPr>
              <w:t>- večji delež javnih najemnih stanovanj v premogovni regiji.</w:t>
            </w:r>
          </w:p>
          <w:p w14:paraId="2F22E57B" w14:textId="77777777" w:rsidR="00EB2379" w:rsidRPr="00EB2379" w:rsidRDefault="00EB2379" w:rsidP="00FA408F">
            <w:pPr>
              <w:spacing w:before="5pt"/>
              <w:rPr>
                <w:color w:val="000000"/>
                <w:lang w:val="it-IT"/>
              </w:rPr>
            </w:pPr>
          </w:p>
          <w:p w14:paraId="68CA6F41" w14:textId="77777777" w:rsidR="00EB2379" w:rsidRPr="00EB2379" w:rsidRDefault="00EB2379" w:rsidP="00FA408F">
            <w:pPr>
              <w:spacing w:before="5pt"/>
              <w:rPr>
                <w:color w:val="000000"/>
                <w:lang w:val="it-IT"/>
              </w:rPr>
            </w:pPr>
            <w:r w:rsidRPr="00EB2379">
              <w:rPr>
                <w:color w:val="000000"/>
                <w:lang w:val="it-IT"/>
              </w:rPr>
              <w:t>Vsebina poglavja v celoti je razvidna v Prilogi 3A: Razvojne potrebe in cilji do leta 2030 SAŠA_5.0.</w:t>
            </w:r>
          </w:p>
          <w:p w14:paraId="391B0D12" w14:textId="77777777" w:rsidR="00EB2379" w:rsidRPr="00EB2379" w:rsidRDefault="00EB2379" w:rsidP="00FA408F">
            <w:pPr>
              <w:spacing w:before="5pt"/>
              <w:rPr>
                <w:color w:val="000000"/>
                <w:lang w:val="it-IT"/>
              </w:rPr>
            </w:pPr>
            <w:r w:rsidRPr="00EB2379">
              <w:rPr>
                <w:color w:val="000000"/>
                <w:lang w:val="it-IT"/>
              </w:rPr>
              <w:t>[1] (https://www.energetika-portal.si/fileadmin/dokumenti/publikacije/premog_izhod/strategija_prem_vlada_jan202.pdf)</w:t>
            </w:r>
          </w:p>
          <w:p w14:paraId="5DD13A10" w14:textId="77777777" w:rsidR="00EB2379" w:rsidRPr="00EB2379" w:rsidRDefault="00EB2379" w:rsidP="00FA408F">
            <w:pPr>
              <w:spacing w:before="5pt"/>
              <w:rPr>
                <w:color w:val="000000"/>
                <w:lang w:val="it-IT"/>
              </w:rPr>
            </w:pPr>
            <w:r w:rsidRPr="00EB2379">
              <w:rPr>
                <w:color w:val="000000"/>
                <w:lang w:val="it-IT"/>
              </w:rPr>
              <w:t>[2] (http://ra-sasa.si/wp-content/uploads/2021/06/ORP-SA%C5%A0A-2021-2027_%C4%8Distopis-31.03.2021-za-lekturo-V1.pdf)</w:t>
            </w:r>
          </w:p>
          <w:p w14:paraId="3EAD5F70" w14:textId="77777777" w:rsidR="00EB2379" w:rsidRPr="00EB2379" w:rsidRDefault="00EB2379" w:rsidP="00FA408F">
            <w:pPr>
              <w:spacing w:before="5pt"/>
              <w:rPr>
                <w:color w:val="000000"/>
                <w:lang w:val="it-IT"/>
              </w:rPr>
            </w:pPr>
            <w:r w:rsidRPr="00EB2379">
              <w:rPr>
                <w:color w:val="000000"/>
                <w:lang w:val="it-IT"/>
              </w:rPr>
              <w:t>[3] (primer: https://www.velenje.si/e-obcina/brezplacno-svetovanje/11111).</w:t>
            </w:r>
          </w:p>
          <w:p w14:paraId="1C332D8C" w14:textId="77777777" w:rsidR="00EB2379" w:rsidRPr="00EB2379" w:rsidRDefault="00EB2379" w:rsidP="00FA408F">
            <w:pPr>
              <w:spacing w:before="5pt"/>
              <w:rPr>
                <w:color w:val="000000"/>
                <w:sz w:val="6"/>
                <w:lang w:val="it-IT"/>
              </w:rPr>
            </w:pPr>
          </w:p>
          <w:p w14:paraId="72670FE0" w14:textId="77777777" w:rsidR="00EB2379" w:rsidRPr="00EB2379" w:rsidRDefault="00EB2379" w:rsidP="00FA408F">
            <w:pPr>
              <w:spacing w:before="5pt"/>
              <w:rPr>
                <w:color w:val="000000"/>
                <w:sz w:val="6"/>
                <w:lang w:val="it-IT"/>
              </w:rPr>
            </w:pPr>
          </w:p>
        </w:tc>
      </w:tr>
    </w:tbl>
    <w:p w14:paraId="7BA8F4EE" w14:textId="77777777" w:rsidR="00EB2379" w:rsidRPr="00EB2379" w:rsidRDefault="00EB2379" w:rsidP="00EB2379">
      <w:pPr>
        <w:spacing w:before="5pt"/>
        <w:rPr>
          <w:color w:val="000000"/>
          <w:sz w:val="12"/>
          <w:lang w:val="it-IT"/>
        </w:rPr>
      </w:pPr>
    </w:p>
    <w:p w14:paraId="1BC94779" w14:textId="77777777" w:rsidR="00EB2379" w:rsidRPr="00EB2379" w:rsidRDefault="00EB2379" w:rsidP="00EB2379">
      <w:pPr>
        <w:pStyle w:val="Naslov3"/>
        <w:spacing w:before="5pt" w:after="0pt"/>
        <w:rPr>
          <w:rFonts w:ascii="Times New Roman" w:hAnsi="Times New Roman" w:cs="Times New Roman"/>
          <w:b w:val="0"/>
          <w:color w:val="000000"/>
          <w:sz w:val="24"/>
          <w:lang w:val="it-IT"/>
        </w:rPr>
      </w:pPr>
      <w:bookmarkStart w:id="740" w:name="_Toc256000019"/>
      <w:r w:rsidRPr="00EB2379">
        <w:rPr>
          <w:rFonts w:ascii="Times New Roman" w:hAnsi="Times New Roman" w:cs="Times New Roman"/>
          <w:b w:val="0"/>
          <w:color w:val="000000"/>
          <w:sz w:val="24"/>
          <w:lang w:val="it-IT"/>
        </w:rPr>
        <w:t>2.3. Skladnost z drugimi ustreznimi nacionalnimi, regionalnimi ali teritorialnimi strategijami in načrti</w:t>
      </w:r>
      <w:bookmarkEnd w:id="740"/>
    </w:p>
    <w:p w14:paraId="13C7ADEC" w14:textId="77777777" w:rsidR="00EB2379" w:rsidRPr="00EB2379" w:rsidRDefault="00EB2379" w:rsidP="00EB2379">
      <w:pPr>
        <w:spacing w:before="5pt"/>
        <w:rPr>
          <w:color w:val="000000"/>
          <w:sz w:val="0"/>
          <w:lang w:val="it-IT"/>
        </w:rPr>
      </w:pPr>
    </w:p>
    <w:p w14:paraId="6E67FCB7" w14:textId="77777777" w:rsidR="00EB2379" w:rsidRDefault="00EB2379" w:rsidP="00EB2379">
      <w:pPr>
        <w:spacing w:before="5pt"/>
        <w:rPr>
          <w:color w:val="000000"/>
          <w:sz w:val="16"/>
        </w:rPr>
      </w:pPr>
      <w:r>
        <w:rPr>
          <w:color w:val="000000"/>
        </w:rPr>
        <w:t>Sklic: člen 11(2)(e)</w:t>
      </w:r>
    </w:p>
    <w:p w14:paraId="2656EB59" w14:textId="77777777" w:rsidR="00EB2379" w:rsidRDefault="00EB2379" w:rsidP="00EB2379">
      <w:pPr>
        <w:spacing w:before="5pt"/>
        <w:rPr>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EB2379" w:rsidRPr="00EB2379" w14:paraId="2F51C207" w14:textId="77777777" w:rsidTr="00FA408F">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8F7A57" w14:textId="77777777" w:rsidR="00EB2379" w:rsidRDefault="00EB2379" w:rsidP="00FA408F">
            <w:pPr>
              <w:spacing w:before="5pt"/>
              <w:rPr>
                <w:color w:val="000000"/>
                <w:sz w:val="0"/>
              </w:rPr>
            </w:pPr>
          </w:p>
          <w:p w14:paraId="6E55409B" w14:textId="77777777" w:rsidR="00EB2379" w:rsidRPr="00EB2379" w:rsidRDefault="00EB2379" w:rsidP="00FA408F">
            <w:pPr>
              <w:spacing w:before="5pt"/>
              <w:rPr>
                <w:color w:val="000000"/>
                <w:lang w:val="it-IT"/>
              </w:rPr>
            </w:pPr>
            <w:r>
              <w:rPr>
                <w:color w:val="000000"/>
              </w:rPr>
              <w:t xml:space="preserve">Pravični prehod premogovnih regij je eden od ključnih vzvodov za doseganje podnebne nevtralnosti Slovenije do leta 2050, pri čemer </w:t>
            </w:r>
            <w:r>
              <w:rPr>
                <w:b/>
                <w:bCs/>
                <w:color w:val="000000"/>
              </w:rPr>
              <w:t>Nacionalni energetsko podnebni načrt</w:t>
            </w:r>
            <w:r>
              <w:rPr>
                <w:color w:val="000000"/>
              </w:rPr>
              <w:t xml:space="preserve"> predstavlja srednjeročni okvir. Ukrepi, ki so vključeni v tem območnem načrtu podpirajo doseganje sektorskih ciljev, ki so opredeljeni v NEPN (NEPN 28.2.2020 (1) ; Predlog posodobitev NEPN avgust 2024 (2)). Največ bodo k temu prispevali ukrepi, ki so predvideni na področju energetike in podpori za podporo preobrazbe gospodarstva v smeri dekarbonizacije in krožnosti. Ključen doprinos k razogljičenju predstavlja opustitev premoga kot fosilnega goriva pri proizvodnji električne energije v SI (TEŠ in PV – proizvodnja okvirno tretjine električne energije v SI, v sušnih obdobjih je ta % še višji; gre za zelo visoko odvisnost od enega fosilnega vira, ne le na regionalni, temveč tudi na nacionalni ravni, v evropskem merilu, s čimer so povezana tudi zelo visoka tveganja zaradi opustitve), s čimer pravični prehod regije pravzaprav trasira tudi nacionalni prehod v razogljičenje. </w:t>
            </w:r>
            <w:r w:rsidRPr="00EB2379">
              <w:rPr>
                <w:color w:val="000000"/>
                <w:lang w:val="it-IT"/>
              </w:rPr>
              <w:t>Ambicija regije za izstop iz rabe premoga in celovito prestrukturiranje se kaže tudi v uspešni kandidaturi MO Velenje v okviru Misije 100.</w:t>
            </w:r>
          </w:p>
          <w:p w14:paraId="579C74D1" w14:textId="77777777" w:rsidR="00EB2379" w:rsidRPr="00EB2379" w:rsidRDefault="00EB2379" w:rsidP="00FA408F">
            <w:pPr>
              <w:spacing w:before="5pt"/>
              <w:rPr>
                <w:color w:val="000000"/>
                <w:lang w:val="it-IT"/>
              </w:rPr>
            </w:pPr>
          </w:p>
          <w:p w14:paraId="283A4F2B" w14:textId="77777777" w:rsidR="00EB2379" w:rsidRPr="00EB2379" w:rsidRDefault="00EB2379" w:rsidP="00FA408F">
            <w:pPr>
              <w:spacing w:before="5pt"/>
              <w:rPr>
                <w:color w:val="000000"/>
                <w:lang w:val="it-IT"/>
              </w:rPr>
            </w:pPr>
            <w:r w:rsidRPr="00EB2379">
              <w:rPr>
                <w:color w:val="000000"/>
                <w:lang w:val="it-IT"/>
              </w:rPr>
              <w:t xml:space="preserve">Osnutek </w:t>
            </w:r>
            <w:r w:rsidRPr="00EB2379">
              <w:rPr>
                <w:b/>
                <w:bCs/>
                <w:color w:val="000000"/>
                <w:lang w:val="it-IT"/>
              </w:rPr>
              <w:t>Območnega razvojnega programa Savinjsko-Šaleške regije za obdobje 2021 – 2027</w:t>
            </w:r>
            <w:r w:rsidRPr="00EB2379">
              <w:rPr>
                <w:color w:val="000000"/>
                <w:lang w:val="it-IT"/>
              </w:rPr>
              <w:t xml:space="preserve"> med strateškimi usmeritvami identificira tudi prehod v nizkoogljično in zeleno prihodnost v povezavi s pravičnim energetskim prehodom regije. Tu je za deležnike v regiji ključnega pomena, da se nadomestita predvsem vira daljinska toplotna energija in električna energija, ki jo sedaj proizvaja TEŠ. V povezavi s pravičnih prehodom je za deležnike pomembno tudi ustrezno urejanje degradiranih območij. Poleg vidika pravičnega prehoda v regiji načrtujejo vlaganja na področju URE (energetska prenova stavb, zmanjševanje energetske revščine, energetska učinkovitost v gospodarstvu). Med pomembnimi razvojnimi prioritetami z naložbenim potencialom je tudi področje energetske samooskrbe in spodbujanje OVE, med drugim tudi spodbujanje DS OVE in razvoj in proizvodnja čistejših virov energije in alternativnih goriv. V regiji prepoznavajo tudi pomen naložb na področju krožnega gospodarstva.</w:t>
            </w:r>
          </w:p>
          <w:p w14:paraId="5FFBE4E8" w14:textId="77777777" w:rsidR="00EB2379" w:rsidRPr="00EB2379" w:rsidRDefault="00EB2379" w:rsidP="00FA408F">
            <w:pPr>
              <w:spacing w:before="5pt"/>
              <w:rPr>
                <w:color w:val="000000"/>
                <w:lang w:val="it-IT"/>
              </w:rPr>
            </w:pPr>
            <w:r w:rsidRPr="00EB2379">
              <w:rPr>
                <w:color w:val="000000"/>
                <w:lang w:val="it-IT"/>
              </w:rPr>
              <w:t xml:space="preserve">V SAŠA regiji je med razvojnimi prioritetami na prvem mestu </w:t>
            </w:r>
            <w:r w:rsidRPr="00EB2379">
              <w:rPr>
                <w:b/>
                <w:bCs/>
                <w:color w:val="000000"/>
                <w:lang w:val="it-IT"/>
              </w:rPr>
              <w:t>krepitev konkurenčnosti gospodarstva</w:t>
            </w:r>
            <w:r w:rsidRPr="00EB2379">
              <w:rPr>
                <w:color w:val="000000"/>
                <w:lang w:val="it-IT"/>
              </w:rPr>
              <w:t xml:space="preserve">, kar je tudi bistvenega pomena za pravični prehod regije. Na tem področju želijo deležniki v regiji z vlaganji spodbujati naložbe v nadaljnji razvoj gospodarstva in njegovo internacionalizacijo. Pomembno področje za doseganje cilja pa so tudi vlaganja v izboljšanje inovacijskega sistema v regiji in spodbude za prenos znanja. Pomembna razvojna prioriteta regije so tudi vlaganja v krepitev kompetenc v podjetjih, kar želijo doseči s podporo programom za krepitev znanj in spretnosti za gospodarstvo ter prenos znanja v gospodarstvo. Za izboljšanje konkurenčnosti MSP želijo razviti in optimizirati ekosistem za podporo podjetništvu in inovativnosti ter podpreti izgradnjo infrastrukture, namenjeno razvoju gospodarske </w:t>
            </w:r>
            <w:r w:rsidRPr="00EB2379">
              <w:rPr>
                <w:color w:val="000000"/>
                <w:lang w:val="it-IT"/>
              </w:rPr>
              <w:lastRenderedPageBreak/>
              <w:t>dejavnosti. Podpora bo namenjena tudi krepitvi sodelovanja v evropskem raziskovalnem prostoru in spodbujanju sodelovanja zagonskih podjetij z velikimi podjetji. V regiji področje digitalizacije prepoznavajo tako horizontalno kot vertikalno področje. Zato načrtujejo spodbujati digitalizacijo na različnih področjih, posebej so izpostavljena vlaganja v digitalno preobrazbo gospodarstva.</w:t>
            </w:r>
          </w:p>
          <w:p w14:paraId="5D8992A3" w14:textId="77777777" w:rsidR="00EB2379" w:rsidRPr="00EB2379" w:rsidRDefault="00EB2379" w:rsidP="00FA408F">
            <w:pPr>
              <w:spacing w:before="5pt"/>
              <w:rPr>
                <w:color w:val="000000"/>
                <w:lang w:val="it-IT"/>
              </w:rPr>
            </w:pPr>
            <w:r w:rsidRPr="00EB2379">
              <w:rPr>
                <w:color w:val="000000"/>
                <w:lang w:val="it-IT"/>
              </w:rPr>
              <w:t xml:space="preserve">Okvir za osredotočanje sredstev sklada SPP, ki bodo namenjena preobrazbi gospodarstva nedvomno predstavlja tudi </w:t>
            </w:r>
            <w:r w:rsidRPr="00EB2379">
              <w:rPr>
                <w:b/>
                <w:bCs/>
                <w:color w:val="000000"/>
                <w:lang w:val="it-IT"/>
              </w:rPr>
              <w:t>Strategija pametne specializacije</w:t>
            </w:r>
            <w:r w:rsidRPr="00EB2379">
              <w:rPr>
                <w:color w:val="000000"/>
                <w:lang w:val="it-IT"/>
              </w:rPr>
              <w:t>. V osnutku S5 je jasno postavljen osrednji cilj, to je zeleni prehod, ki ga ni moč uresničiti brez ustreznih znanj in kompetenc kot tudi ne brez ustreznih in dovolj razvitih orodij, torej ključnih omogočitvenih tehnologij, vključno z IKT. Definirana so področja, kjer Slovenija izkazuje kritično maso kapacitet in kompetenc za dosego tega cilja predstavljajo prednostna področja S5: Pametna mesta in skupnosti, Horizontalna mreža informacijsko-komunikacijskih tehnologij (HOM IKT), Zdravje-medicina, Pametne stavbe in dom z lesno verigo, Trajnostna pridelava hrane, Mreže za prehod v krožno gospodarstvo, Trajnostni turizem, Mobilnost, Tovarne prihodnosti, Materiali kot končni produkti. Gre za področja, kjer ima Slovenija inovacijski potencial za vzpostavitev konkurenčne prednosti za umeščanje na globalnih trgih ter s tem za krepitev svoje prepoznavnosti.</w:t>
            </w:r>
          </w:p>
          <w:p w14:paraId="01CB68CF" w14:textId="77777777" w:rsidR="00EB2379" w:rsidRPr="00EB2379" w:rsidRDefault="00EB2379" w:rsidP="00FA408F">
            <w:pPr>
              <w:spacing w:before="5pt"/>
              <w:rPr>
                <w:color w:val="000000"/>
                <w:lang w:val="it-IT"/>
              </w:rPr>
            </w:pPr>
            <w:r w:rsidRPr="00EB2379">
              <w:rPr>
                <w:color w:val="000000"/>
                <w:lang w:val="it-IT"/>
              </w:rPr>
              <w:t xml:space="preserve">Kot izhaja iz </w:t>
            </w:r>
            <w:r w:rsidRPr="00EB2379">
              <w:rPr>
                <w:b/>
                <w:bCs/>
                <w:color w:val="000000"/>
                <w:lang w:val="it-IT"/>
              </w:rPr>
              <w:t xml:space="preserve">Območnega razvojnega programa SAŠA regije 2021-2027 </w:t>
            </w:r>
            <w:r w:rsidRPr="00EB2379">
              <w:rPr>
                <w:color w:val="000000"/>
                <w:lang w:val="it-IT"/>
              </w:rPr>
              <w:t>je eden izmed strateških ciljev za nizkoogljično, zeleno in povezano regijo SAŠA do leta 2030 spodbujanje trajnostne večmodalne mobilnosti in povezljivosti. V regiji prepoznavajo pomen naložb na področju trajnostne mobilnosti, ki poleg spodbujanja kakovostnega življenja prebivalstva predstavlja tudi pomemben element pravičnega prehoda. Na področju trajnostne mobilnosti med ključnimi naložbami v regiji vidijo tiste, s katerimi bo regijo mogoče bolje povezati z drugimi deli države in pa tiste, s katerimi bo mogoče zagotoviti infrastrukturne pogoje za hojo in kolesarjenje ter zmanjšati odvisnost od avtomobilov, predvsem z zagotavljanjem učinkovitega JPP, spodbujanjem sopotništva in multimodalnosti. Na področju mobilnosti med drugim prepoznavajo tudi pomen uporabe sodobnih tehnologij in ustrezno digitalno opremljenost območja za regijo prihodnosti. Strateški cilji ORP SAŠA 2021-2027 so skladni s strateškimi prioritetami in cilji obeh že v letu 2017 izdelanih celostnih prometnih strategij (v nadaljevanju: CPS, angl. SUMP) MO Velenje in Občine Šoštanj.</w:t>
            </w:r>
          </w:p>
          <w:p w14:paraId="73808EC2" w14:textId="77777777" w:rsidR="00EB2379" w:rsidRPr="00EB2379" w:rsidRDefault="00EB2379" w:rsidP="00FA408F">
            <w:pPr>
              <w:spacing w:before="5pt"/>
              <w:rPr>
                <w:color w:val="000000"/>
                <w:lang w:val="it-IT"/>
              </w:rPr>
            </w:pPr>
            <w:r w:rsidRPr="00EB2379">
              <w:rPr>
                <w:color w:val="000000"/>
                <w:lang w:val="it-IT"/>
              </w:rPr>
              <w:t>Deležniki v SAŠA regiji prepoznavajo tudi potrebo po vlaganjih na področjih povezanih z družbenimi vidiki njenega razvoja, saj bodo ta bistvenega pomena pri zagotavljanju pravičnega prehoda. Tako na tem področju predvidevajo ukrepe s katerimi želijo učinkovito in hitro spodbuditi dostop do zaposlitve, s poudarkom na ranljivih ciljnih skupinah ter hitrejšemu prehodu mladih na trg dela. Na področju zaposlovanja bodo pomembni tudi ukrepi za posodobitev programov za prilagoditev trga dela in spodbujanje mobilnosti delovne sile, pa tudi vzpostavitev regionalnih centrov in/ali programov za spodbujanje zaposlovanja. Na področju izobraževanja v regiji med drugim prepoznavajo potrebo po vlaganjih v boljše sodelovanje delodajalcev z različnimi izobraževalnimi institucijami, v štipendiranje tistih, ki bi želeli pridobiti višjo izobrazbo in za programe s katerimi bi pri ciljnih populacijah, tudi pri mladih, krepili ključne kompetence. Po mnenju deležnikov so izjemnega pomena tudi vlaganja na področju vseživljenjskega učenja in prekvalifikacij pa tudi na področju dviga izobrazbene ravni posameznikov na srednješolski in višji ravni in podaljševanju obdobja delovne aktivnosti.</w:t>
            </w:r>
          </w:p>
          <w:p w14:paraId="25F1A636" w14:textId="77777777" w:rsidR="00EB2379" w:rsidRPr="00EB2379" w:rsidRDefault="00EB2379" w:rsidP="00FA408F">
            <w:pPr>
              <w:spacing w:before="5pt"/>
              <w:rPr>
                <w:color w:val="000000"/>
                <w:lang w:val="it-IT"/>
              </w:rPr>
            </w:pPr>
            <w:r w:rsidRPr="00EB2379">
              <w:rPr>
                <w:color w:val="000000"/>
                <w:lang w:val="it-IT"/>
              </w:rPr>
              <w:t>(1) Celoviti nacionalni energetski in podnebni načrt (NEPN 5.0), 28.2.2020 (energetika-portal.si)</w:t>
            </w:r>
          </w:p>
          <w:p w14:paraId="4282283B" w14:textId="77777777" w:rsidR="00EB2379" w:rsidRPr="00EB2379" w:rsidRDefault="00EB2379" w:rsidP="00FA408F">
            <w:pPr>
              <w:spacing w:before="5pt"/>
              <w:rPr>
                <w:color w:val="000000"/>
                <w:lang w:val="it-IT"/>
              </w:rPr>
            </w:pPr>
            <w:r w:rsidRPr="00EB2379">
              <w:rPr>
                <w:color w:val="000000"/>
                <w:lang w:val="it-IT"/>
              </w:rPr>
              <w:t>(2) https://www.energetika-portal.si/fileadmin/dokumenti/publikacije/nepn/dokumenti/nepn_2024_pos_v5.0_avg2024.pdf</w:t>
            </w:r>
          </w:p>
          <w:p w14:paraId="164E2545" w14:textId="77777777" w:rsidR="00EB2379" w:rsidRPr="00EB2379" w:rsidRDefault="00EB2379" w:rsidP="00FA408F">
            <w:pPr>
              <w:spacing w:before="5pt"/>
              <w:rPr>
                <w:color w:val="000000"/>
                <w:sz w:val="6"/>
                <w:lang w:val="it-IT"/>
              </w:rPr>
            </w:pPr>
          </w:p>
          <w:p w14:paraId="4EF886A2" w14:textId="77777777" w:rsidR="00EB2379" w:rsidRPr="00EB2379" w:rsidRDefault="00EB2379" w:rsidP="00FA408F">
            <w:pPr>
              <w:spacing w:before="5pt"/>
              <w:rPr>
                <w:color w:val="000000"/>
                <w:sz w:val="6"/>
                <w:lang w:val="it-IT"/>
              </w:rPr>
            </w:pPr>
          </w:p>
        </w:tc>
      </w:tr>
    </w:tbl>
    <w:p w14:paraId="6E8D63D4" w14:textId="77777777" w:rsidR="00EB2379" w:rsidRPr="00EB2379" w:rsidRDefault="00EB2379" w:rsidP="00EB2379">
      <w:pPr>
        <w:spacing w:before="5pt"/>
        <w:rPr>
          <w:color w:val="000000"/>
          <w:sz w:val="12"/>
          <w:lang w:val="it-IT"/>
        </w:rPr>
      </w:pPr>
    </w:p>
    <w:p w14:paraId="413B9B53" w14:textId="77777777" w:rsidR="00EB2379" w:rsidRDefault="00EB2379" w:rsidP="00EB2379">
      <w:pPr>
        <w:pStyle w:val="Naslov3"/>
        <w:spacing w:before="5pt" w:after="0pt"/>
        <w:rPr>
          <w:rFonts w:ascii="Times New Roman" w:hAnsi="Times New Roman" w:cs="Times New Roman"/>
          <w:b w:val="0"/>
          <w:color w:val="000000"/>
          <w:sz w:val="24"/>
        </w:rPr>
      </w:pPr>
      <w:bookmarkStart w:id="741" w:name="_Toc256000020"/>
      <w:r>
        <w:rPr>
          <w:rFonts w:ascii="Times New Roman" w:hAnsi="Times New Roman" w:cs="Times New Roman"/>
          <w:b w:val="0"/>
          <w:color w:val="000000"/>
          <w:sz w:val="24"/>
        </w:rPr>
        <w:t>2.4. Predvidene vrste operacij</w:t>
      </w:r>
      <w:bookmarkEnd w:id="741"/>
    </w:p>
    <w:p w14:paraId="26C29ACB" w14:textId="77777777" w:rsidR="00EB2379" w:rsidRDefault="00EB2379" w:rsidP="00EB2379">
      <w:pPr>
        <w:spacing w:before="5pt"/>
        <w:rPr>
          <w:color w:val="000000"/>
          <w:sz w:val="0"/>
        </w:rPr>
      </w:pPr>
    </w:p>
    <w:p w14:paraId="12B916D8" w14:textId="77777777" w:rsidR="00EB2379" w:rsidRDefault="00EB2379" w:rsidP="00EB2379">
      <w:pPr>
        <w:spacing w:before="5pt"/>
        <w:rPr>
          <w:color w:val="000000"/>
          <w:sz w:val="16"/>
        </w:rPr>
      </w:pPr>
      <w:r>
        <w:rPr>
          <w:color w:val="000000"/>
        </w:rPr>
        <w:t>Sklic: člen 11(2)(g) do (k) in (5)</w:t>
      </w:r>
    </w:p>
    <w:p w14:paraId="61AE1FAD" w14:textId="77777777" w:rsidR="00EB2379" w:rsidRDefault="00EB2379" w:rsidP="00EB2379">
      <w:pPr>
        <w:spacing w:before="5pt"/>
        <w:rPr>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EB2379" w:rsidRPr="00EB2379" w14:paraId="46BB06EA" w14:textId="77777777" w:rsidTr="00FA408F">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022D6D" w14:textId="77777777" w:rsidR="00EB2379" w:rsidRDefault="00EB2379" w:rsidP="00FA408F">
            <w:pPr>
              <w:spacing w:before="5pt"/>
              <w:rPr>
                <w:color w:val="000000"/>
                <w:sz w:val="0"/>
              </w:rPr>
            </w:pPr>
          </w:p>
          <w:p w14:paraId="1E9598EC" w14:textId="77777777" w:rsidR="00EB2379" w:rsidRDefault="00EB2379" w:rsidP="00FA408F">
            <w:pPr>
              <w:spacing w:before="5pt"/>
              <w:rPr>
                <w:color w:val="000000"/>
              </w:rPr>
            </w:pPr>
            <w:r>
              <w:rPr>
                <w:b/>
                <w:bCs/>
                <w:i/>
                <w:iCs/>
                <w:color w:val="000000"/>
              </w:rPr>
              <w:t>1. Pravični energetski prehod</w:t>
            </w:r>
          </w:p>
          <w:p w14:paraId="6C1865FB" w14:textId="77777777" w:rsidR="00EB2379" w:rsidRDefault="00EB2379" w:rsidP="00FA408F">
            <w:pPr>
              <w:spacing w:before="5pt"/>
              <w:rPr>
                <w:color w:val="000000"/>
              </w:rPr>
            </w:pPr>
            <w:r>
              <w:rPr>
                <w:color w:val="000000"/>
              </w:rPr>
              <w:t xml:space="preserve">Celovito energetsko prestrukturiranje regije je eden od ključnih izzivov in hkrati temelj za njeno razogljičenje. Temeljilo bo na načelu celovitega pristopa, upoštevajoč načelo »najprej energetska </w:t>
            </w:r>
            <w:r>
              <w:rPr>
                <w:color w:val="000000"/>
              </w:rPr>
              <w:lastRenderedPageBreak/>
              <w:t>učinkovitost« za optimizacijo/zmanjšanje rabe energije, čemur bodo sledile naložbe v ustrezno prilagojeno »mešanico« OVE za zmanjšanje odvisnosti od fosilnih goriv ter povečanje odpornosti.</w:t>
            </w:r>
          </w:p>
          <w:p w14:paraId="7F0D3CA0" w14:textId="77777777" w:rsidR="00EB2379" w:rsidRPr="00EB2379" w:rsidRDefault="00EB2379" w:rsidP="00FA408F">
            <w:pPr>
              <w:spacing w:before="5pt"/>
              <w:rPr>
                <w:color w:val="000000"/>
                <w:lang w:val="it-IT"/>
              </w:rPr>
            </w:pPr>
            <w:r w:rsidRPr="00EB2379">
              <w:rPr>
                <w:color w:val="000000"/>
                <w:lang w:val="it-IT"/>
              </w:rPr>
              <w:t>Za doseganje tega cilja smo identificirali ukrepe:</w:t>
            </w:r>
          </w:p>
          <w:p w14:paraId="39DBBC70" w14:textId="77777777" w:rsidR="00EB2379" w:rsidRPr="00EB2379" w:rsidRDefault="00EB2379" w:rsidP="00FA408F">
            <w:pPr>
              <w:spacing w:before="5pt"/>
              <w:rPr>
                <w:color w:val="000000"/>
                <w:lang w:val="it-IT"/>
              </w:rPr>
            </w:pPr>
            <w:r w:rsidRPr="00EB2379">
              <w:rPr>
                <w:b/>
                <w:bCs/>
                <w:i/>
                <w:iCs/>
                <w:color w:val="000000"/>
                <w:lang w:val="it-IT"/>
              </w:rPr>
              <w:t xml:space="preserve">1.1. </w:t>
            </w:r>
            <w:r w:rsidRPr="00EB2379">
              <w:rPr>
                <w:b/>
                <w:bCs/>
                <w:color w:val="000000"/>
                <w:lang w:val="it-IT"/>
              </w:rPr>
              <w:t>Preureditev sistema daljinskega ogrevanja za</w:t>
            </w:r>
            <w:r w:rsidRPr="00EB2379">
              <w:rPr>
                <w:color w:val="000000"/>
                <w:lang w:val="it-IT"/>
              </w:rPr>
              <w:t xml:space="preserve"> zagotavljanje cenovno dostopnega vira energije za ogrevanje in hlajenje ob hkratnem ohranjanju kakovosti zraka, v okviru katerega bomo podpirali:</w:t>
            </w:r>
          </w:p>
          <w:p w14:paraId="3DD8E755" w14:textId="77777777" w:rsidR="00EB2379" w:rsidRPr="00EB2379" w:rsidRDefault="00EB2379" w:rsidP="00FA408F">
            <w:pPr>
              <w:spacing w:before="5pt"/>
              <w:rPr>
                <w:color w:val="000000"/>
                <w:lang w:val="it-IT"/>
              </w:rPr>
            </w:pPr>
            <w:r w:rsidRPr="00EB2379">
              <w:rPr>
                <w:color w:val="000000"/>
                <w:lang w:val="it-IT"/>
              </w:rPr>
              <w:t>-naložbe v obstoječo infrastrukturo, ki bo omogočila optimizacijo (zmanjšanje izgub) in postopen zagon energetsko učinkovite decentralizirane proizvodnje toplotne energije in/ali hladu skladno z URE. Podpora bo namenjena tudi vlaganjem v vključitev alternativnih virov proizvodnje toplotne energije na distribucijski sistemih;</w:t>
            </w:r>
          </w:p>
          <w:p w14:paraId="452F8F21" w14:textId="77777777" w:rsidR="00EB2379" w:rsidRPr="00EB2379" w:rsidRDefault="00EB2379" w:rsidP="00FA408F">
            <w:pPr>
              <w:spacing w:before="5pt"/>
              <w:rPr>
                <w:color w:val="000000"/>
                <w:lang w:val="it-IT"/>
              </w:rPr>
            </w:pPr>
            <w:r w:rsidRPr="00EB2379">
              <w:rPr>
                <w:color w:val="000000"/>
                <w:lang w:val="it-IT"/>
              </w:rPr>
              <w:t>-naložbe v kapacitete za zanesljivo preskrbo s toplotno energijo in/ali hladom, ki bo temeljila na OVE. Vlaganja v nove proizvodne kapacitete bodo ob zmanjševanju emisij toplogrednih plinov prispevala tudi k ohranjanju kakovosti zraka;</w:t>
            </w:r>
          </w:p>
          <w:p w14:paraId="4C92CA5E" w14:textId="77777777" w:rsidR="00EB2379" w:rsidRPr="00EB2379" w:rsidRDefault="00EB2379" w:rsidP="00FA408F">
            <w:pPr>
              <w:spacing w:before="5pt"/>
              <w:rPr>
                <w:color w:val="000000"/>
                <w:lang w:val="it-IT"/>
              </w:rPr>
            </w:pPr>
            <w:r w:rsidRPr="00EB2379">
              <w:rPr>
                <w:color w:val="000000"/>
                <w:lang w:val="it-IT"/>
              </w:rPr>
              <w:t>-podpora digitalizaciji oskrbe in napajanja distribucijskega sistema toplote/hladu za prilagoditev za sprejem OVE.</w:t>
            </w:r>
          </w:p>
          <w:p w14:paraId="366A48C6" w14:textId="77777777" w:rsidR="00EB2379" w:rsidRPr="00EB2379" w:rsidRDefault="00EB2379" w:rsidP="00FA408F">
            <w:pPr>
              <w:spacing w:before="5pt"/>
              <w:rPr>
                <w:color w:val="000000"/>
                <w:lang w:val="it-IT"/>
              </w:rPr>
            </w:pPr>
            <w:r w:rsidRPr="00EB2379">
              <w:rPr>
                <w:b/>
                <w:bCs/>
                <w:color w:val="000000"/>
                <w:lang w:val="it-IT"/>
              </w:rPr>
              <w:t>1.2. Ukrepi za izboljšanje energetske učinkovitosti v gospodarstvu</w:t>
            </w:r>
            <w:r w:rsidRPr="00EB2379">
              <w:rPr>
                <w:color w:val="000000"/>
                <w:lang w:val="it-IT"/>
              </w:rPr>
              <w:t xml:space="preserve"> bodo podprti v okviru podpore produktivnim naložbam (SC 3), v kombinacijami z aktivnostmi za razogljičenje, snovno učinkovitost, ustvarjanje delovnih mest ipd.</w:t>
            </w:r>
          </w:p>
          <w:p w14:paraId="2676987E" w14:textId="77777777" w:rsidR="00EB2379" w:rsidRPr="00EB2379" w:rsidRDefault="00EB2379" w:rsidP="00FA408F">
            <w:pPr>
              <w:spacing w:before="5pt"/>
              <w:rPr>
                <w:color w:val="000000"/>
                <w:lang w:val="it-IT"/>
              </w:rPr>
            </w:pPr>
            <w:r w:rsidRPr="00EB2379">
              <w:rPr>
                <w:b/>
                <w:bCs/>
                <w:color w:val="000000"/>
                <w:lang w:val="it-IT"/>
              </w:rPr>
              <w:t>1.3. Na področju spodbujanja rabe</w:t>
            </w:r>
            <w:r w:rsidRPr="00EB2379">
              <w:rPr>
                <w:color w:val="000000"/>
                <w:lang w:val="it-IT"/>
              </w:rPr>
              <w:t xml:space="preserve"> </w:t>
            </w:r>
            <w:r w:rsidRPr="00EB2379">
              <w:rPr>
                <w:b/>
                <w:bCs/>
                <w:color w:val="000000"/>
                <w:lang w:val="it-IT"/>
              </w:rPr>
              <w:t xml:space="preserve">OVE </w:t>
            </w:r>
            <w:r w:rsidRPr="00EB2379">
              <w:rPr>
                <w:color w:val="000000"/>
                <w:lang w:val="it-IT"/>
              </w:rPr>
              <w:t>bomo podpirali:</w:t>
            </w:r>
          </w:p>
          <w:p w14:paraId="2EC4D4F8" w14:textId="77777777" w:rsidR="00EB2379" w:rsidRPr="00EB2379" w:rsidRDefault="00EB2379" w:rsidP="00FA408F">
            <w:pPr>
              <w:spacing w:before="5pt"/>
              <w:rPr>
                <w:color w:val="000000"/>
                <w:lang w:val="it-IT"/>
              </w:rPr>
            </w:pPr>
            <w:r w:rsidRPr="00EB2379">
              <w:rPr>
                <w:b/>
                <w:bCs/>
                <w:color w:val="000000"/>
                <w:lang w:val="it-IT"/>
              </w:rPr>
              <w:t>1.3.1</w:t>
            </w:r>
            <w:r w:rsidRPr="00EB2379">
              <w:rPr>
                <w:color w:val="000000"/>
                <w:lang w:val="it-IT"/>
              </w:rPr>
              <w:t xml:space="preserve"> </w:t>
            </w:r>
            <w:r w:rsidRPr="00EB2379">
              <w:rPr>
                <w:b/>
                <w:bCs/>
                <w:color w:val="000000"/>
                <w:lang w:val="it-IT"/>
              </w:rPr>
              <w:t>Dvig proizvodnih zmogljivosti</w:t>
            </w:r>
            <w:r w:rsidRPr="00EB2379">
              <w:rPr>
                <w:color w:val="000000"/>
                <w:lang w:val="it-IT"/>
              </w:rPr>
              <w:t xml:space="preserve"> </w:t>
            </w:r>
            <w:r w:rsidRPr="00EB2379">
              <w:rPr>
                <w:b/>
                <w:bCs/>
                <w:color w:val="000000"/>
                <w:lang w:val="it-IT"/>
              </w:rPr>
              <w:t>za zanesljivo proizvodnjo električne energije iz OVE,</w:t>
            </w:r>
            <w:r w:rsidRPr="00EB2379">
              <w:rPr>
                <w:color w:val="000000"/>
                <w:lang w:val="it-IT"/>
              </w:rPr>
              <w:t xml:space="preserve"> vključno z zmogljivostjo distribucijskega omrežja, naložbe v sistemske hranilnike električne energije, vzpostavitve OVE skupnosti z namenom zmanjšanja energetske revščine in revitalizacije prostorsko in okoljsko degradiranih območij, na saniranih in revitaliziranih prostorsko in okoljsko degradiranih območjih, povezanih s premogovništvom in rabo premoga, zlasti na območju TEŠ.</w:t>
            </w:r>
          </w:p>
          <w:p w14:paraId="502AF49A" w14:textId="77777777" w:rsidR="00EB2379" w:rsidRPr="00EB2379" w:rsidRDefault="00EB2379" w:rsidP="00FA408F">
            <w:pPr>
              <w:spacing w:before="5pt"/>
              <w:rPr>
                <w:color w:val="000000"/>
                <w:lang w:val="it-IT"/>
              </w:rPr>
            </w:pPr>
            <w:r w:rsidRPr="00EB2379">
              <w:rPr>
                <w:b/>
                <w:bCs/>
                <w:color w:val="000000"/>
                <w:lang w:val="it-IT"/>
              </w:rPr>
              <w:t>1.3.2 Proizvodnja energije iz OVE</w:t>
            </w:r>
            <w:r w:rsidRPr="00EB2379">
              <w:rPr>
                <w:color w:val="000000"/>
                <w:lang w:val="it-IT"/>
              </w:rPr>
              <w:t>, vključno z naprednimi biogorivi po predhodni preučitvi drugih OVE, oziroma razvoj rešitev na področju shranjevanja električne energije tudi v povezavi s spodbujanjem e-mobilnosti, pilotnih projektov in za proizvodnjo vodika , na saniranih in revitaliziranih prostorsko in okoljsko degradiranih območjih, povezanih s premogovništvom in rabo premoga, zlasti na območju TEŠ.</w:t>
            </w:r>
          </w:p>
          <w:p w14:paraId="1AF68EDD" w14:textId="77777777" w:rsidR="00EB2379" w:rsidRPr="00EB2379" w:rsidRDefault="00EB2379" w:rsidP="00FA408F">
            <w:pPr>
              <w:spacing w:before="5pt"/>
              <w:rPr>
                <w:color w:val="000000"/>
                <w:lang w:val="it-IT"/>
              </w:rPr>
            </w:pPr>
            <w:r w:rsidRPr="00EB2379">
              <w:rPr>
                <w:color w:val="000000"/>
                <w:lang w:val="it-IT"/>
              </w:rPr>
              <w:t>Izvajanje aktivnosti sanacije in revitalizacije prostorsko in okoljsko degradiranih območij se ob izvajalo ob upoštevanju načela „onesnaževalec plača” in bo komplementarno izvajanju ukrepov v okviru zakona o zapiranju PV:</w:t>
            </w:r>
          </w:p>
          <w:p w14:paraId="7FD382BB" w14:textId="77777777" w:rsidR="00EB2379" w:rsidRPr="00EB2379" w:rsidRDefault="00EB2379" w:rsidP="00FA408F">
            <w:pPr>
              <w:numPr>
                <w:ilvl w:val="0"/>
                <w:numId w:val="1"/>
              </w:numPr>
              <w:spacing w:before="5pt"/>
              <w:rPr>
                <w:color w:val="000000"/>
                <w:lang w:val="it-IT"/>
              </w:rPr>
            </w:pPr>
            <w:r w:rsidRPr="00EB2379">
              <w:rPr>
                <w:color w:val="000000"/>
                <w:lang w:val="it-IT"/>
              </w:rPr>
              <w:t>Postopno in učinkovito zapiranje rudnika na podlagi celostnega programa zapiranja ter zagotovitev ustrezne, okoljsko sprejemljive rešitve za presežno proizvodnjo, ki bo posledica izvajanja zapiralnih del (tj. izkop, ki je posledica izvajanja zapiralnih del). Izstop iz premoga, najpozneje v letu 2033 bo podprt s pripravo zakonskega okvira za zapiranje premogovnika in prestrukturiranja regije, ki bo usklajen s socialnimi partnerji in ključnimi deležniki v regiji:</w:t>
            </w:r>
          </w:p>
          <w:p w14:paraId="704B46F4" w14:textId="77777777" w:rsidR="00EB2379" w:rsidRPr="00EB2379" w:rsidRDefault="00EB2379" w:rsidP="00FA408F">
            <w:pPr>
              <w:numPr>
                <w:ilvl w:val="0"/>
                <w:numId w:val="1"/>
              </w:numPr>
              <w:spacing w:before="5pt"/>
              <w:rPr>
                <w:color w:val="000000"/>
                <w:lang w:val="it-IT"/>
              </w:rPr>
            </w:pPr>
            <w:r w:rsidRPr="00EB2379">
              <w:rPr>
                <w:color w:val="000000"/>
                <w:lang w:val="it-IT"/>
              </w:rPr>
              <w:t>zagotavljanje dolgoročne odgovornosti za celovito sanacijo in revitalizacijo rudarskih območij ter dolgoročno spremljanje in upravljanje rudarskega območja po prenehanju rudarjenja.</w:t>
            </w:r>
          </w:p>
          <w:p w14:paraId="12EDE4C5" w14:textId="77777777" w:rsidR="00EB2379" w:rsidRPr="00EB2379" w:rsidRDefault="00EB2379" w:rsidP="00FA408F">
            <w:pPr>
              <w:spacing w:before="5pt"/>
              <w:rPr>
                <w:color w:val="000000"/>
                <w:lang w:val="it-IT"/>
              </w:rPr>
            </w:pPr>
            <w:r w:rsidRPr="00EB2379">
              <w:rPr>
                <w:color w:val="000000"/>
                <w:lang w:val="it-IT"/>
              </w:rPr>
              <w:t>Glavna ciljna skupina za zgoraj navedene ukrepe bodo skupnosti na področju OVE in energetske skupnosti državljanov kot jih predvideva »Direktiva (EU) 2018/2001 o spodbujanju uporabe energije iz obnovljivih virov« in »Direktiva (EU) 2019/944 o skupnih pravilih notranjega trga električne energije in spremembi Direktive 2012/27/EU«.</w:t>
            </w:r>
          </w:p>
          <w:p w14:paraId="4B6E2338" w14:textId="77777777" w:rsidR="00EB2379" w:rsidRPr="00EB2379" w:rsidRDefault="00EB2379" w:rsidP="00FA408F">
            <w:pPr>
              <w:spacing w:before="5pt"/>
              <w:rPr>
                <w:color w:val="000000"/>
                <w:lang w:val="it-IT"/>
              </w:rPr>
            </w:pPr>
            <w:r w:rsidRPr="00EB2379">
              <w:rPr>
                <w:b/>
                <w:bCs/>
                <w:i/>
                <w:iCs/>
                <w:color w:val="000000"/>
                <w:lang w:val="it-IT"/>
              </w:rPr>
              <w:t>2. Zaposlitve in veščine za vse</w:t>
            </w:r>
          </w:p>
          <w:p w14:paraId="5B4A0A63" w14:textId="77777777" w:rsidR="00EB2379" w:rsidRPr="00EB2379" w:rsidRDefault="00EB2379" w:rsidP="00FA408F">
            <w:pPr>
              <w:spacing w:before="5pt"/>
              <w:rPr>
                <w:color w:val="000000"/>
                <w:lang w:val="it-IT"/>
              </w:rPr>
            </w:pPr>
            <w:r w:rsidRPr="00EB2379">
              <w:rPr>
                <w:color w:val="000000"/>
                <w:lang w:val="it-IT"/>
              </w:rPr>
              <w:t>Na področju ravnanja s človeškimi viri in vlaganja v človeške vire so s sredstvi SPP predvideni ukrepi:</w:t>
            </w:r>
          </w:p>
          <w:p w14:paraId="427D5926" w14:textId="77777777" w:rsidR="00EB2379" w:rsidRPr="00EB2379" w:rsidRDefault="00EB2379" w:rsidP="00FA408F">
            <w:pPr>
              <w:spacing w:before="5pt"/>
              <w:rPr>
                <w:color w:val="000000"/>
                <w:lang w:val="it-IT"/>
              </w:rPr>
            </w:pPr>
            <w:r w:rsidRPr="00EB2379">
              <w:rPr>
                <w:b/>
                <w:bCs/>
                <w:color w:val="000000"/>
                <w:lang w:val="it-IT"/>
              </w:rPr>
              <w:t>2.1 Obogateno izvajanje kakovostnega in dostopnega učenja</w:t>
            </w:r>
            <w:r w:rsidRPr="00EB2379">
              <w:rPr>
                <w:color w:val="000000"/>
                <w:lang w:val="it-IT"/>
              </w:rPr>
              <w:t>, s poudarkom na krepitvi ključnih kompetenc (predvsem kompetence podjetnosti, digitalne in zelene kompetence) šolajočih in strokovnih delavcev, ter vključujočega vzgojno-izobraževalnega okolja po celotni vertikali (od vrtcev do višjega šolstva), ter digitalna preobrazba šolskega prostora.</w:t>
            </w:r>
          </w:p>
          <w:p w14:paraId="5DD1D0D5" w14:textId="77777777" w:rsidR="00EB2379" w:rsidRPr="00EB2379" w:rsidRDefault="00EB2379" w:rsidP="00FA408F">
            <w:pPr>
              <w:spacing w:before="5pt"/>
              <w:rPr>
                <w:color w:val="000000"/>
                <w:lang w:val="it-IT"/>
              </w:rPr>
            </w:pPr>
            <w:r w:rsidRPr="00EB2379">
              <w:rPr>
                <w:b/>
                <w:bCs/>
                <w:color w:val="000000"/>
                <w:lang w:val="it-IT"/>
              </w:rPr>
              <w:lastRenderedPageBreak/>
              <w:t>2.2. Vseživljenjska karierna orientacija</w:t>
            </w:r>
            <w:r w:rsidRPr="00EB2379">
              <w:rPr>
                <w:color w:val="000000"/>
                <w:lang w:val="it-IT"/>
              </w:rPr>
              <w:t xml:space="preserve">, </w:t>
            </w:r>
            <w:r w:rsidRPr="00EB2379">
              <w:rPr>
                <w:b/>
                <w:bCs/>
                <w:color w:val="000000"/>
                <w:lang w:val="it-IT"/>
              </w:rPr>
              <w:t>usposabljanje in izobraževanje brezposelnih ter iskalcev zaposlitve, vključno z zaposlenimi</w:t>
            </w:r>
            <w:r w:rsidRPr="00EB2379">
              <w:rPr>
                <w:color w:val="000000"/>
                <w:lang w:val="it-IT"/>
              </w:rPr>
              <w:t xml:space="preserve"> (informiranje, motiviranje, aktivnosti svetovanja zaposlenim, izobraževanja in usposabljanja, prekvalifikacije in dokvalifikacije) s ciljem prehoda v novo zaposlitev ali samozaposlovanje.</w:t>
            </w:r>
          </w:p>
          <w:p w14:paraId="554566E6" w14:textId="77777777" w:rsidR="00EB2379" w:rsidRPr="00EB2379" w:rsidRDefault="00EB2379" w:rsidP="00FA408F">
            <w:pPr>
              <w:spacing w:before="5pt"/>
              <w:rPr>
                <w:color w:val="000000"/>
                <w:lang w:val="it-IT"/>
              </w:rPr>
            </w:pPr>
            <w:r w:rsidRPr="00EB2379">
              <w:rPr>
                <w:b/>
                <w:bCs/>
                <w:color w:val="000000"/>
                <w:lang w:val="it-IT"/>
              </w:rPr>
              <w:t>2.3 Uvajanje krožnih vsebin v vzgojno izobraževalni sistem,</w:t>
            </w:r>
            <w:r w:rsidRPr="00EB2379">
              <w:rPr>
                <w:color w:val="000000"/>
                <w:lang w:val="it-IT"/>
              </w:rPr>
              <w:t xml:space="preserve"> predvsem vsebin, znanja in kompetenc, potrebnih za zelena delovna mesta ter za prehod v nizkoogljično družbo in gospodarstvo (v skladu s cilji področja vzgoje in izobraževanja za trajnostni razvoj- VITR).</w:t>
            </w:r>
          </w:p>
          <w:p w14:paraId="6289787E" w14:textId="77777777" w:rsidR="00EB2379" w:rsidRPr="00EB2379" w:rsidRDefault="00EB2379" w:rsidP="00FA408F">
            <w:pPr>
              <w:spacing w:before="5pt"/>
              <w:rPr>
                <w:color w:val="000000"/>
                <w:lang w:val="it-IT"/>
              </w:rPr>
            </w:pPr>
            <w:r w:rsidRPr="00EB2379">
              <w:rPr>
                <w:b/>
                <w:bCs/>
                <w:i/>
                <w:iCs/>
                <w:color w:val="000000"/>
                <w:lang w:val="it-IT"/>
              </w:rPr>
              <w:t>3. Trajnostni, prožni in raznolik gospodarski razvoj</w:t>
            </w:r>
          </w:p>
          <w:p w14:paraId="4EE06C0A" w14:textId="77777777" w:rsidR="00EB2379" w:rsidRPr="00EB2379" w:rsidRDefault="00EB2379" w:rsidP="00FA408F">
            <w:pPr>
              <w:spacing w:before="5pt"/>
              <w:rPr>
                <w:color w:val="000000"/>
                <w:lang w:val="it-IT"/>
              </w:rPr>
            </w:pPr>
            <w:r w:rsidRPr="00EB2379">
              <w:rPr>
                <w:color w:val="000000"/>
                <w:lang w:val="it-IT"/>
              </w:rPr>
              <w:t>Doseganje strateškega cilja trajnostni, prožni in raznolik gospodarski razvoj predstavlja temelj za uspešno in pravično prestrukturiranje regije v smeri podnebne nevtralnosti in učinkovite rabe surovin.</w:t>
            </w:r>
          </w:p>
          <w:p w14:paraId="129D958D" w14:textId="77777777" w:rsidR="00EB2379" w:rsidRPr="00EB2379" w:rsidRDefault="00EB2379" w:rsidP="00FA408F">
            <w:pPr>
              <w:spacing w:before="5pt"/>
              <w:rPr>
                <w:color w:val="000000"/>
                <w:lang w:val="it-IT"/>
              </w:rPr>
            </w:pPr>
            <w:r w:rsidRPr="00EB2379">
              <w:rPr>
                <w:color w:val="000000"/>
                <w:lang w:val="it-IT"/>
              </w:rPr>
              <w:t>Načrtovana kombinacija ukrepov bo usmerjena v gospodarsko prestrukturiranje regije, skladno z NEPN in S5, Slovensko industrijsko strategijo ter območnim razvojnim programom SAŠA, v smeri prehoda v nizkoogljično, krožno, digitalizirano gospodarstvo z izkoriščanjem oziroma preobrazbo obstoječih dejavnosti, vezanih na dosedanjo premogovno intenzivno gospodarsko aktivnost.</w:t>
            </w:r>
          </w:p>
          <w:p w14:paraId="427EF480" w14:textId="77777777" w:rsidR="00EB2379" w:rsidRPr="00EB2379" w:rsidRDefault="00EB2379" w:rsidP="00FA408F">
            <w:pPr>
              <w:spacing w:before="5pt"/>
              <w:rPr>
                <w:color w:val="000000"/>
                <w:lang w:val="it-IT"/>
              </w:rPr>
            </w:pPr>
            <w:r w:rsidRPr="00EB2379">
              <w:rPr>
                <w:color w:val="000000"/>
                <w:lang w:val="it-IT"/>
              </w:rPr>
              <w:t>Ukrepi so usmerjeni v :</w:t>
            </w:r>
          </w:p>
          <w:p w14:paraId="1B76A7C5" w14:textId="77777777" w:rsidR="00EB2379" w:rsidRPr="00EB2379" w:rsidRDefault="00EB2379" w:rsidP="00FA408F">
            <w:pPr>
              <w:spacing w:before="5pt"/>
              <w:rPr>
                <w:color w:val="000000"/>
                <w:lang w:val="it-IT"/>
              </w:rPr>
            </w:pPr>
            <w:r w:rsidRPr="00EB2379">
              <w:rPr>
                <w:color w:val="000000"/>
                <w:lang w:val="it-IT"/>
              </w:rPr>
              <w:t>I)diverzifikacijo gospodarstva, s podporo novim in obstoječim industrijam v smeri prehoda na nizkoogljično gospodarstvo in</w:t>
            </w:r>
          </w:p>
          <w:p w14:paraId="320EFF2B" w14:textId="77777777" w:rsidR="00EB2379" w:rsidRPr="00EB2379" w:rsidRDefault="00EB2379" w:rsidP="00FA408F">
            <w:pPr>
              <w:spacing w:before="5pt"/>
              <w:rPr>
                <w:color w:val="000000"/>
                <w:lang w:val="it-IT"/>
              </w:rPr>
            </w:pPr>
            <w:r w:rsidRPr="00EB2379">
              <w:rPr>
                <w:color w:val="000000"/>
                <w:lang w:val="it-IT"/>
              </w:rPr>
              <w:t>II) podporno okolje za zagon podjetij in vlaganja v RRI.</w:t>
            </w:r>
          </w:p>
          <w:p w14:paraId="045FDCDB" w14:textId="77777777" w:rsidR="00EB2379" w:rsidRPr="00EB2379" w:rsidRDefault="00EB2379" w:rsidP="00FA408F">
            <w:pPr>
              <w:spacing w:before="5pt"/>
              <w:rPr>
                <w:color w:val="000000"/>
                <w:lang w:val="it-IT"/>
              </w:rPr>
            </w:pPr>
            <w:r w:rsidRPr="00EB2379">
              <w:rPr>
                <w:color w:val="000000"/>
                <w:lang w:val="it-IT"/>
              </w:rPr>
              <w:t>Za financiranje konkretnih projektov v okviru tega cilja se lahko poleg nepovratnih sredstev SPP (prvi steber MPP) uporabi tudi možnosti financiranja iz drugega stebra (namenska shema v okviru programa InvestEU za zasebne naložbe).</w:t>
            </w:r>
          </w:p>
          <w:p w14:paraId="6CA874EE" w14:textId="77777777" w:rsidR="00EB2379" w:rsidRPr="00EB2379" w:rsidRDefault="00EB2379" w:rsidP="00FA408F">
            <w:pPr>
              <w:spacing w:before="5pt"/>
              <w:rPr>
                <w:color w:val="000000"/>
                <w:lang w:val="it-IT"/>
              </w:rPr>
            </w:pPr>
            <w:r w:rsidRPr="00EB2379">
              <w:rPr>
                <w:color w:val="000000"/>
                <w:lang w:val="it-IT"/>
              </w:rPr>
              <w:t>Sredstva sklada za pravični prehod bodo zato namenjena podpori naslednjim (sklopom) ukrepov:</w:t>
            </w:r>
          </w:p>
          <w:p w14:paraId="159AB138" w14:textId="77777777" w:rsidR="00EB2379" w:rsidRPr="00EB2379" w:rsidRDefault="00EB2379" w:rsidP="00FA408F">
            <w:pPr>
              <w:spacing w:before="5pt"/>
              <w:rPr>
                <w:color w:val="000000"/>
                <w:lang w:val="it-IT"/>
              </w:rPr>
            </w:pPr>
            <w:r w:rsidRPr="00EB2379">
              <w:rPr>
                <w:b/>
                <w:bCs/>
                <w:i/>
                <w:iCs/>
                <w:color w:val="000000"/>
                <w:lang w:val="it-IT"/>
              </w:rPr>
              <w:t xml:space="preserve">3.1 Naložbe v raziskave, razvoj in inovacije, digitalizacijo ter proizvodne zmogljivosti v MSP: </w:t>
            </w:r>
            <w:r w:rsidRPr="00EB2379">
              <w:rPr>
                <w:color w:val="000000"/>
                <w:lang w:val="it-IT"/>
              </w:rPr>
              <w:t>v sklopu tega ukrepa bo podpora namenjena MSP predvsem na področjih, ki so kot prebojna področja prepoznana v S4/S5 ter na tistih področjih, ki se bodo izkazala kot odločilna za izvedbo pravičnega prehoda regije in blaženje posledic in izkoriščanje potenciala nadaljnje preobrazbe v nizkoogljično krožno gospodarstvo. Podpora bo namenjena tudi krepitvi RRI v MSP, ki bo temeljil na prenosu znanj med njimi in velikimi podjetji.</w:t>
            </w:r>
          </w:p>
          <w:p w14:paraId="6A8D7467" w14:textId="77777777" w:rsidR="00EB2379" w:rsidRPr="00EB2379" w:rsidRDefault="00EB2379" w:rsidP="00FA408F">
            <w:pPr>
              <w:spacing w:before="5pt"/>
              <w:rPr>
                <w:color w:val="000000"/>
                <w:lang w:val="it-IT"/>
              </w:rPr>
            </w:pPr>
            <w:r w:rsidRPr="00EB2379">
              <w:rPr>
                <w:b/>
                <w:bCs/>
                <w:color w:val="000000"/>
                <w:lang w:val="it-IT"/>
              </w:rPr>
              <w:t>3.1.1 Naložbe v RRI</w:t>
            </w:r>
            <w:r w:rsidRPr="00EB2379">
              <w:rPr>
                <w:color w:val="000000"/>
                <w:lang w:val="it-IT"/>
              </w:rPr>
              <w:t xml:space="preserve"> - Podpora naložbam v raziskave in razvoj povezane z industrijo 4.0 in s tovarnami prihodnosti v skladu z načeli podnebno nevtralnega in krožnega gospodarstva (npr. digitalizacija; povečanje virtualizacije procesov in delovne sile; simulacije prototipnih rešitev; uvajanja umetne inteligence v proizvodne procese; razvoj pametnih prostorov; robotika; hiperavtomatizacija; rešitve IoT; digitalni dvojčki). Spodbujali bomo tudi RRI partnerstva med MSP in velikimi podjetji ter in odprto inoviranje na vseh področjih, ki so skladna s S5 (npr. Laboratorij za raziskave bio-rafinacije biomase, Kemijski inštitut).</w:t>
            </w:r>
          </w:p>
          <w:p w14:paraId="4FB7830F" w14:textId="77777777" w:rsidR="00EB2379" w:rsidRPr="00EB2379" w:rsidRDefault="00EB2379" w:rsidP="00FA408F">
            <w:pPr>
              <w:spacing w:before="5pt"/>
              <w:rPr>
                <w:color w:val="000000"/>
                <w:lang w:val="it-IT"/>
              </w:rPr>
            </w:pPr>
            <w:r w:rsidRPr="00EB2379">
              <w:rPr>
                <w:b/>
                <w:bCs/>
                <w:color w:val="000000"/>
                <w:lang w:val="it-IT"/>
              </w:rPr>
              <w:t>3.1.2 Pilotni in demonstracijski projekti</w:t>
            </w:r>
            <w:r w:rsidRPr="00EB2379">
              <w:rPr>
                <w:color w:val="000000"/>
                <w:lang w:val="it-IT"/>
              </w:rPr>
              <w:t xml:space="preserve"> - V okviru tega ukrepa bo mogoče podpreti tudi izvedbo pilotnih/demonstracijskih projektov za izvedbo tehnoloških in/ali netehnoloških/družbenih inovacij.</w:t>
            </w:r>
          </w:p>
          <w:p w14:paraId="4E2BC904" w14:textId="77777777" w:rsidR="00EB2379" w:rsidRPr="00EB2379" w:rsidRDefault="00EB2379" w:rsidP="00FA408F">
            <w:pPr>
              <w:spacing w:before="5pt"/>
              <w:rPr>
                <w:color w:val="000000"/>
                <w:lang w:val="it-IT"/>
              </w:rPr>
            </w:pPr>
            <w:r w:rsidRPr="00EB2379">
              <w:rPr>
                <w:b/>
                <w:bCs/>
                <w:color w:val="000000"/>
                <w:lang w:val="it-IT"/>
              </w:rPr>
              <w:t>3.1.3 Podpora produktivnim naložbam za diverzifikacijo</w:t>
            </w:r>
            <w:r w:rsidRPr="00EB2379">
              <w:rPr>
                <w:b/>
                <w:bCs/>
                <w:i/>
                <w:iCs/>
                <w:color w:val="000000"/>
                <w:lang w:val="it-IT"/>
              </w:rPr>
              <w:t xml:space="preserve"> - </w:t>
            </w:r>
            <w:r w:rsidRPr="00EB2379">
              <w:rPr>
                <w:color w:val="000000"/>
                <w:lang w:val="it-IT"/>
              </w:rPr>
              <w:t>v MSP, ki bodo na področjih, skladnih s S5</w:t>
            </w:r>
            <w:r w:rsidRPr="00EB2379">
              <w:rPr>
                <w:b/>
                <w:bCs/>
                <w:color w:val="000000"/>
                <w:lang w:val="it-IT"/>
              </w:rPr>
              <w:t>,</w:t>
            </w:r>
            <w:r w:rsidRPr="00EB2379">
              <w:rPr>
                <w:color w:val="000000"/>
                <w:lang w:val="it-IT"/>
              </w:rPr>
              <w:t xml:space="preserve"> krepila proizvodne, storitvene in/ali raziskovalno razvojne dejavnosti za pospeševanje dvojnega prehoda. Za področje prehoda v podnebno nevtralno, krožno gospodarstvo bodo podpore namenjene, med drugim: naložbam v URE; za prehod na rabo OVE; v izboljšave snovne produktivnosti; za uvedbo industrijske simbioze; v razvoj in komercializacijo materialov, izdelkov, storitev, poslovnih modelov skladnih z načeli podnebne nevtralnosti in krožnega gospodarstva; itd. Ob naložbah za zeleni prehod bodo podjetja lahko pridobila sredstva za preobrazbo v industrijo 4.0, digitalizacijo, itd.</w:t>
            </w:r>
          </w:p>
          <w:p w14:paraId="00CB6DE2" w14:textId="77777777" w:rsidR="00EB2379" w:rsidRPr="00EB2379" w:rsidRDefault="00EB2379" w:rsidP="00FA408F">
            <w:pPr>
              <w:spacing w:before="5pt"/>
              <w:rPr>
                <w:color w:val="000000"/>
                <w:lang w:val="it-IT"/>
              </w:rPr>
            </w:pPr>
            <w:r w:rsidRPr="00EB2379">
              <w:rPr>
                <w:b/>
                <w:bCs/>
                <w:i/>
                <w:iCs/>
                <w:color w:val="000000"/>
                <w:lang w:val="it-IT"/>
              </w:rPr>
              <w:t xml:space="preserve">3.2 Nadgradnja start-up ekosistema ter spodbujanje podjetij s potencialom hitre rasti, vključno z ekonomsko poslovno infrastrukturo: </w:t>
            </w:r>
            <w:r w:rsidRPr="00EB2379">
              <w:rPr>
                <w:color w:val="000000"/>
                <w:lang w:val="it-IT"/>
              </w:rPr>
              <w:t>skladno z drugimi strateškimi cilji bo podpora namenjena projektom in pobudam, ki bodo bodisi izkoristile ali izboljšale obstoječe potenciale in zmogljivosti regije in so neposredno povezane s pravičnejšim prehodom, na naslednjih področjih:</w:t>
            </w:r>
          </w:p>
          <w:p w14:paraId="174318E6" w14:textId="77777777" w:rsidR="00EB2379" w:rsidRPr="00EB2379" w:rsidRDefault="00EB2379" w:rsidP="00FA408F">
            <w:pPr>
              <w:spacing w:before="5pt"/>
              <w:rPr>
                <w:color w:val="000000"/>
                <w:lang w:val="it-IT"/>
              </w:rPr>
            </w:pPr>
            <w:r w:rsidRPr="00EB2379">
              <w:rPr>
                <w:b/>
                <w:bCs/>
                <w:color w:val="000000"/>
                <w:lang w:val="it-IT"/>
              </w:rPr>
              <w:lastRenderedPageBreak/>
              <w:t xml:space="preserve">3.2.1 </w:t>
            </w:r>
            <w:r w:rsidRPr="00EB2379">
              <w:rPr>
                <w:color w:val="000000"/>
                <w:lang w:val="it-IT"/>
              </w:rPr>
              <w:t xml:space="preserve">Za povečanje privlačnosti regije za neposredne domače in tuje naložbe z </w:t>
            </w:r>
            <w:r w:rsidRPr="00EB2379">
              <w:rPr>
                <w:b/>
                <w:bCs/>
                <w:color w:val="000000"/>
                <w:lang w:val="it-IT"/>
              </w:rPr>
              <w:t>naložbami v</w:t>
            </w:r>
            <w:r w:rsidRPr="00EB2379">
              <w:rPr>
                <w:color w:val="000000"/>
                <w:lang w:val="it-IT"/>
              </w:rPr>
              <w:t xml:space="preserve"> </w:t>
            </w:r>
            <w:r w:rsidRPr="00EB2379">
              <w:rPr>
                <w:b/>
                <w:bCs/>
                <w:color w:val="000000"/>
                <w:lang w:val="it-IT"/>
              </w:rPr>
              <w:t>funkcionalni razvoj saniranih prostorsko in okoljsko degradiranih območij</w:t>
            </w:r>
            <w:r w:rsidRPr="00EB2379">
              <w:rPr>
                <w:color w:val="000000"/>
                <w:lang w:val="it-IT"/>
              </w:rPr>
              <w:t xml:space="preserve"> in v bolj profesionalno okolje za podporo podjetjem, tudi start-upom (vključno s krepitvijo poslovnih zavezništev). Zapiranje rudnika namreč zahteva poleg prekvalifikacije delovnih mest tudi okrepitev zelenega gospodarstva, prehod na čisto energijo, uporabo novih inovativnih tehnologij, za kar je potrebno zagotoviti infrastrukturne pogoje (poslovne cone, podjetniški inkubatorji, razvojni laboratoriji) in ustrezno podporo za ustvarjanje zelenih delovnih mest. Pri tem so pomembne tudi naložbe v tisto ekonomsko-poslovno infrastrukturo, ki je potrebna za izvedbo produktivnih naložb in diverzifikacijo gospodarstva, tako MSP kot velikih podjetij. Pri podpori temu ukrepu bomo ravnali v skladu s pojasnilom v zvezi z načelom onesnaževalec plača, ki je podrobneje predstavljeno v Prilogi 2.</w:t>
            </w:r>
          </w:p>
          <w:p w14:paraId="041EDFF7" w14:textId="77777777" w:rsidR="00EB2379" w:rsidRPr="00EB2379" w:rsidRDefault="00EB2379" w:rsidP="00FA408F">
            <w:pPr>
              <w:spacing w:before="5pt"/>
              <w:rPr>
                <w:color w:val="000000"/>
                <w:lang w:val="it-IT"/>
              </w:rPr>
            </w:pPr>
            <w:r w:rsidRPr="00EB2379">
              <w:rPr>
                <w:color w:val="000000"/>
                <w:lang w:val="it-IT"/>
              </w:rPr>
              <w:t>V procesu priprave tega dokumenta so imeli deležniki več možnosti, da predlagajo in identificirajo projekte za prehod regije v brezogljično družbo. Med temi so bili med vsemi deležniki, tako na regionalni kot na nacionalni ravni, kot vodilni izbrani naslednji projekti:</w:t>
            </w:r>
          </w:p>
          <w:p w14:paraId="2F82AC62" w14:textId="77777777" w:rsidR="00EB2379" w:rsidRPr="00EB2379" w:rsidRDefault="00EB2379" w:rsidP="00FA408F">
            <w:pPr>
              <w:spacing w:before="5pt"/>
              <w:rPr>
                <w:color w:val="000000"/>
                <w:lang w:val="it-IT"/>
              </w:rPr>
            </w:pPr>
            <w:r w:rsidRPr="00EB2379">
              <w:rPr>
                <w:color w:val="000000"/>
                <w:lang w:val="it-IT"/>
              </w:rPr>
              <w:t>-</w:t>
            </w:r>
            <w:r w:rsidRPr="00EB2379">
              <w:rPr>
                <w:b/>
                <w:bCs/>
                <w:color w:val="000000"/>
                <w:lang w:val="it-IT"/>
              </w:rPr>
              <w:t>Preobrazba daljinskega ogrevanja (KP Velenje),</w:t>
            </w:r>
          </w:p>
          <w:p w14:paraId="431BFCC9" w14:textId="77777777" w:rsidR="00EB2379" w:rsidRPr="00EB2379" w:rsidRDefault="00EB2379" w:rsidP="00FA408F">
            <w:pPr>
              <w:spacing w:before="5pt"/>
              <w:rPr>
                <w:color w:val="000000"/>
                <w:lang w:val="it-IT"/>
              </w:rPr>
            </w:pPr>
            <w:r w:rsidRPr="00EB2379">
              <w:rPr>
                <w:b/>
                <w:bCs/>
                <w:i/>
                <w:iCs/>
                <w:color w:val="000000"/>
                <w:lang w:val="it-IT"/>
              </w:rPr>
              <w:t>-</w:t>
            </w:r>
            <w:r w:rsidRPr="00EB2379">
              <w:rPr>
                <w:b/>
                <w:bCs/>
                <w:color w:val="000000"/>
                <w:lang w:val="it-IT"/>
              </w:rPr>
              <w:t xml:space="preserve">Vodikove tehnologije v brezemisijskem transportu in razogljičenju energetike </w:t>
            </w:r>
            <w:r w:rsidRPr="00EB2379">
              <w:rPr>
                <w:color w:val="000000"/>
                <w:lang w:val="it-IT"/>
              </w:rPr>
              <w:t>(posodobitev obstoječe infrastrukture za proizvodnjo in hranjenje vodika; izgradnja vodikove polnilnice za vozila na gorivne celice, nakup VCG kategorije M3 za JPP).</w:t>
            </w:r>
          </w:p>
          <w:p w14:paraId="23BD90A9" w14:textId="77777777" w:rsidR="00EB2379" w:rsidRPr="00EB2379" w:rsidRDefault="00EB2379" w:rsidP="00FA408F">
            <w:pPr>
              <w:spacing w:before="5pt"/>
              <w:rPr>
                <w:color w:val="000000"/>
                <w:lang w:val="it-IT"/>
              </w:rPr>
            </w:pPr>
            <w:r w:rsidRPr="00EB2379">
              <w:rPr>
                <w:color w:val="000000"/>
                <w:lang w:val="it-IT"/>
              </w:rPr>
              <w:t>-</w:t>
            </w:r>
            <w:r w:rsidRPr="00EB2379">
              <w:rPr>
                <w:b/>
                <w:bCs/>
                <w:color w:val="000000"/>
                <w:lang w:val="it-IT"/>
              </w:rPr>
              <w:t>Laboratorij za raziskave bio-rafinacije biomase</w:t>
            </w:r>
            <w:r w:rsidRPr="00EB2379">
              <w:rPr>
                <w:color w:val="000000"/>
                <w:lang w:val="it-IT"/>
              </w:rPr>
              <w:t xml:space="preserve"> (Kemijski inštitut),</w:t>
            </w:r>
          </w:p>
          <w:p w14:paraId="3A637943" w14:textId="77777777" w:rsidR="00EB2379" w:rsidRPr="00EB2379" w:rsidRDefault="00EB2379" w:rsidP="00FA408F">
            <w:pPr>
              <w:spacing w:before="5pt"/>
              <w:rPr>
                <w:color w:val="000000"/>
                <w:lang w:val="it-IT"/>
              </w:rPr>
            </w:pPr>
            <w:r w:rsidRPr="00EB2379">
              <w:rPr>
                <w:i/>
                <w:iCs/>
                <w:color w:val="000000"/>
                <w:lang w:val="it-IT"/>
              </w:rPr>
              <w:t>-</w:t>
            </w:r>
            <w:r w:rsidRPr="00EB2379">
              <w:rPr>
                <w:b/>
                <w:bCs/>
                <w:color w:val="000000"/>
                <w:lang w:val="it-IT"/>
              </w:rPr>
              <w:t>Revitalizacija in opremljanje površin namenjenih EPI</w:t>
            </w:r>
            <w:r w:rsidRPr="00EB2379">
              <w:rPr>
                <w:color w:val="000000"/>
                <w:lang w:val="it-IT"/>
              </w:rPr>
              <w:t xml:space="preserve"> (MO Velenje, O Šoštanj in Šmartno ob Paki),</w:t>
            </w:r>
          </w:p>
          <w:p w14:paraId="152FDF53" w14:textId="77777777" w:rsidR="00EB2379" w:rsidRPr="00EB2379" w:rsidRDefault="00EB2379" w:rsidP="00FA408F">
            <w:pPr>
              <w:spacing w:before="5pt"/>
              <w:rPr>
                <w:color w:val="000000"/>
                <w:lang w:val="it-IT"/>
              </w:rPr>
            </w:pPr>
            <w:r w:rsidRPr="00EB2379">
              <w:rPr>
                <w:i/>
                <w:iCs/>
                <w:color w:val="000000"/>
                <w:lang w:val="it-IT"/>
              </w:rPr>
              <w:t>-</w:t>
            </w:r>
            <w:r w:rsidRPr="00EB2379">
              <w:rPr>
                <w:b/>
                <w:bCs/>
                <w:color w:val="000000"/>
                <w:lang w:val="it-IT"/>
              </w:rPr>
              <w:t>Center prihodnosti</w:t>
            </w:r>
            <w:r w:rsidRPr="00EB2379">
              <w:rPr>
                <w:color w:val="000000"/>
                <w:lang w:val="it-IT"/>
              </w:rPr>
              <w:t xml:space="preserve"> (MO Velenje).</w:t>
            </w:r>
          </w:p>
          <w:p w14:paraId="689740C7" w14:textId="77777777" w:rsidR="00EB2379" w:rsidRPr="00EB2379" w:rsidRDefault="00EB2379" w:rsidP="00FA408F">
            <w:pPr>
              <w:spacing w:before="5pt"/>
              <w:rPr>
                <w:color w:val="000000"/>
                <w:lang w:val="it-IT"/>
              </w:rPr>
            </w:pPr>
            <w:r w:rsidRPr="00EB2379">
              <w:rPr>
                <w:color w:val="000000"/>
                <w:lang w:val="it-IT"/>
              </w:rPr>
              <w:t xml:space="preserve">Kratek opis z utemeljitvijo projektov je v </w:t>
            </w:r>
            <w:r w:rsidRPr="00EB2379">
              <w:rPr>
                <w:b/>
                <w:bCs/>
                <w:color w:val="000000"/>
                <w:lang w:val="it-IT"/>
              </w:rPr>
              <w:t>Prilogi 4: Predvidene vrste operacij – Vodilni projekti (kratek opis) SAŠA</w:t>
            </w:r>
          </w:p>
          <w:p w14:paraId="0D9CF307" w14:textId="77777777" w:rsidR="00EB2379" w:rsidRPr="00EB2379" w:rsidRDefault="00EB2379" w:rsidP="00FA408F">
            <w:pPr>
              <w:spacing w:before="5pt"/>
              <w:rPr>
                <w:color w:val="000000"/>
                <w:lang w:val="it-IT"/>
              </w:rPr>
            </w:pPr>
            <w:r w:rsidRPr="00EB2379">
              <w:rPr>
                <w:color w:val="000000"/>
                <w:lang w:val="it-IT"/>
              </w:rPr>
              <w:t xml:space="preserve">4. </w:t>
            </w:r>
            <w:r w:rsidRPr="00EB2379">
              <w:rPr>
                <w:b/>
                <w:bCs/>
                <w:color w:val="000000"/>
                <w:lang w:val="it-IT"/>
              </w:rPr>
              <w:t>Cenovno dostopna in trajnostna stanovanja</w:t>
            </w:r>
          </w:p>
          <w:p w14:paraId="59241A20" w14:textId="77777777" w:rsidR="00EB2379" w:rsidRPr="00EB2379" w:rsidRDefault="00EB2379" w:rsidP="00FA408F">
            <w:pPr>
              <w:spacing w:before="5pt"/>
              <w:rPr>
                <w:color w:val="000000"/>
                <w:lang w:val="it-IT"/>
              </w:rPr>
            </w:pPr>
            <w:r w:rsidRPr="00EB2379">
              <w:rPr>
                <w:color w:val="000000"/>
                <w:lang w:val="it-IT"/>
              </w:rPr>
              <w:t>Opuščanje izkopavanja in rabe premoga skupaj z zapiranjem PV prinaša negotov položaj obstoječih najemnikov, ki bivajo v stanovanjih v lasti družbe v zapiranju (v lasti več kot 300 stanovanj, v katerih bivajo obstoječi in bivši zaposleni). Družba bo v postopku zapiranja ukinjala vse svoje dejavnosti, med njimi tudi dejavnost oddajanja stanovanj zaposlenih ter prek postopka dezinvestiranja. Prosta prodaja na trgu bi lahko ogrozila položaj obstoječih najemnikov in s tem njihov socialni položaj, saj je njihov položaj odvisen od interesov lastnika, ki določa pogoje najema in višino najemnine. Hkrati pa bi fond, ki danes predstavlja del ponudbe dostopnih stanovanj, izgubil to vlogo, kar bi predstavljajo izgubo razvojnih priložnosti za regijo.</w:t>
            </w:r>
          </w:p>
          <w:p w14:paraId="590B1B82" w14:textId="77777777" w:rsidR="00EB2379" w:rsidRPr="00EB2379" w:rsidRDefault="00EB2379" w:rsidP="00FA408F">
            <w:pPr>
              <w:spacing w:before="5pt"/>
              <w:rPr>
                <w:color w:val="000000"/>
                <w:lang w:val="it-IT"/>
              </w:rPr>
            </w:pPr>
            <w:r w:rsidRPr="00EB2379">
              <w:rPr>
                <w:color w:val="000000"/>
                <w:lang w:val="it-IT"/>
              </w:rPr>
              <w:t xml:space="preserve">4.1. </w:t>
            </w:r>
            <w:r w:rsidRPr="00EB2379">
              <w:rPr>
                <w:b/>
                <w:bCs/>
                <w:color w:val="000000"/>
                <w:lang w:val="it-IT"/>
              </w:rPr>
              <w:t xml:space="preserve">Odkup oziroma prenos stanovanj PV in TEŠ </w:t>
            </w:r>
            <w:r w:rsidRPr="00EB2379">
              <w:rPr>
                <w:color w:val="000000"/>
                <w:lang w:val="it-IT"/>
              </w:rPr>
              <w:t>za namene zagotavljanja javnih najemnih stanovanj za različne družbene skupine. (MO Velenje, O Šoštanj in Stanovanjski sklad Republike Slovenije)</w:t>
            </w:r>
          </w:p>
          <w:p w14:paraId="1A2B3AEC" w14:textId="77777777" w:rsidR="00EB2379" w:rsidRPr="00EB2379" w:rsidRDefault="00EB2379" w:rsidP="00FA408F">
            <w:pPr>
              <w:spacing w:before="5pt"/>
              <w:rPr>
                <w:color w:val="000000"/>
                <w:lang w:val="it-IT"/>
              </w:rPr>
            </w:pPr>
            <w:r w:rsidRPr="00EB2379">
              <w:rPr>
                <w:b/>
                <w:bCs/>
                <w:i/>
                <w:iCs/>
                <w:color w:val="000000"/>
                <w:lang w:val="it-IT"/>
              </w:rPr>
              <w:t xml:space="preserve">Produktivne naložbe, ki niso naložbe v MSP: </w:t>
            </w:r>
          </w:p>
          <w:p w14:paraId="07802A68" w14:textId="77777777" w:rsidR="00EB2379" w:rsidRPr="00EB2379" w:rsidRDefault="00EB2379" w:rsidP="00FA408F">
            <w:pPr>
              <w:spacing w:before="5pt"/>
              <w:rPr>
                <w:color w:val="000000"/>
                <w:lang w:val="it-IT"/>
              </w:rPr>
            </w:pPr>
            <w:r w:rsidRPr="00EB2379">
              <w:rPr>
                <w:color w:val="000000"/>
                <w:lang w:val="it-IT"/>
              </w:rPr>
              <w:t>Analiza vrzeli (Priloga 1), SAŠA regije je pokazala, da je število velikih podjetij v obdobju 2011-2020 upadlo (iz 14 na 8), vendar pa obstoječih osem velikih podjetij zaposluje skoraj polovice celotne delovne sile, kar je tudi več kot zaposluje skupaj 1000 MSP. Zaradi svoje sposobnosti zaposlovanja in ohranjanja delovnih mest bod pomemben deležnik tudi v prihodnji preobrazbi regije.</w:t>
            </w:r>
          </w:p>
          <w:p w14:paraId="5AE793DF" w14:textId="77777777" w:rsidR="00EB2379" w:rsidRPr="00EB2379" w:rsidRDefault="00EB2379" w:rsidP="00FA408F">
            <w:pPr>
              <w:spacing w:before="5pt"/>
              <w:rPr>
                <w:color w:val="000000"/>
                <w:lang w:val="it-IT"/>
              </w:rPr>
            </w:pPr>
            <w:r w:rsidRPr="00EB2379">
              <w:rPr>
                <w:color w:val="000000"/>
                <w:lang w:val="it-IT"/>
              </w:rPr>
              <w:t>Na podlagi analize vrzeli in indikativnega seznama načrtovanih naložb v regiji je mogoče ugotoviti, da načrtovanih novih delovnih mest v velikih podjetjih v enakem obdobju ni mogoče doseči samo s podporo MSP, zlasti ob upoštevanju, da je polovica delovne sile že zaposlene v osmih velikih podjetjih).</w:t>
            </w:r>
          </w:p>
          <w:p w14:paraId="0120C5C8" w14:textId="77777777" w:rsidR="00EB2379" w:rsidRPr="00EB2379" w:rsidRDefault="00EB2379" w:rsidP="00FA408F">
            <w:pPr>
              <w:spacing w:before="5pt"/>
              <w:rPr>
                <w:color w:val="000000"/>
                <w:lang w:val="it-IT"/>
              </w:rPr>
            </w:pPr>
            <w:r w:rsidRPr="00EB2379">
              <w:rPr>
                <w:color w:val="000000"/>
                <w:lang w:val="it-IT"/>
              </w:rPr>
              <w:t>Zato bo del sredstev SPP dostopen tudi velikim podjetjem, kot npr:</w:t>
            </w:r>
          </w:p>
          <w:p w14:paraId="61502F1E" w14:textId="77777777" w:rsidR="00EB2379" w:rsidRPr="00EB2379" w:rsidRDefault="00EB2379" w:rsidP="00FA408F">
            <w:pPr>
              <w:spacing w:before="5pt"/>
              <w:rPr>
                <w:color w:val="000000"/>
                <w:lang w:val="it-IT"/>
              </w:rPr>
            </w:pPr>
            <w:r w:rsidRPr="00EB2379">
              <w:rPr>
                <w:color w:val="000000"/>
                <w:lang w:val="it-IT"/>
              </w:rPr>
              <w:t>- Gorenje gospodinjski aparati d.o.o. Velenje: Razvoj novih generacij gospodinjskih aparatov,</w:t>
            </w:r>
          </w:p>
          <w:p w14:paraId="5C2C8B35" w14:textId="77777777" w:rsidR="00EB2379" w:rsidRPr="00EB2379" w:rsidRDefault="00EB2379" w:rsidP="00FA408F">
            <w:pPr>
              <w:spacing w:before="5pt"/>
              <w:rPr>
                <w:color w:val="000000"/>
                <w:lang w:val="it-IT"/>
              </w:rPr>
            </w:pPr>
            <w:r w:rsidRPr="00EB2379">
              <w:rPr>
                <w:color w:val="000000"/>
                <w:lang w:val="it-IT"/>
              </w:rPr>
              <w:t>Povečanje proizvodnih zmogljivosti tovarn gospodinjskih aparatov in Povečanje proizvodnih zmogljivosti tovarne televizorjev,</w:t>
            </w:r>
          </w:p>
          <w:p w14:paraId="33E5587B" w14:textId="77777777" w:rsidR="00EB2379" w:rsidRPr="00EB2379" w:rsidRDefault="00EB2379" w:rsidP="00FA408F">
            <w:pPr>
              <w:spacing w:before="5pt"/>
              <w:rPr>
                <w:color w:val="000000"/>
                <w:lang w:val="it-IT"/>
              </w:rPr>
            </w:pPr>
            <w:r w:rsidRPr="00EB2379">
              <w:rPr>
                <w:color w:val="000000"/>
                <w:lang w:val="it-IT"/>
              </w:rPr>
              <w:t>- Premogovnik Velenje d.o.o.: Krožno gospodarstvo SPV – predelava plastike in proizvodnja alternativnih goriv.</w:t>
            </w:r>
          </w:p>
          <w:p w14:paraId="00803390" w14:textId="77777777" w:rsidR="00EB2379" w:rsidRPr="00EB2379" w:rsidRDefault="00EB2379" w:rsidP="00FA408F">
            <w:pPr>
              <w:spacing w:before="5pt"/>
              <w:rPr>
                <w:color w:val="000000"/>
                <w:lang w:val="it-IT"/>
              </w:rPr>
            </w:pPr>
            <w:r w:rsidRPr="00EB2379">
              <w:rPr>
                <w:color w:val="000000"/>
                <w:lang w:val="it-IT"/>
              </w:rPr>
              <w:lastRenderedPageBreak/>
              <w:t>Odločitve glede sofinanciranja posameznih projektov bodo sprejete na podlagi izvedenega postopka javnega razpisa, v okviru katerega bodo med drugimi določeni in presojani upravičeni stroški naložbe, upoštevana pravila državnih pomoči in razpoložljiva sredstva.</w:t>
            </w:r>
          </w:p>
          <w:p w14:paraId="5146DCB9" w14:textId="77777777" w:rsidR="00EB2379" w:rsidRPr="00EB2379" w:rsidRDefault="00EB2379" w:rsidP="00FA408F">
            <w:pPr>
              <w:spacing w:before="5pt"/>
              <w:rPr>
                <w:color w:val="000000"/>
                <w:lang w:val="it-IT"/>
              </w:rPr>
            </w:pPr>
            <w:r w:rsidRPr="00EB2379">
              <w:rPr>
                <w:i/>
                <w:iCs/>
                <w:color w:val="000000"/>
                <w:lang w:val="it-IT"/>
              </w:rPr>
              <w:t xml:space="preserve">Več podrobnosti je razvidno iz priloge </w:t>
            </w:r>
            <w:r w:rsidRPr="00EB2379">
              <w:rPr>
                <w:b/>
                <w:bCs/>
                <w:color w:val="000000"/>
                <w:lang w:val="it-IT"/>
              </w:rPr>
              <w:t xml:space="preserve">Priloga 5: Predvidene vrste operacij – Produktivne NE MSP naložbe_SAŠA </w:t>
            </w:r>
          </w:p>
          <w:p w14:paraId="268E9501" w14:textId="77777777" w:rsidR="00EB2379" w:rsidRPr="00EB2379" w:rsidRDefault="00EB2379" w:rsidP="00FA408F">
            <w:pPr>
              <w:spacing w:before="5pt"/>
              <w:rPr>
                <w:color w:val="000000"/>
                <w:lang w:val="it-IT"/>
              </w:rPr>
            </w:pPr>
          </w:p>
          <w:p w14:paraId="46F7069A" w14:textId="77777777" w:rsidR="00EB2379" w:rsidRPr="00EB2379" w:rsidRDefault="00EB2379" w:rsidP="00FA408F">
            <w:pPr>
              <w:spacing w:before="5pt"/>
              <w:rPr>
                <w:color w:val="000000"/>
                <w:lang w:val="it-IT"/>
              </w:rPr>
            </w:pPr>
            <w:r w:rsidRPr="00EB2379">
              <w:rPr>
                <w:b/>
                <w:bCs/>
                <w:color w:val="000000"/>
                <w:lang w:val="it-IT"/>
              </w:rPr>
              <w:t>Sinergije in dopolnjevanje</w:t>
            </w:r>
            <w:r w:rsidRPr="00EB2379">
              <w:rPr>
                <w:color w:val="000000"/>
                <w:lang w:val="it-IT"/>
              </w:rPr>
              <w:t xml:space="preserve"> </w:t>
            </w:r>
            <w:r w:rsidRPr="00EB2379">
              <w:rPr>
                <w:i/>
                <w:iCs/>
                <w:color w:val="000000"/>
                <w:lang w:val="it-IT"/>
              </w:rPr>
              <w:t xml:space="preserve">predvidenih operacij z drugimi programi v okviru cilja „naložbe za delovna mesta in rast“ in drugimi stebri mehanizma za pravičen prehod </w:t>
            </w:r>
          </w:p>
          <w:p w14:paraId="0DC5277A" w14:textId="77777777" w:rsidR="00EB2379" w:rsidRPr="00EB2379" w:rsidRDefault="00EB2379" w:rsidP="00FA408F">
            <w:pPr>
              <w:spacing w:before="5pt"/>
              <w:rPr>
                <w:color w:val="000000"/>
                <w:lang w:val="it-IT"/>
              </w:rPr>
            </w:pPr>
            <w:r w:rsidRPr="00EB2379">
              <w:rPr>
                <w:color w:val="000000"/>
                <w:lang w:val="it-IT"/>
              </w:rPr>
              <w:t>Sredstva SPP bodo komplementarna sredstvom v okviru NOO ter cilja „naložbe za delovna mesta in rast“ v EKP 2021-2027 in drugih razpoložljivih virov.</w:t>
            </w:r>
          </w:p>
          <w:p w14:paraId="5F882B84" w14:textId="77777777" w:rsidR="00EB2379" w:rsidRPr="00EB2379" w:rsidRDefault="00EB2379" w:rsidP="00FA408F">
            <w:pPr>
              <w:spacing w:before="5pt"/>
              <w:rPr>
                <w:color w:val="000000"/>
                <w:lang w:val="it-IT"/>
              </w:rPr>
            </w:pPr>
            <w:r w:rsidRPr="00EB2379">
              <w:rPr>
                <w:color w:val="000000"/>
                <w:lang w:val="it-IT"/>
              </w:rPr>
              <w:t>Sredstva instrumenta za posojila v javnem sektorju v okviru MPP se bodo namenjala podpori naložbam vseh sektorjev, ki jih opredeljuje relevantna uredba (1)</w:t>
            </w:r>
          </w:p>
          <w:p w14:paraId="05FA49A3" w14:textId="77777777" w:rsidR="00EB2379" w:rsidRPr="00EB2379" w:rsidRDefault="00EB2379" w:rsidP="00FA408F">
            <w:pPr>
              <w:spacing w:before="5pt"/>
              <w:rPr>
                <w:color w:val="000000"/>
                <w:lang w:val="it-IT"/>
              </w:rPr>
            </w:pPr>
            <w:r w:rsidRPr="00EB2379">
              <w:rPr>
                <w:color w:val="000000"/>
                <w:lang w:val="it-IT"/>
              </w:rPr>
              <w:t xml:space="preserve">Podrobneje v </w:t>
            </w:r>
            <w:r w:rsidRPr="00EB2379">
              <w:rPr>
                <w:b/>
                <w:bCs/>
                <w:color w:val="000000"/>
                <w:lang w:val="it-IT"/>
              </w:rPr>
              <w:t>Prilogi 6: Predvidene vrste operacij – Sinergije in dopolnjevanje-SAŠA_ 3.0.</w:t>
            </w:r>
          </w:p>
          <w:p w14:paraId="6DE7AE28" w14:textId="77777777" w:rsidR="00EB2379" w:rsidRPr="00EB2379" w:rsidRDefault="00EB2379" w:rsidP="00FA408F">
            <w:pPr>
              <w:spacing w:before="5pt"/>
              <w:rPr>
                <w:color w:val="000000"/>
                <w:lang w:val="it-IT"/>
              </w:rPr>
            </w:pPr>
            <w:r w:rsidRPr="00EB2379">
              <w:rPr>
                <w:b/>
                <w:bCs/>
                <w:color w:val="000000"/>
                <w:lang w:val="it-IT"/>
              </w:rPr>
              <w:t xml:space="preserve">(1) </w:t>
            </w:r>
            <w:r w:rsidRPr="00EB2379">
              <w:rPr>
                <w:color w:val="000000"/>
                <w:lang w:val="it-IT"/>
              </w:rPr>
              <w:t>https://eur-lex.europa.eu/legal-content/SL/ALL/?uri=CELEX:32021R1229</w:t>
            </w:r>
          </w:p>
          <w:p w14:paraId="6C111A5B" w14:textId="77777777" w:rsidR="00EB2379" w:rsidRPr="00EB2379" w:rsidRDefault="00EB2379" w:rsidP="00FA408F">
            <w:pPr>
              <w:spacing w:before="5pt"/>
              <w:rPr>
                <w:color w:val="000000"/>
                <w:sz w:val="6"/>
                <w:lang w:val="it-IT"/>
              </w:rPr>
            </w:pPr>
          </w:p>
          <w:p w14:paraId="672D0F90" w14:textId="77777777" w:rsidR="00EB2379" w:rsidRPr="00EB2379" w:rsidRDefault="00EB2379" w:rsidP="00FA408F">
            <w:pPr>
              <w:spacing w:before="5pt"/>
              <w:rPr>
                <w:color w:val="000000"/>
                <w:sz w:val="6"/>
                <w:lang w:val="it-IT"/>
              </w:rPr>
            </w:pPr>
          </w:p>
        </w:tc>
      </w:tr>
    </w:tbl>
    <w:p w14:paraId="100525AA" w14:textId="77777777" w:rsidR="00EB2379" w:rsidRPr="00EB2379" w:rsidRDefault="00EB2379" w:rsidP="00EB2379">
      <w:pPr>
        <w:spacing w:before="5pt"/>
        <w:rPr>
          <w:color w:val="000000"/>
          <w:lang w:val="it-IT"/>
        </w:rPr>
        <w:sectPr w:rsidR="00EB2379" w:rsidRPr="00EB2379">
          <w:headerReference w:type="even" r:id="rId61"/>
          <w:headerReference w:type="default" r:id="rId62"/>
          <w:footerReference w:type="even" r:id="rId63"/>
          <w:footerReference w:type="default" r:id="rId64"/>
          <w:headerReference w:type="first" r:id="rId65"/>
          <w:footerReference w:type="first" r:id="rId66"/>
          <w:pgSz w:w="595.30pt" w:h="841.90pt"/>
          <w:pgMar w:top="36pt" w:right="46.80pt" w:bottom="43.20pt" w:left="36pt" w:header="0pt" w:footer="3.60pt" w:gutter="0pt"/>
          <w:cols w:space="36pt"/>
          <w:noEndnote/>
          <w:docGrid w:linePitch="360"/>
        </w:sectPr>
      </w:pPr>
    </w:p>
    <w:p w14:paraId="30829864" w14:textId="77777777" w:rsidR="00EB2379" w:rsidRPr="00EB2379" w:rsidRDefault="00EB2379" w:rsidP="00EB2379">
      <w:pPr>
        <w:pStyle w:val="Naslov1"/>
        <w:spacing w:before="5pt" w:after="0pt"/>
        <w:rPr>
          <w:rFonts w:ascii="Times New Roman" w:hAnsi="Times New Roman" w:cs="Times New Roman"/>
          <w:b w:val="0"/>
          <w:color w:val="000000"/>
          <w:sz w:val="24"/>
          <w:lang w:val="it-IT"/>
        </w:rPr>
      </w:pPr>
      <w:bookmarkStart w:id="742" w:name="_Toc256000021"/>
      <w:r w:rsidRPr="00EB2379">
        <w:rPr>
          <w:rFonts w:ascii="Times New Roman" w:hAnsi="Times New Roman" w:cs="Times New Roman"/>
          <w:b w:val="0"/>
          <w:color w:val="000000"/>
          <w:sz w:val="24"/>
          <w:lang w:val="it-IT"/>
        </w:rPr>
        <w:lastRenderedPageBreak/>
        <w:t>3. Mehanizmi upravljanja</w:t>
      </w:r>
      <w:bookmarkEnd w:id="742"/>
    </w:p>
    <w:p w14:paraId="1D1CFF8F" w14:textId="77777777" w:rsidR="00EB2379" w:rsidRPr="00EB2379" w:rsidRDefault="00EB2379" w:rsidP="00EB2379">
      <w:pPr>
        <w:spacing w:before="5pt"/>
        <w:rPr>
          <w:color w:val="000000"/>
          <w:sz w:val="0"/>
          <w:lang w:val="it-IT"/>
        </w:rPr>
      </w:pPr>
    </w:p>
    <w:p w14:paraId="7C84D282" w14:textId="77777777" w:rsidR="00EB2379" w:rsidRPr="00EB2379" w:rsidRDefault="00EB2379" w:rsidP="00EB2379">
      <w:pPr>
        <w:spacing w:before="5pt"/>
        <w:rPr>
          <w:color w:val="000000"/>
          <w:sz w:val="16"/>
          <w:lang w:val="it-IT"/>
        </w:rPr>
      </w:pPr>
      <w:r w:rsidRPr="00EB2379">
        <w:rPr>
          <w:color w:val="000000"/>
          <w:lang w:val="it-IT"/>
        </w:rPr>
        <w:t>Sklic: člen 11(2)(f)</w:t>
      </w:r>
    </w:p>
    <w:p w14:paraId="0E8CC2F6" w14:textId="77777777" w:rsidR="00EB2379" w:rsidRPr="00EB2379" w:rsidRDefault="00EB2379" w:rsidP="00EB2379">
      <w:pPr>
        <w:spacing w:before="5pt"/>
        <w:rPr>
          <w:color w:val="000000"/>
          <w:sz w:val="12"/>
          <w:lang w:val="it-I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EB2379" w14:paraId="43310461" w14:textId="77777777" w:rsidTr="00FA408F">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20030D" w14:textId="77777777" w:rsidR="00EB2379" w:rsidRPr="00EB2379" w:rsidRDefault="00EB2379" w:rsidP="00FA408F">
            <w:pPr>
              <w:spacing w:before="5pt"/>
              <w:rPr>
                <w:color w:val="000000"/>
                <w:sz w:val="0"/>
                <w:lang w:val="it-IT"/>
              </w:rPr>
            </w:pPr>
          </w:p>
          <w:p w14:paraId="6C21DF97" w14:textId="77777777" w:rsidR="00EB2379" w:rsidRPr="00EB2379" w:rsidRDefault="00EB2379" w:rsidP="00FA408F">
            <w:pPr>
              <w:spacing w:before="5pt"/>
              <w:rPr>
                <w:color w:val="000000"/>
                <w:lang w:val="it-IT"/>
              </w:rPr>
            </w:pPr>
            <w:r w:rsidRPr="00EB2379">
              <w:rPr>
                <w:b/>
                <w:bCs/>
                <w:i/>
                <w:iCs/>
                <w:color w:val="000000"/>
                <w:lang w:val="it-IT"/>
              </w:rPr>
              <w:t>Partnerstvo</w:t>
            </w:r>
          </w:p>
          <w:p w14:paraId="6A8B83D6" w14:textId="77777777" w:rsidR="00EB2379" w:rsidRPr="00EB2379" w:rsidRDefault="00EB2379" w:rsidP="00FA408F">
            <w:pPr>
              <w:spacing w:before="5pt"/>
              <w:rPr>
                <w:color w:val="000000"/>
                <w:lang w:val="it-IT"/>
              </w:rPr>
            </w:pPr>
            <w:r w:rsidRPr="00EB2379">
              <w:rPr>
                <w:color w:val="000000"/>
                <w:lang w:val="it-IT"/>
              </w:rPr>
              <w:t>Deležniki so se v 2020 vključevali že v pripravo NSPP, za katero se je izvedla tudi CPVO, in pripravo Akcijskega načrta za pravični prehod SAŠA (https://www.energetika-portal.si/dokumenti/strateski-razvojni-dokumenti/nacionalna-strategija-za-izstop-iz-premoga-in-prestrukturiranje-premogovnih-regij/). Več kot 70 deležnikov v obeh premogovnih regijah je bilo vključevano na različne načine: obiski na terenu: več kot 30 intervjujev; več kot 100 posredovanih projektnih idej (najboljše vključene v akcijski načrti); organizacija delavnic za pripravo projektnih predlogov; ključne faze so bile predstavljene in debatirane s ključnimi deležniki; izvedba individualnih sestankov z vsemi pobudniki. Za pripravo ONPP za obe premogovni regiji deluje posebna delovna skupina, ki jo vodi OU, sestavljajo jo PT, predstavniki občin območij obeh regij (Hrastnik, Trbovlje in Zagorje ob Savi ter Velenje, Šoštanj in Šmartno ob Paki), RRA Zasavje in RA SAŠA ter Zasavske gospodarske zbornice in Savinjsko-šaleške gospodarske zbornice. Skupina s OU na delovni ravni sodeluje pri oblikovanju mehanizma upravljanja in pripravi območnih načrtov.</w:t>
            </w:r>
          </w:p>
          <w:p w14:paraId="054D9CCF" w14:textId="77777777" w:rsidR="00EB2379" w:rsidRPr="00EB2379" w:rsidRDefault="00EB2379" w:rsidP="00FA408F">
            <w:pPr>
              <w:spacing w:before="5pt"/>
              <w:rPr>
                <w:color w:val="000000"/>
                <w:lang w:val="it-IT"/>
              </w:rPr>
            </w:pPr>
            <w:r w:rsidRPr="00EB2379">
              <w:rPr>
                <w:color w:val="000000"/>
                <w:lang w:val="it-IT"/>
              </w:rPr>
              <w:t>Širši krog deležnikov se v pripravo ONPP vključuje na naslednji način:</w:t>
            </w:r>
          </w:p>
          <w:p w14:paraId="0D85728A" w14:textId="77777777" w:rsidR="00EB2379" w:rsidRPr="00EB2379" w:rsidRDefault="00EB2379" w:rsidP="00FA408F">
            <w:pPr>
              <w:spacing w:before="5pt"/>
              <w:rPr>
                <w:color w:val="000000"/>
                <w:lang w:val="it-IT"/>
              </w:rPr>
            </w:pPr>
            <w:r w:rsidRPr="00EB2379">
              <w:rPr>
                <w:color w:val="000000"/>
                <w:lang w:val="it-IT"/>
              </w:rPr>
              <w:t>·18.11.2021 je bila izvedena delavnica za opredelitev ukrepov za doseganje strateških ciljev ONPP, ki se jo je udeležilo preko 100 udeležencev. (https://evropskasredstva.si/sklad-za-pravicni-prehod-spp/ )</w:t>
            </w:r>
          </w:p>
          <w:p w14:paraId="5387DA98" w14:textId="77777777" w:rsidR="00EB2379" w:rsidRPr="00EB2379" w:rsidRDefault="00EB2379" w:rsidP="00FA408F">
            <w:pPr>
              <w:spacing w:before="5pt"/>
              <w:rPr>
                <w:color w:val="000000"/>
                <w:lang w:val="it-IT"/>
              </w:rPr>
            </w:pPr>
            <w:r w:rsidRPr="00EB2379">
              <w:rPr>
                <w:color w:val="000000"/>
                <w:lang w:val="it-IT"/>
              </w:rPr>
              <w:t>·Na podlagi poziva podjetjem, ki so sodelovala pri pripravi akcijskih načrtov z Deloitte, poslanega 22.11.2021, je bilo prejetih 19 projektnih predlogov. V obdobju od februarja do aprila 2022 je bilo izvedenih več usklajevalnih sestankov za opredelitev vodilnih projektov.</w:t>
            </w:r>
          </w:p>
          <w:p w14:paraId="1DD9D77B" w14:textId="77777777" w:rsidR="00EB2379" w:rsidRDefault="00EB2379" w:rsidP="00FA408F">
            <w:pPr>
              <w:spacing w:before="5pt"/>
              <w:rPr>
                <w:color w:val="000000"/>
              </w:rPr>
            </w:pPr>
            <w:r w:rsidRPr="00EB2379">
              <w:rPr>
                <w:color w:val="000000"/>
                <w:lang w:val="it-IT"/>
              </w:rPr>
              <w:t xml:space="preserve">·V mesecu aprilu 2022 je bil izveden posvet Zelena prihodnost SAŠA regije. </w:t>
            </w:r>
            <w:r>
              <w:rPr>
                <w:color w:val="000000"/>
              </w:rPr>
              <w:t>(https://evropskasredstva.si/sklad-za-pravicni-prehod-spp/)</w:t>
            </w:r>
          </w:p>
          <w:p w14:paraId="492C507E" w14:textId="77777777" w:rsidR="00EB2379" w:rsidRDefault="00EB2379" w:rsidP="00FA408F">
            <w:pPr>
              <w:spacing w:before="5pt"/>
              <w:rPr>
                <w:color w:val="000000"/>
              </w:rPr>
            </w:pPr>
          </w:p>
          <w:p w14:paraId="4418BE33" w14:textId="77777777" w:rsidR="00EB2379" w:rsidRDefault="00EB2379" w:rsidP="00FA408F">
            <w:pPr>
              <w:spacing w:before="5pt"/>
              <w:rPr>
                <w:color w:val="000000"/>
              </w:rPr>
            </w:pPr>
            <w:r>
              <w:rPr>
                <w:b/>
                <w:bCs/>
                <w:i/>
                <w:iCs/>
                <w:color w:val="000000"/>
              </w:rPr>
              <w:t>Spremljanje in ocenjevanje</w:t>
            </w:r>
          </w:p>
          <w:p w14:paraId="04458EDC" w14:textId="77777777" w:rsidR="00EB2379" w:rsidRPr="00EB2379" w:rsidRDefault="00EB2379" w:rsidP="00FA408F">
            <w:pPr>
              <w:spacing w:before="5pt"/>
              <w:rPr>
                <w:color w:val="000000"/>
                <w:lang w:val="it-IT"/>
              </w:rPr>
            </w:pPr>
            <w:r>
              <w:rPr>
                <w:color w:val="000000"/>
              </w:rPr>
              <w:t xml:space="preserve">Za potrebe spremljanja in ocenjevanja načrtovanih ukrepov, vključno s kazalniki, RA SAŠA v sodelovanju s PO in SVRK pripravlja kvartalna, letna in končno poročilo izvajanju ONPP SAŠA regije. Poročila na regionalni ravni obravnava Razvojni svet območnega razvojnega partnerstva SAŠA regije, na nacionalni pa letna in končno poročilo obravnava Odbor za spremljanje. </w:t>
            </w:r>
            <w:r w:rsidRPr="00EB2379">
              <w:rPr>
                <w:color w:val="000000"/>
                <w:lang w:val="it-IT"/>
              </w:rPr>
              <w:t>Predlog letnega in končnega poročila se pred obravnavo na Odboru za spremljanje predstavi in obravnava na obravnavi v regiji.</w:t>
            </w:r>
          </w:p>
          <w:p w14:paraId="7B8649B6" w14:textId="77777777" w:rsidR="00EB2379" w:rsidRPr="00EB2379" w:rsidRDefault="00EB2379" w:rsidP="00FA408F">
            <w:pPr>
              <w:spacing w:before="5pt"/>
              <w:rPr>
                <w:color w:val="000000"/>
                <w:lang w:val="it-IT"/>
              </w:rPr>
            </w:pPr>
            <w:r w:rsidRPr="00EB2379">
              <w:rPr>
                <w:color w:val="000000"/>
                <w:lang w:val="it-IT"/>
              </w:rPr>
              <w:t>Najpozneje 3 leta po sprejemu ONPP se izvede vrednotenje izvajanja ONPP, ki ga izvede s strani SVRK izbran zunanji izvajalec.</w:t>
            </w:r>
          </w:p>
          <w:p w14:paraId="69C6C95E" w14:textId="77777777" w:rsidR="00EB2379" w:rsidRPr="00EB2379" w:rsidRDefault="00EB2379" w:rsidP="00FA408F">
            <w:pPr>
              <w:spacing w:before="5pt"/>
              <w:rPr>
                <w:color w:val="000000"/>
                <w:lang w:val="it-IT"/>
              </w:rPr>
            </w:pPr>
          </w:p>
          <w:p w14:paraId="0A281DE7" w14:textId="77777777" w:rsidR="00EB2379" w:rsidRPr="00EB2379" w:rsidRDefault="00EB2379" w:rsidP="00FA408F">
            <w:pPr>
              <w:spacing w:before="5pt"/>
              <w:rPr>
                <w:color w:val="000000"/>
                <w:lang w:val="it-IT"/>
              </w:rPr>
            </w:pPr>
            <w:r w:rsidRPr="00EB2379">
              <w:rPr>
                <w:b/>
                <w:bCs/>
                <w:i/>
                <w:iCs/>
                <w:color w:val="000000"/>
                <w:lang w:val="it-IT"/>
              </w:rPr>
              <w:t xml:space="preserve">Organ/organi za usklajevanje in spremljanje </w:t>
            </w:r>
          </w:p>
          <w:p w14:paraId="400FD8F8" w14:textId="77777777" w:rsidR="00EB2379" w:rsidRPr="00EB2379" w:rsidRDefault="00EB2379" w:rsidP="00FA408F">
            <w:pPr>
              <w:spacing w:before="5pt"/>
              <w:rPr>
                <w:color w:val="000000"/>
                <w:lang w:val="it-IT"/>
              </w:rPr>
            </w:pPr>
            <w:r w:rsidRPr="00EB2379">
              <w:rPr>
                <w:b/>
                <w:bCs/>
                <w:color w:val="000000"/>
                <w:lang w:val="it-IT"/>
              </w:rPr>
              <w:t xml:space="preserve">v vlogi OU in nacionalnega koordinatorja: MKRR: </w:t>
            </w:r>
          </w:p>
          <w:p w14:paraId="3B0388D2" w14:textId="77777777" w:rsidR="00EB2379" w:rsidRPr="00EB2379" w:rsidRDefault="00EB2379" w:rsidP="00FA408F">
            <w:pPr>
              <w:spacing w:before="5pt"/>
              <w:rPr>
                <w:color w:val="000000"/>
                <w:lang w:val="it-IT"/>
              </w:rPr>
            </w:pPr>
            <w:r w:rsidRPr="00EB2379">
              <w:rPr>
                <w:color w:val="000000"/>
                <w:lang w:val="it-IT"/>
              </w:rPr>
              <w:t>-priprava predlogov ONPP v skladu z zahtevami Uredbe SPP,</w:t>
            </w:r>
          </w:p>
          <w:p w14:paraId="11A4BB41" w14:textId="77777777" w:rsidR="00EB2379" w:rsidRPr="00EB2379" w:rsidRDefault="00EB2379" w:rsidP="00FA408F">
            <w:pPr>
              <w:spacing w:before="5pt"/>
              <w:rPr>
                <w:color w:val="000000"/>
                <w:lang w:val="it-IT"/>
              </w:rPr>
            </w:pPr>
            <w:r w:rsidRPr="00EB2379">
              <w:rPr>
                <w:color w:val="000000"/>
                <w:lang w:val="it-IT"/>
              </w:rPr>
              <w:t>-uskladitev predlogov ONPP ob upoštevanju načela partnerstva z relevantnimi deležniki na regionalni in nacionalni ravni,</w:t>
            </w:r>
          </w:p>
          <w:p w14:paraId="77B073B8" w14:textId="77777777" w:rsidR="00EB2379" w:rsidRPr="00EB2379" w:rsidRDefault="00EB2379" w:rsidP="00FA408F">
            <w:pPr>
              <w:spacing w:before="5pt"/>
              <w:rPr>
                <w:color w:val="000000"/>
                <w:lang w:val="it-IT"/>
              </w:rPr>
            </w:pPr>
            <w:r w:rsidRPr="00EB2379">
              <w:rPr>
                <w:color w:val="000000"/>
                <w:lang w:val="it-IT"/>
              </w:rPr>
              <w:t>-umestitev predlogov ONPP v P 21-27,</w:t>
            </w:r>
          </w:p>
          <w:p w14:paraId="47544225" w14:textId="77777777" w:rsidR="00EB2379" w:rsidRPr="00EB2379" w:rsidRDefault="00EB2379" w:rsidP="00FA408F">
            <w:pPr>
              <w:spacing w:before="5pt"/>
              <w:rPr>
                <w:color w:val="000000"/>
                <w:lang w:val="it-IT"/>
              </w:rPr>
            </w:pPr>
            <w:r w:rsidRPr="00EB2379">
              <w:rPr>
                <w:color w:val="000000"/>
                <w:lang w:val="it-IT"/>
              </w:rPr>
              <w:t>-koordinacija priprave sprememb ONPP,</w:t>
            </w:r>
          </w:p>
          <w:p w14:paraId="067A594A" w14:textId="77777777" w:rsidR="00EB2379" w:rsidRPr="00EB2379" w:rsidRDefault="00EB2379" w:rsidP="00FA408F">
            <w:pPr>
              <w:spacing w:before="5pt"/>
              <w:rPr>
                <w:color w:val="000000"/>
                <w:lang w:val="it-IT"/>
              </w:rPr>
            </w:pPr>
            <w:r w:rsidRPr="00EB2379">
              <w:rPr>
                <w:color w:val="000000"/>
                <w:lang w:val="it-IT"/>
              </w:rPr>
              <w:t>-spremljanje in vrednotenje izvajanja ONPP.</w:t>
            </w:r>
          </w:p>
          <w:p w14:paraId="1EC0292D" w14:textId="77777777" w:rsidR="00EB2379" w:rsidRPr="00EB2379" w:rsidRDefault="00EB2379" w:rsidP="00FA408F">
            <w:pPr>
              <w:spacing w:before="5pt"/>
              <w:rPr>
                <w:color w:val="000000"/>
                <w:lang w:val="it-IT"/>
              </w:rPr>
            </w:pPr>
            <w:r w:rsidRPr="00EB2379">
              <w:rPr>
                <w:b/>
                <w:bCs/>
                <w:color w:val="000000"/>
                <w:lang w:val="it-IT"/>
              </w:rPr>
              <w:t xml:space="preserve">v vlogi regionalne razvojne agencije ali območne razvojne institucije (RRA): Razvojna agencija SAŠA (v nadaljevanju: RA SAŠA) kot razvojna institucija, ki je vpisana v evidenco regionalnih razvojnih agencij ministrstva, pristojnega za regionalni razvoj: </w:t>
            </w:r>
          </w:p>
          <w:p w14:paraId="4CF86D27" w14:textId="77777777" w:rsidR="00EB2379" w:rsidRPr="00EB2379" w:rsidRDefault="00EB2379" w:rsidP="00FA408F">
            <w:pPr>
              <w:spacing w:before="5pt"/>
              <w:rPr>
                <w:color w:val="000000"/>
                <w:lang w:val="it-IT"/>
              </w:rPr>
            </w:pPr>
            <w:r w:rsidRPr="00EB2379">
              <w:rPr>
                <w:color w:val="000000"/>
                <w:lang w:val="it-IT"/>
              </w:rPr>
              <w:t>-sodelovanje pri načrtovanju sistema izvajanja pravičnega prehoda,</w:t>
            </w:r>
          </w:p>
          <w:p w14:paraId="718047C8" w14:textId="77777777" w:rsidR="00EB2379" w:rsidRPr="00EB2379" w:rsidRDefault="00EB2379" w:rsidP="00FA408F">
            <w:pPr>
              <w:spacing w:before="5pt"/>
              <w:rPr>
                <w:color w:val="000000"/>
                <w:lang w:val="it-IT"/>
              </w:rPr>
            </w:pPr>
            <w:r w:rsidRPr="00EB2379">
              <w:rPr>
                <w:color w:val="000000"/>
                <w:lang w:val="it-IT"/>
              </w:rPr>
              <w:lastRenderedPageBreak/>
              <w:t>-sodelovanje z OU pri aktivnostih na regionalni ravni za zagotavljanje partnerstva (mladi, NVO, socialni partnerji gospodarstvo, predstavniki lokalnih skupnosti, drugi),</w:t>
            </w:r>
          </w:p>
          <w:p w14:paraId="614EC2F5" w14:textId="77777777" w:rsidR="00EB2379" w:rsidRPr="00EB2379" w:rsidRDefault="00EB2379" w:rsidP="00FA408F">
            <w:pPr>
              <w:spacing w:before="5pt"/>
              <w:rPr>
                <w:color w:val="000000"/>
                <w:lang w:val="it-IT"/>
              </w:rPr>
            </w:pPr>
            <w:r w:rsidRPr="00EB2379">
              <w:rPr>
                <w:color w:val="000000"/>
                <w:lang w:val="it-IT"/>
              </w:rPr>
              <w:t>-članstvo v Odboru za spremljanje PEKP 21-27</w:t>
            </w:r>
          </w:p>
          <w:p w14:paraId="259A2239" w14:textId="77777777" w:rsidR="00EB2379" w:rsidRPr="00EB2379" w:rsidRDefault="00EB2379" w:rsidP="00FA408F">
            <w:pPr>
              <w:spacing w:before="5pt"/>
              <w:rPr>
                <w:color w:val="000000"/>
                <w:lang w:val="it-IT"/>
              </w:rPr>
            </w:pPr>
            <w:r w:rsidRPr="00EB2379">
              <w:rPr>
                <w:color w:val="000000"/>
                <w:lang w:val="it-IT"/>
              </w:rPr>
              <w:t>-sodelovanje pri pripravi in spremembah ONPP,</w:t>
            </w:r>
          </w:p>
          <w:p w14:paraId="251FA9CB" w14:textId="77777777" w:rsidR="00EB2379" w:rsidRDefault="00EB2379" w:rsidP="00FA408F">
            <w:pPr>
              <w:spacing w:before="5pt"/>
              <w:rPr>
                <w:color w:val="000000"/>
              </w:rPr>
            </w:pPr>
            <w:r>
              <w:rPr>
                <w:color w:val="000000"/>
              </w:rPr>
              <w:t>-sodelovanje s PT v postopkih izbora operacij;</w:t>
            </w:r>
          </w:p>
          <w:p w14:paraId="4AC1965B" w14:textId="77777777" w:rsidR="00EB2379" w:rsidRDefault="00EB2379" w:rsidP="00FA408F">
            <w:pPr>
              <w:spacing w:before="5pt"/>
              <w:rPr>
                <w:color w:val="000000"/>
              </w:rPr>
            </w:pPr>
            <w:r>
              <w:rPr>
                <w:color w:val="000000"/>
              </w:rPr>
              <w:t>-pregled in podaja mnenja o skladnosti vlog (NPO ali JR/JP) za odločitev o podpori z ONPP (v kolikor ne nastopa v vlogi potencialnega prejemnika sredstev oz. upravičenca),</w:t>
            </w:r>
          </w:p>
          <w:p w14:paraId="7FB1F114" w14:textId="77777777" w:rsidR="00EB2379" w:rsidRDefault="00EB2379" w:rsidP="00FA408F">
            <w:pPr>
              <w:spacing w:before="5pt"/>
              <w:rPr>
                <w:color w:val="000000"/>
              </w:rPr>
            </w:pPr>
            <w:r>
              <w:rPr>
                <w:color w:val="000000"/>
              </w:rPr>
              <w:t>-spremljanje izvajanja ONPP in v tem okviru priprava poročil o izvajanju (kvartalnih, letnih, končnih) ter poročanje OU, glede na navodila OU, za kar uporablja podatke informacijskega sistema OU,</w:t>
            </w:r>
          </w:p>
          <w:p w14:paraId="687A8C2B" w14:textId="77777777" w:rsidR="00EB2379" w:rsidRDefault="00EB2379" w:rsidP="00FA408F">
            <w:pPr>
              <w:spacing w:before="5pt"/>
              <w:rPr>
                <w:color w:val="000000"/>
              </w:rPr>
            </w:pPr>
            <w:r>
              <w:rPr>
                <w:color w:val="000000"/>
              </w:rPr>
              <w:t>-sodelovanje z OU in PT pri vrednotenju izvajanja ONPP;</w:t>
            </w:r>
          </w:p>
          <w:p w14:paraId="406029DC" w14:textId="77777777" w:rsidR="00EB2379" w:rsidRDefault="00EB2379" w:rsidP="00FA408F">
            <w:pPr>
              <w:spacing w:before="5pt"/>
              <w:rPr>
                <w:color w:val="000000"/>
              </w:rPr>
            </w:pPr>
            <w:r>
              <w:rPr>
                <w:b/>
                <w:bCs/>
                <w:color w:val="000000"/>
              </w:rPr>
              <w:t>v vlogi PT: MGTŠ, MDDSZ, MVI, MVZI, MOPE, MKRR in MSP:</w:t>
            </w:r>
          </w:p>
          <w:p w14:paraId="4432A767" w14:textId="77777777" w:rsidR="00EB2379" w:rsidRDefault="00EB2379" w:rsidP="00FA408F">
            <w:pPr>
              <w:spacing w:before="5pt"/>
              <w:rPr>
                <w:color w:val="000000"/>
              </w:rPr>
            </w:pPr>
            <w:r>
              <w:rPr>
                <w:color w:val="000000"/>
              </w:rPr>
              <w:t>-vključevanje RA SAŠA v postopke izbora operacij,</w:t>
            </w:r>
          </w:p>
          <w:p w14:paraId="664CE305" w14:textId="77777777" w:rsidR="00EB2379" w:rsidRDefault="00EB2379" w:rsidP="00FA408F">
            <w:pPr>
              <w:spacing w:before="5pt"/>
              <w:rPr>
                <w:color w:val="000000"/>
              </w:rPr>
            </w:pPr>
            <w:r>
              <w:rPr>
                <w:color w:val="000000"/>
              </w:rPr>
              <w:t>-pred posredovanjem vloge za odločitev o podpori na OU pridobi mnenje RA SAŠA, ki tako predstavlja obvezni sestavni del vloge za odločitev o podpori,</w:t>
            </w:r>
          </w:p>
          <w:p w14:paraId="2EAE3765" w14:textId="77777777" w:rsidR="00EB2379" w:rsidRDefault="00EB2379" w:rsidP="00FA408F">
            <w:pPr>
              <w:spacing w:before="5pt"/>
              <w:rPr>
                <w:color w:val="000000"/>
              </w:rPr>
            </w:pPr>
            <w:r>
              <w:rPr>
                <w:color w:val="000000"/>
              </w:rPr>
              <w:t>- seznanjanje RA SAŠA o izvedenih postopkih JR/JP,</w:t>
            </w:r>
          </w:p>
          <w:p w14:paraId="6C8FEBD7" w14:textId="77777777" w:rsidR="00EB2379" w:rsidRDefault="00EB2379" w:rsidP="00FA408F">
            <w:pPr>
              <w:spacing w:before="5pt"/>
              <w:rPr>
                <w:color w:val="000000"/>
              </w:rPr>
            </w:pPr>
            <w:r>
              <w:rPr>
                <w:color w:val="000000"/>
              </w:rPr>
              <w:t>-seznanjanje RA SAŠA o odstopih od pogodb o sofinanciranju,</w:t>
            </w:r>
          </w:p>
          <w:p w14:paraId="68578240" w14:textId="77777777" w:rsidR="00EB2379" w:rsidRDefault="00EB2379" w:rsidP="00FA408F">
            <w:pPr>
              <w:spacing w:before="5pt"/>
              <w:rPr>
                <w:color w:val="000000"/>
              </w:rPr>
            </w:pPr>
            <w:r>
              <w:rPr>
                <w:color w:val="000000"/>
              </w:rPr>
              <w:t>-sodelovanje z RA SAŠA pri spremljanju izvajanja ONPP.</w:t>
            </w:r>
          </w:p>
          <w:p w14:paraId="002CC7DE" w14:textId="77777777" w:rsidR="00EB2379" w:rsidRDefault="00EB2379" w:rsidP="00FA408F">
            <w:pPr>
              <w:spacing w:before="5pt"/>
              <w:rPr>
                <w:color w:val="000000"/>
              </w:rPr>
            </w:pPr>
          </w:p>
          <w:p w14:paraId="50FC315E" w14:textId="77777777" w:rsidR="00EB2379" w:rsidRDefault="00EB2379" w:rsidP="00FA408F">
            <w:pPr>
              <w:spacing w:before="5pt"/>
              <w:rPr>
                <w:color w:val="000000"/>
              </w:rPr>
            </w:pPr>
            <w:r>
              <w:rPr>
                <w:color w:val="000000"/>
              </w:rPr>
              <w:t>RA SAŠA deluje tudi kot Center za pravični prehod (v nadaljevanju CPP), ki ločeno od nalog, ki jih izvaja v okviru upravljanja, izvaja naslednje aktivnosti: (i) vzpostavljanje lokalnih partnerstev in mreženje za potrebe izvajanja projektov oz. operacij, (ii) izvajanje usposabljanj in krepitev zmogljivosti projektnih sponzorjev, (iii) zagotavljanje podpore pri pripravi projektov (podpora pri izdelavi projektnih idej, pripravi vlog, investicijske dokumentacije ipd.), (iv) spremljanje izvajanja projektov in podporo pri projektnem upravljanju ter (v) evidentiranje prostorsko in okoljsko degradiranih območij (stanje, optimalna raba, način in časovnica sanacije,…) in priprava vizije o revitalizaciji dediščine povezane s premogovništvom, (vi) priprava študij in analiz, potrebnih za učinkovito in pravočasno izvajanje strategije in z njo povezanih programov, ukrepov ali projektov, tudi (vii) deluje tudi kot glavna informacijska točka ter s tem skrbi za dosledno izvajanje ukrepov informiranja in obveščanja tako lokalnih deležnikov pravičnega prehoda (npr. občanov, projektnih sponzorjev, delavcev v premogovništvu ipd.) kot tudi širše zainteresirane javnosti.</w:t>
            </w:r>
          </w:p>
          <w:p w14:paraId="75FEB2F2" w14:textId="77777777" w:rsidR="00EB2379" w:rsidRDefault="00EB2379" w:rsidP="00FA408F">
            <w:pPr>
              <w:spacing w:before="5pt"/>
              <w:rPr>
                <w:color w:val="000000"/>
              </w:rPr>
            </w:pPr>
            <w:r>
              <w:rPr>
                <w:color w:val="000000"/>
              </w:rPr>
              <w:t>CPP ima centralno vlogo usklajevanja in njegova vloga in obveza je, da koordinira aktivnosti vseh deležnikov v regiji pri aktivnostih povezanih z izvajanjem ONPP. Med deležnike spadajo mladi, NVO, socialni partnerji gospodarstvo, predstavniki lokalnih skupnosti, drugi.</w:t>
            </w:r>
          </w:p>
          <w:p w14:paraId="4723E74C" w14:textId="77777777" w:rsidR="00EB2379" w:rsidRDefault="00EB2379" w:rsidP="00FA408F">
            <w:pPr>
              <w:spacing w:before="5pt"/>
              <w:rPr>
                <w:color w:val="000000"/>
                <w:sz w:val="6"/>
              </w:rPr>
            </w:pPr>
          </w:p>
          <w:p w14:paraId="476D3257" w14:textId="77777777" w:rsidR="00EB2379" w:rsidRDefault="00EB2379" w:rsidP="00FA408F">
            <w:pPr>
              <w:spacing w:before="5pt"/>
              <w:rPr>
                <w:color w:val="000000"/>
                <w:sz w:val="6"/>
              </w:rPr>
            </w:pPr>
          </w:p>
        </w:tc>
      </w:tr>
    </w:tbl>
    <w:p w14:paraId="4A81CFBC" w14:textId="77777777" w:rsidR="00EB2379" w:rsidRDefault="00EB2379" w:rsidP="00EB2379">
      <w:pPr>
        <w:spacing w:before="5pt"/>
        <w:rPr>
          <w:color w:val="000000"/>
          <w:sz w:val="12"/>
        </w:rPr>
      </w:pPr>
      <w:r>
        <w:rPr>
          <w:color w:val="000000"/>
        </w:rPr>
        <w:lastRenderedPageBreak/>
        <w:br w:type="page"/>
      </w:r>
    </w:p>
    <w:p w14:paraId="710B389C" w14:textId="77777777" w:rsidR="00EB2379" w:rsidRDefault="00EB2379" w:rsidP="00EB2379">
      <w:pPr>
        <w:spacing w:before="5pt"/>
        <w:rPr>
          <w:color w:val="000000"/>
        </w:rPr>
      </w:pPr>
    </w:p>
    <w:p w14:paraId="5687A64A" w14:textId="77777777" w:rsidR="00EB2379" w:rsidRPr="00EB2379" w:rsidRDefault="00EB2379" w:rsidP="00EB2379">
      <w:pPr>
        <w:pStyle w:val="Naslov1"/>
        <w:spacing w:before="5pt" w:after="0pt"/>
        <w:rPr>
          <w:rFonts w:ascii="Times New Roman" w:hAnsi="Times New Roman" w:cs="Times New Roman"/>
          <w:b w:val="0"/>
          <w:color w:val="000000"/>
          <w:sz w:val="24"/>
          <w:lang w:val="it-IT"/>
        </w:rPr>
      </w:pPr>
      <w:bookmarkStart w:id="743" w:name="_Toc256000022"/>
      <w:r w:rsidRPr="00EB2379">
        <w:rPr>
          <w:rFonts w:ascii="Times New Roman" w:hAnsi="Times New Roman" w:cs="Times New Roman"/>
          <w:b w:val="0"/>
          <w:color w:val="000000"/>
          <w:sz w:val="24"/>
          <w:lang w:val="it-IT"/>
        </w:rPr>
        <w:t>4. Kazalniki učinkov ali rezultatov za posamezni program</w:t>
      </w:r>
      <w:bookmarkEnd w:id="743"/>
    </w:p>
    <w:p w14:paraId="2D035B32" w14:textId="77777777" w:rsidR="00EB2379" w:rsidRPr="00EB2379" w:rsidRDefault="00EB2379" w:rsidP="00EB2379">
      <w:pPr>
        <w:spacing w:before="5pt"/>
        <w:rPr>
          <w:color w:val="000000"/>
          <w:sz w:val="0"/>
          <w:lang w:val="it-IT"/>
        </w:rPr>
      </w:pPr>
    </w:p>
    <w:p w14:paraId="74CE5FBB" w14:textId="77777777" w:rsidR="00EB2379" w:rsidRPr="00EB2379" w:rsidRDefault="00EB2379" w:rsidP="00EB2379">
      <w:pPr>
        <w:spacing w:before="5pt"/>
        <w:rPr>
          <w:color w:val="000000"/>
          <w:lang w:val="it-IT"/>
        </w:rPr>
      </w:pPr>
      <w:r w:rsidRPr="00EB2379">
        <w:rPr>
          <w:color w:val="000000"/>
          <w:lang w:val="it-IT"/>
        </w:rPr>
        <w:t>Sklic: člen 12(1) uredbe o SPP</w:t>
      </w:r>
    </w:p>
    <w:p w14:paraId="2C3B8F95" w14:textId="77777777" w:rsidR="00EB2379" w:rsidRPr="00EB2379" w:rsidRDefault="00EB2379" w:rsidP="00EB2379">
      <w:pPr>
        <w:pStyle w:val="Naslov2"/>
        <w:spacing w:before="5pt" w:after="0pt"/>
        <w:rPr>
          <w:rFonts w:ascii="TimesNewRoman" w:eastAsia="TimesNewRoman" w:hAnsi="TimesNewRoman" w:cs="TimesNewRoman"/>
          <w:b w:val="0"/>
          <w:i w:val="0"/>
          <w:color w:val="000000"/>
          <w:sz w:val="24"/>
          <w:lang w:val="it-IT"/>
        </w:rPr>
      </w:pPr>
      <w:bookmarkStart w:id="744" w:name="_Toc256000023"/>
      <w:r w:rsidRPr="00EB2379">
        <w:rPr>
          <w:rFonts w:ascii="TimesNewRoman" w:eastAsia="TimesNewRoman" w:hAnsi="TimesNewRoman" w:cs="TimesNewRoman"/>
          <w:b w:val="0"/>
          <w:i w:val="0"/>
          <w:color w:val="000000"/>
          <w:sz w:val="24"/>
          <w:lang w:val="it-IT"/>
        </w:rPr>
        <w:t>Utemeljitev na podlagi predvidenih vrst operacij, da so kazalniki učinka ali rezultatov, specifični za posamezni program, potrebni</w:t>
      </w:r>
      <w:bookmarkEnd w:id="744"/>
    </w:p>
    <w:p w14:paraId="04000A58" w14:textId="77777777" w:rsidR="00EB2379" w:rsidRPr="00EB2379" w:rsidRDefault="00EB2379" w:rsidP="00EB2379">
      <w:pPr>
        <w:spacing w:before="5pt"/>
        <w:rPr>
          <w:rFonts w:ascii="TimesNewRoman" w:eastAsia="TimesNewRoman" w:hAnsi="TimesNewRoman" w:cs="TimesNewRoman"/>
          <w:color w:val="000000"/>
          <w:sz w:val="16"/>
          <w:lang w:val="it-IT"/>
        </w:rPr>
      </w:pPr>
    </w:p>
    <w:p w14:paraId="109982D3" w14:textId="77777777" w:rsidR="00EB2379" w:rsidRPr="00EB2379" w:rsidRDefault="00EB2379" w:rsidP="00EB2379">
      <w:pPr>
        <w:spacing w:before="5pt"/>
        <w:rPr>
          <w:rFonts w:ascii="TimesNewRoman" w:eastAsia="TimesNewRoman" w:hAnsi="TimesNewRoman" w:cs="TimesNewRoman"/>
          <w:color w:val="000000"/>
          <w:sz w:val="12"/>
          <w:lang w:val="it-I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EB2379" w:rsidRPr="00EB2379" w14:paraId="1C8B6E4A" w14:textId="77777777" w:rsidTr="00FA408F">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3C9C9C" w14:textId="77777777" w:rsidR="00EB2379" w:rsidRPr="00EB2379" w:rsidRDefault="00EB2379" w:rsidP="00FA408F">
            <w:pPr>
              <w:spacing w:before="5pt"/>
              <w:rPr>
                <w:rFonts w:ascii="TimesNewRoman" w:eastAsia="TimesNewRoman" w:hAnsi="TimesNewRoman" w:cs="TimesNewRoman"/>
                <w:color w:val="000000"/>
                <w:sz w:val="0"/>
                <w:lang w:val="it-IT"/>
              </w:rPr>
            </w:pPr>
          </w:p>
          <w:p w14:paraId="6C510335" w14:textId="77777777" w:rsidR="00EB2379" w:rsidRPr="00EB2379" w:rsidRDefault="00EB2379" w:rsidP="00FA408F">
            <w:pPr>
              <w:spacing w:before="5pt"/>
              <w:rPr>
                <w:rFonts w:ascii="TimesNewRoman" w:eastAsia="TimesNewRoman" w:hAnsi="TimesNewRoman" w:cs="TimesNewRoman"/>
                <w:color w:val="000000"/>
                <w:lang w:val="it-IT"/>
              </w:rPr>
            </w:pPr>
            <w:r w:rsidRPr="00EB2379">
              <w:rPr>
                <w:rFonts w:ascii="TimesNewRoman" w:eastAsia="TimesNewRoman" w:hAnsi="TimesNewRoman" w:cs="TimesNewRoman"/>
                <w:color w:val="000000"/>
                <w:lang w:val="it-IT"/>
              </w:rPr>
              <w:t>S programsko specifičnim kazalnikom učinka: Urejene površine za gospodarsko dejavnost se meri rezultat ukrepov v okviru SC 3 Trajnosten, prožen in raznolik gospodarski razvoj, katerih osnovni namen je funkcionalni razvoj saniranih degradiranih območij in razvoj javne infrastrukture za podporo podjetjem (in ne sama sanacija okoljsko in prostorsko degradiranih območij kot takšna).</w:t>
            </w:r>
          </w:p>
          <w:p w14:paraId="7AF4EFE0" w14:textId="77777777" w:rsidR="00EB2379" w:rsidRPr="00EB2379" w:rsidRDefault="00EB2379" w:rsidP="00FA408F">
            <w:pPr>
              <w:spacing w:before="5pt"/>
              <w:rPr>
                <w:rFonts w:ascii="TimesNewRoman" w:eastAsia="TimesNewRoman" w:hAnsi="TimesNewRoman" w:cs="TimesNewRoman"/>
                <w:color w:val="000000"/>
                <w:lang w:val="it-IT"/>
              </w:rPr>
            </w:pPr>
            <w:r w:rsidRPr="00EB2379">
              <w:rPr>
                <w:rFonts w:ascii="TimesNewRoman" w:eastAsia="TimesNewRoman" w:hAnsi="TimesNewRoman" w:cs="TimesNewRoman"/>
                <w:color w:val="000000"/>
                <w:lang w:val="it-IT"/>
              </w:rPr>
              <w:t>Programsko specifični kazalnik učinka: Število organizacij, ki so vključene v razvojne projekte za izboljšanje znanja spretnosti in kompetenc</w:t>
            </w:r>
          </w:p>
          <w:p w14:paraId="21A36CAC" w14:textId="77777777" w:rsidR="00EB2379" w:rsidRPr="00EB2379" w:rsidRDefault="00EB2379" w:rsidP="00FA408F">
            <w:pPr>
              <w:spacing w:before="5pt"/>
              <w:rPr>
                <w:rFonts w:ascii="TimesNewRoman" w:eastAsia="TimesNewRoman" w:hAnsi="TimesNewRoman" w:cs="TimesNewRoman"/>
                <w:color w:val="000000"/>
                <w:lang w:val="it-IT"/>
              </w:rPr>
            </w:pPr>
            <w:r w:rsidRPr="00EB2379">
              <w:rPr>
                <w:rFonts w:ascii="TimesNewRoman" w:eastAsia="TimesNewRoman" w:hAnsi="TimesNewRoman" w:cs="TimesNewRoman"/>
                <w:color w:val="000000"/>
                <w:lang w:val="it-IT"/>
              </w:rPr>
              <w:t>Programsko specifični kazalnik rezultata: Delež podprtih organizacij, ki so uspešno vključile rezultate projektov za izboljšanje znanj, spretnosti in kompetenc v svoje razvojne načrte</w:t>
            </w:r>
          </w:p>
          <w:p w14:paraId="158CC58C" w14:textId="77777777" w:rsidR="00EB2379" w:rsidRPr="00EB2379" w:rsidRDefault="00EB2379" w:rsidP="00FA408F">
            <w:pPr>
              <w:spacing w:before="5pt"/>
              <w:rPr>
                <w:rFonts w:ascii="TimesNewRoman" w:eastAsia="TimesNewRoman" w:hAnsi="TimesNewRoman" w:cs="TimesNewRoman"/>
                <w:color w:val="000000"/>
                <w:lang w:val="it-IT"/>
              </w:rPr>
            </w:pPr>
            <w:r w:rsidRPr="00EB2379">
              <w:rPr>
                <w:rFonts w:ascii="TimesNewRoman" w:eastAsia="TimesNewRoman" w:hAnsi="TimesNewRoman" w:cs="TimesNewRoman"/>
                <w:color w:val="000000"/>
                <w:lang w:val="it-IT"/>
              </w:rPr>
              <w:t>Odločitev za uporabo programsko specifičnih kazalnikov učinka in rezultata kazalnika izhaja iz vsebine načrtovanih aktivnosti. Izbrani kazalniki so primerni za izvajanje razvojnih ukrepov za krepitev kakovosti vzgoje in izobraževanja, pri čemer so pomembni vsešolski pristop, podpora strokovnim in pedagoškim delavcem ter odpiranje VIZ v lokalni in širši prostor. Pri načrtovanju, izvajanju in evalvaciji sodobnih pristopov učenja in poučevanja oz. izvajanja pouka in drugih šolskih dejavnosti, bo sodelovalo veliko številko ključnih deležnikov oz. organizacij.</w:t>
            </w:r>
            <w:r w:rsidRPr="00EB2379">
              <w:rPr>
                <w:rFonts w:ascii="TimesNewRoman" w:eastAsia="TimesNewRoman" w:hAnsi="TimesNewRoman" w:cs="TimesNewRoman"/>
                <w:b/>
                <w:bCs/>
                <w:color w:val="000000"/>
                <w:lang w:val="it-IT"/>
              </w:rPr>
              <w:t xml:space="preserve"> </w:t>
            </w:r>
          </w:p>
          <w:p w14:paraId="54835523" w14:textId="77777777" w:rsidR="00EB2379" w:rsidRPr="00EB2379" w:rsidRDefault="00EB2379" w:rsidP="00FA408F">
            <w:pPr>
              <w:spacing w:before="5pt"/>
              <w:rPr>
                <w:rFonts w:ascii="TimesNewRoman" w:eastAsia="TimesNewRoman" w:hAnsi="TimesNewRoman" w:cs="TimesNewRoman"/>
                <w:color w:val="000000"/>
                <w:lang w:val="it-IT"/>
              </w:rPr>
            </w:pPr>
          </w:p>
          <w:p w14:paraId="4D661248" w14:textId="77777777" w:rsidR="00EB2379" w:rsidRPr="00EB2379" w:rsidRDefault="00EB2379" w:rsidP="00FA408F">
            <w:pPr>
              <w:spacing w:before="5pt"/>
              <w:rPr>
                <w:rFonts w:ascii="TimesNewRoman" w:eastAsia="TimesNewRoman" w:hAnsi="TimesNewRoman" w:cs="TimesNewRoman"/>
                <w:color w:val="000000"/>
                <w:lang w:val="it-IT"/>
              </w:rPr>
            </w:pPr>
            <w:r w:rsidRPr="00EB2379">
              <w:rPr>
                <w:rFonts w:ascii="TimesNewRoman" w:eastAsia="TimesNewRoman" w:hAnsi="TimesNewRoman" w:cs="TimesNewRoman"/>
                <w:color w:val="000000"/>
                <w:lang w:val="it-IT"/>
              </w:rPr>
              <w:t>Za podrobnosti glej Priloga 8: Metodološki listi za programsko specifične kazalnike.</w:t>
            </w:r>
          </w:p>
          <w:p w14:paraId="5FD82394" w14:textId="77777777" w:rsidR="00EB2379" w:rsidRPr="00EB2379" w:rsidRDefault="00EB2379" w:rsidP="00FA408F">
            <w:pPr>
              <w:spacing w:before="5pt"/>
              <w:rPr>
                <w:rFonts w:ascii="TimesNewRoman" w:eastAsia="TimesNewRoman" w:hAnsi="TimesNewRoman" w:cs="TimesNewRoman"/>
                <w:color w:val="000000"/>
                <w:sz w:val="6"/>
                <w:lang w:val="it-IT"/>
              </w:rPr>
            </w:pPr>
          </w:p>
          <w:p w14:paraId="01D9D34A" w14:textId="77777777" w:rsidR="00EB2379" w:rsidRPr="00EB2379" w:rsidRDefault="00EB2379" w:rsidP="00FA408F">
            <w:pPr>
              <w:spacing w:before="5pt"/>
              <w:rPr>
                <w:rFonts w:ascii="TimesNewRoman" w:eastAsia="TimesNewRoman" w:hAnsi="TimesNewRoman" w:cs="TimesNewRoman"/>
                <w:color w:val="000000"/>
                <w:sz w:val="6"/>
                <w:lang w:val="it-IT"/>
              </w:rPr>
            </w:pPr>
          </w:p>
        </w:tc>
      </w:tr>
    </w:tbl>
    <w:p w14:paraId="2C12CD66" w14:textId="77777777" w:rsidR="00EB2379" w:rsidRPr="00EB2379" w:rsidRDefault="00EB2379" w:rsidP="00EB2379">
      <w:pPr>
        <w:spacing w:before="5pt"/>
        <w:rPr>
          <w:rFonts w:ascii="TimesNewRoman" w:eastAsia="TimesNewRoman" w:hAnsi="TimesNewRoman" w:cs="TimesNewRoman"/>
          <w:color w:val="000000"/>
          <w:lang w:val="it-IT"/>
        </w:rPr>
        <w:sectPr w:rsidR="00EB2379" w:rsidRPr="00EB2379">
          <w:headerReference w:type="even" r:id="rId67"/>
          <w:headerReference w:type="default" r:id="rId68"/>
          <w:footerReference w:type="even" r:id="rId69"/>
          <w:footerReference w:type="default" r:id="rId70"/>
          <w:headerReference w:type="first" r:id="rId71"/>
          <w:footerReference w:type="first" r:id="rId72"/>
          <w:pgSz w:w="595.30pt" w:h="841.90pt"/>
          <w:pgMar w:top="36pt" w:right="46.80pt" w:bottom="43.20pt" w:left="36pt" w:header="0pt" w:footer="3.60pt" w:gutter="0pt"/>
          <w:cols w:space="36pt"/>
          <w:noEndnote/>
          <w:docGrid w:linePitch="360"/>
        </w:sectPr>
      </w:pPr>
    </w:p>
    <w:p w14:paraId="685E9B98" w14:textId="77777777" w:rsidR="00EB2379" w:rsidRDefault="00EB2379" w:rsidP="00EB2379">
      <w:pPr>
        <w:pStyle w:val="Naslov2"/>
        <w:spacing w:before="5pt" w:after="0pt"/>
        <w:rPr>
          <w:rFonts w:ascii="TimesNewRoman" w:eastAsia="TimesNewRoman" w:hAnsi="TimesNewRoman" w:cs="TimesNewRoman"/>
          <w:b w:val="0"/>
          <w:i w:val="0"/>
          <w:color w:val="000000"/>
          <w:sz w:val="24"/>
        </w:rPr>
      </w:pPr>
      <w:bookmarkStart w:id="745" w:name="_Toc256000024"/>
      <w:r>
        <w:rPr>
          <w:rFonts w:ascii="TimesNewRoman" w:eastAsia="TimesNewRoman" w:hAnsi="TimesNewRoman" w:cs="TimesNewRoman"/>
          <w:b w:val="0"/>
          <w:i w:val="0"/>
          <w:color w:val="000000"/>
          <w:sz w:val="24"/>
        </w:rPr>
        <w:lastRenderedPageBreak/>
        <w:t>Tabela 1: Kazalniki učinka</w:t>
      </w:r>
      <w:bookmarkEnd w:id="745"/>
    </w:p>
    <w:p w14:paraId="1083F262" w14:textId="77777777" w:rsidR="00EB2379" w:rsidRDefault="00EB2379" w:rsidP="00EB2379">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17"/>
        <w:gridCol w:w="2194"/>
        <w:gridCol w:w="2217"/>
        <w:gridCol w:w="1396"/>
        <w:gridCol w:w="1353"/>
        <w:gridCol w:w="1263"/>
      </w:tblGrid>
      <w:tr w:rsidR="00EB2379" w14:paraId="748F8032" w14:textId="77777777" w:rsidTr="00FA408F">
        <w:trPr>
          <w:trHeight w:val="160"/>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F65D1D" w14:textId="77777777" w:rsidR="00EB2379" w:rsidRDefault="00EB2379" w:rsidP="00FA408F">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5EEE42" w14:textId="77777777" w:rsidR="00EB2379" w:rsidRDefault="00EB2379" w:rsidP="00FA408F">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2E75A2E" w14:textId="77777777" w:rsidR="00EB2379" w:rsidRDefault="00EB2379" w:rsidP="00FA408F">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7B6874" w14:textId="77777777" w:rsidR="00EB2379" w:rsidRDefault="00EB2379" w:rsidP="00FA408F">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6330DD" w14:textId="77777777" w:rsidR="00EB2379" w:rsidRDefault="00EB2379" w:rsidP="00FA408F">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565889" w14:textId="77777777" w:rsidR="00EB2379" w:rsidRDefault="00EB2379" w:rsidP="00FA408F">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Cilj (2029)</w:t>
            </w:r>
          </w:p>
        </w:tc>
      </w:tr>
      <w:tr w:rsidR="00EB2379" w14:paraId="360AEE39" w14:textId="77777777" w:rsidTr="00FA408F">
        <w:trPr>
          <w:trHeight w:val="160"/>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35E4E4" w14:textId="77777777" w:rsidR="00EB2379" w:rsidRDefault="00EB2379" w:rsidP="00FA408F">
            <w:pPr>
              <w:spacing w:before="5pt"/>
              <w:rPr>
                <w:rFonts w:ascii="TimesNewRoman" w:eastAsia="TimesNewRoman" w:hAnsi="TimesNewRoman" w:cs="TimesNewRoman"/>
                <w:color w:val="000000"/>
              </w:rPr>
            </w:pPr>
            <w:r>
              <w:rPr>
                <w:rFonts w:ascii="TimesNewRoman" w:eastAsia="TimesNewRoman" w:hAnsi="TimesNewRoman" w:cs="TimesNewRoman"/>
                <w:color w:val="00000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9AD9DD" w14:textId="77777777" w:rsidR="00EB2379" w:rsidRDefault="00EB2379" w:rsidP="00FA408F">
            <w:pPr>
              <w:spacing w:before="5pt"/>
              <w:rPr>
                <w:rFonts w:ascii="TimesNewRoman" w:eastAsia="TimesNewRoman" w:hAnsi="TimesNewRoman" w:cs="TimesNewRoman"/>
                <w:color w:val="000000"/>
              </w:rPr>
            </w:pPr>
            <w:r>
              <w:rPr>
                <w:rFonts w:ascii="TimesNewRoman" w:eastAsia="TimesNewRoman" w:hAnsi="TimesNewRoman" w:cs="TimesNewRoman"/>
                <w:color w:val="00000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A4E7B9" w14:textId="77777777" w:rsidR="00EB2379" w:rsidRPr="00EB2379" w:rsidRDefault="00EB2379" w:rsidP="00FA408F">
            <w:pPr>
              <w:spacing w:before="5pt"/>
              <w:rPr>
                <w:rFonts w:ascii="TimesNewRoman" w:eastAsia="TimesNewRoman" w:hAnsi="TimesNewRoman" w:cs="TimesNewRoman"/>
                <w:color w:val="000000"/>
                <w:lang w:val="it-IT"/>
              </w:rPr>
            </w:pPr>
            <w:r w:rsidRPr="00EB2379">
              <w:rPr>
                <w:rFonts w:ascii="TimesNewRoman" w:eastAsia="TimesNewRoman" w:hAnsi="TimesNewRoman" w:cs="TimesNewRoman"/>
                <w:color w:val="000000"/>
                <w:lang w:val="it-IT"/>
              </w:rPr>
              <w:t>Urejene površine za gospodarsko dejavnost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5A8889" w14:textId="77777777" w:rsidR="00EB2379" w:rsidRDefault="00EB2379" w:rsidP="00FA408F">
            <w:pPr>
              <w:spacing w:before="5pt"/>
              <w:rPr>
                <w:rFonts w:ascii="TimesNewRoman" w:eastAsia="TimesNewRoman" w:hAnsi="TimesNewRoman" w:cs="TimesNewRoman"/>
                <w:color w:val="000000"/>
              </w:rPr>
            </w:pPr>
            <w:r>
              <w:rPr>
                <w:rFonts w:ascii="TimesNewRoman" w:eastAsia="TimesNewRoman" w:hAnsi="TimesNewRoman" w:cs="TimesNewRoman"/>
                <w:color w:val="000000"/>
              </w:rPr>
              <w:t>ha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34D1ED" w14:textId="77777777" w:rsidR="00EB2379" w:rsidRDefault="00EB2379" w:rsidP="00FA408F">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6648FC" w14:textId="77777777" w:rsidR="00EB2379" w:rsidRDefault="00EB2379" w:rsidP="00FA408F">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21,80</w:t>
            </w:r>
          </w:p>
        </w:tc>
      </w:tr>
      <w:tr w:rsidR="00EB2379" w14:paraId="749B0E9E" w14:textId="77777777" w:rsidTr="00FA408F">
        <w:trPr>
          <w:trHeight w:val="160"/>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61D227" w14:textId="77777777" w:rsidR="00EB2379" w:rsidRDefault="00EB2379" w:rsidP="00FA408F">
            <w:pPr>
              <w:spacing w:before="5pt"/>
              <w:rPr>
                <w:rFonts w:ascii="TimesNewRoman" w:eastAsia="TimesNewRoman" w:hAnsi="TimesNewRoman" w:cs="TimesNewRoman"/>
                <w:color w:val="000000"/>
              </w:rPr>
            </w:pPr>
            <w:r>
              <w:rPr>
                <w:rFonts w:ascii="TimesNewRoman" w:eastAsia="TimesNewRoman" w:hAnsi="TimesNewRoman" w:cs="TimesNewRoman"/>
                <w:color w:val="00000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C80D04" w14:textId="77777777" w:rsidR="00EB2379" w:rsidRDefault="00EB2379" w:rsidP="00FA408F">
            <w:pPr>
              <w:spacing w:before="5pt"/>
              <w:rPr>
                <w:rFonts w:ascii="TimesNewRoman" w:eastAsia="TimesNewRoman" w:hAnsi="TimesNewRoman" w:cs="TimesNewRoman"/>
                <w:color w:val="000000"/>
              </w:rPr>
            </w:pPr>
            <w:r>
              <w:rPr>
                <w:rFonts w:ascii="TimesNewRoman" w:eastAsia="TimesNewRoman" w:hAnsi="TimesNewRoman" w:cs="TimesNewRoman"/>
                <w:color w:val="00000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A82D0B" w14:textId="77777777" w:rsidR="00EB2379" w:rsidRDefault="00EB2379" w:rsidP="00FA408F">
            <w:pPr>
              <w:spacing w:before="5pt"/>
              <w:rPr>
                <w:rFonts w:ascii="TimesNewRoman" w:eastAsia="TimesNewRoman" w:hAnsi="TimesNewRoman" w:cs="TimesNewRoman"/>
                <w:color w:val="000000"/>
              </w:rPr>
            </w:pPr>
            <w:r>
              <w:rPr>
                <w:rFonts w:ascii="TimesNewRoman" w:eastAsia="TimesNewRoman" w:hAnsi="TimesNewRoman" w:cs="TimesNewRoman"/>
                <w:color w:val="000000"/>
              </w:rPr>
              <w:t>Število organizacij ki so vključene v razvojne projekte za izboljšanje znanja spretnosti in kompetenc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D4C9A0" w14:textId="77777777" w:rsidR="00EB2379" w:rsidRDefault="00EB2379" w:rsidP="00FA408F">
            <w:pPr>
              <w:spacing w:before="5pt"/>
              <w:rPr>
                <w:rFonts w:ascii="TimesNewRoman" w:eastAsia="TimesNewRoman" w:hAnsi="TimesNewRoman" w:cs="TimesNewRoman"/>
                <w:color w:val="000000"/>
              </w:rPr>
            </w:pPr>
            <w:r>
              <w:rPr>
                <w:rFonts w:ascii="TimesNewRoman" w:eastAsia="TimesNewRoman" w:hAnsi="TimesNewRoman" w:cs="TimesNewRoman"/>
                <w:color w:val="00000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47D5AB" w14:textId="77777777" w:rsidR="00EB2379" w:rsidRDefault="00EB2379" w:rsidP="00FA408F">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6,00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DCD318" w14:textId="77777777" w:rsidR="00EB2379" w:rsidRDefault="00EB2379" w:rsidP="00FA408F">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23,00</w:t>
            </w:r>
          </w:p>
        </w:tc>
      </w:tr>
    </w:tbl>
    <w:p w14:paraId="7B8CA780" w14:textId="77777777" w:rsidR="00EB2379" w:rsidRDefault="00EB2379" w:rsidP="00EB2379">
      <w:pPr>
        <w:spacing w:before="5pt"/>
        <w:rPr>
          <w:rFonts w:ascii="TimesNewRoman" w:eastAsia="TimesNewRoman" w:hAnsi="TimesNewRoman" w:cs="TimesNewRoman"/>
          <w:color w:val="000000"/>
        </w:rPr>
      </w:pPr>
    </w:p>
    <w:p w14:paraId="5E02CD1D" w14:textId="77777777" w:rsidR="00EB2379" w:rsidRDefault="00EB2379" w:rsidP="00EB2379">
      <w:pPr>
        <w:pStyle w:val="Naslov2"/>
        <w:spacing w:before="5pt" w:after="0pt"/>
        <w:rPr>
          <w:rFonts w:ascii="TimesNewRoman" w:eastAsia="TimesNewRoman" w:hAnsi="TimesNewRoman" w:cs="TimesNewRoman"/>
          <w:b w:val="0"/>
          <w:i w:val="0"/>
          <w:color w:val="000000"/>
          <w:sz w:val="24"/>
        </w:rPr>
      </w:pPr>
      <w:bookmarkStart w:id="746" w:name="_Toc256000025"/>
      <w:r>
        <w:rPr>
          <w:rFonts w:ascii="TimesNewRoman" w:eastAsia="TimesNewRoman" w:hAnsi="TimesNewRoman" w:cs="TimesNewRoman"/>
          <w:b w:val="0"/>
          <w:i w:val="0"/>
          <w:color w:val="000000"/>
          <w:sz w:val="24"/>
        </w:rPr>
        <w:t>Tabela 2: Kazalniki rezultatov</w:t>
      </w:r>
      <w:bookmarkEnd w:id="746"/>
    </w:p>
    <w:p w14:paraId="2C83B5DE" w14:textId="77777777" w:rsidR="00EB2379" w:rsidRDefault="00EB2379" w:rsidP="00EB2379">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135"/>
        <w:gridCol w:w="1369"/>
        <w:gridCol w:w="1293"/>
        <w:gridCol w:w="871"/>
        <w:gridCol w:w="1203"/>
        <w:gridCol w:w="1272"/>
        <w:gridCol w:w="788"/>
        <w:gridCol w:w="1327"/>
        <w:gridCol w:w="982"/>
      </w:tblGrid>
      <w:tr w:rsidR="00EB2379" w14:paraId="6B656212" w14:textId="77777777" w:rsidTr="00FA408F">
        <w:trPr>
          <w:trHeight w:val="160"/>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E4C171" w14:textId="77777777" w:rsidR="00EB2379" w:rsidRDefault="00EB2379" w:rsidP="00FA408F">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DDE3F2" w14:textId="77777777" w:rsidR="00EB2379" w:rsidRDefault="00EB2379" w:rsidP="00FA408F">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07E70DD" w14:textId="77777777" w:rsidR="00EB2379" w:rsidRDefault="00EB2379" w:rsidP="00FA408F">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BC9FBC" w14:textId="77777777" w:rsidR="00EB2379" w:rsidRDefault="00EB2379" w:rsidP="00FA408F">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48B3C8" w14:textId="77777777" w:rsidR="00EB2379" w:rsidRDefault="00EB2379" w:rsidP="00FA408F">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25DA3E" w14:textId="77777777" w:rsidR="00EB2379" w:rsidRDefault="00EB2379" w:rsidP="00FA408F">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326D84" w14:textId="77777777" w:rsidR="00EB2379" w:rsidRDefault="00EB2379" w:rsidP="00FA408F">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A03780" w14:textId="77777777" w:rsidR="00EB2379" w:rsidRDefault="00EB2379" w:rsidP="00FA408F">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7DD51B" w14:textId="77777777" w:rsidR="00EB2379" w:rsidRDefault="00EB2379" w:rsidP="00FA408F">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Opombe</w:t>
            </w:r>
          </w:p>
        </w:tc>
      </w:tr>
      <w:tr w:rsidR="00EB2379" w14:paraId="6F6EC971" w14:textId="77777777" w:rsidTr="00FA408F">
        <w:trPr>
          <w:trHeight w:val="160"/>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7030B8" w14:textId="77777777" w:rsidR="00EB2379" w:rsidRDefault="00EB2379" w:rsidP="00FA408F">
            <w:pPr>
              <w:spacing w:before="5pt"/>
              <w:rPr>
                <w:rFonts w:ascii="TimesNewRoman" w:eastAsia="TimesNewRoman" w:hAnsi="TimesNewRoman" w:cs="TimesNewRoman"/>
                <w:color w:val="000000"/>
              </w:rPr>
            </w:pPr>
            <w:r>
              <w:rPr>
                <w:rFonts w:ascii="TimesNewRoman" w:eastAsia="TimesNewRoman" w:hAnsi="TimesNewRoman" w:cs="TimesNewRoman"/>
                <w:color w:val="00000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09D724" w14:textId="77777777" w:rsidR="00EB2379" w:rsidRDefault="00EB2379" w:rsidP="00FA408F">
            <w:pPr>
              <w:spacing w:before="5pt"/>
              <w:rPr>
                <w:rFonts w:ascii="TimesNewRoman" w:eastAsia="TimesNewRoman" w:hAnsi="TimesNewRoman" w:cs="TimesNewRoman"/>
                <w:color w:val="000000"/>
              </w:rPr>
            </w:pPr>
            <w:r>
              <w:rPr>
                <w:rFonts w:ascii="TimesNewRoman" w:eastAsia="TimesNewRoman" w:hAnsi="TimesNewRoman" w:cs="TimesNewRoman"/>
                <w:color w:val="00000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8F40D1" w14:textId="77777777" w:rsidR="00EB2379" w:rsidRDefault="00EB2379" w:rsidP="00FA408F">
            <w:pPr>
              <w:spacing w:before="5pt"/>
              <w:rPr>
                <w:rFonts w:ascii="TimesNewRoman" w:eastAsia="TimesNewRoman" w:hAnsi="TimesNewRoman" w:cs="TimesNewRoman"/>
                <w:color w:val="000000"/>
              </w:rPr>
            </w:pPr>
            <w:r>
              <w:rPr>
                <w:rFonts w:ascii="TimesNewRoman" w:eastAsia="TimesNewRoman" w:hAnsi="TimesNewRoman" w:cs="TimesNewRoman"/>
                <w:color w:val="000000"/>
              </w:rPr>
              <w:t>Delež podprtih organizacij, ki so uspešno vključile rezultate projektov za izboljšanje znanj, spretnosti in kompetenc v svoje razvojne načrte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B6695E" w14:textId="77777777" w:rsidR="00EB2379" w:rsidRDefault="00EB2379" w:rsidP="00FA408F">
            <w:pPr>
              <w:spacing w:before="5pt"/>
              <w:rPr>
                <w:rFonts w:ascii="TimesNewRoman" w:eastAsia="TimesNewRoman" w:hAnsi="TimesNewRoman" w:cs="TimesNewRoman"/>
                <w:color w:val="000000"/>
              </w:rPr>
            </w:pPr>
            <w:r>
              <w:rPr>
                <w:rFonts w:ascii="TimesNewRoman" w:eastAsia="TimesNewRoman" w:hAnsi="TimesNewRoman" w:cs="TimesNewRoman"/>
                <w:color w:val="000000"/>
              </w:rPr>
              <w:t>delež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F51403" w14:textId="77777777" w:rsidR="00EB2379" w:rsidRDefault="00EB2379" w:rsidP="00FA408F">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0DA144" w14:textId="77777777" w:rsidR="00EB2379" w:rsidRDefault="00EB2379" w:rsidP="00FA408F">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 xml:space="preserve">2022 -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F06FF0" w14:textId="77777777" w:rsidR="00EB2379" w:rsidRDefault="00EB2379" w:rsidP="00FA408F">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80,00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0339E8" w14:textId="77777777" w:rsidR="00EB2379" w:rsidRDefault="00EB2379" w:rsidP="00FA408F">
            <w:pPr>
              <w:spacing w:before="5pt"/>
              <w:rPr>
                <w:rFonts w:ascii="TimesNewRoman" w:eastAsia="TimesNewRoman" w:hAnsi="TimesNewRoman" w:cs="TimesNewRoman"/>
                <w:color w:val="000000"/>
              </w:rPr>
            </w:pPr>
            <w:r>
              <w:rPr>
                <w:rFonts w:ascii="TimesNewRoman" w:eastAsia="TimesNewRoman" w:hAnsi="TimesNewRoman" w:cs="TimesNewRoman"/>
                <w:color w:val="000000"/>
              </w:rPr>
              <w:t>Spremljanje MVI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D14C73" w14:textId="77777777" w:rsidR="00EB2379" w:rsidRDefault="00EB2379" w:rsidP="00FA408F">
            <w:pPr>
              <w:spacing w:before="5pt"/>
              <w:rPr>
                <w:rFonts w:ascii="TimesNewRoman" w:eastAsia="TimesNewRoman" w:hAnsi="TimesNewRoman" w:cs="TimesNewRoman"/>
                <w:color w:val="000000"/>
              </w:rPr>
            </w:pPr>
          </w:p>
        </w:tc>
      </w:tr>
    </w:tbl>
    <w:p w14:paraId="0832E2F3" w14:textId="77777777" w:rsidR="00EB2379" w:rsidRDefault="00EB2379" w:rsidP="00EB2379">
      <w:pPr>
        <w:spacing w:before="5pt"/>
        <w:rPr>
          <w:rFonts w:ascii="TimesNewRoman" w:eastAsia="TimesNewRoman" w:hAnsi="TimesNewRoman" w:cs="TimesNewRoman"/>
          <w:color w:val="000000"/>
        </w:rPr>
      </w:pPr>
    </w:p>
    <w:p w14:paraId="23393129" w14:textId="77777777" w:rsidR="00EB2379" w:rsidRDefault="00EB2379" w:rsidP="00EB2379">
      <w:pPr>
        <w:spacing w:before="5pt"/>
        <w:rPr>
          <w:rFonts w:ascii="TimesNewRoman" w:eastAsia="TimesNewRoman" w:hAnsi="TimesNewRoman" w:cs="TimesNewRoman"/>
          <w:color w:val="000000"/>
        </w:rPr>
      </w:pPr>
    </w:p>
    <w:p w14:paraId="641FC42A" w14:textId="77777777" w:rsidR="00EB2379" w:rsidRDefault="00EB2379" w:rsidP="00EB2379">
      <w:pPr>
        <w:spacing w:before="5pt"/>
        <w:rPr>
          <w:rFonts w:ascii="TimesNewRoman" w:eastAsia="TimesNewRoman" w:hAnsi="TimesNewRoman" w:cs="TimesNewRoman"/>
          <w:color w:val="000000"/>
        </w:rPr>
      </w:pPr>
    </w:p>
    <w:p w14:paraId="31B56A08" w14:textId="77777777" w:rsidR="00EB2379" w:rsidRDefault="00EB2379" w:rsidP="00EB2379">
      <w:pPr>
        <w:spacing w:before="5pt"/>
        <w:rPr>
          <w:rFonts w:ascii="TimesNewRoman" w:eastAsia="TimesNewRoman" w:hAnsi="TimesNewRoman" w:cs="TimesNewRoman"/>
          <w:color w:val="000000"/>
        </w:rPr>
      </w:pPr>
    </w:p>
    <w:p w14:paraId="17B18887" w14:textId="77777777" w:rsidR="00EB2379" w:rsidRDefault="00EB2379" w:rsidP="00EB2379">
      <w:pPr>
        <w:spacing w:before="5pt"/>
        <w:rPr>
          <w:rFonts w:ascii="TimesNewRoman" w:eastAsia="TimesNewRoman" w:hAnsi="TimesNewRoman" w:cs="TimesNewRoman"/>
          <w:color w:val="000000"/>
        </w:rPr>
      </w:pPr>
    </w:p>
    <w:p w14:paraId="10CF71CC" w14:textId="77777777" w:rsidR="00EB2379" w:rsidRDefault="00EB2379" w:rsidP="00EB2379">
      <w:pPr>
        <w:spacing w:before="5pt"/>
        <w:rPr>
          <w:rFonts w:ascii="TimesNewRoman" w:eastAsia="TimesNewRoman" w:hAnsi="TimesNewRoman" w:cs="TimesNewRoman"/>
          <w:color w:val="000000"/>
        </w:rPr>
      </w:pPr>
    </w:p>
    <w:p w14:paraId="014D4EEB" w14:textId="77777777" w:rsidR="00EB2379" w:rsidRDefault="00EB2379" w:rsidP="00EB2379">
      <w:pPr>
        <w:spacing w:before="5pt"/>
        <w:rPr>
          <w:rFonts w:ascii="TimesNewRoman" w:eastAsia="TimesNewRoman" w:hAnsi="TimesNewRoman" w:cs="TimesNewRoman"/>
          <w:color w:val="000000"/>
        </w:rPr>
      </w:pPr>
    </w:p>
    <w:p w14:paraId="0DD93C81" w14:textId="77777777" w:rsidR="00EB2379" w:rsidRDefault="00EB2379" w:rsidP="00EB2379">
      <w:pPr>
        <w:spacing w:before="5pt"/>
        <w:rPr>
          <w:rFonts w:ascii="TimesNewRoman" w:eastAsia="TimesNewRoman" w:hAnsi="TimesNewRoman" w:cs="TimesNewRoman"/>
          <w:color w:val="000000"/>
        </w:rPr>
      </w:pPr>
    </w:p>
    <w:p w14:paraId="61F2DE01" w14:textId="77777777" w:rsidR="00EB2379" w:rsidRDefault="00EB2379" w:rsidP="00EB2379">
      <w:pPr>
        <w:spacing w:before="5pt"/>
        <w:rPr>
          <w:rFonts w:ascii="TimesNewRoman" w:eastAsia="TimesNewRoman" w:hAnsi="TimesNewRoman" w:cs="TimesNewRoman"/>
          <w:color w:val="000000"/>
        </w:rPr>
      </w:pPr>
    </w:p>
    <w:p w14:paraId="3D3BBA19" w14:textId="77777777" w:rsidR="00EB2379" w:rsidRDefault="00EB2379" w:rsidP="00EB2379">
      <w:pPr>
        <w:spacing w:before="5pt"/>
        <w:rPr>
          <w:rFonts w:ascii="TimesNewRoman" w:eastAsia="TimesNewRoman" w:hAnsi="TimesNewRoman" w:cs="TimesNewRoman"/>
          <w:color w:val="000000"/>
        </w:rPr>
      </w:pPr>
    </w:p>
    <w:p w14:paraId="375F1844" w14:textId="77777777" w:rsidR="00EB2379" w:rsidRDefault="00EB2379" w:rsidP="00EB2379">
      <w:pPr>
        <w:spacing w:before="5pt"/>
        <w:rPr>
          <w:rFonts w:ascii="TimesNewRoman" w:eastAsia="TimesNewRoman" w:hAnsi="TimesNewRoman" w:cs="TimesNewRoman"/>
          <w:color w:val="000000"/>
        </w:rPr>
      </w:pPr>
    </w:p>
    <w:p w14:paraId="5632B19B" w14:textId="77777777" w:rsidR="00EB2379" w:rsidRDefault="00EB2379" w:rsidP="00EB2379"/>
    <w:p w14:paraId="71D47D65" w14:textId="77777777" w:rsidR="00EB2379" w:rsidRDefault="00EB2379" w:rsidP="00EB2379">
      <w:pPr>
        <w:pStyle w:val="Naslov1"/>
        <w:spacing w:before="5pt" w:after="0pt"/>
        <w:rPr>
          <w:rFonts w:ascii="Times New Roman" w:hAnsi="Times New Roman" w:cs="Times New Roman"/>
          <w:b w:val="0"/>
          <w:color w:val="000000"/>
          <w:sz w:val="24"/>
        </w:rPr>
      </w:pPr>
      <w:r>
        <w:rPr>
          <w:rFonts w:ascii="Times New Roman" w:hAnsi="Times New Roman" w:cs="Times New Roman"/>
          <w:b w:val="0"/>
          <w:color w:val="000000"/>
          <w:sz w:val="24"/>
        </w:rPr>
        <w:br w:type="page"/>
      </w:r>
      <w:r>
        <w:rPr>
          <w:rFonts w:ascii="Times New Roman" w:hAnsi="Times New Roman" w:cs="Times New Roman"/>
          <w:b w:val="0"/>
          <w:color w:val="000000"/>
          <w:sz w:val="24"/>
        </w:rPr>
        <w:lastRenderedPageBreak/>
        <w:t>Območni načrt za pravični prehod - ONPP Zasavje.OBMOČNI NAČRT ZA PRAVIČNI PREHOD ZASAVSKE PREMOGOVNE REGIJE (5.0)</w:t>
      </w:r>
    </w:p>
    <w:p w14:paraId="7FDB6FB8" w14:textId="77777777" w:rsidR="00EB2379" w:rsidRDefault="00EB2379" w:rsidP="00EB2379">
      <w:pPr>
        <w:spacing w:before="5pt"/>
        <w:rPr>
          <w:color w:val="000000"/>
          <w:sz w:val="0"/>
        </w:rPr>
      </w:pPr>
    </w:p>
    <w:p w14:paraId="2059D291" w14:textId="77777777" w:rsidR="00EB2379" w:rsidRPr="00EB2379" w:rsidRDefault="00EB2379" w:rsidP="00EB2379">
      <w:pPr>
        <w:pStyle w:val="Naslov1"/>
        <w:spacing w:before="5pt" w:after="0pt"/>
        <w:rPr>
          <w:rFonts w:ascii="Times New Roman" w:hAnsi="Times New Roman" w:cs="Times New Roman"/>
          <w:b w:val="0"/>
          <w:color w:val="000000"/>
          <w:sz w:val="24"/>
          <w:lang w:val="it-IT"/>
        </w:rPr>
      </w:pPr>
      <w:r w:rsidRPr="00EB2379">
        <w:rPr>
          <w:rFonts w:ascii="Times New Roman" w:hAnsi="Times New Roman" w:cs="Times New Roman"/>
          <w:b w:val="0"/>
          <w:color w:val="000000"/>
          <w:sz w:val="24"/>
          <w:lang w:val="it-IT"/>
        </w:rPr>
        <w:t>1. Oris procesa prehoda in opredelitev najbolj prizadetih območij v državi članici</w:t>
      </w:r>
    </w:p>
    <w:p w14:paraId="30EFCDBB" w14:textId="77777777" w:rsidR="00EB2379" w:rsidRPr="00EB2379" w:rsidRDefault="00EB2379" w:rsidP="00EB2379">
      <w:pPr>
        <w:spacing w:before="5pt"/>
        <w:rPr>
          <w:color w:val="000000"/>
          <w:sz w:val="0"/>
          <w:lang w:val="it-IT"/>
        </w:rPr>
      </w:pPr>
    </w:p>
    <w:p w14:paraId="7AB45C97" w14:textId="77777777" w:rsidR="00EB2379" w:rsidRDefault="00EB2379" w:rsidP="00EB2379">
      <w:pPr>
        <w:spacing w:before="5pt"/>
        <w:rPr>
          <w:color w:val="000000"/>
          <w:sz w:val="12"/>
        </w:rPr>
      </w:pPr>
      <w:r>
        <w:rPr>
          <w:color w:val="000000"/>
        </w:rPr>
        <w:t>Sklic: člen 11(2)(a) in (b), člen 6</w:t>
      </w:r>
    </w:p>
    <w:p w14:paraId="74510F01" w14:textId="77777777" w:rsidR="00EB2379" w:rsidRDefault="00EB2379" w:rsidP="00EB2379">
      <w:pPr>
        <w:spacing w:before="5pt"/>
        <w:rPr>
          <w:color w:val="00000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EB2379" w:rsidRPr="00EB2379" w14:paraId="3DC13357" w14:textId="77777777" w:rsidTr="00FA408F">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4B986D5" w14:textId="77777777" w:rsidR="00EB2379" w:rsidRDefault="00EB2379" w:rsidP="00FA408F">
            <w:pPr>
              <w:spacing w:before="5pt"/>
              <w:rPr>
                <w:color w:val="000000"/>
                <w:sz w:val="0"/>
              </w:rPr>
            </w:pPr>
          </w:p>
          <w:p w14:paraId="3C7681C1" w14:textId="77777777" w:rsidR="00EB2379" w:rsidRDefault="00EB2379" w:rsidP="00FA408F">
            <w:pPr>
              <w:spacing w:before="5pt"/>
              <w:rPr>
                <w:color w:val="000000"/>
              </w:rPr>
            </w:pPr>
            <w:r>
              <w:rPr>
                <w:color w:val="000000"/>
              </w:rPr>
              <w:t>Mejnike prehoda na podnebno nevtralno gospodarstvo postavljata NEPN in NSPP (za vse kratice glej Priloga 7: Seznam kratic).</w:t>
            </w:r>
          </w:p>
          <w:p w14:paraId="295CA3EE" w14:textId="77777777" w:rsidR="00EB2379" w:rsidRDefault="00EB2379" w:rsidP="00FA408F">
            <w:pPr>
              <w:spacing w:before="5pt"/>
              <w:rPr>
                <w:color w:val="000000"/>
              </w:rPr>
            </w:pPr>
          </w:p>
          <w:p w14:paraId="62099AA1" w14:textId="77777777" w:rsidR="00EB2379" w:rsidRDefault="00EB2379" w:rsidP="00FA408F">
            <w:pPr>
              <w:spacing w:before="5pt"/>
              <w:rPr>
                <w:color w:val="000000"/>
              </w:rPr>
            </w:pPr>
            <w:r>
              <w:rPr>
                <w:b/>
                <w:bCs/>
                <w:color w:val="000000"/>
              </w:rPr>
              <w:t>NEPN</w:t>
            </w:r>
            <w:r>
              <w:rPr>
                <w:color w:val="000000"/>
              </w:rPr>
              <w:t xml:space="preserve"> določa,</w:t>
            </w:r>
          </w:p>
          <w:p w14:paraId="257E0308" w14:textId="77777777" w:rsidR="00EB2379" w:rsidRDefault="00EB2379" w:rsidP="00FA408F">
            <w:pPr>
              <w:spacing w:before="5pt"/>
              <w:rPr>
                <w:color w:val="000000"/>
              </w:rPr>
            </w:pPr>
            <w:r>
              <w:rPr>
                <w:color w:val="000000"/>
              </w:rPr>
              <w:t>●da se zmanjša raba fosilnih virov energije in odvisnost od njihovega uvoza s postopnim opuščanjem rabe premoga: vsaj za 30 % do leta 2030 (NEPN, str. 21 in 31);</w:t>
            </w:r>
          </w:p>
          <w:p w14:paraId="6E471D00" w14:textId="77777777" w:rsidR="00EB2379" w:rsidRDefault="00EB2379" w:rsidP="00FA408F">
            <w:pPr>
              <w:spacing w:before="5pt"/>
              <w:rPr>
                <w:color w:val="000000"/>
              </w:rPr>
            </w:pPr>
            <w:r>
              <w:rPr>
                <w:color w:val="000000"/>
              </w:rPr>
              <w:t>●do bo do leta 2030 z zaustavitvijo bloka 5 v TEŠ zmanjšan izkop lignita in opuščena raba uvoženega premoga za proizvodnjo električne energije v Energetiki Ljubljana, enota Termoelektrarna toplarna Ljubljana (NEPN, str. 57);</w:t>
            </w:r>
          </w:p>
          <w:p w14:paraId="393073B3" w14:textId="77777777" w:rsidR="00EB2379" w:rsidRDefault="00EB2379" w:rsidP="00FA408F">
            <w:pPr>
              <w:spacing w:before="5pt"/>
              <w:rPr>
                <w:color w:val="000000"/>
              </w:rPr>
            </w:pPr>
            <w:r>
              <w:rPr>
                <w:color w:val="000000"/>
              </w:rPr>
              <w:t>●da bo natančni časovni načrt opuščanja rabe premoga v Sloveniji določen s strategijo za opuščanje rabe premoga in prestrukturiranje premogovnih regij v skladu z načelom pravičnega prehod (NEPN, str. 31 in 34),</w:t>
            </w:r>
          </w:p>
          <w:p w14:paraId="12D366AF" w14:textId="77777777" w:rsidR="00EB2379" w:rsidRDefault="00EB2379" w:rsidP="00FA408F">
            <w:pPr>
              <w:spacing w:before="5pt"/>
              <w:rPr>
                <w:color w:val="000000"/>
              </w:rPr>
            </w:pPr>
            <w:r>
              <w:rPr>
                <w:color w:val="000000"/>
              </w:rPr>
              <w:t>●da v deležu primarnih virov za proizvodnjo električne energije zmanjšani rabi fosilnih goriv (35 % v letu 2017 na 25 % v letu 2030), ob upoštevanju izboljšane energetske učinkovitosti (35 % do 2030), sledi večja raba OVE (13 % v 2017 na 23 % v 2030), ohranja pa se delež jedrske energije;</w:t>
            </w:r>
          </w:p>
          <w:p w14:paraId="5316F415" w14:textId="77777777" w:rsidR="00EB2379" w:rsidRDefault="00EB2379" w:rsidP="00FA408F">
            <w:pPr>
              <w:spacing w:before="5pt"/>
              <w:rPr>
                <w:color w:val="000000"/>
              </w:rPr>
            </w:pPr>
            <w:r>
              <w:rPr>
                <w:color w:val="000000"/>
              </w:rPr>
              <w:t>●da se bo do 2030 proizvodnja električne energije z uporabo domačega premoga – lignita še ohranila.</w:t>
            </w:r>
          </w:p>
          <w:p w14:paraId="329E9F6C" w14:textId="77777777" w:rsidR="00EB2379" w:rsidRDefault="00EB2379" w:rsidP="00FA408F">
            <w:pPr>
              <w:spacing w:before="5pt"/>
              <w:rPr>
                <w:color w:val="000000"/>
              </w:rPr>
            </w:pPr>
          </w:p>
          <w:p w14:paraId="0A56CB41" w14:textId="77777777" w:rsidR="00EB2379" w:rsidRPr="00EB2379" w:rsidRDefault="00EB2379" w:rsidP="00FA408F">
            <w:pPr>
              <w:spacing w:before="5pt"/>
              <w:rPr>
                <w:color w:val="000000"/>
                <w:lang w:val="it-IT"/>
              </w:rPr>
            </w:pPr>
            <w:r>
              <w:rPr>
                <w:color w:val="000000"/>
              </w:rPr>
              <w:t xml:space="preserve">NSPP, ki je bila pripravljena na podlagi NEPN, je bila sprejeta januarja 2022 in določa letnico izstopa iz rabe premoga (najkasneje 2033) in ob tem opredeljuje skupno vizijo pravičnega prehoda. Pri pripravi strategije smo že sledili predlogu Evropske komisije (COM/2020/562 z dne 17.9.2020) in odločitvi Evropskega sveta z dne 11. </w:t>
            </w:r>
            <w:r w:rsidRPr="00EB2379">
              <w:rPr>
                <w:color w:val="000000"/>
                <w:lang w:val="it-IT"/>
              </w:rPr>
              <w:t>12.2020, da EU do leta 2030 doseže najmanj 55% znižanje emisij TGP v primerjavi z 1990. Strategija je tako med tremi opredeljenimi scenariji sprejela najbolj ambicioznega in predvidela izstop iz premoga, torej prenehanje obratovanja šestega bloka TEŠ in pridobivanja lignita v regiji SAŠA, najpozneje v letu 2033. NSPP in NEPN tudi določata, da bo ta cilj opuščanja rabe premoga v Sloveniji ustrezno upoštevan v posodobitvi NEPN leta 2024.</w:t>
            </w:r>
          </w:p>
          <w:p w14:paraId="3EC027FF" w14:textId="77777777" w:rsidR="00EB2379" w:rsidRPr="00EB2379" w:rsidRDefault="00EB2379" w:rsidP="00FA408F">
            <w:pPr>
              <w:spacing w:before="5pt"/>
              <w:rPr>
                <w:color w:val="000000"/>
                <w:lang w:val="it-IT"/>
              </w:rPr>
            </w:pPr>
          </w:p>
          <w:p w14:paraId="6CCB41FE" w14:textId="77777777" w:rsidR="00EB2379" w:rsidRPr="00EB2379" w:rsidRDefault="00EB2379" w:rsidP="00FA408F">
            <w:pPr>
              <w:spacing w:before="5pt"/>
              <w:rPr>
                <w:color w:val="000000"/>
                <w:lang w:val="it-IT"/>
              </w:rPr>
            </w:pPr>
            <w:r w:rsidRPr="00EB2379">
              <w:rPr>
                <w:color w:val="000000"/>
                <w:lang w:val="it-IT"/>
              </w:rPr>
              <w:t>Odločitev glede prenehanja rabe premoga tako pomeni, da bo najkasneje do leta 2033 uporaba premoga v Sloveniji popolnoma opuščena, kar velja tako za izkopavanje kot za njegovo uporabo. Dinamika opuščanja rabe premoga bo natančneje določa v programih opuščanja in zapiranja, ki bodo usklajeni z deležniki.</w:t>
            </w:r>
          </w:p>
          <w:p w14:paraId="4CAF9DBE" w14:textId="77777777" w:rsidR="00EB2379" w:rsidRPr="00EB2379" w:rsidRDefault="00EB2379" w:rsidP="00FA408F">
            <w:pPr>
              <w:spacing w:before="5pt"/>
              <w:rPr>
                <w:color w:val="000000"/>
                <w:lang w:val="it-IT"/>
              </w:rPr>
            </w:pPr>
          </w:p>
          <w:p w14:paraId="08434E3B" w14:textId="77777777" w:rsidR="00EB2379" w:rsidRPr="00EB2379" w:rsidRDefault="00EB2379" w:rsidP="00FA408F">
            <w:pPr>
              <w:spacing w:before="5pt"/>
              <w:rPr>
                <w:color w:val="000000"/>
                <w:lang w:val="it-IT"/>
              </w:rPr>
            </w:pPr>
            <w:r w:rsidRPr="00EB2379">
              <w:rPr>
                <w:color w:val="000000"/>
                <w:lang w:val="it-IT"/>
              </w:rPr>
              <w:t>Proces izstopa iz premoga se bo do leta 2033 izvrševal na dva načina, s postopnim zapiranjem proizvodnih kapacitet, ki koristijo premog in nameščanjem proizvodnih kapacitet iz OVE.</w:t>
            </w:r>
          </w:p>
          <w:p w14:paraId="191CD67F" w14:textId="77777777" w:rsidR="00EB2379" w:rsidRPr="00EB2379" w:rsidRDefault="00EB2379" w:rsidP="00FA408F">
            <w:pPr>
              <w:spacing w:before="5pt"/>
              <w:rPr>
                <w:color w:val="000000"/>
                <w:lang w:val="it-IT"/>
              </w:rPr>
            </w:pPr>
          </w:p>
          <w:p w14:paraId="025D8E4C" w14:textId="77777777" w:rsidR="00EB2379" w:rsidRPr="00EB2379" w:rsidRDefault="00EB2379" w:rsidP="00FA408F">
            <w:pPr>
              <w:spacing w:before="5pt"/>
              <w:rPr>
                <w:color w:val="000000"/>
                <w:lang w:val="it-IT"/>
              </w:rPr>
            </w:pPr>
            <w:r w:rsidRPr="00EB2379">
              <w:rPr>
                <w:color w:val="000000"/>
                <w:lang w:val="it-IT"/>
              </w:rPr>
              <w:t xml:space="preserve">Leta 2019 je lastnik Termoelektrarne-toplarne Ljubljana, javno podjetje Energetika Ljubljana, sklenil dogovor o nakupu dveh plinsko-parnih turbin električne moči 2x54 MW, v okviru projekta izgradnje plinsko-parne elektrarne. Slednja je trenutno v izgradnji in bo predvidoma končana v letu 2022. Dve plinsko-parni enoti bosta nadomestili dve od treh premogovnih enot in tako zmanjšali porabo premoga za 70%. Tretji premogovni blok bo ostal, ker je bil v letu 2008 predelan na sokurjenje premoga in lesnih sekancev. Slednji bodo predvidoma nadomestili premog po njegovi ukinitvi. V TEŠ je predvidena zaustavitev 345 MW bloka 5 do konca leta 2030 in 600 MW bloka 6 do konca leta 2033. Bloka 5 in 6 sta </w:t>
            </w:r>
            <w:r w:rsidRPr="00EB2379">
              <w:rPr>
                <w:color w:val="000000"/>
                <w:lang w:val="it-IT"/>
              </w:rPr>
              <w:lastRenderedPageBreak/>
              <w:t>objekta nacionalnega pomena in nadomeščanje njunih kapacitet bo izvedeno na nacionalnem nivoju, regija SAŠA pa bo v okviru pravičnega prehoda prispevala pomemben delež.</w:t>
            </w:r>
          </w:p>
          <w:p w14:paraId="5A28AA03" w14:textId="77777777" w:rsidR="00EB2379" w:rsidRPr="00EB2379" w:rsidRDefault="00EB2379" w:rsidP="00FA408F">
            <w:pPr>
              <w:spacing w:before="5pt"/>
              <w:rPr>
                <w:color w:val="000000"/>
                <w:lang w:val="it-IT"/>
              </w:rPr>
            </w:pPr>
          </w:p>
          <w:p w14:paraId="650F1BF7" w14:textId="77777777" w:rsidR="00EB2379" w:rsidRPr="00EB2379" w:rsidRDefault="00EB2379" w:rsidP="00FA408F">
            <w:pPr>
              <w:spacing w:before="5pt"/>
              <w:rPr>
                <w:color w:val="000000"/>
                <w:lang w:val="it-IT"/>
              </w:rPr>
            </w:pPr>
            <w:r w:rsidRPr="00EB2379">
              <w:rPr>
                <w:color w:val="000000"/>
                <w:lang w:val="it-IT"/>
              </w:rPr>
              <w:t>Sorazmerno z zapiranjem proizvodnih kapacitet, ki temeljijo na premogu, se bo zmanjševal tudi izkop premoga v PV, ki bo po letu 2033 popolnoma ustavljen. Od kar je proizvodnja premoga v PV odvisna predvsem od blokov 5 in 6 TEŠ, se le ta giblje okrog 3,5 mio ton letno (vir: PV). Z zaprtjem bloka 5 leta 2030 bo proizvodnja padla za približno tretjino in po letu 2033 popolnoma prenehala, ko bo predvidoma zaustavljen tudi blok 6. Na regionalnem nivoju SAŠA bo s preobrazbo daljinskega ogrevanja poraba premoga ukinjena, ko bo predvidoma po 2028 izvedena druga faza preobrazbe s prehodom na 100% OVE.</w:t>
            </w:r>
          </w:p>
          <w:p w14:paraId="0FB0D2A3" w14:textId="77777777" w:rsidR="00EB2379" w:rsidRPr="00EB2379" w:rsidRDefault="00EB2379" w:rsidP="00FA408F">
            <w:pPr>
              <w:spacing w:before="5pt"/>
              <w:rPr>
                <w:color w:val="000000"/>
                <w:lang w:val="it-IT"/>
              </w:rPr>
            </w:pPr>
          </w:p>
          <w:p w14:paraId="0D8D6D04" w14:textId="77777777" w:rsidR="00EB2379" w:rsidRPr="00EB2379" w:rsidRDefault="00EB2379" w:rsidP="00FA408F">
            <w:pPr>
              <w:spacing w:before="5pt"/>
              <w:rPr>
                <w:color w:val="000000"/>
                <w:lang w:val="it-IT"/>
              </w:rPr>
            </w:pPr>
            <w:r w:rsidRPr="00EB2379">
              <w:rPr>
                <w:color w:val="000000"/>
                <w:lang w:val="it-IT"/>
              </w:rPr>
              <w:t>Izpad proizvodnje zaradi prenehanja uporabe premoga bo nadomeščen z generacijo iz OVE, predvsem sončne energije, kjer ima Slovenija največji potencial. Konec leta 2021 je bilo v Sloveniji nameščenih 18.322 sončnih elektrarn v skupni moči 466,2 MW. V omenjenem letu je bilo nameščenih 6.307 elektrarn v skupni moči 95 MW. Velika večina novo postavljenih elektrarn je samooskrbnih. Podatki o instalirani moči novih sončnih elektrarn temeljijo na bazi Registra deklaracij za proizvodne naprave električne energije iz OVE (AGEN) in seznama elektrarn v samooskrbi (SODO).</w:t>
            </w:r>
          </w:p>
          <w:p w14:paraId="059BF5F8" w14:textId="77777777" w:rsidR="00EB2379" w:rsidRPr="00EB2379" w:rsidRDefault="00EB2379" w:rsidP="00FA408F">
            <w:pPr>
              <w:spacing w:before="5pt"/>
              <w:rPr>
                <w:color w:val="000000"/>
                <w:lang w:val="it-IT"/>
              </w:rPr>
            </w:pPr>
          </w:p>
          <w:p w14:paraId="4B37D175" w14:textId="77777777" w:rsidR="00EB2379" w:rsidRPr="00EB2379" w:rsidRDefault="00EB2379" w:rsidP="00FA408F">
            <w:pPr>
              <w:spacing w:before="5pt"/>
              <w:rPr>
                <w:color w:val="000000"/>
                <w:lang w:val="it-IT"/>
              </w:rPr>
            </w:pPr>
            <w:r w:rsidRPr="00EB2379">
              <w:rPr>
                <w:color w:val="000000"/>
                <w:lang w:val="it-IT"/>
              </w:rPr>
              <w:t>Predvideno letno zmanjšanje TGP kot posledica zaprtja obeh blokov znaša približno 740 – 800 kt ekvivalenta CO2 za blok 5 in 2.300 – 2.700 kt za blok 6.</w:t>
            </w:r>
          </w:p>
          <w:p w14:paraId="376B4F58" w14:textId="77777777" w:rsidR="00EB2379" w:rsidRPr="00EB2379" w:rsidRDefault="00EB2379" w:rsidP="00FA408F">
            <w:pPr>
              <w:spacing w:before="5pt"/>
              <w:rPr>
                <w:color w:val="000000"/>
                <w:lang w:val="it-IT"/>
              </w:rPr>
            </w:pPr>
          </w:p>
          <w:p w14:paraId="2ACFB4A4" w14:textId="77777777" w:rsidR="00EB2379" w:rsidRPr="00EB2379" w:rsidRDefault="00EB2379" w:rsidP="00FA408F">
            <w:pPr>
              <w:spacing w:before="5pt"/>
              <w:rPr>
                <w:color w:val="000000"/>
                <w:lang w:val="it-IT"/>
              </w:rPr>
            </w:pPr>
            <w:r w:rsidRPr="00EB2379">
              <w:rPr>
                <w:color w:val="000000"/>
                <w:lang w:val="it-IT"/>
              </w:rPr>
              <w:t>Načrtovana je tudi gradnja HE Mokrice kot zadnje izmed petih hidroelektrarn na Spodnji Savi moči 28 MW. Gradnja se še ni začela. Najverjetneje ne bo dokončana v tem desetletju, ker poteka na sodišču že tretji upravni spor, ki ga je sprožilo društvo za preučevanje rib Slovenije.</w:t>
            </w:r>
          </w:p>
          <w:p w14:paraId="7D51D0F7" w14:textId="77777777" w:rsidR="00EB2379" w:rsidRPr="00EB2379" w:rsidRDefault="00EB2379" w:rsidP="00FA408F">
            <w:pPr>
              <w:spacing w:before="5pt"/>
              <w:rPr>
                <w:color w:val="000000"/>
                <w:lang w:val="it-IT"/>
              </w:rPr>
            </w:pPr>
          </w:p>
          <w:p w14:paraId="46CA8852" w14:textId="77777777" w:rsidR="00EB2379" w:rsidRPr="00EB2379" w:rsidRDefault="00EB2379" w:rsidP="00FA408F">
            <w:pPr>
              <w:spacing w:before="5pt"/>
              <w:rPr>
                <w:color w:val="000000"/>
                <w:lang w:val="it-IT"/>
              </w:rPr>
            </w:pPr>
            <w:r w:rsidRPr="00EB2379">
              <w:rPr>
                <w:color w:val="000000"/>
                <w:lang w:val="it-IT"/>
              </w:rPr>
              <w:t>V regiji SAŠA se v okviru pravičnega prehoda načrtuje na lokaciji TEŠ postavitev kogeneracije na biomaso moči 20-30 MW za zagotavljanje kapacitet daljinskega ogrevanja, velikih toplotnih črpalk za izkoriščanje toplote jezera moči 2x20MW ter plavajoče sončne elektrarne na Šoštanjskem jezeru moči 100 MW.</w:t>
            </w:r>
          </w:p>
          <w:p w14:paraId="62DC7D8A" w14:textId="77777777" w:rsidR="00EB2379" w:rsidRPr="00EB2379" w:rsidRDefault="00EB2379" w:rsidP="00FA408F">
            <w:pPr>
              <w:spacing w:before="5pt"/>
              <w:rPr>
                <w:color w:val="000000"/>
                <w:lang w:val="it-IT"/>
              </w:rPr>
            </w:pPr>
          </w:p>
          <w:p w14:paraId="3FC90979" w14:textId="77777777" w:rsidR="00EB2379" w:rsidRPr="00EB2379" w:rsidRDefault="00EB2379" w:rsidP="00FA408F">
            <w:pPr>
              <w:spacing w:before="5pt"/>
              <w:rPr>
                <w:color w:val="000000"/>
                <w:lang w:val="it-IT"/>
              </w:rPr>
            </w:pPr>
            <w:r w:rsidRPr="00EB2379">
              <w:rPr>
                <w:color w:val="000000"/>
                <w:lang w:val="it-IT"/>
              </w:rPr>
              <w:t>Načrtovano torej je, da se v Sloveniji z usklajenim spodbujanjem iz različnih razvojnih virov naslovi najprej energetsko učinkovitost, ki bo rezultirala v zmanjšanju porabe energije v vseh sektorjih, ter se vzporedno pospešeno spodbudi prehod na obnovljive vire energije. Pomeni, da bodo pospešena vlaganja v sončno energijo, predvsem za proizvodnjo električne energije, deloma pa tudi toplote, v preobrazbo obstoječih sistemov daljinskih ogrevanj na OVE, izkoriščanje geotermalnega potenciala ipd., z namenom nadomeščanja obstoječih fosilnih virov energije (vsaj 100 MW instalirane dodatne nazivne moči OVE v vsakem letu). Seveda ob hkratnem zagotavljanju varnosti pri energetski oskrbi ter povečevanju odpornosti (preprečevanje nesorazmerne energetske odvisnosti).</w:t>
            </w:r>
          </w:p>
          <w:p w14:paraId="1E7D47D7" w14:textId="77777777" w:rsidR="00EB2379" w:rsidRPr="00EB2379" w:rsidRDefault="00EB2379" w:rsidP="00FA408F">
            <w:pPr>
              <w:spacing w:before="5pt"/>
              <w:rPr>
                <w:color w:val="000000"/>
                <w:lang w:val="it-IT"/>
              </w:rPr>
            </w:pPr>
          </w:p>
          <w:p w14:paraId="4739D7A0" w14:textId="77777777" w:rsidR="00EB2379" w:rsidRPr="00EB2379" w:rsidRDefault="00EB2379" w:rsidP="00FA408F">
            <w:pPr>
              <w:spacing w:before="5pt"/>
              <w:rPr>
                <w:color w:val="000000"/>
                <w:lang w:val="it-IT"/>
              </w:rPr>
            </w:pPr>
            <w:r w:rsidRPr="00EB2379">
              <w:rPr>
                <w:color w:val="000000"/>
                <w:lang w:val="it-IT"/>
              </w:rPr>
              <w:t xml:space="preserve">Delovna skupina za zapiranje Premogovnika Velenje je bila vzpostavljena 19.8.2022 s Sklepom o imenovanju delovne skupine za pripravo predloga novega Zakona o postopnem zapiranju Premogovnika Velenje. Ne glede na časovnico zmanjšanja izkopa in zaprtja Premogovnika Velenje bodo v tem desetletju izvajane aktivnosti za energetski prehod, pri čemer bo ključna preobrazba sistema daljinskega ogrevanja Šaleške doline, ki bopodrobno predstavljena v »Akcijskem načrtu preobrazbe sistema daljinskega ogrevanja Šaleške doline 2022-2030« daljinskega. K energetskemu prehodu bo prispevalo tudi prestrukturiranje objektov na lokaciji Blokov 1-4 TEŠ (toplotni črpalki 2x20 MW, kogeneracija na lesno biomaso in vodikove tehnologije - predvidoma 2023-2027), polnilnica za alternativna goriva (predvidoma 2022-2024) in postavitev plavajoče fotovoltaične elektrarne na Družmirskem in </w:t>
            </w:r>
            <w:r w:rsidRPr="00EB2379">
              <w:rPr>
                <w:color w:val="000000"/>
                <w:lang w:val="it-IT"/>
              </w:rPr>
              <w:lastRenderedPageBreak/>
              <w:t>Šoštanjskem jezeru (predvidoma 2023-2025). Predvideva se namestitev dodatnih kapacitet OVE, kot je opredeljeno s kazalniki v okviru Programa EKP 21-27.</w:t>
            </w:r>
          </w:p>
          <w:p w14:paraId="1111EAC5" w14:textId="77777777" w:rsidR="00EB2379" w:rsidRPr="00EB2379" w:rsidRDefault="00EB2379" w:rsidP="00FA408F">
            <w:pPr>
              <w:spacing w:before="5pt"/>
              <w:rPr>
                <w:color w:val="000000"/>
                <w:lang w:val="it-IT"/>
              </w:rPr>
            </w:pPr>
          </w:p>
          <w:p w14:paraId="776852A4" w14:textId="77777777" w:rsidR="00EB2379" w:rsidRPr="00EB2379" w:rsidRDefault="00EB2379" w:rsidP="00FA408F">
            <w:pPr>
              <w:spacing w:before="5pt"/>
              <w:rPr>
                <w:color w:val="000000"/>
                <w:lang w:val="it-IT"/>
              </w:rPr>
            </w:pPr>
            <w:r w:rsidRPr="00EB2379">
              <w:rPr>
                <w:color w:val="000000"/>
                <w:lang w:val="it-IT"/>
              </w:rPr>
              <w:t>Zmanjšanje emisij toplogrednih plinov kot posledica zaprtja Bloka 5 bo natančno ovrednoteno v prihajajočem programu zaprtja TEŠ, skladno s cilji NEPN in NSPP ter zasledujoč cilje zelenega dogovora na ravni EU za zmanjšanje emisij za 55% do leta 2030 glede na leto 1990. Projekcija zmanjšanja emisij CO2 zaradi zaprtja bloka 5 je sicer bila pripravljena v okviru energetskih bilanc, ki so bile pripravljene kot strokovna podlaga za NEPN. Prav tako je na podlagi energetskih bilanc za NEPN, ki sicer še niso upoštevale izstopa iz premoga najkasneje v letu 2033, mogoče oceniti projekcijo predvidenega zmanjšanja emisij zaradi zaprtja Bloka 6. Obe projekciji sta podani v tabeli na naslednji strani.</w:t>
            </w:r>
          </w:p>
          <w:p w14:paraId="78375DED" w14:textId="77777777" w:rsidR="00EB2379" w:rsidRPr="00EB2379" w:rsidRDefault="00EB2379" w:rsidP="00FA408F">
            <w:pPr>
              <w:spacing w:before="5pt"/>
              <w:rPr>
                <w:color w:val="000000"/>
                <w:lang w:val="it-IT"/>
              </w:rPr>
            </w:pPr>
          </w:p>
          <w:p w14:paraId="7F1B5324" w14:textId="77777777" w:rsidR="00EB2379" w:rsidRPr="00EB2379" w:rsidRDefault="00EB2379" w:rsidP="00FA408F">
            <w:pPr>
              <w:spacing w:before="5pt"/>
              <w:rPr>
                <w:color w:val="000000"/>
                <w:lang w:val="it-IT"/>
              </w:rPr>
            </w:pPr>
            <w:r w:rsidRPr="00EB2379">
              <w:rPr>
                <w:color w:val="000000"/>
                <w:lang w:val="it-IT"/>
              </w:rPr>
              <w:t>V okviru Poročila o semestru 2020 je EK opredelila približno 100 regij ali območij, ki so upravičena do "pravičnega prehoda". Razlog predstavlja odvisnost območja in pričakovano prilagajanje delavcev ali izgube delovnih mest v proizvodnji in uporabi fosilnih goriv ali proizvodnji z največjo intenzivnostjo toplogrednih plinov. Med temi regijami sta bili opredeljeni dve slovenski premogovni regiji, Zasavska in SAŠA.</w:t>
            </w:r>
          </w:p>
          <w:p w14:paraId="56518AA2" w14:textId="77777777" w:rsidR="00EB2379" w:rsidRPr="00EB2379" w:rsidRDefault="00EB2379" w:rsidP="00FA408F">
            <w:pPr>
              <w:spacing w:before="5pt"/>
              <w:rPr>
                <w:color w:val="000000"/>
                <w:lang w:val="it-IT"/>
              </w:rPr>
            </w:pPr>
          </w:p>
          <w:p w14:paraId="11403AC0" w14:textId="77777777" w:rsidR="00EB2379" w:rsidRPr="00EB2379" w:rsidRDefault="00EB2379" w:rsidP="00FA408F">
            <w:pPr>
              <w:spacing w:before="5pt"/>
              <w:rPr>
                <w:color w:val="000000"/>
                <w:lang w:val="it-IT"/>
              </w:rPr>
            </w:pPr>
            <w:r w:rsidRPr="00EB2379">
              <w:rPr>
                <w:color w:val="000000"/>
                <w:lang w:val="it-IT"/>
              </w:rPr>
              <w:t>Nacionalna strategija za izstop iz premoga in prestrukturiranje premogovnih regij, ki je bila sprejeta 13.1.2022, prepoznava Zasavje in SAŠA regijo kot dve premogovni regiji, ki ju je treba prestrukturirati v skladu z načeli pravičnega prehoda.</w:t>
            </w:r>
          </w:p>
          <w:p w14:paraId="681A9FAE" w14:textId="77777777" w:rsidR="00EB2379" w:rsidRPr="00EB2379" w:rsidRDefault="00EB2379" w:rsidP="00FA408F">
            <w:pPr>
              <w:spacing w:before="5pt"/>
              <w:rPr>
                <w:color w:val="000000"/>
                <w:lang w:val="it-IT"/>
              </w:rPr>
            </w:pPr>
          </w:p>
          <w:p w14:paraId="606CBE6F" w14:textId="77777777" w:rsidR="00EB2379" w:rsidRPr="00EB2379" w:rsidRDefault="00EB2379" w:rsidP="00FA408F">
            <w:pPr>
              <w:spacing w:before="5pt"/>
              <w:rPr>
                <w:color w:val="000000"/>
                <w:lang w:val="it-IT"/>
              </w:rPr>
            </w:pPr>
            <w:r w:rsidRPr="00EB2379">
              <w:rPr>
                <w:b/>
                <w:bCs/>
                <w:color w:val="000000"/>
                <w:lang w:val="it-IT"/>
              </w:rPr>
              <w:t>Opis stanja v Zasavski statistični regiji</w:t>
            </w:r>
          </w:p>
          <w:p w14:paraId="46D29B90" w14:textId="77777777" w:rsidR="00EB2379" w:rsidRPr="00EB2379" w:rsidRDefault="00EB2379" w:rsidP="00FA408F">
            <w:pPr>
              <w:spacing w:before="5pt"/>
              <w:rPr>
                <w:color w:val="000000"/>
                <w:lang w:val="it-IT"/>
              </w:rPr>
            </w:pPr>
            <w:r w:rsidRPr="00EB2379">
              <w:rPr>
                <w:color w:val="000000"/>
                <w:lang w:val="it-IT"/>
              </w:rPr>
              <w:t>Zasavska statistična regija vključuje štiri občine, Hrastnik, Litijo, Trbovlje in Zagorje ob Savi, in po podatkih Statističnega urada RS za leto 2020 šteje 57.148 prebivalcev. Hrastnik, Trbovlje in Zagorje ob Savi so splošno prepoznane kot rudarska okolja z bogato tradicijo rudarjenja. Zaradi zrelosti faze procesa izstopa iz premoga v regiji je vplivno območje premogovniške industrije na območju teh treh občin jasno prepoznano, zato ga opredeljujemo kot ožje območje pravičnega prehoda. V širše vplivno območje je uvrščena tudi občina Litija, saj spada v statistično regijo Zasavje. Ključni strateški cilji ter nadaljnji ukrepi pravičnega prehoda so zasnovani tako, da bodo primarno usmerjeni v ustvarjanje pozitivnih vplivov na ožje vplivno območje, pri čemer pa se ti vplivi lahko dosegajo z izvajanjem ukrepov znotraj celotne regije Zasavje.</w:t>
            </w:r>
          </w:p>
          <w:p w14:paraId="18A6CB17" w14:textId="77777777" w:rsidR="00EB2379" w:rsidRPr="00EB2379" w:rsidRDefault="00EB2379" w:rsidP="00FA408F">
            <w:pPr>
              <w:spacing w:before="5pt"/>
              <w:rPr>
                <w:color w:val="000000"/>
                <w:lang w:val="it-IT"/>
              </w:rPr>
            </w:pPr>
          </w:p>
          <w:p w14:paraId="51C9FAC9" w14:textId="77777777" w:rsidR="00EB2379" w:rsidRPr="00EB2379" w:rsidRDefault="00EB2379" w:rsidP="00FA408F">
            <w:pPr>
              <w:spacing w:before="5pt"/>
              <w:rPr>
                <w:color w:val="000000"/>
                <w:lang w:val="it-IT"/>
              </w:rPr>
            </w:pPr>
            <w:r w:rsidRPr="00EB2379">
              <w:rPr>
                <w:color w:val="000000"/>
                <w:lang w:val="it-IT"/>
              </w:rPr>
              <w:t xml:space="preserve">V </w:t>
            </w:r>
            <w:r w:rsidRPr="00EB2379">
              <w:rPr>
                <w:b/>
                <w:bCs/>
                <w:color w:val="000000"/>
                <w:lang w:val="it-IT"/>
              </w:rPr>
              <w:t>Zasavski premogovni regiji</w:t>
            </w:r>
            <w:r w:rsidRPr="00EB2379">
              <w:rPr>
                <w:color w:val="000000"/>
                <w:lang w:val="it-IT"/>
              </w:rPr>
              <w:t xml:space="preserve"> se je izstop iz premoga začel leta 1999, ko rezultati referenduma niso podprli gradnje tretjega bloka Termoelektrarne Trbovlje (v nadaljevanju TET). Ker je bilo poslovanje bližnjega premogovnika Trbovlje-Hrastnik (v nadaljevanju: RTH) tesno povezano s TET, je bila sprejeta tudi odločitev o zaprtju rudnika. Vodstvo RTH je na zahtevo Vlade RS objavilo študijo, ki je ocenila stroške zapiranja RTH do konca leta 2015. Ocena je temeljila na idejnih zasnovah obstoječih načinov zapiranja rudnika ter ekološke in prostorske sanacije površine. Leta 2000 je bil sprejet (in pozneje spremenjen) Zakon o ureditvi postopnega zapiranja Rudnika Trbovlje-Hrastnik in gospodarskega prestrukturiranja regije. Leta 2005 so se začela zapiralna dela, v letu 2013 pa so se rudarske dejavnosti zaustavile, v letu 2014 je z delovanjem prenehala tudi TET. V letu 2020 so bila izvedena vsa potrebna zapiralna in sanacijska dela. Ker je obseg del in stroškov presegel načrtovano v srednjeročnem programu, je ostalo še nekaj manj potrebnih zapiralnih in sanacijskih del – predvsem na področju obnove infrastrukture. Datum dokončne sanacije je odvisen od razpoložljivih sredstev, upravnih postopkov ali tehničnih pregledov. Realno bi lahko sanacijska dela izvedli do konca leta 2022; tehnične preglede in odpravo pomanjkljivosti v letu 2023 ter zaključek upravnih postopkov in izbris iz registra do konca leta 2024.</w:t>
            </w:r>
          </w:p>
          <w:p w14:paraId="4CA6CB28" w14:textId="77777777" w:rsidR="00EB2379" w:rsidRPr="00EB2379" w:rsidRDefault="00EB2379" w:rsidP="00FA408F">
            <w:pPr>
              <w:spacing w:before="5pt"/>
              <w:rPr>
                <w:color w:val="000000"/>
                <w:lang w:val="it-IT"/>
              </w:rPr>
            </w:pPr>
          </w:p>
          <w:p w14:paraId="35CCAB14" w14:textId="77777777" w:rsidR="00EB2379" w:rsidRPr="00EB2379" w:rsidRDefault="00EB2379" w:rsidP="00FA408F">
            <w:pPr>
              <w:spacing w:before="5pt"/>
              <w:rPr>
                <w:color w:val="000000"/>
                <w:lang w:val="it-IT"/>
              </w:rPr>
            </w:pPr>
            <w:r w:rsidRPr="00EB2379">
              <w:rPr>
                <w:color w:val="000000"/>
                <w:lang w:val="it-IT"/>
              </w:rPr>
              <w:lastRenderedPageBreak/>
              <w:t>Kljub temu, da so v regiji že opustili rabo premoga, so, zaradi delujočih ključnih gospodarskih dejavnosti, emisije CO2e še vedno precejšnje, sploh glede na njeno velikost. Velika CO2e obremenitev izhaja deloma iz večjega obsega dnevnega prometa, saj se večina zaposlenih vozi na delo v druge kraje Slovenije. K temu pripomore tudi konfiguracija terena, ki zahteva velike CO2e obremenitve zaradi številnih prehodov preko zaprtih zasavskih dolin. Poleg tega pa je še vedno nekaj podjetij, zaposlovalcev v regiji, ki imajo CO2e intenzivno proizvodnjo – če omenimo nekatere – Steklarna Hrastnik – Special d.o.o., Steklarna Hrastnik – Vitrum d.o.o., IGM Zagorje, Komunala Trbovlje, TKI Hrastnik.</w:t>
            </w:r>
          </w:p>
          <w:p w14:paraId="07CBE72D" w14:textId="77777777" w:rsidR="00EB2379" w:rsidRPr="00EB2379" w:rsidRDefault="00EB2379" w:rsidP="00FA408F">
            <w:pPr>
              <w:spacing w:before="5pt"/>
              <w:rPr>
                <w:color w:val="000000"/>
                <w:lang w:val="it-IT"/>
              </w:rPr>
            </w:pPr>
            <w:r w:rsidRPr="00EB2379">
              <w:rPr>
                <w:color w:val="000000"/>
                <w:lang w:val="it-IT"/>
              </w:rPr>
              <w:t>Poročilo o izpolnitvi obveznosti upravljalcev štirih naprav v Sloveniji za 2021 navaja, da so skupne emisije v regiji 130.598 ton CO2e.</w:t>
            </w:r>
          </w:p>
          <w:p w14:paraId="347052B6" w14:textId="77777777" w:rsidR="00EB2379" w:rsidRPr="00EB2379" w:rsidRDefault="00EB2379" w:rsidP="00FA408F">
            <w:pPr>
              <w:spacing w:before="5pt"/>
              <w:rPr>
                <w:color w:val="000000"/>
                <w:lang w:val="it-IT"/>
              </w:rPr>
            </w:pPr>
            <w:r w:rsidRPr="00EB2379">
              <w:rPr>
                <w:color w:val="000000"/>
                <w:lang w:val="it-IT"/>
              </w:rPr>
              <w:t>Regija se še vedno sooča s strukturnimi problemi, značilnimi za regije, kjer sta se izkoriščanje in raba premoga zaključili. Problemi so, kot že omenjeno, posledica dejstva, da se pri prestrukturiranju načela pravičnega prehoda niso ustrezno upoštevala – niti pri zapiranju premogovnika niti pri zagotavljanju novih delovnih mest in diverzifikaciji regijskega gospodarstva. Od začetka zapiralnih del do leta 2021 je regija namreč izgubila več kot 20 % delovnih mest in utrpela tudi 11 % depopulacijo. Poleg aktivnosti, ki so bile ozko usmerjene v postopke zapiranja rudnikov in omilitev izzivov, povezanih s socialnim statusom presežnih delavcev, so se sicer izvajali tudi ukrepi gospodarskega prestrukturiranja, ki pa niso zagotovili ustreznega gospodarskega okrevanja regije. Tako so socialno-ekonomski vidiki tranzicije ostali nerešeni[2].</w:t>
            </w:r>
          </w:p>
          <w:p w14:paraId="5421CDC8" w14:textId="77777777" w:rsidR="00EB2379" w:rsidRPr="00EB2379" w:rsidRDefault="00EB2379" w:rsidP="00FA408F">
            <w:pPr>
              <w:spacing w:before="5pt"/>
              <w:rPr>
                <w:color w:val="000000"/>
                <w:lang w:val="it-IT"/>
              </w:rPr>
            </w:pPr>
          </w:p>
          <w:p w14:paraId="2FE05E4E" w14:textId="77777777" w:rsidR="00EB2379" w:rsidRPr="00EB2379" w:rsidRDefault="00EB2379" w:rsidP="00FA408F">
            <w:pPr>
              <w:spacing w:before="5pt"/>
              <w:rPr>
                <w:color w:val="000000"/>
                <w:lang w:val="it-IT"/>
              </w:rPr>
            </w:pPr>
            <w:r w:rsidRPr="00EB2379">
              <w:rPr>
                <w:color w:val="000000"/>
                <w:lang w:val="it-IT"/>
              </w:rPr>
              <w:t>Posledice se kažejo na področju zaposlovanja, dolgotrajne brezposelnosti, BDP in odliva možganov iz regije in so podrobneje opredeljene v nadaljevanju.</w:t>
            </w:r>
          </w:p>
          <w:p w14:paraId="4D8E9859" w14:textId="77777777" w:rsidR="00EB2379" w:rsidRPr="00EB2379" w:rsidRDefault="00EB2379" w:rsidP="00FA408F">
            <w:pPr>
              <w:spacing w:before="5pt"/>
              <w:rPr>
                <w:color w:val="000000"/>
                <w:lang w:val="it-IT"/>
              </w:rPr>
            </w:pPr>
          </w:p>
          <w:p w14:paraId="72776924" w14:textId="77777777" w:rsidR="00EB2379" w:rsidRPr="00EB2379" w:rsidRDefault="00EB2379" w:rsidP="00FA408F">
            <w:pPr>
              <w:spacing w:before="5pt"/>
              <w:rPr>
                <w:color w:val="000000"/>
                <w:lang w:val="it-IT"/>
              </w:rPr>
            </w:pPr>
            <w:r w:rsidRPr="00EB2379">
              <w:rPr>
                <w:color w:val="000000"/>
                <w:lang w:val="it-IT"/>
              </w:rPr>
              <w:t>Tako se je BDP v regiji znižal, zato ima sedaj regija najnižji BDP med slovenskimi regijami. Če vrednosti BDP v Zasavju primerjamo tudi mednarodno je treba izpostaviti, da med vsemi razvojnimi regijami v Sloveniji najbolj zaostaja za povprečjem EU po BDP na prebivalca, saj je v letu 2018 dosegla le 46 % povprečne razvitosti EU, kar jo uvršča med evropsko manj razvite regije. Zaostaja tudi za povprečno razvitostjo sosednjih NUTS 3 regij v Sloveniji, Avstriji, na Madžarskem in Hrvaškem. Zato ne preseneča, da je po kazalnikih kakovosti življenja večinoma pod slovenskim povprečjem.[3]</w:t>
            </w:r>
          </w:p>
          <w:p w14:paraId="6A098FF9" w14:textId="77777777" w:rsidR="00EB2379" w:rsidRPr="00EB2379" w:rsidRDefault="00EB2379" w:rsidP="00FA408F">
            <w:pPr>
              <w:spacing w:before="5pt"/>
              <w:rPr>
                <w:color w:val="000000"/>
                <w:lang w:val="it-IT"/>
              </w:rPr>
            </w:pPr>
          </w:p>
          <w:p w14:paraId="0BE53414" w14:textId="77777777" w:rsidR="00EB2379" w:rsidRPr="00EB2379" w:rsidRDefault="00EB2379" w:rsidP="00FA408F">
            <w:pPr>
              <w:spacing w:before="5pt"/>
              <w:rPr>
                <w:color w:val="000000"/>
                <w:lang w:val="it-IT"/>
              </w:rPr>
            </w:pPr>
            <w:r w:rsidRPr="00EB2379">
              <w:rPr>
                <w:color w:val="000000"/>
                <w:lang w:val="it-IT"/>
              </w:rPr>
              <w:t xml:space="preserve">Vsebina poglavja s tabelaričnimi in grafičnimi prikazi je razvidna v Prilogi 3: 1. </w:t>
            </w:r>
            <w:r w:rsidRPr="00EB2379">
              <w:rPr>
                <w:b/>
                <w:bCs/>
                <w:color w:val="000000"/>
                <w:lang w:val="it-IT"/>
              </w:rPr>
              <w:t>Osnutek procesa prehoda in opredelitev najbolj prizadetih območij v državi članici –celotno poglavje, vključno s tabelaričnimi in grafičnimi prikazi</w:t>
            </w:r>
          </w:p>
          <w:p w14:paraId="730B96F7" w14:textId="77777777" w:rsidR="00EB2379" w:rsidRPr="00EB2379" w:rsidRDefault="00EB2379" w:rsidP="00FA408F">
            <w:pPr>
              <w:spacing w:before="5pt"/>
              <w:rPr>
                <w:color w:val="000000"/>
                <w:lang w:val="it-IT"/>
              </w:rPr>
            </w:pPr>
          </w:p>
          <w:p w14:paraId="1EAB684F" w14:textId="77777777" w:rsidR="00EB2379" w:rsidRPr="00EB2379" w:rsidRDefault="00EB2379" w:rsidP="00FA408F">
            <w:pPr>
              <w:spacing w:before="5pt"/>
              <w:rPr>
                <w:color w:val="000000"/>
                <w:lang w:val="it-IT"/>
              </w:rPr>
            </w:pPr>
          </w:p>
          <w:p w14:paraId="30CD6BCD" w14:textId="77777777" w:rsidR="00EB2379" w:rsidRPr="00EB2379" w:rsidRDefault="00EB2379" w:rsidP="00FA408F">
            <w:pPr>
              <w:spacing w:before="5pt"/>
              <w:rPr>
                <w:color w:val="000000"/>
                <w:lang w:val="it-IT"/>
              </w:rPr>
            </w:pPr>
          </w:p>
          <w:p w14:paraId="53AD6DCA" w14:textId="77777777" w:rsidR="00EB2379" w:rsidRPr="00EB2379" w:rsidRDefault="00EB2379" w:rsidP="00FA408F">
            <w:pPr>
              <w:spacing w:before="5pt"/>
              <w:rPr>
                <w:color w:val="000000"/>
                <w:lang w:val="it-IT"/>
              </w:rPr>
            </w:pPr>
            <w:r w:rsidRPr="00EB2379">
              <w:rPr>
                <w:color w:val="000000"/>
                <w:lang w:val="it-IT"/>
              </w:rPr>
              <w:t>[1]Pri pripravi strategije je bila že upoštevan predlog Evropske komisije (COM/2020/562 z dne 17.9.2020) in odločitev Evropskega sveta z dne 11. 12.2020, da EU do leta 2030 doseže najmanj 55% znižanje emisij TGP v primerjavi z 1990. Glej tudi predlog strategije in okoljskega poročila na https://www.energetika-portal.si/dokumenti/strateski-razvojni-dokumenti/nacionalna-strategija-za-izstop-iz-premoga-in-prestrukturiranje-premogovnih-regij/.</w:t>
            </w:r>
          </w:p>
          <w:p w14:paraId="3F59C1D0" w14:textId="77777777" w:rsidR="00EB2379" w:rsidRPr="00EB2379" w:rsidRDefault="00EB2379" w:rsidP="00FA408F">
            <w:pPr>
              <w:spacing w:before="5pt"/>
              <w:rPr>
                <w:color w:val="000000"/>
                <w:lang w:val="it-IT"/>
              </w:rPr>
            </w:pPr>
            <w:r w:rsidRPr="00EB2379">
              <w:rPr>
                <w:color w:val="000000"/>
                <w:lang w:val="it-IT"/>
              </w:rPr>
              <w:t>[2] Nacionalna strategija za izstop iz premoga in prestrukturiranje premogovnih regij v skladu z načeli pravičnega prehoda</w:t>
            </w:r>
          </w:p>
          <w:p w14:paraId="716D23D3" w14:textId="77777777" w:rsidR="00EB2379" w:rsidRPr="00EB2379" w:rsidRDefault="00EB2379" w:rsidP="00FA408F">
            <w:pPr>
              <w:spacing w:before="5pt"/>
              <w:rPr>
                <w:color w:val="000000"/>
                <w:lang w:val="it-IT"/>
              </w:rPr>
            </w:pPr>
            <w:r w:rsidRPr="00EB2379">
              <w:rPr>
                <w:color w:val="000000"/>
                <w:lang w:val="it-IT"/>
              </w:rPr>
              <w:t>[3] https://www.umar.gov.si/fileadmin/user_upload/publikacije/dz/2020/DZ3_2020.pdf</w:t>
            </w:r>
          </w:p>
          <w:p w14:paraId="030438A3" w14:textId="77777777" w:rsidR="00EB2379" w:rsidRPr="00EB2379" w:rsidRDefault="00EB2379" w:rsidP="00FA408F">
            <w:pPr>
              <w:spacing w:before="5pt"/>
              <w:rPr>
                <w:color w:val="000000"/>
                <w:sz w:val="6"/>
                <w:lang w:val="it-IT"/>
              </w:rPr>
            </w:pPr>
          </w:p>
          <w:p w14:paraId="53FD76BE" w14:textId="77777777" w:rsidR="00EB2379" w:rsidRPr="00EB2379" w:rsidRDefault="00EB2379" w:rsidP="00FA408F">
            <w:pPr>
              <w:spacing w:before="5pt"/>
              <w:rPr>
                <w:color w:val="000000"/>
                <w:sz w:val="6"/>
                <w:lang w:val="it-IT"/>
              </w:rPr>
            </w:pPr>
          </w:p>
        </w:tc>
      </w:tr>
    </w:tbl>
    <w:p w14:paraId="37DB52B1" w14:textId="77777777" w:rsidR="00EB2379" w:rsidRPr="00EB2379" w:rsidRDefault="00EB2379" w:rsidP="00EB2379">
      <w:pPr>
        <w:spacing w:before="5pt"/>
        <w:rPr>
          <w:color w:val="000000"/>
          <w:sz w:val="12"/>
          <w:lang w:val="it-IT"/>
        </w:rPr>
      </w:pPr>
    </w:p>
    <w:p w14:paraId="74003214" w14:textId="77777777" w:rsidR="00EB2379" w:rsidRPr="00EB2379" w:rsidRDefault="00EB2379" w:rsidP="00EB2379">
      <w:pPr>
        <w:pStyle w:val="Naslov1"/>
        <w:spacing w:before="5pt" w:after="0pt"/>
        <w:rPr>
          <w:rFonts w:ascii="Times New Roman" w:hAnsi="Times New Roman" w:cs="Times New Roman"/>
          <w:b w:val="0"/>
          <w:color w:val="000000"/>
          <w:sz w:val="24"/>
          <w:lang w:val="it-IT"/>
        </w:rPr>
      </w:pPr>
      <w:r w:rsidRPr="00EB2379">
        <w:rPr>
          <w:rFonts w:ascii="Times New Roman" w:hAnsi="Times New Roman" w:cs="Times New Roman"/>
          <w:b w:val="0"/>
          <w:color w:val="000000"/>
          <w:sz w:val="24"/>
          <w:lang w:val="it-IT"/>
        </w:rPr>
        <w:t>2. Ocena izzivov, povezanih s prehodom, za vsako opredeljeno območje</w:t>
      </w:r>
    </w:p>
    <w:p w14:paraId="468E2B0B" w14:textId="77777777" w:rsidR="00EB2379" w:rsidRPr="00EB2379" w:rsidRDefault="00EB2379" w:rsidP="00EB2379">
      <w:pPr>
        <w:spacing w:before="5pt"/>
        <w:rPr>
          <w:color w:val="000000"/>
          <w:sz w:val="0"/>
          <w:lang w:val="it-IT"/>
        </w:rPr>
      </w:pPr>
    </w:p>
    <w:p w14:paraId="57160F8C" w14:textId="77777777" w:rsidR="00EB2379" w:rsidRPr="00EB2379" w:rsidRDefault="00EB2379" w:rsidP="00EB2379">
      <w:pPr>
        <w:spacing w:before="5pt"/>
        <w:rPr>
          <w:color w:val="000000"/>
          <w:sz w:val="6"/>
          <w:lang w:val="it-IT"/>
        </w:rPr>
      </w:pPr>
      <w:r w:rsidRPr="00EB2379">
        <w:rPr>
          <w:color w:val="000000"/>
          <w:lang w:val="it-IT"/>
        </w:rPr>
        <w:t>Sklic: člen 11(2)(c)</w:t>
      </w:r>
    </w:p>
    <w:p w14:paraId="045F63CD" w14:textId="77777777" w:rsidR="00EB2379" w:rsidRPr="00EB2379" w:rsidRDefault="00EB2379" w:rsidP="00EB2379">
      <w:pPr>
        <w:spacing w:before="5pt"/>
        <w:rPr>
          <w:color w:val="000000"/>
          <w:sz w:val="6"/>
          <w:lang w:val="it-IT"/>
        </w:rPr>
      </w:pPr>
    </w:p>
    <w:p w14:paraId="5A845F33" w14:textId="77777777" w:rsidR="00EB2379" w:rsidRPr="00EB2379" w:rsidRDefault="00EB2379" w:rsidP="00EB2379">
      <w:pPr>
        <w:pStyle w:val="Naslov2"/>
        <w:spacing w:before="5pt" w:after="0pt"/>
        <w:rPr>
          <w:rFonts w:ascii="Times New Roman" w:hAnsi="Times New Roman" w:cs="Times New Roman"/>
          <w:b w:val="0"/>
          <w:i w:val="0"/>
          <w:color w:val="000000"/>
          <w:sz w:val="24"/>
          <w:lang w:val="it-IT"/>
        </w:rPr>
      </w:pPr>
      <w:r w:rsidRPr="00EB2379">
        <w:rPr>
          <w:rFonts w:ascii="Times New Roman" w:hAnsi="Times New Roman" w:cs="Times New Roman"/>
          <w:b w:val="0"/>
          <w:i w:val="0"/>
          <w:color w:val="000000"/>
          <w:sz w:val="24"/>
          <w:lang w:val="it-IT"/>
        </w:rPr>
        <w:lastRenderedPageBreak/>
        <w:t>Ozemlje: ZASAVSKA PREMOGOVNA REGIJE</w:t>
      </w:r>
    </w:p>
    <w:p w14:paraId="23451C6B" w14:textId="77777777" w:rsidR="00EB2379" w:rsidRPr="00EB2379" w:rsidRDefault="00EB2379" w:rsidP="00EB2379">
      <w:pPr>
        <w:spacing w:before="5pt"/>
        <w:rPr>
          <w:color w:val="000000"/>
          <w:sz w:val="0"/>
          <w:lang w:val="it-IT"/>
        </w:rPr>
      </w:pPr>
    </w:p>
    <w:p w14:paraId="2D5FF623" w14:textId="77777777" w:rsidR="00EB2379" w:rsidRPr="00EB2379" w:rsidRDefault="00EB2379" w:rsidP="00EB2379">
      <w:pPr>
        <w:pStyle w:val="Naslov3"/>
        <w:spacing w:before="5pt" w:after="0pt"/>
        <w:rPr>
          <w:rFonts w:ascii="Times New Roman" w:hAnsi="Times New Roman" w:cs="Times New Roman"/>
          <w:b w:val="0"/>
          <w:color w:val="000000"/>
          <w:sz w:val="24"/>
          <w:lang w:val="it-IT"/>
        </w:rPr>
      </w:pPr>
      <w:r w:rsidRPr="00EB2379">
        <w:rPr>
          <w:rFonts w:ascii="Times New Roman" w:hAnsi="Times New Roman" w:cs="Times New Roman"/>
          <w:b w:val="0"/>
          <w:color w:val="000000"/>
          <w:sz w:val="24"/>
          <w:lang w:val="it-IT"/>
        </w:rPr>
        <w:t>2.1. Ocena gospodarskih, socialnih in območnih učinkov prehoda na podnebno nevtralno gospodarstvo Unije do leta 2050</w:t>
      </w:r>
    </w:p>
    <w:p w14:paraId="55725835" w14:textId="77777777" w:rsidR="00EB2379" w:rsidRPr="00EB2379" w:rsidRDefault="00EB2379" w:rsidP="00EB2379">
      <w:pPr>
        <w:spacing w:before="5pt"/>
        <w:rPr>
          <w:color w:val="000000"/>
          <w:sz w:val="0"/>
          <w:lang w:val="it-IT"/>
        </w:rPr>
      </w:pPr>
    </w:p>
    <w:p w14:paraId="1EAECBA3" w14:textId="77777777" w:rsidR="00EB2379" w:rsidRDefault="00EB2379" w:rsidP="00EB2379">
      <w:pPr>
        <w:spacing w:before="5pt"/>
        <w:rPr>
          <w:color w:val="000000"/>
          <w:sz w:val="16"/>
        </w:rPr>
      </w:pPr>
      <w:r>
        <w:rPr>
          <w:color w:val="000000"/>
        </w:rPr>
        <w:t>Sklic: člen 11(2)(c)</w:t>
      </w:r>
    </w:p>
    <w:p w14:paraId="32C6F2A6" w14:textId="77777777" w:rsidR="00EB2379" w:rsidRDefault="00EB2379" w:rsidP="00EB2379">
      <w:pPr>
        <w:spacing w:before="5pt"/>
        <w:rPr>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EB2379" w14:paraId="472A8AC3" w14:textId="77777777" w:rsidTr="00FA408F">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579A42" w14:textId="77777777" w:rsidR="00EB2379" w:rsidRDefault="00EB2379" w:rsidP="00FA408F">
            <w:pPr>
              <w:spacing w:before="5pt"/>
              <w:rPr>
                <w:color w:val="000000"/>
                <w:sz w:val="0"/>
              </w:rPr>
            </w:pPr>
          </w:p>
          <w:p w14:paraId="5CC5822F" w14:textId="77777777" w:rsidR="00EB2379" w:rsidRDefault="00EB2379" w:rsidP="00FA408F">
            <w:pPr>
              <w:spacing w:before="5pt"/>
              <w:rPr>
                <w:color w:val="000000"/>
              </w:rPr>
            </w:pPr>
            <w:r>
              <w:rPr>
                <w:color w:val="000000"/>
              </w:rPr>
              <w:t>Na podlagi zaključkov iz Nacionalne strategije za izstop iz premoga in prestrukturiranje premogovnih regij v skladu z načeli pravičnega prehoda in Analize vrzeli za Zasavje (Priloga1) se je proces prestrukturiranja regije Zasavje začel leta 2000, vendar še ni zaključen, saj se v njej še vedno soočajo s strukturnimi posledicami zaprtja premogovniške dejavnosti. To dokazujejo statistični podatki, in sicer je bilo leta 2019 v Zasavju zaposlenih 13.104 delavcev, kar je 5.589 manj kot leta 2000, ko je bilo v regiji zaposlenih 18.693. Največ delovnih mest je bilo izgubljenih v predelovalnih dejavnostih, rudarstvu in drugi industriji, skupaj 5.150. [1] To je predstavljalo 27 % vseh delovnih mest v regiji, večina jih je bila v občini Trbovlje.[2] Proces zapiranja rudnika je bil zaključen leta 2014 z zaprtjem Termoelektrarne Trbovlje.</w:t>
            </w:r>
          </w:p>
          <w:p w14:paraId="2020255C" w14:textId="77777777" w:rsidR="00EB2379" w:rsidRPr="00EB2379" w:rsidRDefault="00EB2379" w:rsidP="00FA408F">
            <w:pPr>
              <w:spacing w:before="5pt"/>
              <w:rPr>
                <w:color w:val="000000"/>
                <w:lang w:val="it-IT"/>
              </w:rPr>
            </w:pPr>
            <w:r>
              <w:rPr>
                <w:color w:val="000000"/>
              </w:rPr>
              <w:t xml:space="preserve">V letu 2020 je bilo v regiji manj kot 4 % dohodka povezanega s premogovno in energetsko dejavnostjo, ki sta k celotni dodani vrednosti prispevala le s 3,5 %, V skladu z analizo, ki jo je opravilo podjetje Deloitte[3], so steklarska, električna, kemična, livarska in strojna industrija ključni stebri današnjega lokalnega gospodarstva. </w:t>
            </w:r>
            <w:r w:rsidRPr="00EB2379">
              <w:rPr>
                <w:color w:val="000000"/>
                <w:lang w:val="it-IT"/>
              </w:rPr>
              <w:t>Hkrati se razvijajo inovativna mala in srednje velika podjetja na področju informacijskih tehnologij in novih materialov.</w:t>
            </w:r>
          </w:p>
          <w:p w14:paraId="0C45FD90" w14:textId="77777777" w:rsidR="00EB2379" w:rsidRPr="00EB2379" w:rsidRDefault="00EB2379" w:rsidP="00FA408F">
            <w:pPr>
              <w:spacing w:before="5pt"/>
              <w:rPr>
                <w:color w:val="000000"/>
                <w:lang w:val="it-IT"/>
              </w:rPr>
            </w:pPr>
            <w:r w:rsidRPr="00EB2379">
              <w:rPr>
                <w:color w:val="000000"/>
                <w:lang w:val="it-IT"/>
              </w:rPr>
              <w:t>Natančnejša analiza pomena prispevka drugih sektorjev pokaže, da je med pomembnejšimi v regiji nekovinska predelovalna industrija, ki ustvari 18 % celotnega prihodka v regiji (21 % dodane vrednosti) in zaposluje približno 15 % delovnega prebivalstva. Tudi elektronika je sektor s potencialom za prihodnji razvoj, saj ustvari 19 % prihodkov in zaposluje 21 % vseh zaposlenih. Obe panogi tako predstavljata enega od ključnih stebrov lokalnega gospodarstva. Med področji, ki so tudi pomembna za prihodnji razvoj gospodarstva, so tudi tehnologije prihodnosti, ki ustvarijo 3 % prihodkov regije, zaposlujejo 1,9 % vseh zaposlenih in prispevajo 4,7 % k celotni dodani vrednosti.</w:t>
            </w:r>
          </w:p>
          <w:p w14:paraId="741D2732" w14:textId="77777777" w:rsidR="00EB2379" w:rsidRPr="00EB2379" w:rsidRDefault="00EB2379" w:rsidP="00FA408F">
            <w:pPr>
              <w:spacing w:before="5pt"/>
              <w:rPr>
                <w:color w:val="000000"/>
                <w:lang w:val="it-IT"/>
              </w:rPr>
            </w:pPr>
            <w:r w:rsidRPr="00EB2379">
              <w:rPr>
                <w:color w:val="000000"/>
                <w:lang w:val="it-IT"/>
              </w:rPr>
              <w:t>Lokalno gospodarstvo se ne naslanja močno na avtomobilsko industrijo, saj je le eno podjetje v regiji, ki deluje na tem področju. Sektor kovinsko predelovalne industrije v regiji ustvari 2,5 % prihodkov in zaposluje 3,3 % vseh zaposlenih. Storitvena industrija zaposluje kar 48,3 % vseh zaposlenih in ustvari 50,8 % prihodkov, ob tem pa je pomembno poudariti, da so številna podjetja, ki delujejo v tem sektorju v regij le registrirana ali pa imajo v njej sorazmerno majhen vpliv.</w:t>
            </w:r>
          </w:p>
          <w:p w14:paraId="1D75979C" w14:textId="77777777" w:rsidR="00EB2379" w:rsidRPr="00EB2379" w:rsidRDefault="00EB2379" w:rsidP="00FA408F">
            <w:pPr>
              <w:spacing w:before="5pt"/>
              <w:rPr>
                <w:color w:val="000000"/>
                <w:lang w:val="it-IT"/>
              </w:rPr>
            </w:pPr>
            <w:r w:rsidRPr="00EB2379">
              <w:rPr>
                <w:color w:val="000000"/>
                <w:lang w:val="it-IT"/>
              </w:rPr>
              <w:t>Med sektorji, ki so trenutno v regiji najmanj razviti so kmetijstvo in prehrambna industrija, lesnopredelovalna industrija in turizem.</w:t>
            </w:r>
          </w:p>
          <w:p w14:paraId="43460B9F" w14:textId="77777777" w:rsidR="00EB2379" w:rsidRPr="00EB2379" w:rsidRDefault="00EB2379" w:rsidP="00FA408F">
            <w:pPr>
              <w:spacing w:before="5pt"/>
              <w:rPr>
                <w:color w:val="000000"/>
                <w:lang w:val="it-IT"/>
              </w:rPr>
            </w:pPr>
            <w:r w:rsidRPr="00EB2379">
              <w:rPr>
                <w:color w:val="000000"/>
                <w:lang w:val="it-IT"/>
              </w:rPr>
              <w:t>Po ocenah danes okoli 50 % prebivalcev regije in kar 49 % prebivalcev ožjega vplivnega območja dnevno migrira v sosednja mesta, ker v kraju prebivališča ni ustreznih delovnih mest, predvsem tistih z visoko dodano vrednostjo. Tudi tu je zaznati poslabšanje glede na leto 2010, ko je na delo iz regije dnevno migriralo 40 % prebivalcev, zaradi pomanjkanja zaposlitvenih možnosti znotraj območja.</w:t>
            </w:r>
          </w:p>
          <w:p w14:paraId="7138A554" w14:textId="77777777" w:rsidR="00EB2379" w:rsidRPr="00EB2379" w:rsidRDefault="00EB2379" w:rsidP="00FA408F">
            <w:pPr>
              <w:spacing w:before="5pt"/>
              <w:rPr>
                <w:color w:val="000000"/>
                <w:lang w:val="it-IT"/>
              </w:rPr>
            </w:pPr>
            <w:r w:rsidRPr="00EB2379">
              <w:rPr>
                <w:color w:val="000000"/>
                <w:lang w:val="it-IT"/>
              </w:rPr>
              <w:t>Zadnji podatki za regijo kažejo visoko število dolgotrajno brezposelnih, predvsem v Občini Trbovlje, kjer je njihov delež med vsemi brezposelnimi najvišji, in predstavlja 6,5 %. To je mogoče pripisati nedokončani družbeno – ekonomski preobrazbi po zaprtju premogovnika in termoelektrarne. V Trbovljah imajo tudi enega najvišjih deležev brezposelnosti mladih (15,1 %). V celotni regiji je delež brezposelnosti mladih sicer nižji (13,5 %). Posledica pomanjkanja ustreznih delovnih mest v regiji je tudi visok delež bega možganov in negativen trend v številu prebivalcev v regiji. V Zasavju se je namreč med letoma 2000 in 2021 število prebivalcev zmanjšalo za 11 %, na kar so poleg splošnega trenda vplivale tudi omejene zaposlitvene možnosti v regiji. Ta je tudi med ekonomsko najrevnejšimi v državi, saj je bil leta 2019 indeks BDP na prebivalca 53% . V obdobju 2011 – 2020 se je BDP v regiji povečeval le za 0,9 % na leto. V letu 2019 je prispevek regije k nacionalnemu BDP znašal le 1,4 %.</w:t>
            </w:r>
          </w:p>
          <w:p w14:paraId="252B8E2A" w14:textId="77777777" w:rsidR="00EB2379" w:rsidRPr="00EB2379" w:rsidRDefault="00EB2379" w:rsidP="00FA408F">
            <w:pPr>
              <w:spacing w:before="5pt"/>
              <w:rPr>
                <w:color w:val="000000"/>
                <w:lang w:val="it-IT"/>
              </w:rPr>
            </w:pPr>
            <w:r w:rsidRPr="00EB2379">
              <w:rPr>
                <w:color w:val="000000"/>
                <w:lang w:val="it-IT"/>
              </w:rPr>
              <w:t xml:space="preserve">Podrobnejša analiza pokaže, da je bilo novembra 2021 v občini Trbovlje 48 % vseh brezposelnih v starostni skupini med 40 in 59 let. Po izobrazbeni strukturi ima večina med njimi le osnovno in splošno izobrazbo, problem je enako pereč med populacijo žensk in moških. Problematično je dejstvo, da </w:t>
            </w:r>
            <w:r w:rsidRPr="00EB2379">
              <w:rPr>
                <w:color w:val="000000"/>
                <w:lang w:val="it-IT"/>
              </w:rPr>
              <w:lastRenderedPageBreak/>
              <w:t>brezposelnost večine traja več kot eno leto, pri čemer je kar 45 % brezposelnih v občini Trbovlje brez dela od enega do štirih let. Med njimi jih je največ brez dela med 12 in 23 meseci. Največji delež brezposelnih ima več kot 10 let delovnih izkušenj, kar 45 % med njimi jih ima od 10 – 30+ let. Le 6 % brezposelnih ima visokošolsko izobrazbo. To jasno kaže na potrebo po oblikovanju in izvedbi ciljanih programov izobraževanja in usposabljanja, ki bodo predvsem prilagojeni dolgotrajno brezposelnim in tistim, ki imajo nizko/slabo usposobljenost za delo, saj bo le tako mogoče preprečiti, da postanejo dolgotrajno brezposelni. Take programe je treba povezati in usmeriti tudi/predvsem na tista področja, kjer se delodajalci soočajo s potrebami po delovni sili in s tem zmanjšati vrzel na trgu dela. V letih od 2019 – 2021 so se potrebe po ustrezno usposobljenih delavcih povečevale predvsem v gradbeništvu, predelovalni industriji, izobraževanju in v socialnem ter zdravstvenem sektorju. Podobna situacija je tudi v občini Hrastnik, v Zagorju ob Savi pa je stanje le rahlo, a ne bistveno boljše. Na tej podlagi je mogoče zaključiti, da zaradi prenehanja premogovniške dejavnosti, znanja in spretnosti presežnih delavcev iz tega sektorja niso skladna z novimi potrebami zaposlovalcev.</w:t>
            </w:r>
          </w:p>
          <w:p w14:paraId="12F9A479" w14:textId="77777777" w:rsidR="00EB2379" w:rsidRPr="00EB2379" w:rsidRDefault="00EB2379" w:rsidP="00FA408F">
            <w:pPr>
              <w:spacing w:before="5pt"/>
              <w:rPr>
                <w:color w:val="000000"/>
                <w:lang w:val="it-IT"/>
              </w:rPr>
            </w:pPr>
            <w:r w:rsidRPr="00EB2379">
              <w:rPr>
                <w:color w:val="000000"/>
                <w:lang w:val="it-IT"/>
              </w:rPr>
              <w:t>V gospodarskem sektorju v regiji prevladujejo mala in srednje velika podjetja. V letu 2020 je bilo njihovo število 2.313. Kljub nihanjem njihovega števila v posameznem letu preteklega desetletja, je mogoče opaziti stagnacijo. V povprečju je v zadnjih desetih letih 5 – 6 % podjetij prenehalo z delovanjem, kar je manj kot pred tem obdobjem (9 – 10 %). To je lahko pokazatelj boljših pogojev za gospodarstvo. Pri številu velikih podjetji v regiji pa je trend jasen – njihovo število se je v obdobju 2011 – 2020 več kot prepolovilo (z 11 na 5)[4]. Kljub temu pa so velika podjetja pomemben deležnik v gospodarstvu, saj je teh 5 podjetij prispevalo več kot 30 % k lokalnemu gospodarstvu hkrati pa tudi zaposlujejo 30 % visoko izobraženih zaposlenih.[5]</w:t>
            </w:r>
          </w:p>
          <w:p w14:paraId="0E2766D0" w14:textId="77777777" w:rsidR="00EB2379" w:rsidRPr="00EB2379" w:rsidRDefault="00EB2379" w:rsidP="00FA408F">
            <w:pPr>
              <w:spacing w:before="5pt"/>
              <w:rPr>
                <w:color w:val="000000"/>
                <w:lang w:val="it-IT"/>
              </w:rPr>
            </w:pPr>
            <w:r w:rsidRPr="00EB2379">
              <w:rPr>
                <w:color w:val="000000"/>
                <w:lang w:val="it-IT"/>
              </w:rPr>
              <w:t>Deležniki kot enega od glavnih razlogov za pomanjkanje privlačnosti regije za velika podjetja prepoznavajo pomanjkanje ustrezno usposobljene delovne sile in ustreznih površin za gradnjo novih proizvodnih zmogljivosti.</w:t>
            </w:r>
          </w:p>
          <w:p w14:paraId="189FFD86" w14:textId="77777777" w:rsidR="00EB2379" w:rsidRDefault="00EB2379" w:rsidP="00FA408F">
            <w:pPr>
              <w:spacing w:before="5pt"/>
              <w:rPr>
                <w:color w:val="000000"/>
              </w:rPr>
            </w:pPr>
            <w:r w:rsidRPr="00EB2379">
              <w:rPr>
                <w:color w:val="000000"/>
                <w:lang w:val="it-IT"/>
              </w:rPr>
              <w:t xml:space="preserve">V dosedanjem procesu prestrukturiranja je na določenih območjih že prišlo do sanacije in revitalizacije, na določenih pa bo treba še izvesti postopke razgradnje, dekontaminacije, spremembo rabe namembnosti in/ali revitalizacije. </w:t>
            </w:r>
            <w:r>
              <w:rPr>
                <w:color w:val="000000"/>
              </w:rPr>
              <w:t xml:space="preserve">Med slednjimi so tudi opuščena termoelektrarna, pri kateri je pomemben vidik revitalizacije tudi ohranitev premogovne kulturne dediščine in različna odlagališča odpadnega materiala, povezana z izrabo premoga, ki se nahajajo na lokacijah ob Savi, na Lakonci in na Prapretnem. Lokacija ob Savi ima po okoljsko sprejemljivi demontaži, odstranitvi nevarnih snovi in remediaciji tal na območju proizvodnega kompleksa potencial za </w:t>
            </w:r>
            <w:r>
              <w:rPr>
                <w:i/>
                <w:iCs/>
                <w:color w:val="000000"/>
              </w:rPr>
              <w:t xml:space="preserve">brownfield </w:t>
            </w:r>
            <w:r>
              <w:rPr>
                <w:color w:val="000000"/>
              </w:rPr>
              <w:t>naložbe. Na Prapretnem je zaprto industrijsko odlagališče EF pepela, sadre in žlindre, ki je bilo v celoti rekultivirano in zatravljeno, po veljavni zakonodaji pa se izvajajo ukrepi po zaprtju. Na Lakonci, ki v celoti obsega 28 ha, je RTH že saniral in vzpostavil prvotno stanje. So pa na območju potrebna dodatna vlaganja (rekonstrukcija dovozne ceste, utrditev območja in izgradnjo komunalne opreme) po katerih bo prostor primeren za poslovno cono, namenjeno širši industrijski uporabi, ki bo omogočala nadaljnji gospodarski razvoj regije. Območje Lakonce je v lasti Občine Trbovlje, na katero jo je prenesel RTH, ki je v likvidaciji in mora v skladu z zakonom[6] do decembra 2023 prenehati s poslovanjem in nima več dodatnih obveznosti za dodatna sanacijska dela na območju Lakonce.</w:t>
            </w:r>
          </w:p>
          <w:p w14:paraId="4CCDCDDA" w14:textId="77777777" w:rsidR="00EB2379" w:rsidRDefault="00EB2379" w:rsidP="00FA408F">
            <w:pPr>
              <w:spacing w:before="5pt"/>
              <w:rPr>
                <w:color w:val="000000"/>
              </w:rPr>
            </w:pPr>
            <w:r>
              <w:rPr>
                <w:color w:val="000000"/>
              </w:rPr>
              <w:t>Leta 2019 je v bilo v velikih, malih in srednje velikih podjetjih zaposlenih 14.601 oseb, več moških kot žensk, vendar je zanimiv podatek, da so ženske predstavljale večji del (59 %) zaposlenih v velikih podjetjih. MSP zaposlujejo 87 % vseh ljudi v Zasavju. Večina zaposlenih v regiji je starejših od 30 let, največjo skupino predstavljajo tisti med 50 – 59 letom, skupina med 15 – 29 letom predstavlja le 13 % zaposlenih. To dejstvo je zaskrbljujoče, predvsem zaradi splošnega staranja prebivalstva in visokega deleža brezposelnosti med mladimi. V velikih podjetjih je med zaposlenimi 30 % takih, ki imajo visoko izobrazbo, v MSP pa je ta delež 27,6, saj se oboji osredotočajo na privabljanje visoko izobražene in visoko specializirane delovne sile. Lokalna podjetja v sektorjih steklarstva, livarstva, električnih naprav, kemične in strojne industrije, ki zdaj predstavljajo temelj lokalnega gospodarstva, so izkoristila tudi znanje, predvsem tehnično, ki ga ni bilo več mogoče uporabiti na področju izkopa in izrabe fosilnih goriv. Hkrati s tem pa so se v regiji začela razvijati mala in srednje velika podjetja na področjih informacijskih tehnologij in novih materialov.</w:t>
            </w:r>
          </w:p>
          <w:p w14:paraId="0E5F0BAD" w14:textId="77777777" w:rsidR="00EB2379" w:rsidRDefault="00EB2379" w:rsidP="00FA408F">
            <w:pPr>
              <w:spacing w:before="5pt"/>
              <w:rPr>
                <w:color w:val="000000"/>
              </w:rPr>
            </w:pPr>
            <w:r>
              <w:rPr>
                <w:color w:val="000000"/>
              </w:rPr>
              <w:t xml:space="preserve">Analiza vrzeli kaže, da trenutno v regiji ni dovolj novih zaposlitvenih možnosti za zaposlovanje brezposelnih, tako pri MSP kot tudi pri velikih podjetjih, zato je treba v obeh vrstah podjetij oblikovati </w:t>
            </w:r>
            <w:r>
              <w:rPr>
                <w:color w:val="000000"/>
              </w:rPr>
              <w:lastRenderedPageBreak/>
              <w:t>ciljano podporo, da bodo ustrezen kader zaposlovali na nezasedenih delovnih mestih in da bodo ob tem lahko ustvarili tudi nova delovna mesta. Le tako bodo prispevali k dvigu dodane vrednosti v regijskem gospodarstvu. Zaradi velikega razkoraka med ponudbo in povpraševanjem na trgu dela je treba v regiji podpreti ukrepe s katerimi bo mogoče zmanjšati to vrzel. Pričakovati je, da se bodo tudi v prihodnje, povečevale potrebe po tehničnih in družboslovnih poklicih, pa tudi tistih, ki so povezani s sektorjem »srebrnega gospodarstva« in dolgotrajno oskrbo. Temu bodo morali slediti tudi programi izobraževanj in usposabljanj. Razviti je treba ustrezne ciljane programe, predvsem za mlade, da bo mogoče s tem pritegniti mlade in ustrezno usposobljene zaposlene in zaustaviti beg možganov.</w:t>
            </w:r>
          </w:p>
          <w:p w14:paraId="6F4F9967" w14:textId="77777777" w:rsidR="00EB2379" w:rsidRDefault="00EB2379" w:rsidP="00FA408F">
            <w:pPr>
              <w:spacing w:before="5pt"/>
              <w:rPr>
                <w:color w:val="000000"/>
              </w:rPr>
            </w:pPr>
            <w:r>
              <w:rPr>
                <w:color w:val="000000"/>
              </w:rPr>
              <w:t>Zaradi sorazmerno velike brezposelnosti v regiji in glede na to, da med prebivalci podjetniški duh in kultura nista visoko razvita, je težko pričakovati, da bi nove zaposlitve ustvarjali le v MSP. Nenazadnje ta podjetja niso uspela absorbirati presežka zaposlenih po prenehanju premogovne dejavnosti. V obstoječem gospodarskem ekosistemu so mala podjetja vezana na delovanje in uspešnost velikih podjetij in jim zagotavljajo polizdelke in storitve. Analiza vrzeli kaže, da lahko podpora velikim podjetjem predstavlja pomemben vzvod za ustvarjanje novih delovnih mest. Potencial je ocenjen na okoli 220 do leta 2030. Nova delovna mesta z višjo/visoko dodano vrednostjo (predvsem na področjih povezanih z industrijo 4.0, energetsko in snovno učinkovitostjo, skladno s cilji podnebne nevtralnosti), lahko pripomorejo k dvigu dodane vrednosti v regiji, ki tako lahko postane zanimiva za visoko kvalificirane delavce, tudi za tiste, ki dnevno migrirajo iz Zasavja.</w:t>
            </w:r>
          </w:p>
          <w:p w14:paraId="5BBCEF0A" w14:textId="77777777" w:rsidR="00EB2379" w:rsidRDefault="00EB2379" w:rsidP="00FA408F">
            <w:pPr>
              <w:spacing w:before="5pt"/>
              <w:rPr>
                <w:color w:val="000000"/>
              </w:rPr>
            </w:pPr>
            <w:r>
              <w:rPr>
                <w:color w:val="000000"/>
              </w:rPr>
              <w:t>Ob pravi podpori lahko velika podjetja pritegnejo tudi visoko izobražene posameznike in posameznice iz drugih regij. Tudi mladi v regiji med prioritetnimi razvojnimi področji prepoznavajo gospodarstvo. Prav zato bo treba okoli teh velikih gospodarskih akterjev še naprej graditi in diverzificirati ekosistem, v katerem se bodo povezovala podjetja različnih velikosti. Obenem pa je treba v regiji začeti krepiti tudi kapacitete na področju raziskav in inovacij.</w:t>
            </w:r>
          </w:p>
          <w:p w14:paraId="7A2B3EC0" w14:textId="77777777" w:rsidR="00EB2379" w:rsidRDefault="00EB2379" w:rsidP="00FA408F">
            <w:pPr>
              <w:spacing w:before="5pt"/>
              <w:rPr>
                <w:color w:val="000000"/>
              </w:rPr>
            </w:pPr>
            <w:r>
              <w:rPr>
                <w:color w:val="000000"/>
              </w:rPr>
              <w:t>Pomemben dejavnik pravičnega prehoda je tudi ustrezna prometna povezanost regije, s sosednjimi regijami. Zasavska regija v prejšnjem stoletju ni imela velike potrebe po izboljšanju cestnih povezav s sosednjimi regijami, saj gospodarstvo zaradi premogovništva ni bilo diverzificirano. Veliko gospodarskih družb je bilo namreč odvisnih od premogovne družbe, ki je premog prodajala zasavski Termoelektrarni Trbovlje. Slednja je nato svoj glavni proizvod, elektriko, v druge dele države pošiljala preko električnega omrežja. Večji regionalni zaposlovalci pa so za opravljanje dejavnosti uporabljali tudi železnico. Z opuščanjem premogovne dejavnosti leta 2000 se je pričela diverzifikacija regionalnega gospodarstva, ki pa za normalni razvoj potrebuje sodobno cestno povezavo z vsemi sosednjimi regijami.. Posebno kritična je cestna povezava z V Slovenijo po regionalni cesti regionalna cesta G2-108 od mesta Hrastnik do naselja Zidani Most, ki predstavlja najkrajšo ravninsko povezavo z vzhodno Slovenijo, vendar je povsem neprimerna za tovorni promet (npr. enosmerni promet na določenih odsekih, večkratno prečkanje železnice). Tovorni promet zato poteka skozi urbana središča in čez prelaze, kar ni ustrezno. Rekonstrukcija regionalne ceste Hrastnik-Zidani Most bi zato regiji omogočila sodobno cestno povezavo z vzhodno Slovenijo in s tem pogoje za hitrejšo diferzifikacijo gospodarstva.</w:t>
            </w:r>
          </w:p>
          <w:p w14:paraId="68135012" w14:textId="77777777" w:rsidR="00EB2379" w:rsidRDefault="00EB2379" w:rsidP="00FA408F">
            <w:pPr>
              <w:spacing w:before="5pt"/>
              <w:rPr>
                <w:color w:val="000000"/>
              </w:rPr>
            </w:pPr>
            <w:r>
              <w:rPr>
                <w:color w:val="000000"/>
              </w:rPr>
              <w:t>Naložbe v projekte za večjo izrabo obnovljivih virov energije bodo eden od temeljnih gradnikov preobrazbe regije. Podpora bo namenjena tako projektom za povečevanje proizvodnih kapacitet (tudi v sodelovanju z lokalnimi podjetji), kot tudi projektom, ki bodo namenjeni RRI na tem področju. Na ta način bo v regiji mogoče vzpostaviti stabilno in učinkovito oskrbo z OVE (sončna energija, vodik, sintetični metan, itd.).</w:t>
            </w:r>
          </w:p>
          <w:p w14:paraId="47F3BA59" w14:textId="77777777" w:rsidR="00EB2379" w:rsidRDefault="00EB2379" w:rsidP="00FA408F">
            <w:pPr>
              <w:spacing w:before="5pt"/>
              <w:rPr>
                <w:color w:val="000000"/>
              </w:rPr>
            </w:pPr>
          </w:p>
          <w:p w14:paraId="6C40D32D" w14:textId="77777777" w:rsidR="00EB2379" w:rsidRDefault="00EB2379" w:rsidP="00FA408F">
            <w:pPr>
              <w:spacing w:before="5pt"/>
              <w:rPr>
                <w:color w:val="000000"/>
              </w:rPr>
            </w:pPr>
            <w:r>
              <w:rPr>
                <w:color w:val="000000"/>
              </w:rPr>
              <w:t>[1] Statistični urad RS</w:t>
            </w:r>
          </w:p>
          <w:p w14:paraId="0DF2664D" w14:textId="77777777" w:rsidR="00EB2379" w:rsidRDefault="00EB2379" w:rsidP="00FA408F">
            <w:pPr>
              <w:spacing w:before="5pt"/>
              <w:rPr>
                <w:color w:val="000000"/>
              </w:rPr>
            </w:pPr>
            <w:r>
              <w:rPr>
                <w:color w:val="000000"/>
              </w:rPr>
              <w:t>[2] Gap analysis for Zasavje, May 2022, Sonja Risteska</w:t>
            </w:r>
          </w:p>
          <w:p w14:paraId="274B62AE" w14:textId="77777777" w:rsidR="00EB2379" w:rsidRDefault="00EB2379" w:rsidP="00FA408F">
            <w:pPr>
              <w:spacing w:before="5pt"/>
              <w:rPr>
                <w:color w:val="000000"/>
              </w:rPr>
            </w:pPr>
            <w:r>
              <w:rPr>
                <w:color w:val="000000"/>
              </w:rPr>
              <w:t>[3] Preparation of National Strategy and Action plans for Transition from Coal of Slovenian Coal Regions: Report on Analysis of Key Opportunities and Challenes, September 2020, Deloitte</w:t>
            </w:r>
          </w:p>
          <w:p w14:paraId="1215645C" w14:textId="77777777" w:rsidR="00EB2379" w:rsidRDefault="00EB2379" w:rsidP="00FA408F">
            <w:pPr>
              <w:spacing w:before="5pt"/>
              <w:rPr>
                <w:color w:val="000000"/>
              </w:rPr>
            </w:pPr>
          </w:p>
          <w:p w14:paraId="59B7EB45" w14:textId="77777777" w:rsidR="00EB2379" w:rsidRDefault="00EB2379" w:rsidP="00FA408F">
            <w:pPr>
              <w:spacing w:before="5pt"/>
              <w:rPr>
                <w:color w:val="000000"/>
              </w:rPr>
            </w:pPr>
            <w:r>
              <w:rPr>
                <w:color w:val="000000"/>
              </w:rPr>
              <w:t>[4] Izguba delovnih mest zaradi opustitve premogovništva in aktualno stanje poslovnih con v Zasavju , RRA Zasavje, junij 2022</w:t>
            </w:r>
          </w:p>
          <w:p w14:paraId="7FC9ABB3" w14:textId="77777777" w:rsidR="00EB2379" w:rsidRDefault="00EB2379" w:rsidP="00FA408F">
            <w:pPr>
              <w:spacing w:before="5pt"/>
              <w:rPr>
                <w:color w:val="000000"/>
              </w:rPr>
            </w:pPr>
            <w:r>
              <w:rPr>
                <w:color w:val="000000"/>
              </w:rPr>
              <w:lastRenderedPageBreak/>
              <w:t>[5] Preparation of National Strategy and Action plans for Transition from Coal of Slovenian Coal Regions: Report on Analysis of Key Opportunities and Challenes, September 2020, Deloitte in Gap analysis for Zasavje, May 2022, Sonja Risteska</w:t>
            </w:r>
          </w:p>
          <w:p w14:paraId="76CCF8F8" w14:textId="77777777" w:rsidR="00EB2379" w:rsidRDefault="00EB2379" w:rsidP="00FA408F">
            <w:pPr>
              <w:spacing w:before="5pt"/>
              <w:rPr>
                <w:color w:val="000000"/>
              </w:rPr>
            </w:pPr>
            <w:r>
              <w:rPr>
                <w:color w:val="000000"/>
              </w:rPr>
              <w:t>[6] Zakon o postpnem zapiranju Rudnika Trbovlje-Hrastnik in o gospodarskem prestrukturiranju regije</w:t>
            </w:r>
          </w:p>
          <w:p w14:paraId="3078478B" w14:textId="77777777" w:rsidR="00EB2379" w:rsidRDefault="00EB2379" w:rsidP="00FA408F">
            <w:pPr>
              <w:spacing w:before="5pt"/>
              <w:rPr>
                <w:color w:val="000000"/>
                <w:sz w:val="6"/>
              </w:rPr>
            </w:pPr>
          </w:p>
          <w:p w14:paraId="115D664E" w14:textId="77777777" w:rsidR="00EB2379" w:rsidRDefault="00EB2379" w:rsidP="00FA408F">
            <w:pPr>
              <w:spacing w:before="5pt"/>
              <w:rPr>
                <w:color w:val="000000"/>
                <w:sz w:val="6"/>
              </w:rPr>
            </w:pPr>
          </w:p>
        </w:tc>
      </w:tr>
    </w:tbl>
    <w:p w14:paraId="461A3F2B" w14:textId="77777777" w:rsidR="00EB2379" w:rsidRDefault="00EB2379" w:rsidP="00EB2379">
      <w:pPr>
        <w:spacing w:before="5pt"/>
        <w:rPr>
          <w:color w:val="000000"/>
          <w:sz w:val="0"/>
        </w:rPr>
      </w:pPr>
    </w:p>
    <w:p w14:paraId="77F636C6" w14:textId="77777777" w:rsidR="00EB2379" w:rsidRDefault="00EB2379" w:rsidP="00EB2379">
      <w:pPr>
        <w:pStyle w:val="Naslov3"/>
        <w:spacing w:before="5pt" w:after="0pt"/>
        <w:rPr>
          <w:rFonts w:ascii="Times New Roman" w:hAnsi="Times New Roman" w:cs="Times New Roman"/>
          <w:b w:val="0"/>
          <w:color w:val="000000"/>
          <w:sz w:val="24"/>
        </w:rPr>
      </w:pPr>
      <w:r>
        <w:rPr>
          <w:rFonts w:ascii="Times New Roman" w:hAnsi="Times New Roman" w:cs="Times New Roman"/>
          <w:b w:val="0"/>
          <w:color w:val="000000"/>
          <w:sz w:val="24"/>
        </w:rPr>
        <w:t>2.2. Razvojne potrebe in cilji do leta 2030 z namenom doseči podnebno nevtralno gospodarstvo Unije do leta 2050</w:t>
      </w:r>
    </w:p>
    <w:p w14:paraId="3BA0482F" w14:textId="77777777" w:rsidR="00EB2379" w:rsidRDefault="00EB2379" w:rsidP="00EB2379">
      <w:pPr>
        <w:spacing w:before="5pt"/>
        <w:rPr>
          <w:color w:val="000000"/>
          <w:sz w:val="0"/>
        </w:rPr>
      </w:pPr>
    </w:p>
    <w:p w14:paraId="0EFE0F77" w14:textId="77777777" w:rsidR="00EB2379" w:rsidRDefault="00EB2379" w:rsidP="00EB2379">
      <w:pPr>
        <w:spacing w:before="5pt"/>
        <w:rPr>
          <w:color w:val="000000"/>
          <w:sz w:val="16"/>
        </w:rPr>
      </w:pPr>
      <w:r>
        <w:rPr>
          <w:color w:val="000000"/>
        </w:rPr>
        <w:t>Sklic: člen 11(2)(d)</w:t>
      </w:r>
    </w:p>
    <w:p w14:paraId="43A3FA48" w14:textId="77777777" w:rsidR="00EB2379" w:rsidRDefault="00EB2379" w:rsidP="00EB2379">
      <w:pPr>
        <w:spacing w:before="5pt"/>
        <w:rPr>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EB2379" w14:paraId="0572B039" w14:textId="77777777" w:rsidTr="00FA408F">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C582E3" w14:textId="77777777" w:rsidR="00EB2379" w:rsidRDefault="00EB2379" w:rsidP="00FA408F">
            <w:pPr>
              <w:spacing w:before="5pt"/>
              <w:rPr>
                <w:color w:val="000000"/>
                <w:sz w:val="0"/>
              </w:rPr>
            </w:pPr>
          </w:p>
          <w:p w14:paraId="283AF311" w14:textId="77777777" w:rsidR="00EB2379" w:rsidRDefault="00EB2379" w:rsidP="00FA408F">
            <w:pPr>
              <w:spacing w:before="5pt"/>
              <w:rPr>
                <w:color w:val="000000"/>
              </w:rPr>
            </w:pPr>
            <w:r>
              <w:rPr>
                <w:b/>
                <w:bCs/>
                <w:color w:val="000000"/>
              </w:rPr>
              <w:t xml:space="preserve">2.2.1.Razvojne potrebe </w:t>
            </w:r>
          </w:p>
          <w:p w14:paraId="788B9A48" w14:textId="77777777" w:rsidR="00EB2379" w:rsidRDefault="00EB2379" w:rsidP="00FA408F">
            <w:pPr>
              <w:spacing w:before="5pt"/>
              <w:rPr>
                <w:color w:val="000000"/>
              </w:rPr>
            </w:pPr>
            <w:r>
              <w:rPr>
                <w:color w:val="000000"/>
              </w:rPr>
              <w:t>Za vpogled v trenutno stanje v zasavski premogovniški regiji je bila ob pripravi NSPP izvedena temeljita primerjalna analiza, kjer so bili obravnavani vsi elementi pravičnega prehoda – energetski prehod, tranzicija človeškega kapitala in družbene infrastrukture, gospodarstva in okolja. Na osnovi podatkov SURS in sodb deležnikov je bila izdelana ocena stanja za vsako od premogovnih regij in opredeljene glavne razvojne potrebe v posamezni premogovni regiji. Vlada RS je NSPP sprejela 13.1.2022.</w:t>
            </w:r>
          </w:p>
          <w:p w14:paraId="1EAAA475" w14:textId="77777777" w:rsidR="00EB2379" w:rsidRDefault="00EB2379" w:rsidP="00FA408F">
            <w:pPr>
              <w:spacing w:before="5pt"/>
              <w:rPr>
                <w:color w:val="000000"/>
              </w:rPr>
            </w:pPr>
            <w:r>
              <w:rPr>
                <w:color w:val="000000"/>
              </w:rPr>
              <w:t xml:space="preserve">Za področje </w:t>
            </w:r>
            <w:r>
              <w:rPr>
                <w:b/>
                <w:bCs/>
                <w:color w:val="000000"/>
              </w:rPr>
              <w:t>energetike</w:t>
            </w:r>
            <w:r>
              <w:rPr>
                <w:color w:val="000000"/>
              </w:rPr>
              <w:t xml:space="preserve"> so razvojne potrebe identificirane na nacionalni ravni. Med splošne razvojne potrebe spadajo: zmanjšanje tveganja odvisnosti od uvoza energije; večji delež OVE v končni rabi energije, povečevanje URE in povečanje zmogljivosti in možnosti shranjevanja energije, vključno z razvojem vodikovih tehnologij in z uporabo baterij kot tudi projekti za spajanje sistemov. Dvig deleža OVE je v regiji pomemben tudi zato, ker bo na ta način mogoče izboljšati kakovost zraka.</w:t>
            </w:r>
          </w:p>
          <w:p w14:paraId="1373F05A" w14:textId="77777777" w:rsidR="00EB2379" w:rsidRDefault="00EB2379" w:rsidP="00FA408F">
            <w:pPr>
              <w:spacing w:before="5pt"/>
              <w:rPr>
                <w:color w:val="000000"/>
              </w:rPr>
            </w:pPr>
            <w:r>
              <w:rPr>
                <w:color w:val="000000"/>
              </w:rPr>
              <w:t xml:space="preserve">Za hitrejše </w:t>
            </w:r>
            <w:r>
              <w:rPr>
                <w:b/>
                <w:bCs/>
                <w:color w:val="000000"/>
              </w:rPr>
              <w:t>prestrukturiranje gospodarstva</w:t>
            </w:r>
            <w:r>
              <w:rPr>
                <w:color w:val="000000"/>
              </w:rPr>
              <w:t xml:space="preserve"> je v regiji prepoznana potreba po večji diverzifikaciji lokalnega gospodarstva, tako v smislu sektorske, kot tudi velikostne raznolikosti. Od analiziranih sektorjev bo treba v prihodnje vlagati v nadaljnji razvoj panog, kot so npr. elektroindustrija, nove tehnologije (IT, brezogljične, vesoljske in merilne tehnologije), proizvodnja in predelava kovin in nekovin ter kmetijstvo v povezavi s samooskrbo. Sorazmerno šibko so razviti tudi sektorji storitvene dejavnosti, lesne industrije in turizma, kjer se priložnosti kažejo predvsem v smeri razvoja trajnostnega turizma.</w:t>
            </w:r>
          </w:p>
          <w:p w14:paraId="61D869FC" w14:textId="77777777" w:rsidR="00EB2379" w:rsidRDefault="00EB2379" w:rsidP="00FA408F">
            <w:pPr>
              <w:spacing w:before="5pt"/>
              <w:rPr>
                <w:color w:val="000000"/>
              </w:rPr>
            </w:pPr>
            <w:r>
              <w:rPr>
                <w:color w:val="000000"/>
              </w:rPr>
              <w:t>Rezultate bo mogoče doseči z izvajanjem ukrepov, ki bodo usmerjeni v ustrezno diverzifikacijo gospodarstva in podporo pri njegovi preobrazbi v smeri nizkoogljičnih in krožnih poslovnih modelov ter ustreznega podpornega okolja za trajnosten razvoj regij.</w:t>
            </w:r>
          </w:p>
          <w:p w14:paraId="4666D8B7" w14:textId="77777777" w:rsidR="00EB2379" w:rsidRDefault="00EB2379" w:rsidP="00FA408F">
            <w:pPr>
              <w:spacing w:before="5pt"/>
              <w:rPr>
                <w:color w:val="000000"/>
              </w:rPr>
            </w:pPr>
            <w:r>
              <w:rPr>
                <w:color w:val="000000"/>
              </w:rPr>
              <w:t xml:space="preserve">Na področju </w:t>
            </w:r>
            <w:r>
              <w:rPr>
                <w:b/>
                <w:bCs/>
                <w:color w:val="000000"/>
              </w:rPr>
              <w:t>razvoja človeških virov</w:t>
            </w:r>
            <w:r>
              <w:rPr>
                <w:color w:val="000000"/>
              </w:rPr>
              <w:t xml:space="preserve"> je v regiji identificiranih več področij, ki jih bo potrebno podpreti za uspešno dokončanje zelene preobrazbe. Med ključnimi je izboljšanje lokalnega izobraževalnega sistema, obogatitev in krepitev ključnih kompetenc šolajočih (predvsem digitalnih, kompetenc podjetnosti, prehod v nizkoogljčno krožno gospodarstvo). Osredotočali se bomo tudi na prenos razvitih rešitev na področju ključnih kompetenc v VIZ in na širitev in razvoj inovativnih učnih okolij, podprtih z IKT v šolskem prostoru ter vpetost šolskega prostora v ukrepe ostalih razvojnih področji (npr. demonstracijski centri, robotika, umetna inteligenca, prehod v nizkoogljično krožno gospodarstvo, itd.).</w:t>
            </w:r>
          </w:p>
          <w:p w14:paraId="7294BB18" w14:textId="77777777" w:rsidR="00EB2379" w:rsidRDefault="00EB2379" w:rsidP="00FA408F">
            <w:pPr>
              <w:spacing w:before="5pt"/>
              <w:rPr>
                <w:color w:val="000000"/>
              </w:rPr>
            </w:pPr>
            <w:r>
              <w:rPr>
                <w:color w:val="000000"/>
              </w:rPr>
              <w:t>Zasavska regija ima 4,2% delež prejemnikov denarne socialne pomoči kar kaže na slabšo socialno sliko v regiji, kar je nedvomno tudi posledica nedokončanega izstopa regije iz premogovništva. Večina brezposelnih je nižje izobraženih, kar kaže na potrebo v usmerjene izobraževalne programe, ki bodo dolgotrajno brezposelnim in manj usposobljenim delavcem pomagali na trg dela. Obenem je treba dvigniti spretnosti zaposlenih in brezposelnih oseb, s ciljem opolnomočenja delovno aktivne populacije z znanji in spretnostmi, ki jih potrebujeta sodoben trg dela in lokalni delodajalci. Posebno pozornost bomo tako namenili krepitvi splošnih kompetenc, med katere sodijo: zeleno znanje, zelene veščine, zelene sposobnosti, zelena ozaveščenost, zelen odnos in zeleno ravnanje.</w:t>
            </w:r>
          </w:p>
          <w:p w14:paraId="4EDA8705" w14:textId="77777777" w:rsidR="00EB2379" w:rsidRDefault="00EB2379" w:rsidP="00FA408F">
            <w:pPr>
              <w:spacing w:before="5pt"/>
              <w:rPr>
                <w:color w:val="000000"/>
              </w:rPr>
            </w:pPr>
            <w:r>
              <w:rPr>
                <w:color w:val="000000"/>
              </w:rPr>
              <w:t xml:space="preserve">V regiji je treba povečati zaposlitvene možnosti, predvsem z ustvarjanjem delovnih mest z visoko dodano vrednostjo in tako zmanjšati dnevno delovno migriranje v druga zaposlitvena središča. S </w:t>
            </w:r>
            <w:r>
              <w:rPr>
                <w:color w:val="000000"/>
              </w:rPr>
              <w:lastRenderedPageBreak/>
              <w:t>povečanjem zaposlitvenih možnosti, se bo povečala tudi potreba po manj zahtevnih delovnih mestih (predvsem isced 2 in 3), ki jih bomo lahko zapolnili z motiviranjem in usposabljanjem brezposelnih.</w:t>
            </w:r>
          </w:p>
          <w:p w14:paraId="307ABC09" w14:textId="77777777" w:rsidR="00EB2379" w:rsidRDefault="00EB2379" w:rsidP="00FA408F">
            <w:pPr>
              <w:spacing w:before="5pt"/>
              <w:rPr>
                <w:color w:val="000000"/>
              </w:rPr>
            </w:pPr>
            <w:r>
              <w:rPr>
                <w:color w:val="000000"/>
              </w:rPr>
              <w:t>Prav tako so potrebne naložbe v razvoj socialne infrastrukture (vrtcev in šol) ter dostopna stanovanja za družine, mlajšo in srednjo generacijo ter ranljive skupine, po načelih trajnostnega razvoja.</w:t>
            </w:r>
          </w:p>
          <w:p w14:paraId="6F8C6A5A" w14:textId="77777777" w:rsidR="00EB2379" w:rsidRDefault="00EB2379" w:rsidP="00FA408F">
            <w:pPr>
              <w:spacing w:before="5pt"/>
              <w:rPr>
                <w:color w:val="000000"/>
              </w:rPr>
            </w:pPr>
            <w:r>
              <w:rPr>
                <w:color w:val="000000"/>
              </w:rPr>
              <w:t xml:space="preserve">Hitrejše gospodarsko prestrukturiranje bo treba podpreti tudi z boljšo </w:t>
            </w:r>
            <w:r>
              <w:rPr>
                <w:b/>
                <w:bCs/>
                <w:color w:val="000000"/>
              </w:rPr>
              <w:t>prometno dostopnostjo in povezljivostjo regije</w:t>
            </w:r>
            <w:r>
              <w:rPr>
                <w:color w:val="000000"/>
              </w:rPr>
              <w:t>. Posledica dejstva, da je bila poglavitna gospodarska dejavnost vezana na izkopavanje in rabo premoga za proizvodnjo energije v TET, je sorazmerna izoliranost Zasavske premogovne regije: regija je sicer vključena v železniško omrežje, cestna povezava pa je neustrezna in ne omogoča povezav z vzhodnim delom Slovenije, saj glavna cesta G2-104 Ljubljana - Zidani Most na odseku Hrastnik – Zidani most ne zagotavlja pogojev za promet, ki omogoča razvoj regije.</w:t>
            </w:r>
          </w:p>
          <w:p w14:paraId="78D8EAAA" w14:textId="77777777" w:rsidR="00EB2379" w:rsidRDefault="00EB2379" w:rsidP="00FA408F">
            <w:pPr>
              <w:spacing w:before="5pt"/>
              <w:rPr>
                <w:color w:val="000000"/>
              </w:rPr>
            </w:pPr>
            <w:r>
              <w:rPr>
                <w:b/>
                <w:bCs/>
                <w:color w:val="000000"/>
              </w:rPr>
              <w:t>2.2.2. Cilji in rezultati</w:t>
            </w:r>
          </w:p>
          <w:p w14:paraId="34AF7238" w14:textId="77777777" w:rsidR="00EB2379" w:rsidRDefault="00EB2379" w:rsidP="00FA408F">
            <w:pPr>
              <w:spacing w:before="5pt"/>
              <w:rPr>
                <w:color w:val="000000"/>
              </w:rPr>
            </w:pPr>
            <w:r>
              <w:rPr>
                <w:color w:val="000000"/>
              </w:rPr>
              <w:t>Na podlagi identificiranih razvojnih potreb smo oblikovali strateške cilje, v okviru katerih pričakujemo naslednje rezultate:</w:t>
            </w:r>
          </w:p>
          <w:p w14:paraId="49BDAEED" w14:textId="77777777" w:rsidR="00EB2379" w:rsidRDefault="00EB2379" w:rsidP="00FA408F">
            <w:pPr>
              <w:spacing w:before="5pt"/>
              <w:rPr>
                <w:color w:val="000000"/>
              </w:rPr>
            </w:pPr>
            <w:r>
              <w:rPr>
                <w:b/>
                <w:bCs/>
                <w:color w:val="000000"/>
              </w:rPr>
              <w:t>SC 1:</w:t>
            </w:r>
            <w:r>
              <w:rPr>
                <w:color w:val="000000"/>
              </w:rPr>
              <w:t xml:space="preserve"> </w:t>
            </w:r>
            <w:r>
              <w:rPr>
                <w:b/>
                <w:bCs/>
                <w:color w:val="000000"/>
              </w:rPr>
              <w:t>Razogljičenje regije</w:t>
            </w:r>
            <w:r>
              <w:rPr>
                <w:color w:val="000000"/>
              </w:rPr>
              <w:t>. Rezultati, ki jih pričakujemo, v sinergiji z drugimi razpoložljivimi sredstvi, vključno s tistimi iz III. stebra MPP, kjer bo to za ta cilj izvedljivo, ter centraliziranimi instrumenti (razpisi v okviru Clean Hydrogen Partnership ipd.) so:</w:t>
            </w:r>
          </w:p>
          <w:p w14:paraId="0CEC991C" w14:textId="77777777" w:rsidR="00EB2379" w:rsidRDefault="00EB2379" w:rsidP="00FA408F">
            <w:pPr>
              <w:spacing w:before="5pt"/>
              <w:rPr>
                <w:color w:val="000000"/>
              </w:rPr>
            </w:pPr>
            <w:r>
              <w:rPr>
                <w:color w:val="000000"/>
              </w:rPr>
              <w:t>-večji delež proizvodnje in rabe obnovljivih virov energije v regiji, vključno s skladiščenjem;</w:t>
            </w:r>
          </w:p>
          <w:p w14:paraId="6BBA86EF" w14:textId="77777777" w:rsidR="00EB2379" w:rsidRDefault="00EB2379" w:rsidP="00FA408F">
            <w:pPr>
              <w:spacing w:before="5pt"/>
              <w:rPr>
                <w:color w:val="000000"/>
              </w:rPr>
            </w:pPr>
            <w:r>
              <w:rPr>
                <w:color w:val="000000"/>
              </w:rPr>
              <w:t>-manjša poraba energije v gospodarstvu in gospodinjstvih zaradi URE;</w:t>
            </w:r>
          </w:p>
          <w:p w14:paraId="6DD76EC4" w14:textId="77777777" w:rsidR="00EB2379" w:rsidRDefault="00EB2379" w:rsidP="00FA408F">
            <w:pPr>
              <w:spacing w:before="5pt"/>
              <w:rPr>
                <w:color w:val="000000"/>
              </w:rPr>
            </w:pPr>
            <w:r>
              <w:rPr>
                <w:color w:val="000000"/>
              </w:rPr>
              <w:t>-varna razgradnja in spremenjena namembnost objektov ter preurejena prostorsko in okoljsko degradirana območja, povezanih s premogovništvom in rabo premoga.</w:t>
            </w:r>
          </w:p>
          <w:p w14:paraId="7CC13D6D" w14:textId="77777777" w:rsidR="00EB2379" w:rsidRDefault="00EB2379" w:rsidP="00FA408F">
            <w:pPr>
              <w:spacing w:before="5pt"/>
              <w:rPr>
                <w:color w:val="000000"/>
              </w:rPr>
            </w:pPr>
            <w:r>
              <w:rPr>
                <w:b/>
                <w:bCs/>
                <w:color w:val="000000"/>
              </w:rPr>
              <w:t>SC 2</w:t>
            </w:r>
            <w:r>
              <w:rPr>
                <w:color w:val="000000"/>
              </w:rPr>
              <w:t xml:space="preserve">: </w:t>
            </w:r>
            <w:r>
              <w:rPr>
                <w:b/>
                <w:bCs/>
                <w:color w:val="000000"/>
              </w:rPr>
              <w:t xml:space="preserve">Raznoliko in odporno lokalno gospodarstvo, </w:t>
            </w:r>
            <w:r>
              <w:rPr>
                <w:color w:val="000000"/>
              </w:rPr>
              <w:t>kjer načrtujemo doseganje naslednjih rezultatov</w:t>
            </w:r>
            <w:r>
              <w:rPr>
                <w:b/>
                <w:bCs/>
                <w:color w:val="000000"/>
              </w:rPr>
              <w:t>:</w:t>
            </w:r>
          </w:p>
          <w:p w14:paraId="1C5E71EA" w14:textId="77777777" w:rsidR="00EB2379" w:rsidRDefault="00EB2379" w:rsidP="00FA408F">
            <w:pPr>
              <w:spacing w:before="5pt"/>
              <w:rPr>
                <w:color w:val="000000"/>
              </w:rPr>
            </w:pPr>
            <w:r>
              <w:rPr>
                <w:color w:val="000000"/>
              </w:rPr>
              <w:t>-dvig produktivnosti in dodane vrednosti v regiji zaradi prehoda v industrijo 4.0 (vključno sektor steklarstva) in digitalizacije;</w:t>
            </w:r>
          </w:p>
          <w:p w14:paraId="6E44E676" w14:textId="77777777" w:rsidR="00EB2379" w:rsidRDefault="00EB2379" w:rsidP="00FA408F">
            <w:pPr>
              <w:spacing w:before="5pt"/>
              <w:rPr>
                <w:color w:val="000000"/>
              </w:rPr>
            </w:pPr>
            <w:r>
              <w:rPr>
                <w:color w:val="000000"/>
              </w:rPr>
              <w:t>-visoko razvit RRI in »start-up« ekosistem;</w:t>
            </w:r>
          </w:p>
          <w:p w14:paraId="644A2F81" w14:textId="77777777" w:rsidR="00EB2379" w:rsidRDefault="00EB2379" w:rsidP="00FA408F">
            <w:pPr>
              <w:spacing w:before="5pt"/>
              <w:rPr>
                <w:color w:val="000000"/>
              </w:rPr>
            </w:pPr>
            <w:r>
              <w:rPr>
                <w:color w:val="000000"/>
              </w:rPr>
              <w:t>-vzpostavljeni krožni poslovni modeli in rešitve v gospodarstvu prispevajo k dvigu dodane vrednosti in surovinski samozadostnosti regije;</w:t>
            </w:r>
          </w:p>
          <w:p w14:paraId="0D0D64C6" w14:textId="77777777" w:rsidR="00EB2379" w:rsidRDefault="00EB2379" w:rsidP="00FA408F">
            <w:pPr>
              <w:spacing w:before="5pt"/>
              <w:rPr>
                <w:color w:val="000000"/>
              </w:rPr>
            </w:pPr>
            <w:r>
              <w:rPr>
                <w:color w:val="000000"/>
              </w:rPr>
              <w:t>-večje število tujih in domačih naložb v regiji;</w:t>
            </w:r>
          </w:p>
          <w:p w14:paraId="55DFAB89" w14:textId="77777777" w:rsidR="00EB2379" w:rsidRDefault="00EB2379" w:rsidP="00FA408F">
            <w:pPr>
              <w:spacing w:before="5pt"/>
              <w:rPr>
                <w:color w:val="000000"/>
              </w:rPr>
            </w:pPr>
            <w:r>
              <w:rPr>
                <w:color w:val="000000"/>
              </w:rPr>
              <w:t>-razvito regionalno podporno okolje in izboljšane prostorske možnosti razvoja ključnih podjetij in njihovega ekosistema ob upoštevanju potenciala degradiranih in opuščenih območij.</w:t>
            </w:r>
          </w:p>
          <w:p w14:paraId="00C49C09" w14:textId="77777777" w:rsidR="00EB2379" w:rsidRDefault="00EB2379" w:rsidP="00FA408F">
            <w:pPr>
              <w:spacing w:before="5pt"/>
              <w:rPr>
                <w:color w:val="000000"/>
              </w:rPr>
            </w:pPr>
            <w:r>
              <w:rPr>
                <w:b/>
                <w:bCs/>
                <w:color w:val="000000"/>
              </w:rPr>
              <w:t>SC 3:</w:t>
            </w:r>
            <w:r>
              <w:rPr>
                <w:color w:val="000000"/>
              </w:rPr>
              <w:t xml:space="preserve"> </w:t>
            </w:r>
            <w:r>
              <w:rPr>
                <w:b/>
                <w:bCs/>
                <w:color w:val="000000"/>
              </w:rPr>
              <w:t xml:space="preserve">Visoko motivirani in usposobljeni prebivalci </w:t>
            </w:r>
            <w:r>
              <w:rPr>
                <w:color w:val="000000"/>
              </w:rPr>
              <w:t>s posebnim poudarkom na zeleni preobrazbi in sicer na naslednjih področjih: pridobivanje in shranjevanje energije iz OVE, trajnostne gradnje in URE, krožna ekonomija, ravnanje z vodnimi viri in trajnostna mobilnost, z rezultatom višjega deleža udeležencev, ki:</w:t>
            </w:r>
          </w:p>
          <w:p w14:paraId="11A2C303" w14:textId="77777777" w:rsidR="00EB2379" w:rsidRDefault="00EB2379" w:rsidP="00FA408F">
            <w:pPr>
              <w:spacing w:before="5pt"/>
              <w:rPr>
                <w:color w:val="000000"/>
              </w:rPr>
            </w:pPr>
            <w:r>
              <w:rPr>
                <w:color w:val="000000"/>
              </w:rPr>
              <w:t>- so pridobili kvalifikacijo po zaključku sodelovanja;</w:t>
            </w:r>
          </w:p>
          <w:p w14:paraId="2C201758" w14:textId="77777777" w:rsidR="00EB2379" w:rsidRDefault="00EB2379" w:rsidP="00FA408F">
            <w:pPr>
              <w:spacing w:before="5pt"/>
              <w:rPr>
                <w:color w:val="000000"/>
              </w:rPr>
            </w:pPr>
            <w:r>
              <w:rPr>
                <w:color w:val="000000"/>
              </w:rPr>
              <w:t>- po zaključku sodelovanja iščejo zaposlitev;</w:t>
            </w:r>
          </w:p>
          <w:p w14:paraId="662C545C" w14:textId="77777777" w:rsidR="00EB2379" w:rsidRDefault="00EB2379" w:rsidP="00FA408F">
            <w:pPr>
              <w:spacing w:before="5pt"/>
              <w:rPr>
                <w:color w:val="000000"/>
              </w:rPr>
            </w:pPr>
            <w:r>
              <w:rPr>
                <w:color w:val="000000"/>
              </w:rPr>
              <w:t>- so po zaključku sodelovanja vključeni v izobraževanje ali usposabljanje;</w:t>
            </w:r>
          </w:p>
          <w:p w14:paraId="4DAD3742" w14:textId="77777777" w:rsidR="00EB2379" w:rsidRDefault="00EB2379" w:rsidP="00FA408F">
            <w:pPr>
              <w:spacing w:before="5pt"/>
              <w:rPr>
                <w:color w:val="000000"/>
              </w:rPr>
            </w:pPr>
            <w:r>
              <w:rPr>
                <w:color w:val="000000"/>
              </w:rPr>
              <w:t>-imajo po zaključku sodelovanja zaposlitev (vključno s samozaposlitvijo).</w:t>
            </w:r>
          </w:p>
          <w:p w14:paraId="092DBB71" w14:textId="77777777" w:rsidR="00EB2379" w:rsidRDefault="00EB2379" w:rsidP="00FA408F">
            <w:pPr>
              <w:spacing w:before="5pt"/>
              <w:rPr>
                <w:color w:val="000000"/>
              </w:rPr>
            </w:pPr>
            <w:r>
              <w:rPr>
                <w:b/>
                <w:bCs/>
                <w:color w:val="000000"/>
              </w:rPr>
              <w:t>SC4: Cenovno dostopna in trajnostna stanovanja</w:t>
            </w:r>
            <w:r>
              <w:rPr>
                <w:color w:val="000000"/>
              </w:rPr>
              <w:t xml:space="preserve"> s ciljem ohranjanja obstoječega fonda javnih najemnih stanovanj in rezultatom večjega števila</w:t>
            </w:r>
          </w:p>
          <w:p w14:paraId="3A7C9712" w14:textId="77777777" w:rsidR="00EB2379" w:rsidRDefault="00EB2379" w:rsidP="00FA408F">
            <w:pPr>
              <w:spacing w:before="5pt"/>
              <w:rPr>
                <w:color w:val="000000"/>
              </w:rPr>
            </w:pPr>
            <w:r>
              <w:rPr>
                <w:color w:val="000000"/>
              </w:rPr>
              <w:t>-dostopnih, kakovostnih in funkcionalnih javnih najemnih stanovanj, javnih najemnih oskrbovanih stanovanj in bivalnih enot, oddanih skladno z 88.členom Stanovanjskega zakona, ki bodo prebivalcem v regiji omogočili dostojno življenje.</w:t>
            </w:r>
          </w:p>
          <w:p w14:paraId="58BC7025" w14:textId="77777777" w:rsidR="00EB2379" w:rsidRDefault="00EB2379" w:rsidP="00FA408F">
            <w:pPr>
              <w:spacing w:before="5pt"/>
              <w:rPr>
                <w:color w:val="000000"/>
              </w:rPr>
            </w:pPr>
            <w:r>
              <w:rPr>
                <w:color w:val="000000"/>
              </w:rPr>
              <w:t>Vsebina poglavja v celoti je razvidna v Prilogi 3A: Razvojne potrebe in cilji do leta 2030 Zasavje_5.0</w:t>
            </w:r>
          </w:p>
          <w:p w14:paraId="502716C7" w14:textId="77777777" w:rsidR="00EB2379" w:rsidRDefault="00EB2379" w:rsidP="00FA408F">
            <w:pPr>
              <w:spacing w:before="5pt"/>
              <w:rPr>
                <w:color w:val="000000"/>
                <w:sz w:val="6"/>
              </w:rPr>
            </w:pPr>
          </w:p>
          <w:p w14:paraId="06A1BA3F" w14:textId="77777777" w:rsidR="00EB2379" w:rsidRDefault="00EB2379" w:rsidP="00FA408F">
            <w:pPr>
              <w:spacing w:before="5pt"/>
              <w:rPr>
                <w:color w:val="000000"/>
                <w:sz w:val="6"/>
              </w:rPr>
            </w:pPr>
          </w:p>
        </w:tc>
      </w:tr>
    </w:tbl>
    <w:p w14:paraId="1BDF2A10" w14:textId="77777777" w:rsidR="00EB2379" w:rsidRDefault="00EB2379" w:rsidP="00EB2379">
      <w:pPr>
        <w:spacing w:before="5pt"/>
        <w:rPr>
          <w:color w:val="000000"/>
          <w:sz w:val="12"/>
        </w:rPr>
      </w:pPr>
    </w:p>
    <w:p w14:paraId="5B5D79DC" w14:textId="77777777" w:rsidR="00EB2379" w:rsidRDefault="00EB2379" w:rsidP="00EB2379">
      <w:pPr>
        <w:pStyle w:val="Naslov3"/>
        <w:spacing w:before="5pt" w:after="0pt"/>
        <w:rPr>
          <w:rFonts w:ascii="Times New Roman" w:hAnsi="Times New Roman" w:cs="Times New Roman"/>
          <w:b w:val="0"/>
          <w:color w:val="000000"/>
          <w:sz w:val="24"/>
        </w:rPr>
      </w:pPr>
      <w:r>
        <w:rPr>
          <w:rFonts w:ascii="Times New Roman" w:hAnsi="Times New Roman" w:cs="Times New Roman"/>
          <w:b w:val="0"/>
          <w:color w:val="000000"/>
          <w:sz w:val="24"/>
        </w:rPr>
        <w:t>2.3. Skladnost z drugimi ustreznimi nacionalnimi, regionalnimi ali teritorialnimi strategijami in načrti</w:t>
      </w:r>
    </w:p>
    <w:p w14:paraId="2C18C2CB" w14:textId="77777777" w:rsidR="00EB2379" w:rsidRDefault="00EB2379" w:rsidP="00EB2379">
      <w:pPr>
        <w:spacing w:before="5pt"/>
        <w:rPr>
          <w:color w:val="000000"/>
          <w:sz w:val="0"/>
        </w:rPr>
      </w:pPr>
    </w:p>
    <w:p w14:paraId="4CF59F5E" w14:textId="77777777" w:rsidR="00EB2379" w:rsidRDefault="00EB2379" w:rsidP="00EB2379">
      <w:pPr>
        <w:spacing w:before="5pt"/>
        <w:rPr>
          <w:color w:val="000000"/>
          <w:sz w:val="16"/>
        </w:rPr>
      </w:pPr>
      <w:r>
        <w:rPr>
          <w:color w:val="000000"/>
        </w:rPr>
        <w:lastRenderedPageBreak/>
        <w:t>Sklic: člen 11(2)(e)</w:t>
      </w:r>
    </w:p>
    <w:p w14:paraId="05EFA6C7" w14:textId="77777777" w:rsidR="00EB2379" w:rsidRDefault="00EB2379" w:rsidP="00EB2379">
      <w:pPr>
        <w:spacing w:before="5pt"/>
        <w:rPr>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EB2379" w14:paraId="47B1DD83" w14:textId="77777777" w:rsidTr="00FA408F">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DDDAA9" w14:textId="77777777" w:rsidR="00EB2379" w:rsidRDefault="00EB2379" w:rsidP="00FA408F">
            <w:pPr>
              <w:spacing w:before="5pt"/>
              <w:rPr>
                <w:color w:val="000000"/>
                <w:sz w:val="0"/>
              </w:rPr>
            </w:pPr>
          </w:p>
          <w:p w14:paraId="3B1A7257" w14:textId="77777777" w:rsidR="00EB2379" w:rsidRDefault="00EB2379" w:rsidP="00FA408F">
            <w:pPr>
              <w:spacing w:before="5pt"/>
              <w:rPr>
                <w:color w:val="000000"/>
              </w:rPr>
            </w:pPr>
            <w:r>
              <w:rPr>
                <w:color w:val="000000"/>
              </w:rPr>
              <w:t xml:space="preserve">Pravični prehod premogovnih regij je eden od ključnih vzvodov za doseganje podnebne nevtralnosti Slovenije do leta 2050, pri čemer </w:t>
            </w:r>
            <w:r>
              <w:rPr>
                <w:b/>
                <w:bCs/>
                <w:color w:val="000000"/>
              </w:rPr>
              <w:t>Nacionalni energetsko podnebni načrt</w:t>
            </w:r>
            <w:r>
              <w:rPr>
                <w:color w:val="000000"/>
              </w:rPr>
              <w:t xml:space="preserve"> predstavlja srednjeročni okvir. Ukrepi, ki so vključeni v tem območnem načrtu podpirajo doseganje sektorskih ciljev, ki so opredeljeni v NEPN (NEPN 28.2.2020 (1); Predlog posodobitev NEPN avgust 2024 (2)). Največ bodo k temu prispevali ukrepi, ki so predvideni na področju energetike in podpori za podporo preobrazbe gospodarstva v smeri dekarbonizacije in krožnosti.</w:t>
            </w:r>
          </w:p>
          <w:p w14:paraId="00A1517F" w14:textId="77777777" w:rsidR="00EB2379" w:rsidRDefault="00EB2379" w:rsidP="00FA408F">
            <w:pPr>
              <w:spacing w:before="5pt"/>
              <w:rPr>
                <w:color w:val="000000"/>
              </w:rPr>
            </w:pPr>
            <w:r>
              <w:rPr>
                <w:color w:val="000000"/>
              </w:rPr>
              <w:t xml:space="preserve">Osnutek </w:t>
            </w:r>
            <w:r>
              <w:rPr>
                <w:b/>
                <w:bCs/>
                <w:color w:val="000000"/>
              </w:rPr>
              <w:t xml:space="preserve">Regionalnega razvojnega programa Zasavja za obdobje 2021 – 2027 </w:t>
            </w:r>
            <w:r>
              <w:rPr>
                <w:color w:val="000000"/>
              </w:rPr>
              <w:t xml:space="preserve">med ukrepi znotraj prednostnega področja zeleno in nizkoogljično Zasavje opredeljuje tudi področje energetske učinkovitosti in uporabo obnovljivih virov energije ter samooskrbo z energijo. Med načrtovanimi aktivnostmi v okviru te razvojne prioritete tako so med drugim predvidena vlaganja v ohranitev energetske lokacije in nadaljnji razvoj njene funkcionalnosti, odprtje tovarn za proizvodnjo in reciklažo baterij, vodikovo elektrarno, pa tudi proizvodnjo OVE iz energije sonca, vetra, vode ter geotermalne. </w:t>
            </w:r>
          </w:p>
          <w:p w14:paraId="47C0191A" w14:textId="77777777" w:rsidR="00EB2379" w:rsidRDefault="00EB2379" w:rsidP="00FA408F">
            <w:pPr>
              <w:spacing w:before="5pt"/>
              <w:rPr>
                <w:color w:val="000000"/>
              </w:rPr>
            </w:pPr>
            <w:r>
              <w:rPr>
                <w:color w:val="000000"/>
              </w:rPr>
              <w:t>V osnutku RRP je na prvem mestu med razvojnimi prioritetami vzpostavitev inovativnega in konkurenčnega gospodarstva v Zasavju, pri čemer je kot ključni ukrep predvidena podpora preobrazbi gospodarskih dejavnosti. Deležniki v regiji menijo, da bo treba na tem področju podpreti vlaganja na področju digitalne preobrazbe, sodelovanja gospodarstva z raziskovalnimi in izobraževalnimi organizacijami, spodbujanje razvoja obstoječih velikih podjetij in njihovo povezovanje z mikro, malimi in srednjimi podjetji (mikro in MSP). Ob tem je prepoznana tudi krepitev podpornega okolja za delujoča podjetja (mikro in MSP) pa tudi za ustanavljanje in razvoj novih. V regiji želijo okrepiti njeno prepoznavnost in privlačnost za vlagatelje, ter vlagati v razvoj poslovnih lokacij, tudi v navezavi z izkoriščanjem potenciala degradiranih območij. V skladu s prizadevanji za doseganje podnebne nevtralnosti so deležniki v regiji prepoznali tudi potrebo po vlaganjih na področju krožnega gospodarstva, predvsem v smislu spodbujanj pilotnih in drugih projektov na tem področju, ozaveščanja ter uvajanje krožnega gospodarstva kot poslovnega modela.</w:t>
            </w:r>
          </w:p>
          <w:p w14:paraId="2F8FDB7B" w14:textId="77777777" w:rsidR="00EB2379" w:rsidRDefault="00EB2379" w:rsidP="00FA408F">
            <w:pPr>
              <w:spacing w:before="5pt"/>
              <w:rPr>
                <w:color w:val="000000"/>
              </w:rPr>
            </w:pPr>
            <w:r>
              <w:rPr>
                <w:color w:val="000000"/>
              </w:rPr>
              <w:t>Za uresničevanje ciljev v sklopu prioritete družbeno razvitega Zasavja deležniki predvidevajo ukrepe obnove in gradnje družbene infrastrukture, med drugim gradnjo/obnovo neprofitnih stanovanj za vse generacije.</w:t>
            </w:r>
          </w:p>
          <w:p w14:paraId="3CE3C53E" w14:textId="77777777" w:rsidR="00EB2379" w:rsidRDefault="00EB2379" w:rsidP="00FA408F">
            <w:pPr>
              <w:spacing w:before="5pt"/>
              <w:rPr>
                <w:color w:val="000000"/>
              </w:rPr>
            </w:pPr>
            <w:r>
              <w:rPr>
                <w:color w:val="000000"/>
              </w:rPr>
              <w:t xml:space="preserve">Okvir za osredotočanje sredstev sklada SPP, ki bodo namenjena preobrazbi gospodarstva nedvomno predstavlja </w:t>
            </w:r>
            <w:r>
              <w:rPr>
                <w:b/>
                <w:bCs/>
                <w:color w:val="000000"/>
              </w:rPr>
              <w:t>Slovenska strategija pametne specializacije</w:t>
            </w:r>
            <w:r>
              <w:rPr>
                <w:color w:val="000000"/>
              </w:rPr>
              <w:t>. V osnutku prenovljene strategije (S5) je jasno postavljen osrednji cilj, to je zeleni prehod, ki ga ni moč uresničiti brez ustreznih znanj in kompetenc, ne brez ustreznih investicij v raziskovalne objekte in raziskovalno opremo kot tudi ne brez ustreznih in dovolj razvitih orodij, torej ključnih omogočitvenih tehnologij, vključno z IKT. Definirana so področja, kjer Slovenija izkazuje kritično maso kapacitet in kompetenc za dosego tega cilja: Pametna mesta in skupnosti, Horizontalna mreža informacijsko-komunikacijskih tehnologij (HOM IKT), Zdravje-medicina, Pametne stavbe in dom z lesno verigo, Trajnostna pridelava hrane, Mreže za prehod v krožno gospodarstvo, Trajnostni turizem, Mobilnost, Tovarne prihodnosti, Materiali kot končni produkti. Gre za področja, kjer ima Slovenija inovacijski potencial za vzpostavitev konkurenčne prednosti za umeščanje na globalnih trgih ter s tem za krepitev svoje prepoznavnosti.</w:t>
            </w:r>
          </w:p>
          <w:p w14:paraId="0912A0E9" w14:textId="77777777" w:rsidR="00EB2379" w:rsidRDefault="00EB2379" w:rsidP="00FA408F">
            <w:pPr>
              <w:spacing w:before="5pt"/>
              <w:rPr>
                <w:color w:val="000000"/>
              </w:rPr>
            </w:pPr>
            <w:r>
              <w:rPr>
                <w:color w:val="000000"/>
              </w:rPr>
              <w:t>V ta širši okvir specializacije na nacionalni ravni pa osnutek RRP, kot področja za specializacijo regije prepoznava dejavnosti v svetovno konkurenčnih podjetjih, ki so izvozno usmerjena in imajo močan razvojni potencial. Mednje spadajo področje 3 E (elektrotehnika – elektronika – energetika), steklarstvo, kovinskopredelovalna dejavnost, novi materiali, kemična industrija ter obnovljivi viri energije, čiste oblike energije in zelena predelava oz. recikliranje odpadkov. Razvoj je usmerjen v nove produkte in rešitve za pametne zgradbe in dom ter z njimi v poudarek na industriji 4.0.</w:t>
            </w:r>
          </w:p>
          <w:p w14:paraId="2AB3C5C4" w14:textId="77777777" w:rsidR="00EB2379" w:rsidRDefault="00EB2379" w:rsidP="00FA408F">
            <w:pPr>
              <w:spacing w:before="5pt"/>
              <w:rPr>
                <w:color w:val="000000"/>
              </w:rPr>
            </w:pPr>
            <w:r>
              <w:rPr>
                <w:color w:val="000000"/>
              </w:rPr>
              <w:t xml:space="preserve">Regionalni deležniki v okviru RRP, skladno s cilji in ukrepi Strategije razvoja prometa v Republiki Sloveniji do 2030 in s celostnimi prometnimi strategijami občin med prednostna področja za razvoj uvrščajo tudi ukrepe za trajnostno mobilnost in povezljivost: s področja javnega potniškega prometa, kolesarskega omrežja, urejanja prometa v urbanih središčih in podpore uporabe digitalizacije za izboljšanje mobilnosti. Cilje, povezane z izboljšanjem regionalne povezanosti, ki lahko prispeva k dvigu regionalnega industrijskega potenciala in olajša dnevne migracije, opredeljuje tudi </w:t>
            </w:r>
            <w:r>
              <w:rPr>
                <w:b/>
                <w:bCs/>
                <w:color w:val="000000"/>
              </w:rPr>
              <w:t>NSPP</w:t>
            </w:r>
            <w:r>
              <w:rPr>
                <w:color w:val="000000"/>
              </w:rPr>
              <w:t xml:space="preserve">. Eden od </w:t>
            </w:r>
            <w:r>
              <w:rPr>
                <w:color w:val="000000"/>
              </w:rPr>
              <w:lastRenderedPageBreak/>
              <w:t>ključnih projektov s tega področja je obnova ceste Hrastnik – Zidani most, za kar bo prostorski akt predvidoma sprejet na Vladi RS do konca 2022.</w:t>
            </w:r>
          </w:p>
          <w:p w14:paraId="4DB6AFBE" w14:textId="77777777" w:rsidR="00EB2379" w:rsidRDefault="00EB2379" w:rsidP="00FA408F">
            <w:pPr>
              <w:spacing w:before="5pt"/>
              <w:rPr>
                <w:color w:val="000000"/>
              </w:rPr>
            </w:pPr>
            <w:r>
              <w:rPr>
                <w:color w:val="000000"/>
              </w:rPr>
              <w:t>Deležniki v regiji prepoznavajo kar nekaj slabosti, ki so povezane z družbenim vidiki njenega razvoja. Med temi je treba predvsem izpostaviti odliv prebivalstva iz regije, visoka stopnja prekarne zaposlitve in zaposlitev izven regije ter staranja prebivalstva. Zato so v RRP načrtovani ukrepi za podporo prehodu iz izobraževanja v zaposlitev, kjer so med drugim predvidena vlaganja v izvajanje programov vseživljenjske karierne orientacije in karierne orientacije za mlade. Načrtovan je tudi ukrep za krepitev kompetenc za življenje in delo, kjer se predvidene aktivnosti nanašajo predvsem na izboljšanje izobraževanja in krepitev življenjskih in poklicnih kompetenc, pa tudi prilagojeni ukrepi za socialno vključevanje različnih ciljnih skupin. Tudi v S5 je predviden sklop ukrepov za krepitev znanj in spretnosti za pametno specializacijo, industrijsko tranzicijo in podjetništvo. Z njim želimo podpreti razvoj inovativnosti v podjetjih in pri ostalih deležnikih v gospodarstvu. Pri izvedbi ukrepov spodbujanja razvoja znanj in spretnosti bo ključnega pomena novo sistemsko orodje - Platforma za napovedovanje kompetenc, ki je sprva načrtovana na nacionalni ravni, v nadaljnjem razvoju pa se bo lahko prilagajala tudi regijskim potrebam.</w:t>
            </w:r>
          </w:p>
          <w:p w14:paraId="7480E70F" w14:textId="77777777" w:rsidR="00EB2379" w:rsidRDefault="00EB2379" w:rsidP="00FA408F">
            <w:pPr>
              <w:spacing w:before="5pt"/>
              <w:rPr>
                <w:color w:val="000000"/>
              </w:rPr>
            </w:pPr>
            <w:r>
              <w:rPr>
                <w:color w:val="000000"/>
              </w:rPr>
              <w:t xml:space="preserve">Z ukrepi tako naslavljamo tudi cilje </w:t>
            </w:r>
            <w:r>
              <w:rPr>
                <w:b/>
                <w:bCs/>
                <w:color w:val="000000"/>
              </w:rPr>
              <w:t>EU stebra socialnih pravic do leta 2030</w:t>
            </w:r>
            <w:r>
              <w:rPr>
                <w:color w:val="000000"/>
              </w:rPr>
              <w:t>, predvsem na področjih izobraževanja, usposabljanja in vseživljenjskega učenja, aktivne podpore pri zaposlovanju, varne in prilagodljive zaposlitve, vključenosti invalidov ter socialne zaščite.</w:t>
            </w:r>
          </w:p>
          <w:p w14:paraId="102D1EE4" w14:textId="77777777" w:rsidR="00EB2379" w:rsidRDefault="00EB2379" w:rsidP="00FA408F">
            <w:pPr>
              <w:spacing w:before="5pt"/>
              <w:rPr>
                <w:color w:val="000000"/>
              </w:rPr>
            </w:pPr>
            <w:r>
              <w:rPr>
                <w:color w:val="000000"/>
              </w:rPr>
              <w:t>(1) Celoviti nacionalni energetski in podnebni načrt (NEPN 5.0), 28.2.2020 (energetika-portal.si)</w:t>
            </w:r>
          </w:p>
          <w:p w14:paraId="2E06CECC" w14:textId="77777777" w:rsidR="00EB2379" w:rsidRDefault="00EB2379" w:rsidP="00FA408F">
            <w:pPr>
              <w:spacing w:before="5pt"/>
              <w:rPr>
                <w:color w:val="000000"/>
              </w:rPr>
            </w:pPr>
            <w:r>
              <w:rPr>
                <w:color w:val="000000"/>
              </w:rPr>
              <w:t>(2) https://www.energetikaportal.si/fileadmin/dokumenti/publikacije/nepn/dokumenti/nepn_2024_pos_v5.0_avg2024.pdf</w:t>
            </w:r>
          </w:p>
          <w:p w14:paraId="563823E7" w14:textId="77777777" w:rsidR="00EB2379" w:rsidRDefault="00EB2379" w:rsidP="00FA408F">
            <w:pPr>
              <w:spacing w:before="5pt"/>
              <w:rPr>
                <w:color w:val="000000"/>
                <w:sz w:val="6"/>
              </w:rPr>
            </w:pPr>
          </w:p>
          <w:p w14:paraId="42C62CCF" w14:textId="77777777" w:rsidR="00EB2379" w:rsidRDefault="00EB2379" w:rsidP="00FA408F">
            <w:pPr>
              <w:spacing w:before="5pt"/>
              <w:rPr>
                <w:color w:val="000000"/>
                <w:sz w:val="6"/>
              </w:rPr>
            </w:pPr>
          </w:p>
        </w:tc>
      </w:tr>
    </w:tbl>
    <w:p w14:paraId="0D8BBC0A" w14:textId="77777777" w:rsidR="00EB2379" w:rsidRDefault="00EB2379" w:rsidP="00EB2379">
      <w:pPr>
        <w:spacing w:before="5pt"/>
        <w:rPr>
          <w:color w:val="000000"/>
          <w:sz w:val="12"/>
        </w:rPr>
      </w:pPr>
    </w:p>
    <w:p w14:paraId="44B9901E" w14:textId="77777777" w:rsidR="00EB2379" w:rsidRDefault="00EB2379" w:rsidP="00EB2379">
      <w:pPr>
        <w:pStyle w:val="Naslov3"/>
        <w:spacing w:before="5pt" w:after="0pt"/>
        <w:rPr>
          <w:rFonts w:ascii="Times New Roman" w:hAnsi="Times New Roman" w:cs="Times New Roman"/>
          <w:b w:val="0"/>
          <w:color w:val="000000"/>
          <w:sz w:val="24"/>
        </w:rPr>
      </w:pPr>
      <w:r>
        <w:rPr>
          <w:rFonts w:ascii="Times New Roman" w:hAnsi="Times New Roman" w:cs="Times New Roman"/>
          <w:b w:val="0"/>
          <w:color w:val="000000"/>
          <w:sz w:val="24"/>
        </w:rPr>
        <w:t>2.4. Predvidene vrste operacij</w:t>
      </w:r>
    </w:p>
    <w:p w14:paraId="1DDAA97D" w14:textId="77777777" w:rsidR="00EB2379" w:rsidRDefault="00EB2379" w:rsidP="00EB2379">
      <w:pPr>
        <w:spacing w:before="5pt"/>
        <w:rPr>
          <w:color w:val="000000"/>
          <w:sz w:val="0"/>
        </w:rPr>
      </w:pPr>
    </w:p>
    <w:p w14:paraId="68A4EB09" w14:textId="77777777" w:rsidR="00EB2379" w:rsidRDefault="00EB2379" w:rsidP="00EB2379">
      <w:pPr>
        <w:spacing w:before="5pt"/>
        <w:rPr>
          <w:color w:val="000000"/>
          <w:sz w:val="16"/>
        </w:rPr>
      </w:pPr>
      <w:r>
        <w:rPr>
          <w:color w:val="000000"/>
        </w:rPr>
        <w:t>Sklic: člen 11(2)(g) do (k) in (5)</w:t>
      </w:r>
    </w:p>
    <w:p w14:paraId="19D9B52D" w14:textId="77777777" w:rsidR="00EB2379" w:rsidRDefault="00EB2379" w:rsidP="00EB2379">
      <w:pPr>
        <w:spacing w:before="5pt"/>
        <w:rPr>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EB2379" w14:paraId="7DDFD61A" w14:textId="77777777" w:rsidTr="00FA408F">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085152" w14:textId="77777777" w:rsidR="00EB2379" w:rsidRDefault="00EB2379" w:rsidP="00FA408F">
            <w:pPr>
              <w:spacing w:before="5pt"/>
              <w:rPr>
                <w:color w:val="000000"/>
                <w:sz w:val="0"/>
              </w:rPr>
            </w:pPr>
          </w:p>
          <w:p w14:paraId="6A2485B0" w14:textId="77777777" w:rsidR="00EB2379" w:rsidRDefault="00EB2379" w:rsidP="00FA408F">
            <w:pPr>
              <w:spacing w:before="5pt"/>
              <w:rPr>
                <w:color w:val="000000"/>
              </w:rPr>
            </w:pPr>
            <w:r>
              <w:rPr>
                <w:b/>
                <w:bCs/>
                <w:i/>
                <w:iCs/>
                <w:color w:val="000000"/>
              </w:rPr>
              <w:t>1.Razogljičenje regije</w:t>
            </w:r>
          </w:p>
          <w:p w14:paraId="1629950B" w14:textId="77777777" w:rsidR="00EB2379" w:rsidRDefault="00EB2379" w:rsidP="00FA408F">
            <w:pPr>
              <w:spacing w:before="5pt"/>
              <w:rPr>
                <w:color w:val="000000"/>
              </w:rPr>
            </w:pPr>
            <w:r>
              <w:rPr>
                <w:b/>
                <w:bCs/>
                <w:i/>
                <w:iCs/>
                <w:color w:val="000000"/>
              </w:rPr>
              <w:t>Razogljičenje v regiji bo prispevalo k zmanjševanju emisij toplogrednih plinov, hkrati pa prispevalo k ustvarjanju novih, zelenih delovnih mest oziroma prestrukturiranju obstoječih kompetenc za področje trajnostne rabe energije, skladno tudi z ugotovitvami Mednarodne organizacije dela</w:t>
            </w:r>
            <w:r>
              <w:rPr>
                <w:color w:val="000000"/>
              </w:rPr>
              <w:t>[1] ter skladno z učinki na zaposlovanje, kot jih predvideva sprejeti NEPN[2]. Za doseganje največjega možnega prispevka k nacionalnim ciljem bomo s sredstvi tega sklada podprli:</w:t>
            </w:r>
          </w:p>
          <w:p w14:paraId="5447943F" w14:textId="77777777" w:rsidR="00EB2379" w:rsidRDefault="00EB2379" w:rsidP="00FA408F">
            <w:pPr>
              <w:spacing w:before="5pt"/>
              <w:rPr>
                <w:color w:val="000000"/>
              </w:rPr>
            </w:pPr>
            <w:r>
              <w:rPr>
                <w:b/>
                <w:bCs/>
                <w:color w:val="000000"/>
              </w:rPr>
              <w:t>1.1. Proizvodnjo različnih tehnologij OVE in naložbe v sistemske in druge hranilnike električne energije</w:t>
            </w:r>
            <w:r>
              <w:rPr>
                <w:color w:val="000000"/>
              </w:rPr>
              <w:t>, pri čemer bomo naložbe prednostno usmerjali na prostorsko in okoljsko degradirana območja; Pričakuje se, da bodo novi in obstoječi gospodarski subjekti na podlagi dejavnosti raziskav in razvoja glede OVE in nizkoogljičnih tehnologij povzročili implementacijo teh tehnologij v (vsaj) regionalne proizvodne sisteme (npr. zelena energija v proizvodnji stekla ipd.) in omejili beg možganov iz regije, kot posledico zanimivih delovnih mest z visoko dodano vrednostjo, zagotovljenih v regiji.</w:t>
            </w:r>
          </w:p>
          <w:p w14:paraId="590F1924" w14:textId="77777777" w:rsidR="00EB2379" w:rsidRDefault="00EB2379" w:rsidP="00FA408F">
            <w:pPr>
              <w:spacing w:before="5pt"/>
              <w:rPr>
                <w:color w:val="000000"/>
              </w:rPr>
            </w:pPr>
            <w:r>
              <w:rPr>
                <w:b/>
                <w:bCs/>
                <w:color w:val="000000"/>
              </w:rPr>
              <w:t xml:space="preserve">1.2. </w:t>
            </w:r>
            <w:r>
              <w:rPr>
                <w:color w:val="000000"/>
              </w:rPr>
              <w:t>Ukrepi za</w:t>
            </w:r>
            <w:r>
              <w:rPr>
                <w:b/>
                <w:bCs/>
                <w:color w:val="000000"/>
              </w:rPr>
              <w:t xml:space="preserve"> izboljšanje energetske učinkovitosti</w:t>
            </w:r>
            <w:r>
              <w:rPr>
                <w:color w:val="000000"/>
              </w:rPr>
              <w:t xml:space="preserve"> v gospodarstvu bodo podprti v okviru podpore produktivnim naložbam (Strateški cilj 2), v kombinacijami z aktivnostmi za razogljičenje, snovno učinkovitost, ustvarjanje delovnih mest ipd. Glavna ciljna skupina za zgoraj navedene ukrepe bodo skupnosti na področju obnovljivih virov energije in energetske skupnosti državljanov kot jih predvideva »Direktiva (EU) 2018/2001 o spodbujanju uporabe energije iz obnovljivih virov« in »Direktiva (EU) 2019/944 o skupnih pravilih notranjega trga električne energije in spremembi Direktive 2012/27/EU«.</w:t>
            </w:r>
          </w:p>
          <w:p w14:paraId="33445544" w14:textId="77777777" w:rsidR="00EB2379" w:rsidRDefault="00EB2379" w:rsidP="00FA408F">
            <w:pPr>
              <w:spacing w:before="5pt"/>
              <w:rPr>
                <w:color w:val="000000"/>
              </w:rPr>
            </w:pPr>
            <w:r>
              <w:rPr>
                <w:b/>
                <w:bCs/>
                <w:i/>
                <w:iCs/>
                <w:color w:val="000000"/>
              </w:rPr>
              <w:t>2.Trajnostni, prožni in raznolik gospodarski razvoj</w:t>
            </w:r>
          </w:p>
          <w:p w14:paraId="5F87EDB7" w14:textId="77777777" w:rsidR="00EB2379" w:rsidRDefault="00EB2379" w:rsidP="00FA408F">
            <w:pPr>
              <w:spacing w:before="5pt"/>
              <w:rPr>
                <w:color w:val="000000"/>
              </w:rPr>
            </w:pPr>
            <w:r>
              <w:rPr>
                <w:color w:val="000000"/>
              </w:rPr>
              <w:t xml:space="preserve">Načrtovana kombinacija ukrepov za doseganje tega strateškega cilja bo usmerjena v gospodarsko prestrukturiranje regije skladno z NEPN in Slovensko strategijo pametne specializacije ter Regionalnim </w:t>
            </w:r>
            <w:r>
              <w:rPr>
                <w:color w:val="000000"/>
              </w:rPr>
              <w:lastRenderedPageBreak/>
              <w:t>razvojnim programom Zasavja, v smeri prehoda v nizkoogljično, krožno, digitalizirano gospodarstvo. S sredstvi sklada za pravični prehod bomo podpirali:</w:t>
            </w:r>
          </w:p>
          <w:p w14:paraId="7CB7616A" w14:textId="77777777" w:rsidR="00EB2379" w:rsidRDefault="00EB2379" w:rsidP="00FA408F">
            <w:pPr>
              <w:spacing w:before="5pt"/>
              <w:rPr>
                <w:color w:val="000000"/>
              </w:rPr>
            </w:pPr>
            <w:r>
              <w:rPr>
                <w:b/>
                <w:bCs/>
                <w:i/>
                <w:iCs/>
                <w:color w:val="000000"/>
              </w:rPr>
              <w:t xml:space="preserve">2.1 Naložbe v raziskave, razvoj in inovacije ter proizvodne zmogljivosti regije v malih in srednje velikih podjetjih: </w:t>
            </w:r>
            <w:r>
              <w:rPr>
                <w:color w:val="000000"/>
              </w:rPr>
              <w:t>v sklopu tega ukrepa bo podpora namenjena malim in srednje velikim podjetjem predvsem na področjih, ki so kot prebojna prepoznana v Strategiji pametne specializacije ter na tistih področjih, ki se bodo izkazala kot odločilna za izvedbo pravičnega prehoda regije in blaženje posledic in izkoriščanje potenciala nadaljnje preobrazbe v nizkoogljično krožno gospodarstvo. Podpora bo namenjena tudi krepitvi RRI, ki bo temeljil na prenosu znanj med MSP in velikimi podjetji.</w:t>
            </w:r>
          </w:p>
          <w:p w14:paraId="22211AD8" w14:textId="77777777" w:rsidR="00EB2379" w:rsidRDefault="00EB2379" w:rsidP="00FA408F">
            <w:pPr>
              <w:spacing w:before="5pt"/>
              <w:rPr>
                <w:color w:val="000000"/>
              </w:rPr>
            </w:pPr>
            <w:r>
              <w:rPr>
                <w:b/>
                <w:bCs/>
                <w:color w:val="000000"/>
              </w:rPr>
              <w:t>2.1.1</w:t>
            </w:r>
            <w:r>
              <w:rPr>
                <w:color w:val="000000"/>
              </w:rPr>
              <w:t xml:space="preserve"> </w:t>
            </w:r>
            <w:r>
              <w:rPr>
                <w:b/>
                <w:bCs/>
                <w:color w:val="000000"/>
              </w:rPr>
              <w:t>Naložbe v RRI</w:t>
            </w:r>
            <w:r>
              <w:rPr>
                <w:color w:val="000000"/>
              </w:rPr>
              <w:t xml:space="preserve"> – podpora naložbam v raziskave in razvoj povezane z industrijo 4.0 in s tovarnami prihodnosti (npr. digitalizacija; povečanje virtualizacije procesov in delovne sile; simulacije prototipnih rešitev; uvajanja umetne inteligence v proizvodne procese; razvoj pametnih prostorov; robotika; hiperavtomatizacija; rešitve IoT; digitalni dvojčki). Podpora bo med drugim namenjena rešitvam s področij energetske in snovne učinkovitosti; večanja deleža rabe OVE; uvajanju materialov, storitev, poslovnih modelov, itd. ki so skladni z načeli krožnega gospodarstva. Predvidena je podpora raziskavam in razvoju produktov za električne inštalacije v pametnih stavbah, mestih, e-mobilnosti in baterijskih hranilnikih električne energije (kot npr. Vzpostavitev Centra za demonstracijo in usposabljanje na področju brezogljičnih tehnologij - DUBT).</w:t>
            </w:r>
          </w:p>
          <w:p w14:paraId="6B0F8358" w14:textId="77777777" w:rsidR="00EB2379" w:rsidRDefault="00EB2379" w:rsidP="00FA408F">
            <w:pPr>
              <w:spacing w:before="5pt"/>
              <w:rPr>
                <w:color w:val="000000"/>
              </w:rPr>
            </w:pPr>
            <w:r>
              <w:rPr>
                <w:b/>
                <w:bCs/>
                <w:color w:val="000000"/>
              </w:rPr>
              <w:t xml:space="preserve">2.1.2 Naložbe v podjetja - </w:t>
            </w:r>
            <w:r>
              <w:rPr>
                <w:color w:val="000000"/>
              </w:rPr>
              <w:t>Sredstva bodo namenjena produktivnim naložbam za izvedbo projektov namenjenih komercializaciji razvitih materialov, izdelkov, (ne)tehnoloških rešitev, storitev in poslovnih modelov v MSP in izjemoma v velika podjetja z odlučujočim regionalnim vplivom (obrazložitev in okvirni seznam podjetij v nadaljevanju poglavja 2.4), ki bodo na področjih skladnih s S5 krepila proizvodne, storitvene in/ali raziskovalno razvojne dejavnosti za pospeševanje dvojnega prehoda. Podpora bo med drugim namenjena naložbam na področjih povezanih s prehodom v nizkoogljično krožno gospodarstvo (URE, OVE, dvig snovne produktivnosti, industrijska simbioza, razvoj materialov, izdelkov, storitev, poslovnih modelov, socialno podjetništvo itd.) in s preobrazbo v industrijo 4.0, digitalizacijo, itd. Naložbe bodo morale skladno s S5 in NEPN slediti načelom energetsko učinkovitega in krožnega gospodarstva v vseh fazah projekta.</w:t>
            </w:r>
            <w:r>
              <w:rPr>
                <w:b/>
                <w:bCs/>
                <w:color w:val="000000"/>
              </w:rPr>
              <w:t xml:space="preserve"> </w:t>
            </w:r>
          </w:p>
          <w:p w14:paraId="4D2EAD9F" w14:textId="77777777" w:rsidR="00EB2379" w:rsidRDefault="00EB2379" w:rsidP="00FA408F">
            <w:pPr>
              <w:spacing w:before="5pt"/>
              <w:rPr>
                <w:color w:val="000000"/>
              </w:rPr>
            </w:pPr>
            <w:r>
              <w:rPr>
                <w:b/>
                <w:bCs/>
                <w:color w:val="000000"/>
              </w:rPr>
              <w:t xml:space="preserve">2.1.3. Pilotni in demonstracijski projekti - </w:t>
            </w:r>
            <w:r>
              <w:rPr>
                <w:color w:val="000000"/>
              </w:rPr>
              <w:t xml:space="preserve">V okviru tega ukrepa bo mogoče podpreti tudi izvedbo pilotnih/demonstracijskih projektov za izvedbo tehnoloških in/ali netehnoloških / družbenih inovacij. Poseben poudarek bo namenjen krepitvi regionalnih partnerstev med ključnimi podjetji v regiji, strateško razvojno-inovacijskimi partnerstvi (SRIP) v okviru S5 in drugimi že obstoječimi partnerstvi, grozdi (DIHi ipd.). </w:t>
            </w:r>
            <w:r>
              <w:rPr>
                <w:i/>
                <w:iCs/>
                <w:color w:val="000000"/>
              </w:rPr>
              <w:t>S temi projekti se vzpostavljajo pogoji potrebni za izvedbo višjih stopenj razvoja (TRL 5-8), kar pomeni razvoj novih rešitev in tehnologij do stopnje, ki omogoča vstop na trg.</w:t>
            </w:r>
          </w:p>
          <w:p w14:paraId="12C780E9" w14:textId="77777777" w:rsidR="00EB2379" w:rsidRDefault="00EB2379" w:rsidP="00FA408F">
            <w:pPr>
              <w:spacing w:before="5pt"/>
              <w:rPr>
                <w:color w:val="000000"/>
              </w:rPr>
            </w:pPr>
            <w:r>
              <w:rPr>
                <w:b/>
                <w:bCs/>
                <w:i/>
                <w:iCs/>
                <w:color w:val="000000"/>
              </w:rPr>
              <w:t xml:space="preserve">2.2 Razvoj start-up ekosistema ter spodbujanje podjetij s potencialom hitre rasti, vključno z ekonomsko poslovno infrastrukturo - </w:t>
            </w:r>
            <w:r>
              <w:rPr>
                <w:color w:val="000000"/>
              </w:rPr>
              <w:t>Podpora bo namenjena projektom in pobudam, ki bodo bodisi izkoristile ali izboljšale obstoječe potenciale in zmogljivosti zagonskih, malih in srednje velikih podjetij v regiji, predvsem v sektorjih Strategije pametne specializacije, in bodo hkrati prispevale k prehodu v nizkoogljično krožno gospodarstvo.</w:t>
            </w:r>
          </w:p>
          <w:p w14:paraId="0AA91D73" w14:textId="77777777" w:rsidR="00EB2379" w:rsidRDefault="00EB2379" w:rsidP="00FA408F">
            <w:pPr>
              <w:spacing w:before="5pt"/>
              <w:rPr>
                <w:color w:val="000000"/>
              </w:rPr>
            </w:pPr>
            <w:r>
              <w:rPr>
                <w:color w:val="000000"/>
              </w:rPr>
              <w:t xml:space="preserve">Sredstva bodo usmerjena v </w:t>
            </w:r>
            <w:r>
              <w:rPr>
                <w:b/>
                <w:bCs/>
                <w:color w:val="000000"/>
              </w:rPr>
              <w:t>vlaganja v nadaljnji funkcionalni razvoj saniranih površin</w:t>
            </w:r>
            <w:r>
              <w:rPr>
                <w:color w:val="000000"/>
              </w:rPr>
              <w:t>, vključno z ekonomsko-poslovno infrastrukturo (poslovnimi conami in podjetniškimi inkubatorji), kar je eden izmed predpogojev za rast in razvoj MSP kot tudi za velika podjetja. Pri podpori tem ukrepom bomo ravnali v skladu s pojasnilom v zvezi z načelom onesnaževalec plača, ki je podrobneje predstavljeno v (Prilogi2).</w:t>
            </w:r>
          </w:p>
          <w:p w14:paraId="14DB7E1A" w14:textId="77777777" w:rsidR="00EB2379" w:rsidRDefault="00EB2379" w:rsidP="00FA408F">
            <w:pPr>
              <w:spacing w:before="5pt"/>
              <w:rPr>
                <w:color w:val="000000"/>
              </w:rPr>
            </w:pPr>
          </w:p>
          <w:p w14:paraId="43815D33" w14:textId="77777777" w:rsidR="00EB2379" w:rsidRDefault="00EB2379" w:rsidP="00FA408F">
            <w:pPr>
              <w:spacing w:before="5pt"/>
              <w:rPr>
                <w:color w:val="000000"/>
              </w:rPr>
            </w:pPr>
            <w:r>
              <w:rPr>
                <w:color w:val="000000"/>
              </w:rPr>
              <w:t>Z investicijami v infrastrukturo na degradiranih območjih, ki bodo namenjena razvoju podjetništva bomo spodbujali podjetniško aktivnost in prestrukturiranje regije, ustvarjali nova delovna mesta (neposredni učinki tovrstnih investicij), poskrbeli za ohranjanje in revitalizacijo kulturne dediščine vezane na premogovništvo in s tem naredili regijo tudi bolj privlačno z vidika turizma (posredni učinki tovrstnih investicij).</w:t>
            </w:r>
          </w:p>
          <w:p w14:paraId="54E13861" w14:textId="77777777" w:rsidR="00EB2379" w:rsidRDefault="00EB2379" w:rsidP="00FA408F">
            <w:pPr>
              <w:spacing w:before="5pt"/>
              <w:rPr>
                <w:color w:val="000000"/>
              </w:rPr>
            </w:pPr>
            <w:r>
              <w:rPr>
                <w:color w:val="000000"/>
              </w:rPr>
              <w:t xml:space="preserve">V procesu priprave tega dokumenta so imeli deležniki v regiji več možnosti, da predlagajo in identificirajo projekte za prehod regije v brezogljično družbo. Med pripravljenimi projekti so bili med </w:t>
            </w:r>
            <w:r>
              <w:rPr>
                <w:color w:val="000000"/>
              </w:rPr>
              <w:lastRenderedPageBreak/>
              <w:t>vsemi deležniki, tako na regionalni kot na nacionalni ravni, kot vodilni, pripoznani projekti, ki v največji meri odgovarjajo na razvojne potrebe za reševanje izzivov prehoda:</w:t>
            </w:r>
          </w:p>
          <w:p w14:paraId="5F3CCCAF" w14:textId="77777777" w:rsidR="00EB2379" w:rsidRDefault="00EB2379" w:rsidP="00FA408F">
            <w:pPr>
              <w:spacing w:before="5pt"/>
              <w:rPr>
                <w:color w:val="000000"/>
              </w:rPr>
            </w:pPr>
            <w:r>
              <w:rPr>
                <w:color w:val="000000"/>
              </w:rPr>
              <w:t>-</w:t>
            </w:r>
            <w:r>
              <w:rPr>
                <w:b/>
                <w:bCs/>
                <w:color w:val="000000"/>
              </w:rPr>
              <w:t>Center za demonstracijo in usposabljanje na področju brezogljičnih tehnologij (Kemijski institut) - Center DUBT</w:t>
            </w:r>
          </w:p>
          <w:p w14:paraId="3A85418C" w14:textId="77777777" w:rsidR="00EB2379" w:rsidRDefault="00EB2379" w:rsidP="00FA408F">
            <w:pPr>
              <w:spacing w:before="5pt"/>
              <w:rPr>
                <w:color w:val="000000"/>
              </w:rPr>
            </w:pPr>
            <w:r>
              <w:rPr>
                <w:b/>
                <w:bCs/>
                <w:i/>
                <w:iCs/>
                <w:color w:val="000000"/>
              </w:rPr>
              <w:t>-</w:t>
            </w:r>
            <w:r>
              <w:rPr>
                <w:b/>
                <w:bCs/>
                <w:color w:val="000000"/>
              </w:rPr>
              <w:t xml:space="preserve">Revitalizacija in opremljanje površin namenjenih ekonomsko poslovni infrastrukturi </w:t>
            </w:r>
          </w:p>
          <w:p w14:paraId="253067E2" w14:textId="77777777" w:rsidR="00EB2379" w:rsidRDefault="00EB2379" w:rsidP="00FA408F">
            <w:pPr>
              <w:spacing w:before="5pt"/>
              <w:rPr>
                <w:color w:val="000000"/>
              </w:rPr>
            </w:pPr>
          </w:p>
          <w:p w14:paraId="4D0E22A4" w14:textId="77777777" w:rsidR="00EB2379" w:rsidRDefault="00EB2379" w:rsidP="00FA408F">
            <w:pPr>
              <w:spacing w:before="5pt"/>
              <w:rPr>
                <w:color w:val="000000"/>
              </w:rPr>
            </w:pPr>
            <w:r>
              <w:rPr>
                <w:color w:val="000000"/>
              </w:rPr>
              <w:t xml:space="preserve">Kratek opis z utemeljitvijo vodilnih projektov je v </w:t>
            </w:r>
            <w:r>
              <w:rPr>
                <w:b/>
                <w:bCs/>
                <w:color w:val="000000"/>
              </w:rPr>
              <w:t>Prilogi 4: 2.4. Predvidene vrste operacij – Vodilni projekti (kratek opis)</w:t>
            </w:r>
          </w:p>
          <w:p w14:paraId="3253C9BE" w14:textId="77777777" w:rsidR="00EB2379" w:rsidRDefault="00EB2379" w:rsidP="00FA408F">
            <w:pPr>
              <w:spacing w:before="5pt"/>
              <w:rPr>
                <w:color w:val="000000"/>
              </w:rPr>
            </w:pPr>
          </w:p>
          <w:p w14:paraId="536F4188" w14:textId="77777777" w:rsidR="00EB2379" w:rsidRDefault="00EB2379" w:rsidP="00FA408F">
            <w:pPr>
              <w:spacing w:before="5pt"/>
              <w:rPr>
                <w:color w:val="000000"/>
              </w:rPr>
            </w:pPr>
            <w:r>
              <w:rPr>
                <w:b/>
                <w:bCs/>
                <w:i/>
                <w:iCs/>
                <w:color w:val="000000"/>
              </w:rPr>
              <w:t>3.Visoko motivirani in usposobljeni prebivalci</w:t>
            </w:r>
          </w:p>
          <w:p w14:paraId="6E31F17E" w14:textId="77777777" w:rsidR="00EB2379" w:rsidRDefault="00EB2379" w:rsidP="00FA408F">
            <w:pPr>
              <w:spacing w:before="5pt"/>
              <w:rPr>
                <w:color w:val="000000"/>
              </w:rPr>
            </w:pPr>
            <w:r>
              <w:rPr>
                <w:color w:val="000000"/>
              </w:rPr>
              <w:t>Na področju ravnanja s človeškimi viri in vlaganja v človeške vire bomo s sredstvi Sklada za pravični prehod podpirali:</w:t>
            </w:r>
          </w:p>
          <w:p w14:paraId="0D0A6EFB" w14:textId="77777777" w:rsidR="00EB2379" w:rsidRDefault="00EB2379" w:rsidP="00FA408F">
            <w:pPr>
              <w:spacing w:before="5pt"/>
              <w:rPr>
                <w:color w:val="000000"/>
              </w:rPr>
            </w:pPr>
            <w:r>
              <w:rPr>
                <w:b/>
                <w:bCs/>
                <w:color w:val="000000"/>
              </w:rPr>
              <w:t>3.1. Obogateno izvajanje kakovostnega in dostopnega učenja</w:t>
            </w:r>
            <w:r>
              <w:rPr>
                <w:color w:val="000000"/>
              </w:rPr>
              <w:t>, s poudarkom na krepitvi ključnih in poklicnih kompetenc (predvsem kompetence podjetnosti, digitalne in zelene kompetence) šolajočih in strokovnih delavcev, ter vključujočega vzgojno-izobraževalnega okolja po celotni vertikali (od vrtcev do višjega šolstva), ter digitalni preobrazbi šolskega prostora;</w:t>
            </w:r>
          </w:p>
          <w:p w14:paraId="64503E91" w14:textId="77777777" w:rsidR="00EB2379" w:rsidRDefault="00EB2379" w:rsidP="00FA408F">
            <w:pPr>
              <w:spacing w:before="5pt"/>
              <w:rPr>
                <w:color w:val="000000"/>
              </w:rPr>
            </w:pPr>
            <w:r>
              <w:rPr>
                <w:b/>
                <w:bCs/>
                <w:color w:val="000000"/>
              </w:rPr>
              <w:t>3.2. Vseživljenjsko karierno orientacijo</w:t>
            </w:r>
            <w:r>
              <w:rPr>
                <w:color w:val="000000"/>
              </w:rPr>
              <w:t xml:space="preserve">, </w:t>
            </w:r>
            <w:r>
              <w:rPr>
                <w:b/>
                <w:bCs/>
                <w:color w:val="000000"/>
              </w:rPr>
              <w:t xml:space="preserve">usposabljanje in izobraževanje </w:t>
            </w:r>
            <w:r>
              <w:rPr>
                <w:color w:val="000000"/>
              </w:rPr>
              <w:t xml:space="preserve">brezposelnih ter iskalcev zaposlitev, vključno z zaposlenimi (informiranje, motiviranje, aktivnosti svetovanja brezposelnim, izobraževanja in usposabljanja, prekvalifikacije in dokvalifikacije s ciljem prehoda v zaposlitev ali samozaposlovanje); </w:t>
            </w:r>
          </w:p>
          <w:p w14:paraId="757D2108" w14:textId="77777777" w:rsidR="00EB2379" w:rsidRDefault="00EB2379" w:rsidP="00FA408F">
            <w:pPr>
              <w:spacing w:before="5pt"/>
              <w:rPr>
                <w:color w:val="000000"/>
              </w:rPr>
            </w:pPr>
            <w:r>
              <w:rPr>
                <w:b/>
                <w:bCs/>
                <w:color w:val="000000"/>
              </w:rPr>
              <w:t>3.3. Uvajanje krožnih vsebin v vzgojno izobraževalnih zavodih</w:t>
            </w:r>
            <w:r>
              <w:rPr>
                <w:color w:val="000000"/>
              </w:rPr>
              <w:t>, predvsem vsebin, znanja in kompetenc, potrebnih za zelena delovna mesta ter za prehod v nizkoogljično družbo in gospodarstvo (v skladu s cilji področja vzgoje in izobraževanja za trajnostni razvoj- Vzgoja in izobraževanje za trajnostni razvoj (VITR);</w:t>
            </w:r>
          </w:p>
          <w:p w14:paraId="5C69205F" w14:textId="77777777" w:rsidR="00EB2379" w:rsidRDefault="00EB2379" w:rsidP="00FA408F">
            <w:pPr>
              <w:spacing w:before="5pt"/>
              <w:rPr>
                <w:color w:val="000000"/>
              </w:rPr>
            </w:pPr>
            <w:r>
              <w:rPr>
                <w:b/>
                <w:bCs/>
                <w:i/>
                <w:iCs/>
                <w:color w:val="000000"/>
              </w:rPr>
              <w:t>4.Cenovno dostopna in trajnostna stanovanja</w:t>
            </w:r>
          </w:p>
          <w:p w14:paraId="480BCF14" w14:textId="77777777" w:rsidR="00EB2379" w:rsidRDefault="00EB2379" w:rsidP="00FA408F">
            <w:pPr>
              <w:spacing w:before="5pt"/>
              <w:rPr>
                <w:color w:val="000000"/>
              </w:rPr>
            </w:pPr>
            <w:r>
              <w:rPr>
                <w:color w:val="000000"/>
              </w:rPr>
              <w:t>Na področju vlaganj v cenovno dostopna in trajnostna stanovanja bomo s sredstvi Sklada za pravični prehod podpirali:</w:t>
            </w:r>
          </w:p>
          <w:p w14:paraId="081401B1" w14:textId="77777777" w:rsidR="00EB2379" w:rsidRDefault="00EB2379" w:rsidP="00FA408F">
            <w:pPr>
              <w:spacing w:before="5pt"/>
              <w:rPr>
                <w:color w:val="000000"/>
              </w:rPr>
            </w:pPr>
            <w:r>
              <w:rPr>
                <w:b/>
                <w:bCs/>
                <w:color w:val="000000"/>
              </w:rPr>
              <w:t>4.1 Vzdrževanje in prenovo posameznih stanovanjskih enot</w:t>
            </w:r>
            <w:r>
              <w:rPr>
                <w:color w:val="000000"/>
              </w:rPr>
              <w:t xml:space="preserve"> (v večstanovanjskih stavbah), s ciljem večje funkcionalnosti in ustreznosti glede na spremenjene zahteve uporabnikov, dviga kakovosti stanovanj in izvajanj investicijskega vzdrževanja ter s tem ohranjanja kvalitete in vrednosti obstoječega fonda javnih najemnih stanovanj, javnih najemnih oskrbovanih stanovanj oz. bivalnih enot, oddanih skladno z 88.členom Stanovanjskega zakona.</w:t>
            </w:r>
          </w:p>
          <w:p w14:paraId="0291AB76" w14:textId="77777777" w:rsidR="00EB2379" w:rsidRDefault="00EB2379" w:rsidP="00FA408F">
            <w:pPr>
              <w:spacing w:before="5pt"/>
              <w:rPr>
                <w:color w:val="000000"/>
              </w:rPr>
            </w:pPr>
            <w:r>
              <w:rPr>
                <w:b/>
                <w:bCs/>
                <w:i/>
                <w:iCs/>
                <w:color w:val="000000"/>
              </w:rPr>
              <w:t xml:space="preserve">Produktivne naložbe, ki niso naložbe v MSP: </w:t>
            </w:r>
          </w:p>
          <w:p w14:paraId="296B7E46" w14:textId="77777777" w:rsidR="00EB2379" w:rsidRDefault="00EB2379" w:rsidP="00FA408F">
            <w:pPr>
              <w:spacing w:before="5pt"/>
              <w:rPr>
                <w:color w:val="000000"/>
              </w:rPr>
            </w:pPr>
            <w:r>
              <w:rPr>
                <w:color w:val="000000"/>
              </w:rPr>
              <w:t>Po podatkih iz analize vrzeli (Priloga 1) je imela regija leta 2000 18.693 delovnih mest, leta 2019 pa je bilo to število le še 13.104, kar dokazuje, da izguba delovnih mest zaradi zaprtja ni bila nadomeščena (glej graf 1 v Prilogi 1). Brez možnosti, ki so jih ponujali rudniki in TET, teh delavcev niso sprejela niti MSP niti velika podjetja. Največ možnosti za nova delovna mesta se v prihodnje v Zasavju kaže v okviru načrtovanih naložb treh velikih podjetij:Steklarna Hrastnik d.o.o., Herz d.o.o. in ETI Elektroelement d.o.o.. Na podlagi okvirnega seznama se ta številka giblje okoli 220 (ali več, odvisno od tega, kako bi se projekti in naložbe izvajali) do leta 2030. Enakega učinka zgolj s podporo MSP v tako kratkem času ni mogoče pričakovati; sploh ob upoštevanju, da obstoječa podjetja izgubljenih delovnih mest, povezanih s premogovništvom, do sedaj niso uspela nadomestiti in absorbirati presežnih delavcev.</w:t>
            </w:r>
          </w:p>
          <w:p w14:paraId="1BD803F3" w14:textId="77777777" w:rsidR="00EB2379" w:rsidRDefault="00EB2379" w:rsidP="00FA408F">
            <w:pPr>
              <w:spacing w:before="5pt"/>
              <w:rPr>
                <w:color w:val="000000"/>
              </w:rPr>
            </w:pPr>
            <w:r>
              <w:rPr>
                <w:color w:val="000000"/>
              </w:rPr>
              <w:t>Zato bo del sredstev, ki bo namenjen gospodarski preobrazbi v regiji, dostopen tudi velikim podjetjem, kot npr:</w:t>
            </w:r>
          </w:p>
          <w:p w14:paraId="491C3474" w14:textId="77777777" w:rsidR="00EB2379" w:rsidRDefault="00EB2379" w:rsidP="00FA408F">
            <w:pPr>
              <w:spacing w:before="5pt"/>
              <w:rPr>
                <w:color w:val="000000"/>
              </w:rPr>
            </w:pPr>
            <w:r>
              <w:rPr>
                <w:color w:val="000000"/>
              </w:rPr>
              <w:t>-Postavitev proizvodne enote podjetja Herz v Trbovljah (Herz, Kovinsko predelovalno podjetje d.o.o.)</w:t>
            </w:r>
          </w:p>
          <w:p w14:paraId="5A15224D" w14:textId="77777777" w:rsidR="00EB2379" w:rsidRDefault="00EB2379" w:rsidP="00FA408F">
            <w:pPr>
              <w:spacing w:before="5pt"/>
              <w:rPr>
                <w:color w:val="000000"/>
              </w:rPr>
            </w:pPr>
            <w:r>
              <w:rPr>
                <w:color w:val="000000"/>
              </w:rPr>
              <w:t>Odločitve glede sofinanciranja posameznih projektov bodo sprejete na podlagi izvedenega postopka javnega razpisa, v okviru katerega bodo med drugimi določeni in presojani upravičeni stroški naložbe, upoštevana pravila državnih pomoči in razpoložljiva sredstva.</w:t>
            </w:r>
          </w:p>
          <w:p w14:paraId="77D1CDD8" w14:textId="77777777" w:rsidR="00EB2379" w:rsidRDefault="00EB2379" w:rsidP="00FA408F">
            <w:pPr>
              <w:spacing w:before="5pt"/>
              <w:rPr>
                <w:color w:val="000000"/>
              </w:rPr>
            </w:pPr>
            <w:r>
              <w:rPr>
                <w:color w:val="000000"/>
              </w:rPr>
              <w:lastRenderedPageBreak/>
              <w:t>Vsi projekti bodo morali, poleg pogojev, ki jih določa SPP uredba zadostiti tudi dodatnim merilom, ki bodo povezana z ustvarjanjem novih visokokakovostnih delovnih mest, krepitvi sodelovanja z MSPji in zagonskimi podjetji, dvigu dodane vrednosti in prispevku k doseganju podnebnih ciljev in izboljšanju snovne učinkovitosti, dvojnega prehoda, ipd.</w:t>
            </w:r>
          </w:p>
          <w:p w14:paraId="46D2CA8F" w14:textId="77777777" w:rsidR="00EB2379" w:rsidRDefault="00EB2379" w:rsidP="00FA408F">
            <w:pPr>
              <w:spacing w:before="5pt"/>
              <w:rPr>
                <w:color w:val="000000"/>
              </w:rPr>
            </w:pPr>
            <w:r>
              <w:rPr>
                <w:color w:val="000000"/>
              </w:rPr>
              <w:t xml:space="preserve">Več podrobnosti je razvidno </w:t>
            </w:r>
            <w:r>
              <w:rPr>
                <w:i/>
                <w:iCs/>
                <w:color w:val="000000"/>
              </w:rPr>
              <w:t xml:space="preserve">iz priloge </w:t>
            </w:r>
            <w:r>
              <w:rPr>
                <w:b/>
                <w:bCs/>
                <w:color w:val="000000"/>
              </w:rPr>
              <w:t>Priloga 5: 2.4. Predvidene vrste operacij – Produktivne naložbe, ki niso naložbe MSP (člen 11(2)(h))</w:t>
            </w:r>
          </w:p>
          <w:p w14:paraId="1FB1A9CA" w14:textId="77777777" w:rsidR="00EB2379" w:rsidRDefault="00EB2379" w:rsidP="00FA408F">
            <w:pPr>
              <w:spacing w:before="5pt"/>
              <w:rPr>
                <w:color w:val="000000"/>
              </w:rPr>
            </w:pPr>
          </w:p>
          <w:p w14:paraId="7DCB7C0D" w14:textId="77777777" w:rsidR="00EB2379" w:rsidRDefault="00EB2379" w:rsidP="00FA408F">
            <w:pPr>
              <w:spacing w:before="5pt"/>
              <w:rPr>
                <w:color w:val="000000"/>
              </w:rPr>
            </w:pPr>
            <w:r>
              <w:rPr>
                <w:b/>
                <w:bCs/>
                <w:color w:val="000000"/>
              </w:rPr>
              <w:t>Sinergije in dopolnjevanje</w:t>
            </w:r>
            <w:r>
              <w:rPr>
                <w:color w:val="000000"/>
              </w:rPr>
              <w:t xml:space="preserve"> </w:t>
            </w:r>
            <w:r>
              <w:rPr>
                <w:i/>
                <w:iCs/>
                <w:color w:val="000000"/>
              </w:rPr>
              <w:t xml:space="preserve">predvidenih operacij z drugimi programi v okviru cilja „naložbe za delovna mesta in rast“ in drugimi stebri mehanizma za pravičen prehod </w:t>
            </w:r>
          </w:p>
          <w:p w14:paraId="0262FE7B" w14:textId="77777777" w:rsidR="00EB2379" w:rsidRDefault="00EB2379" w:rsidP="00FA408F">
            <w:pPr>
              <w:spacing w:before="5pt"/>
              <w:rPr>
                <w:color w:val="000000"/>
              </w:rPr>
            </w:pPr>
            <w:r>
              <w:rPr>
                <w:color w:val="000000"/>
              </w:rPr>
              <w:t>Sredstva SPP bodo komplementarna sredstvom v okviru NOO ter za izvajanje cilja „naložbe za delovna mesta in rast“ v EKP 2021-2027 in drugih razpoložljivih virov.</w:t>
            </w:r>
          </w:p>
          <w:p w14:paraId="2AC95C9F" w14:textId="77777777" w:rsidR="00EB2379" w:rsidRDefault="00EB2379" w:rsidP="00FA408F">
            <w:pPr>
              <w:spacing w:before="5pt"/>
              <w:rPr>
                <w:color w:val="000000"/>
              </w:rPr>
            </w:pPr>
            <w:r>
              <w:rPr>
                <w:color w:val="000000"/>
              </w:rPr>
              <w:t>Sredstva instrumenta za posojila v javnem sektorju v okviru MPP se bodo namenjala podpori naložbam vseh sektorjev, ki jih opredeljuje relevantna uredba [5].</w:t>
            </w:r>
          </w:p>
          <w:p w14:paraId="09F3127D" w14:textId="77777777" w:rsidR="00EB2379" w:rsidRDefault="00EB2379" w:rsidP="00FA408F">
            <w:pPr>
              <w:spacing w:before="5pt"/>
              <w:rPr>
                <w:color w:val="000000"/>
              </w:rPr>
            </w:pPr>
            <w:r>
              <w:rPr>
                <w:color w:val="000000"/>
              </w:rPr>
              <w:t xml:space="preserve">Opredelitve po ukrepih so razvidne iz </w:t>
            </w:r>
            <w:r>
              <w:rPr>
                <w:b/>
                <w:bCs/>
                <w:color w:val="000000"/>
              </w:rPr>
              <w:t>Priloga 6: 2.4. Predvidene vrste operacij – Sinergije in dopolnjevanje (člen 11 (2)(j).</w:t>
            </w:r>
          </w:p>
          <w:p w14:paraId="4D18FDE8" w14:textId="77777777" w:rsidR="00EB2379" w:rsidRDefault="00EB2379" w:rsidP="00FA408F">
            <w:pPr>
              <w:spacing w:before="5pt"/>
              <w:rPr>
                <w:color w:val="000000"/>
              </w:rPr>
            </w:pPr>
          </w:p>
          <w:p w14:paraId="52D18579" w14:textId="77777777" w:rsidR="00EB2379" w:rsidRDefault="00EB2379" w:rsidP="00FA408F">
            <w:pPr>
              <w:spacing w:before="5pt"/>
              <w:rPr>
                <w:color w:val="000000"/>
              </w:rPr>
            </w:pPr>
          </w:p>
          <w:p w14:paraId="4AFA44C7" w14:textId="77777777" w:rsidR="00EB2379" w:rsidRDefault="00EB2379" w:rsidP="00FA408F">
            <w:pPr>
              <w:spacing w:before="5pt"/>
              <w:rPr>
                <w:color w:val="000000"/>
              </w:rPr>
            </w:pPr>
            <w:r>
              <w:rPr>
                <w:color w:val="000000"/>
              </w:rPr>
              <w:t>[1] ILO; https://www.ilo.org/wcmsp5/groups/public/---ed_emp/---emp_ent/documents/publication/wcms_250690.pdf</w:t>
            </w:r>
          </w:p>
          <w:p w14:paraId="7E2D6D9E" w14:textId="77777777" w:rsidR="00EB2379" w:rsidRDefault="00EB2379" w:rsidP="00FA408F">
            <w:pPr>
              <w:spacing w:before="5pt"/>
              <w:rPr>
                <w:color w:val="000000"/>
              </w:rPr>
            </w:pPr>
            <w:r>
              <w:rPr>
                <w:color w:val="000000"/>
              </w:rPr>
              <w:t>[2] (https://www.energetika-portal.si/fileadmin/dokumenti/publikacije/nepn/dokumenti/nepn_5.0_final_feb-2020.pdf)</w:t>
            </w:r>
          </w:p>
          <w:p w14:paraId="2FD332BF" w14:textId="77777777" w:rsidR="00EB2379" w:rsidRDefault="00EB2379" w:rsidP="00FA408F">
            <w:pPr>
              <w:spacing w:before="5pt"/>
              <w:rPr>
                <w:color w:val="000000"/>
              </w:rPr>
            </w:pPr>
            <w:r>
              <w:rPr>
                <w:color w:val="000000"/>
              </w:rPr>
              <w:t>[3] CRP V5-1723 Metodologija za popis poslovnih con in subjektov inovativnega okolja na območju Slovenije, izvedba terenskega popisa in vzpostavitev ažurne evidence</w:t>
            </w:r>
          </w:p>
          <w:p w14:paraId="544E960A" w14:textId="77777777" w:rsidR="00EB2379" w:rsidRDefault="00EB2379" w:rsidP="00FA408F">
            <w:pPr>
              <w:spacing w:before="5pt"/>
              <w:rPr>
                <w:color w:val="000000"/>
              </w:rPr>
            </w:pPr>
            <w:r>
              <w:rPr>
                <w:color w:val="000000"/>
              </w:rPr>
              <w:t>[4] EUR-Lex - 32021R1056 - EN - EUR-Lex (europa.eu)</w:t>
            </w:r>
          </w:p>
          <w:p w14:paraId="65DED080" w14:textId="77777777" w:rsidR="00EB2379" w:rsidRDefault="00EB2379" w:rsidP="00FA408F">
            <w:pPr>
              <w:spacing w:before="5pt"/>
              <w:rPr>
                <w:color w:val="000000"/>
              </w:rPr>
            </w:pPr>
            <w:r>
              <w:rPr>
                <w:color w:val="000000"/>
              </w:rPr>
              <w:t>[5] Uredba (EU) 2021/1229 evropskega parlamenta in sveta z dne 14. julija 2021 o instrumentu za posojila v javnem sektorju v okviru Mehanizma za pravični prehod (https://eur-lex.europa.eu/legal-content/SL/TXT/PDF/?uri=CELEX:32021R1229)</w:t>
            </w:r>
          </w:p>
          <w:p w14:paraId="2FF1BAA8" w14:textId="77777777" w:rsidR="00EB2379" w:rsidRDefault="00EB2379" w:rsidP="00FA408F">
            <w:pPr>
              <w:spacing w:before="5pt"/>
              <w:rPr>
                <w:color w:val="000000"/>
                <w:sz w:val="6"/>
              </w:rPr>
            </w:pPr>
          </w:p>
          <w:p w14:paraId="6792980B" w14:textId="77777777" w:rsidR="00EB2379" w:rsidRDefault="00EB2379" w:rsidP="00FA408F">
            <w:pPr>
              <w:spacing w:before="5pt"/>
              <w:rPr>
                <w:color w:val="000000"/>
                <w:sz w:val="6"/>
              </w:rPr>
            </w:pPr>
          </w:p>
        </w:tc>
      </w:tr>
    </w:tbl>
    <w:p w14:paraId="0F25AA2B" w14:textId="77777777" w:rsidR="00EB2379" w:rsidRDefault="00EB2379" w:rsidP="00EB2379">
      <w:pPr>
        <w:spacing w:before="5pt"/>
        <w:rPr>
          <w:color w:val="000000"/>
        </w:rPr>
        <w:sectPr w:rsidR="00EB2379" w:rsidSect="00A40305">
          <w:headerReference w:type="even" r:id="rId73"/>
          <w:headerReference w:type="default" r:id="rId74"/>
          <w:footerReference w:type="even" r:id="rId75"/>
          <w:footerReference w:type="default" r:id="rId76"/>
          <w:headerReference w:type="first" r:id="rId77"/>
          <w:footerReference w:type="first" r:id="rId78"/>
          <w:pgSz w:w="595.30pt" w:h="841.90pt"/>
          <w:pgMar w:top="36pt" w:right="46.80pt" w:bottom="43.20pt" w:left="36pt" w:header="0pt" w:footer="3.60pt" w:gutter="0pt"/>
          <w:cols w:space="36pt"/>
          <w:noEndnote/>
          <w:docGrid w:linePitch="360"/>
        </w:sectPr>
      </w:pPr>
    </w:p>
    <w:p w14:paraId="32FDFDE0" w14:textId="77777777" w:rsidR="00EB2379" w:rsidRDefault="00EB2379" w:rsidP="00EB2379">
      <w:pPr>
        <w:pStyle w:val="Naslov1"/>
        <w:spacing w:before="5pt" w:after="0pt"/>
        <w:rPr>
          <w:rFonts w:ascii="Times New Roman" w:hAnsi="Times New Roman" w:cs="Times New Roman"/>
          <w:b w:val="0"/>
          <w:color w:val="000000"/>
          <w:sz w:val="24"/>
        </w:rPr>
      </w:pPr>
      <w:r>
        <w:rPr>
          <w:rFonts w:ascii="Times New Roman" w:hAnsi="Times New Roman" w:cs="Times New Roman"/>
          <w:b w:val="0"/>
          <w:color w:val="000000"/>
          <w:sz w:val="24"/>
        </w:rPr>
        <w:lastRenderedPageBreak/>
        <w:t>3. Mehanizmi upravljanja</w:t>
      </w:r>
    </w:p>
    <w:p w14:paraId="55015470" w14:textId="77777777" w:rsidR="00EB2379" w:rsidRDefault="00EB2379" w:rsidP="00EB2379">
      <w:pPr>
        <w:spacing w:before="5pt"/>
        <w:rPr>
          <w:color w:val="000000"/>
          <w:sz w:val="0"/>
        </w:rPr>
      </w:pPr>
    </w:p>
    <w:p w14:paraId="2F113344" w14:textId="77777777" w:rsidR="00EB2379" w:rsidRDefault="00EB2379" w:rsidP="00EB2379">
      <w:pPr>
        <w:spacing w:before="5pt"/>
        <w:rPr>
          <w:color w:val="000000"/>
          <w:sz w:val="16"/>
        </w:rPr>
      </w:pPr>
      <w:r>
        <w:rPr>
          <w:color w:val="000000"/>
        </w:rPr>
        <w:t>Sklic: člen 11(2)(f)</w:t>
      </w:r>
    </w:p>
    <w:p w14:paraId="41E884BB" w14:textId="77777777" w:rsidR="00EB2379" w:rsidRDefault="00EB2379" w:rsidP="00EB2379">
      <w:pPr>
        <w:spacing w:before="5pt"/>
        <w:rPr>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EB2379" w14:paraId="0D1C92CF" w14:textId="77777777" w:rsidTr="00FA408F">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38C949" w14:textId="77777777" w:rsidR="00EB2379" w:rsidRDefault="00EB2379" w:rsidP="00FA408F">
            <w:pPr>
              <w:spacing w:before="5pt"/>
              <w:rPr>
                <w:color w:val="000000"/>
                <w:sz w:val="0"/>
              </w:rPr>
            </w:pPr>
          </w:p>
          <w:p w14:paraId="6D8EB6B4" w14:textId="77777777" w:rsidR="00EB2379" w:rsidRDefault="00EB2379" w:rsidP="00FA408F">
            <w:pPr>
              <w:spacing w:before="5pt"/>
              <w:rPr>
                <w:color w:val="000000"/>
              </w:rPr>
            </w:pPr>
            <w:r>
              <w:rPr>
                <w:b/>
                <w:bCs/>
                <w:i/>
                <w:iCs/>
                <w:color w:val="000000"/>
              </w:rPr>
              <w:t>Partnerstvo</w:t>
            </w:r>
          </w:p>
          <w:p w14:paraId="170418A5" w14:textId="77777777" w:rsidR="00EB2379" w:rsidRDefault="00EB2379" w:rsidP="00FA408F">
            <w:pPr>
              <w:spacing w:before="5pt"/>
              <w:rPr>
                <w:color w:val="000000"/>
              </w:rPr>
            </w:pPr>
            <w:r>
              <w:rPr>
                <w:color w:val="000000"/>
              </w:rPr>
              <w:t>Deležniki so se v 2020 vključevali že v pripravo NSPP, za katero se je izvedla tudi celovita presoja vplivov na okolje, in pripravo Akcijskega načrta za pravični prehod Zasavske regije (https://www.energetika-portal.si/dokumenti/strateski-razvojni-dokumenti/nacionalna-strategija-za-izstop-iz-premoga-in-prestrukturiranje-premogovnih-regij/). Več kot 70 deležnikov v obeh premogovnih regijah je bilo vključevano na različne načine: obiski na terenu: več kot 30 intervjujev; več kot 100 posredovanih projektnih idej (najboljše vključene v akcijski načrti); organizacija delavnic za pripravo projektnih predlogov; ključne faze so bile predstavljene in debatirane s ključnimi deležniki; izvedba individualnih sestankov z vsemi pobudniki. Za pripravo ONPP za obe premogovni regiji deluje posebna delovna skupina, ki jo vodi OU, sestavljajo jo PT, predstavniki občin območij obeh regij (Hrastnik, Trbovlje in Zagorje ob Savi ter Velenje, Šoštanj in Šmartno ob Paki), RRA Zasavje in RA SAŠA ter Zasavske gospodarske zbornice in Savinjsko-šaleške gospodarske zbornice. Skupina s OU na delovni ravni sodeluje pri oblikovanju mehanizma upravljanja in pripravi ONPP.</w:t>
            </w:r>
          </w:p>
          <w:p w14:paraId="13323228" w14:textId="77777777" w:rsidR="00EB2379" w:rsidRDefault="00EB2379" w:rsidP="00FA408F">
            <w:pPr>
              <w:spacing w:before="5pt"/>
              <w:rPr>
                <w:color w:val="000000"/>
              </w:rPr>
            </w:pPr>
            <w:r>
              <w:rPr>
                <w:color w:val="000000"/>
              </w:rPr>
              <w:t>Širši krog deležnikov se v pripravo ONPP vključuje na naslednji način:</w:t>
            </w:r>
          </w:p>
          <w:p w14:paraId="07BAF590" w14:textId="77777777" w:rsidR="00EB2379" w:rsidRDefault="00EB2379" w:rsidP="00FA408F">
            <w:pPr>
              <w:spacing w:before="5pt"/>
              <w:rPr>
                <w:color w:val="000000"/>
              </w:rPr>
            </w:pPr>
            <w:r>
              <w:rPr>
                <w:color w:val="000000"/>
              </w:rPr>
              <w:t>17.11.2021 izvedena delavnica za opredelitev ukrepov za doseganje strateških ciljev ONPP (preko 70 udeležencev) (https://evropskasredstva.si/sklad-za-pravicni-prehod-spp/).</w:t>
            </w:r>
          </w:p>
          <w:p w14:paraId="2A6B3E4D" w14:textId="77777777" w:rsidR="00EB2379" w:rsidRDefault="00EB2379" w:rsidP="00FA408F">
            <w:pPr>
              <w:spacing w:before="5pt"/>
              <w:rPr>
                <w:color w:val="000000"/>
              </w:rPr>
            </w:pPr>
            <w:r>
              <w:rPr>
                <w:color w:val="000000"/>
              </w:rPr>
              <w:t>Posebej sta bili vključevani skupini deležnikov s področja gospodarstva ter raziskovanja:</w:t>
            </w:r>
          </w:p>
          <w:p w14:paraId="6F41D128" w14:textId="77777777" w:rsidR="00EB2379" w:rsidRDefault="00EB2379" w:rsidP="00FA408F">
            <w:pPr>
              <w:spacing w:before="5pt"/>
              <w:rPr>
                <w:color w:val="000000"/>
              </w:rPr>
            </w:pPr>
            <w:r>
              <w:rPr>
                <w:color w:val="000000"/>
              </w:rPr>
              <w:t>- 26.11.2021 organizirana delavnica na podlagi pobude Zasavske gospodarske zbornice. Delavnice se je udeležilo 19 predstavnikov podjetij, zbornice in RRA Zasavje,</w:t>
            </w:r>
          </w:p>
          <w:p w14:paraId="4B01ECC8" w14:textId="77777777" w:rsidR="00EB2379" w:rsidRDefault="00EB2379" w:rsidP="00FA408F">
            <w:pPr>
              <w:spacing w:before="5pt"/>
              <w:rPr>
                <w:color w:val="000000"/>
              </w:rPr>
            </w:pPr>
            <w:r>
              <w:rPr>
                <w:color w:val="000000"/>
              </w:rPr>
              <w:t>- na podlagi poziva podjetjem, ki so sodelovala pri pripravi akcijskih načrtov z Deloitte, poslanega 22.11.2021, je bilo prejetih 21 projektnih predlogov,</w:t>
            </w:r>
          </w:p>
          <w:p w14:paraId="23E59B3C" w14:textId="77777777" w:rsidR="00EB2379" w:rsidRDefault="00EB2379" w:rsidP="00FA408F">
            <w:pPr>
              <w:spacing w:before="5pt"/>
              <w:rPr>
                <w:color w:val="000000"/>
              </w:rPr>
            </w:pPr>
            <w:r>
              <w:rPr>
                <w:color w:val="000000"/>
              </w:rPr>
              <w:t>- v mesecu januarju 2022 je bilo izvedenih več usklajevalnih sestankov za opredelitev vodilnih projektov.</w:t>
            </w:r>
          </w:p>
          <w:p w14:paraId="3A8119D3" w14:textId="77777777" w:rsidR="00EB2379" w:rsidRDefault="00EB2379" w:rsidP="00FA408F">
            <w:pPr>
              <w:spacing w:before="5pt"/>
              <w:rPr>
                <w:color w:val="000000"/>
              </w:rPr>
            </w:pPr>
            <w:r>
              <w:rPr>
                <w:color w:val="000000"/>
              </w:rPr>
              <w:t>V aprilu 2022 izveden posvet za mlade Zelena prihodnost Zasavja ( https://evropskasredstva.si/posvet-z-mladimi-zelena-prihodnost-zasavja/).</w:t>
            </w:r>
          </w:p>
          <w:p w14:paraId="05C88301" w14:textId="77777777" w:rsidR="00EB2379" w:rsidRDefault="00EB2379" w:rsidP="00FA408F">
            <w:pPr>
              <w:spacing w:before="5pt"/>
              <w:rPr>
                <w:color w:val="000000"/>
              </w:rPr>
            </w:pPr>
            <w:r>
              <w:rPr>
                <w:b/>
                <w:bCs/>
                <w:i/>
                <w:iCs/>
                <w:color w:val="000000"/>
              </w:rPr>
              <w:t>Spremljanje in ocenjevanje</w:t>
            </w:r>
          </w:p>
          <w:p w14:paraId="78567E8C" w14:textId="77777777" w:rsidR="00EB2379" w:rsidRDefault="00EB2379" w:rsidP="00FA408F">
            <w:pPr>
              <w:spacing w:before="5pt"/>
              <w:rPr>
                <w:color w:val="000000"/>
              </w:rPr>
            </w:pPr>
            <w:r>
              <w:rPr>
                <w:color w:val="000000"/>
              </w:rPr>
              <w:t>Za potrebe spremljanja in ocenjevanja načrtovanih ukrepov, vključno s kazalniki, RRA v sodelovanju s PT in OU pripravlja kvartalna, letna in končno poročilo izvajanju ONPP Zasavske regije. Poročila na regionalni ravni obravnava Regionalni razvojni svet Zasavske regije, na nacionalni pa letna in končno poročilo obravnava Odbor za spremljanje. Predlog letnega in končnega poročila se pred obravnavo na Odboru za spremljanje predstavi in obravnava na razvojnem svetu regije.</w:t>
            </w:r>
          </w:p>
          <w:p w14:paraId="2941C21D" w14:textId="77777777" w:rsidR="00EB2379" w:rsidRDefault="00EB2379" w:rsidP="00FA408F">
            <w:pPr>
              <w:spacing w:before="5pt"/>
              <w:rPr>
                <w:color w:val="000000"/>
              </w:rPr>
            </w:pPr>
            <w:r>
              <w:rPr>
                <w:color w:val="000000"/>
              </w:rPr>
              <w:t>Najpozneje 3 leta po sprejemu ONPP se izvede vrednotenje izvajanja ONPP, ki ga izvede s strani OU izbran zunanji izvajalec.</w:t>
            </w:r>
          </w:p>
          <w:p w14:paraId="5AC092BF" w14:textId="77777777" w:rsidR="00EB2379" w:rsidRDefault="00EB2379" w:rsidP="00FA408F">
            <w:pPr>
              <w:spacing w:before="5pt"/>
              <w:rPr>
                <w:color w:val="000000"/>
              </w:rPr>
            </w:pPr>
          </w:p>
          <w:p w14:paraId="28CA9CC7" w14:textId="77777777" w:rsidR="00EB2379" w:rsidRDefault="00EB2379" w:rsidP="00FA408F">
            <w:pPr>
              <w:spacing w:before="5pt"/>
              <w:rPr>
                <w:color w:val="000000"/>
              </w:rPr>
            </w:pPr>
            <w:r>
              <w:rPr>
                <w:b/>
                <w:bCs/>
                <w:i/>
                <w:iCs/>
                <w:color w:val="000000"/>
              </w:rPr>
              <w:t xml:space="preserve">Organ/organi za usklajevanje in spremljanje </w:t>
            </w:r>
          </w:p>
          <w:p w14:paraId="7FED4DA3" w14:textId="77777777" w:rsidR="00EB2379" w:rsidRDefault="00EB2379" w:rsidP="00FA408F">
            <w:pPr>
              <w:spacing w:before="5pt"/>
              <w:rPr>
                <w:color w:val="000000"/>
              </w:rPr>
            </w:pPr>
            <w:r>
              <w:rPr>
                <w:b/>
                <w:bCs/>
                <w:color w:val="000000"/>
              </w:rPr>
              <w:t xml:space="preserve">v vlogi OU in nacionalnega koordinatorja: MKRR: </w:t>
            </w:r>
          </w:p>
          <w:p w14:paraId="4DC87421" w14:textId="77777777" w:rsidR="00EB2379" w:rsidRDefault="00EB2379" w:rsidP="00FA408F">
            <w:pPr>
              <w:spacing w:before="5pt"/>
              <w:rPr>
                <w:color w:val="000000"/>
              </w:rPr>
            </w:pPr>
            <w:r>
              <w:rPr>
                <w:color w:val="000000"/>
              </w:rPr>
              <w:t>-priprava predlogov ONPP v skladu z zahtevami Uredbe SPP,</w:t>
            </w:r>
          </w:p>
          <w:p w14:paraId="1E1BF107" w14:textId="77777777" w:rsidR="00EB2379" w:rsidRDefault="00EB2379" w:rsidP="00FA408F">
            <w:pPr>
              <w:spacing w:before="5pt"/>
              <w:rPr>
                <w:color w:val="000000"/>
              </w:rPr>
            </w:pPr>
            <w:r>
              <w:rPr>
                <w:color w:val="000000"/>
              </w:rPr>
              <w:t>-uskladitev predlogov ONPP ob upoštevanju načela partnerstva z relevantnimi deležniki na regionalni in nacionalni ravni,</w:t>
            </w:r>
          </w:p>
          <w:p w14:paraId="30FA679F" w14:textId="77777777" w:rsidR="00EB2379" w:rsidRDefault="00EB2379" w:rsidP="00FA408F">
            <w:pPr>
              <w:spacing w:before="5pt"/>
              <w:rPr>
                <w:color w:val="000000"/>
              </w:rPr>
            </w:pPr>
            <w:r>
              <w:rPr>
                <w:color w:val="000000"/>
              </w:rPr>
              <w:t>-umestitev predlogov ONPP v P 21-27,</w:t>
            </w:r>
          </w:p>
          <w:p w14:paraId="1165FC95" w14:textId="77777777" w:rsidR="00EB2379" w:rsidRDefault="00EB2379" w:rsidP="00FA408F">
            <w:pPr>
              <w:spacing w:before="5pt"/>
              <w:rPr>
                <w:color w:val="000000"/>
              </w:rPr>
            </w:pPr>
            <w:r>
              <w:rPr>
                <w:color w:val="000000"/>
              </w:rPr>
              <w:t>-koordinacija priprave sprememb ONPP,</w:t>
            </w:r>
          </w:p>
          <w:p w14:paraId="10978DFD" w14:textId="77777777" w:rsidR="00EB2379" w:rsidRDefault="00EB2379" w:rsidP="00FA408F">
            <w:pPr>
              <w:spacing w:before="5pt"/>
              <w:rPr>
                <w:color w:val="000000"/>
              </w:rPr>
            </w:pPr>
            <w:r>
              <w:rPr>
                <w:color w:val="000000"/>
              </w:rPr>
              <w:t>-spremljanje in vrednotenje izvajanja ONPP.</w:t>
            </w:r>
          </w:p>
          <w:p w14:paraId="212EDCAF" w14:textId="77777777" w:rsidR="00EB2379" w:rsidRDefault="00EB2379" w:rsidP="00FA408F">
            <w:pPr>
              <w:spacing w:before="5pt"/>
              <w:rPr>
                <w:color w:val="000000"/>
              </w:rPr>
            </w:pPr>
            <w:r>
              <w:rPr>
                <w:b/>
                <w:bCs/>
                <w:color w:val="000000"/>
              </w:rPr>
              <w:lastRenderedPageBreak/>
              <w:t xml:space="preserve">v vlogi regionalne razvojne agencije ali območne razvojne institucije (RRA): razvojna institucija, ki je vpisana v evidenco regionalnih razvojnih agencij ministrstva, pristojnega za regionalni razvoj: </w:t>
            </w:r>
          </w:p>
          <w:p w14:paraId="1DD4DAC7" w14:textId="77777777" w:rsidR="00EB2379" w:rsidRDefault="00EB2379" w:rsidP="00FA408F">
            <w:pPr>
              <w:spacing w:before="5pt"/>
              <w:rPr>
                <w:color w:val="000000"/>
              </w:rPr>
            </w:pPr>
            <w:r>
              <w:rPr>
                <w:color w:val="000000"/>
              </w:rPr>
              <w:t>-sodelovanje pri načrtovanju sistema izvajanja pravičnega prehoda,</w:t>
            </w:r>
          </w:p>
          <w:p w14:paraId="09D9B66C" w14:textId="77777777" w:rsidR="00EB2379" w:rsidRDefault="00EB2379" w:rsidP="00FA408F">
            <w:pPr>
              <w:spacing w:before="5pt"/>
              <w:rPr>
                <w:color w:val="000000"/>
              </w:rPr>
            </w:pPr>
            <w:r>
              <w:rPr>
                <w:color w:val="000000"/>
              </w:rPr>
              <w:t>-sodelovanje z OU pri aktivnostih na regionalni ravni za zagotavljanje partnerstva (mladi, nevladne organizacije, socialni partnerji, gospodarstvo, predstavniki lokalne skupnosti, inštituti in drugi),</w:t>
            </w:r>
          </w:p>
          <w:p w14:paraId="00381492" w14:textId="77777777" w:rsidR="00EB2379" w:rsidRDefault="00EB2379" w:rsidP="00FA408F">
            <w:pPr>
              <w:spacing w:before="5pt"/>
              <w:rPr>
                <w:color w:val="000000"/>
              </w:rPr>
            </w:pPr>
            <w:r>
              <w:rPr>
                <w:color w:val="000000"/>
              </w:rPr>
              <w:t>- članstvo v odboru za spremljanje programa EKP 21 - 27,</w:t>
            </w:r>
          </w:p>
          <w:p w14:paraId="0279D586" w14:textId="77777777" w:rsidR="00EB2379" w:rsidRDefault="00EB2379" w:rsidP="00FA408F">
            <w:pPr>
              <w:spacing w:before="5pt"/>
              <w:rPr>
                <w:color w:val="000000"/>
              </w:rPr>
            </w:pPr>
            <w:r>
              <w:rPr>
                <w:color w:val="000000"/>
              </w:rPr>
              <w:t>-sodelovanje pri pripravi in spremembah ONPP,</w:t>
            </w:r>
          </w:p>
          <w:p w14:paraId="170116CD" w14:textId="77777777" w:rsidR="00EB2379" w:rsidRDefault="00EB2379" w:rsidP="00FA408F">
            <w:pPr>
              <w:spacing w:before="5pt"/>
              <w:rPr>
                <w:color w:val="000000"/>
              </w:rPr>
            </w:pPr>
            <w:r>
              <w:rPr>
                <w:color w:val="000000"/>
              </w:rPr>
              <w:t>-sodelovanje s PT v postopkih izbora operacij,</w:t>
            </w:r>
          </w:p>
          <w:p w14:paraId="1FD48344" w14:textId="77777777" w:rsidR="00EB2379" w:rsidRDefault="00EB2379" w:rsidP="00FA408F">
            <w:pPr>
              <w:spacing w:before="5pt"/>
              <w:rPr>
                <w:color w:val="000000"/>
              </w:rPr>
            </w:pPr>
            <w:r>
              <w:rPr>
                <w:color w:val="000000"/>
              </w:rPr>
              <w:t>-pregled in podaja mnenja o skladnosti vlog (NPO ali JR/JP) za odločitev o podpori z ONPP,</w:t>
            </w:r>
          </w:p>
          <w:p w14:paraId="36BC8243" w14:textId="77777777" w:rsidR="00EB2379" w:rsidRDefault="00EB2379" w:rsidP="00FA408F">
            <w:pPr>
              <w:spacing w:before="5pt"/>
              <w:rPr>
                <w:color w:val="000000"/>
              </w:rPr>
            </w:pPr>
            <w:r>
              <w:rPr>
                <w:color w:val="000000"/>
              </w:rPr>
              <w:t>-spremljanje izvajanja ONPP: priprava poročil o izvajanju (kvartalnih, letnih, končnih), poročanje OU,</w:t>
            </w:r>
          </w:p>
          <w:p w14:paraId="78DE0929" w14:textId="77777777" w:rsidR="00EB2379" w:rsidRDefault="00EB2379" w:rsidP="00FA408F">
            <w:pPr>
              <w:spacing w:before="5pt"/>
              <w:rPr>
                <w:color w:val="000000"/>
              </w:rPr>
            </w:pPr>
            <w:r>
              <w:rPr>
                <w:color w:val="000000"/>
              </w:rPr>
              <w:t>-sodelovanje z OU in PT pri vrednotenju izvajanja ONPP;</w:t>
            </w:r>
          </w:p>
          <w:p w14:paraId="791250B1" w14:textId="77777777" w:rsidR="00EB2379" w:rsidRDefault="00EB2379" w:rsidP="00FA408F">
            <w:pPr>
              <w:spacing w:before="5pt"/>
              <w:rPr>
                <w:color w:val="000000"/>
              </w:rPr>
            </w:pPr>
            <w:r>
              <w:rPr>
                <w:b/>
                <w:bCs/>
                <w:color w:val="000000"/>
              </w:rPr>
              <w:t>v vlogi PT: MKRR, MGTŠ, MDDSZ, MVI, MVZI, MOPE, MSP:</w:t>
            </w:r>
          </w:p>
          <w:p w14:paraId="4EAE9E98" w14:textId="77777777" w:rsidR="00EB2379" w:rsidRDefault="00EB2379" w:rsidP="00FA408F">
            <w:pPr>
              <w:spacing w:before="5pt"/>
              <w:rPr>
                <w:color w:val="000000"/>
              </w:rPr>
            </w:pPr>
            <w:r>
              <w:rPr>
                <w:color w:val="000000"/>
              </w:rPr>
              <w:t>-vključevanje RRA v postopke izbora operacij,</w:t>
            </w:r>
          </w:p>
          <w:p w14:paraId="1C0716A5" w14:textId="77777777" w:rsidR="00EB2379" w:rsidRDefault="00EB2379" w:rsidP="00FA408F">
            <w:pPr>
              <w:spacing w:before="5pt"/>
              <w:rPr>
                <w:color w:val="000000"/>
              </w:rPr>
            </w:pPr>
            <w:r>
              <w:rPr>
                <w:color w:val="000000"/>
              </w:rPr>
              <w:t>-pred posredovanjem vloge za odločitev o podpori na OU pridobi mnenje RRA, ki tako predstavlja obvezni sestavni del vloge za odločitev o podpori,</w:t>
            </w:r>
          </w:p>
          <w:p w14:paraId="56FC8138" w14:textId="77777777" w:rsidR="00EB2379" w:rsidRDefault="00EB2379" w:rsidP="00FA408F">
            <w:pPr>
              <w:spacing w:before="5pt"/>
              <w:rPr>
                <w:color w:val="000000"/>
              </w:rPr>
            </w:pPr>
            <w:r>
              <w:rPr>
                <w:color w:val="000000"/>
              </w:rPr>
              <w:t>-seznanjanje RRAja o izvedenih postopkih JR/JP,</w:t>
            </w:r>
          </w:p>
          <w:p w14:paraId="2FF633E9" w14:textId="77777777" w:rsidR="00EB2379" w:rsidRDefault="00EB2379" w:rsidP="00FA408F">
            <w:pPr>
              <w:spacing w:before="5pt"/>
              <w:rPr>
                <w:color w:val="000000"/>
              </w:rPr>
            </w:pPr>
            <w:r>
              <w:rPr>
                <w:color w:val="000000"/>
              </w:rPr>
              <w:t>-seznanjanje RRAja o odstopih od pogodb o sofinanciranju,</w:t>
            </w:r>
          </w:p>
          <w:p w14:paraId="13324112" w14:textId="77777777" w:rsidR="00EB2379" w:rsidRDefault="00EB2379" w:rsidP="00FA408F">
            <w:pPr>
              <w:spacing w:before="5pt"/>
              <w:rPr>
                <w:color w:val="000000"/>
              </w:rPr>
            </w:pPr>
            <w:r>
              <w:rPr>
                <w:color w:val="000000"/>
              </w:rPr>
              <w:t>-sodelovanje z RRA pri spremljanju izvajanja ONPP.</w:t>
            </w:r>
          </w:p>
          <w:p w14:paraId="09F717B3" w14:textId="77777777" w:rsidR="00EB2379" w:rsidRDefault="00EB2379" w:rsidP="00FA408F">
            <w:pPr>
              <w:spacing w:before="5pt"/>
              <w:rPr>
                <w:color w:val="000000"/>
              </w:rPr>
            </w:pPr>
            <w:r>
              <w:rPr>
                <w:color w:val="000000"/>
              </w:rPr>
              <w:t>V posamezni premogovni regiji RRA deluje tudi kot Center za pravični prehod, ki ločeno od nalog, ki jih izvaja v okviru upravljanja, izvaja naslednje aktivnosti: (i) vzpostavljanje lokalnih partnerstev in mreženje za potrebe izvajanja projektov oz. operacij, (ii) izvajanje usposabljanj in krepitev zmogljivosti projektnih sponzorjev, (iii) zagotavljanje podpore pri pripravi projektov (podpora pri izdelavi projektnih idej, pripravi vlog, investicijske dokumentacije ipd.), (iv) spremljanje izvajanja projektov in podpora pri projektnem upravljanju ter (v) evidentiranje prostorsko in okoljsko degradiranih območij (stanje, optimalna raba, način in časovnica sanacije,…), (vi) priprava študij in analiz, potrebnih za učinkovito in pravočasno izvajanje strategije in z njo povezanih programov, ukrepov ali projektov, tudi(vii) deluje tudi kot glavna informacijska točka ter s tem skrbi za dosledno izvajanje ukrepov informiranja in obveščanja tako lokalnih deležnikov pravičnega prehoda (npr. občanov, projektnih sponzorjev, delavcev v premogovništvu ipd.) kot tudi širše zainteresirane javnosti.</w:t>
            </w:r>
          </w:p>
          <w:p w14:paraId="6754DE6E" w14:textId="77777777" w:rsidR="00EB2379" w:rsidRDefault="00EB2379" w:rsidP="00FA408F">
            <w:pPr>
              <w:spacing w:before="5pt"/>
              <w:rPr>
                <w:color w:val="000000"/>
              </w:rPr>
            </w:pPr>
            <w:r>
              <w:rPr>
                <w:color w:val="000000"/>
              </w:rPr>
              <w:t>Center za pravični prehod ima centralno vlogo usklajevanja in njegova vloga in obveza je, da koordinira aktivnosti vseh deležnikov v regiji (mladi, NVO, socialni partnerji, gospodarstvo, lokalne skupnosti, drugo) pri aktivnostih povezanih z izvajanjem ONPP Zasavske regije.</w:t>
            </w:r>
          </w:p>
          <w:p w14:paraId="3DE608D7" w14:textId="77777777" w:rsidR="00EB2379" w:rsidRDefault="00EB2379" w:rsidP="00FA408F">
            <w:pPr>
              <w:spacing w:before="5pt"/>
              <w:rPr>
                <w:color w:val="000000"/>
                <w:sz w:val="6"/>
              </w:rPr>
            </w:pPr>
          </w:p>
          <w:p w14:paraId="3CEDE2A4" w14:textId="77777777" w:rsidR="00EB2379" w:rsidRDefault="00EB2379" w:rsidP="00FA408F">
            <w:pPr>
              <w:spacing w:before="5pt"/>
              <w:rPr>
                <w:color w:val="000000"/>
                <w:sz w:val="6"/>
              </w:rPr>
            </w:pPr>
          </w:p>
        </w:tc>
      </w:tr>
    </w:tbl>
    <w:p w14:paraId="1C38D1E3" w14:textId="77777777" w:rsidR="00EB2379" w:rsidRDefault="00EB2379" w:rsidP="00EB2379">
      <w:pPr>
        <w:spacing w:before="5pt"/>
        <w:rPr>
          <w:color w:val="000000"/>
          <w:sz w:val="12"/>
        </w:rPr>
      </w:pPr>
      <w:r>
        <w:rPr>
          <w:color w:val="000000"/>
        </w:rPr>
        <w:lastRenderedPageBreak/>
        <w:br w:type="page"/>
      </w:r>
    </w:p>
    <w:p w14:paraId="4AD8BE44" w14:textId="77777777" w:rsidR="00EB2379" w:rsidRDefault="00EB2379" w:rsidP="00EB2379">
      <w:pPr>
        <w:spacing w:before="5pt"/>
        <w:rPr>
          <w:color w:val="000000"/>
        </w:rPr>
      </w:pPr>
    </w:p>
    <w:p w14:paraId="78081782" w14:textId="77777777" w:rsidR="00EB2379" w:rsidRDefault="00EB2379" w:rsidP="00EB2379">
      <w:pPr>
        <w:pStyle w:val="Naslov1"/>
        <w:spacing w:before="5pt" w:after="0pt"/>
        <w:rPr>
          <w:rFonts w:ascii="Times New Roman" w:hAnsi="Times New Roman" w:cs="Times New Roman"/>
          <w:b w:val="0"/>
          <w:color w:val="000000"/>
          <w:sz w:val="24"/>
        </w:rPr>
      </w:pPr>
      <w:r>
        <w:rPr>
          <w:rFonts w:ascii="Times New Roman" w:hAnsi="Times New Roman" w:cs="Times New Roman"/>
          <w:b w:val="0"/>
          <w:color w:val="000000"/>
          <w:sz w:val="24"/>
        </w:rPr>
        <w:t>4. Kazalniki učinkov ali rezultatov za posamezni program</w:t>
      </w:r>
    </w:p>
    <w:p w14:paraId="697ACA23" w14:textId="77777777" w:rsidR="00EB2379" w:rsidRDefault="00EB2379" w:rsidP="00EB2379">
      <w:pPr>
        <w:spacing w:before="5pt"/>
        <w:rPr>
          <w:color w:val="000000"/>
          <w:sz w:val="0"/>
        </w:rPr>
      </w:pPr>
    </w:p>
    <w:p w14:paraId="26A9A0EB" w14:textId="77777777" w:rsidR="00EB2379" w:rsidRDefault="00EB2379" w:rsidP="00EB2379">
      <w:pPr>
        <w:spacing w:before="5pt"/>
        <w:rPr>
          <w:color w:val="000000"/>
        </w:rPr>
      </w:pPr>
      <w:r>
        <w:rPr>
          <w:color w:val="000000"/>
        </w:rPr>
        <w:t>Sklic: člen 12(1) uredbe o SPP</w:t>
      </w:r>
    </w:p>
    <w:p w14:paraId="548F290B" w14:textId="77777777" w:rsidR="00EB2379" w:rsidRDefault="00EB2379" w:rsidP="00EB2379">
      <w:pPr>
        <w:pStyle w:val="Naslov2"/>
        <w:spacing w:before="5pt" w:after="0pt"/>
        <w:rPr>
          <w:rFonts w:ascii="TimesNewRoman" w:eastAsia="TimesNewRoman" w:hAnsi="TimesNewRoman" w:cs="TimesNewRoman"/>
          <w:b w:val="0"/>
          <w:i w:val="0"/>
          <w:color w:val="000000"/>
          <w:sz w:val="24"/>
        </w:rPr>
      </w:pPr>
      <w:r>
        <w:rPr>
          <w:rFonts w:ascii="TimesNewRoman" w:eastAsia="TimesNewRoman" w:hAnsi="TimesNewRoman" w:cs="TimesNewRoman"/>
          <w:b w:val="0"/>
          <w:i w:val="0"/>
          <w:color w:val="000000"/>
          <w:sz w:val="24"/>
        </w:rPr>
        <w:t>Utemeljitev na podlagi predvidenih vrst operacij, da so kazalniki učinka ali rezultatov, specifični za posamezni program, potrebni</w:t>
      </w:r>
    </w:p>
    <w:p w14:paraId="13266463" w14:textId="77777777" w:rsidR="00EB2379" w:rsidRDefault="00EB2379" w:rsidP="00EB2379">
      <w:pPr>
        <w:spacing w:before="5pt"/>
        <w:rPr>
          <w:rFonts w:ascii="TimesNewRoman" w:eastAsia="TimesNewRoman" w:hAnsi="TimesNewRoman" w:cs="TimesNewRoman"/>
          <w:color w:val="000000"/>
          <w:sz w:val="16"/>
        </w:rPr>
      </w:pPr>
    </w:p>
    <w:p w14:paraId="42E5F831" w14:textId="77777777" w:rsidR="00EB2379" w:rsidRDefault="00EB2379" w:rsidP="00EB2379">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EB2379" w14:paraId="715AECEC" w14:textId="77777777" w:rsidTr="00FA408F">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6F3B8F" w14:textId="77777777" w:rsidR="00EB2379" w:rsidRDefault="00EB2379" w:rsidP="00FA408F">
            <w:pPr>
              <w:spacing w:before="5pt"/>
              <w:rPr>
                <w:rFonts w:ascii="TimesNewRoman" w:eastAsia="TimesNewRoman" w:hAnsi="TimesNewRoman" w:cs="TimesNewRoman"/>
                <w:color w:val="000000"/>
                <w:sz w:val="0"/>
              </w:rPr>
            </w:pPr>
          </w:p>
          <w:p w14:paraId="454C8290" w14:textId="77777777" w:rsidR="00EB2379" w:rsidRDefault="00EB2379" w:rsidP="00FA408F">
            <w:pPr>
              <w:spacing w:before="5pt"/>
              <w:rPr>
                <w:rFonts w:ascii="TimesNewRoman" w:eastAsia="TimesNewRoman" w:hAnsi="TimesNewRoman" w:cs="TimesNewRoman"/>
                <w:color w:val="000000"/>
              </w:rPr>
            </w:pPr>
            <w:r>
              <w:rPr>
                <w:rFonts w:ascii="TimesNewRoman" w:eastAsia="TimesNewRoman" w:hAnsi="TimesNewRoman" w:cs="TimesNewRoman"/>
                <w:color w:val="000000"/>
              </w:rPr>
              <w:t>Programsko specifični kazalnik učinka:</w:t>
            </w:r>
          </w:p>
          <w:p w14:paraId="2339AF32" w14:textId="77777777" w:rsidR="00EB2379" w:rsidRDefault="00EB2379" w:rsidP="00FA408F">
            <w:pPr>
              <w:numPr>
                <w:ilvl w:val="0"/>
                <w:numId w:val="1"/>
              </w:numPr>
              <w:spacing w:before="5pt"/>
              <w:rPr>
                <w:rFonts w:ascii="TimesNewRoman" w:eastAsia="TimesNewRoman" w:hAnsi="TimesNewRoman" w:cs="TimesNewRoman"/>
                <w:color w:val="000000"/>
              </w:rPr>
            </w:pPr>
            <w:r>
              <w:rPr>
                <w:rFonts w:ascii="TimesNewRoman" w:eastAsia="TimesNewRoman" w:hAnsi="TimesNewRoman" w:cs="TimesNewRoman"/>
                <w:color w:val="000000"/>
              </w:rPr>
              <w:t>Število organizacij, ki so vključene v razvojne projekte za izboljšanje znanja spretnosti in kompetenc,</w:t>
            </w:r>
          </w:p>
          <w:p w14:paraId="7702E5AE" w14:textId="77777777" w:rsidR="00EB2379" w:rsidRDefault="00EB2379" w:rsidP="00FA408F">
            <w:pPr>
              <w:numPr>
                <w:ilvl w:val="0"/>
                <w:numId w:val="1"/>
              </w:numPr>
              <w:spacing w:before="5pt"/>
              <w:rPr>
                <w:rFonts w:ascii="TimesNewRoman" w:eastAsia="TimesNewRoman" w:hAnsi="TimesNewRoman" w:cs="TimesNewRoman"/>
                <w:color w:val="000000"/>
              </w:rPr>
            </w:pPr>
            <w:r>
              <w:rPr>
                <w:rFonts w:ascii="TimesNewRoman" w:eastAsia="TimesNewRoman" w:hAnsi="TimesNewRoman" w:cs="TimesNewRoman"/>
                <w:color w:val="000000"/>
              </w:rPr>
              <w:t>Urejene površine za gospodarsko dejavnost.</w:t>
            </w:r>
          </w:p>
          <w:p w14:paraId="45324038" w14:textId="77777777" w:rsidR="00EB2379" w:rsidRDefault="00EB2379" w:rsidP="00FA408F">
            <w:pPr>
              <w:spacing w:before="5pt"/>
              <w:rPr>
                <w:rFonts w:ascii="TimesNewRoman" w:eastAsia="TimesNewRoman" w:hAnsi="TimesNewRoman" w:cs="TimesNewRoman"/>
                <w:color w:val="000000"/>
              </w:rPr>
            </w:pPr>
          </w:p>
          <w:p w14:paraId="33D66F7F" w14:textId="77777777" w:rsidR="00EB2379" w:rsidRDefault="00EB2379" w:rsidP="00FA408F">
            <w:pPr>
              <w:spacing w:before="5pt"/>
              <w:rPr>
                <w:rFonts w:ascii="TimesNewRoman" w:eastAsia="TimesNewRoman" w:hAnsi="TimesNewRoman" w:cs="TimesNewRoman"/>
                <w:color w:val="000000"/>
              </w:rPr>
            </w:pPr>
            <w:r>
              <w:rPr>
                <w:rFonts w:ascii="TimesNewRoman" w:eastAsia="TimesNewRoman" w:hAnsi="TimesNewRoman" w:cs="TimesNewRoman"/>
                <w:color w:val="000000"/>
              </w:rPr>
              <w:t>Programsko specifični kazalnik rezultata: Delež podprtih organizacij, ki so uspešno vključile rezultate projektov za izboljšanje znanj, spretnosti in kompetenc v svoje razvojne načrte</w:t>
            </w:r>
          </w:p>
          <w:p w14:paraId="44803C18" w14:textId="77777777" w:rsidR="00EB2379" w:rsidRDefault="00EB2379" w:rsidP="00FA408F">
            <w:pPr>
              <w:spacing w:before="5pt"/>
              <w:rPr>
                <w:rFonts w:ascii="TimesNewRoman" w:eastAsia="TimesNewRoman" w:hAnsi="TimesNewRoman" w:cs="TimesNewRoman"/>
                <w:color w:val="000000"/>
              </w:rPr>
            </w:pPr>
          </w:p>
          <w:p w14:paraId="068E4036" w14:textId="77777777" w:rsidR="00EB2379" w:rsidRDefault="00EB2379" w:rsidP="00FA408F">
            <w:pPr>
              <w:spacing w:before="5pt"/>
              <w:rPr>
                <w:rFonts w:ascii="TimesNewRoman" w:eastAsia="TimesNewRoman" w:hAnsi="TimesNewRoman" w:cs="TimesNewRoman"/>
                <w:color w:val="000000"/>
              </w:rPr>
            </w:pPr>
            <w:r>
              <w:rPr>
                <w:rFonts w:ascii="TimesNewRoman" w:eastAsia="TimesNewRoman" w:hAnsi="TimesNewRoman" w:cs="TimesNewRoman"/>
                <w:color w:val="000000"/>
              </w:rPr>
              <w:t>Odločitev za uporabo programsko specifičnih kazalnikov učinka in rezultata kazalnika izhaja iz vsebine načrtovanih aktivnosti. Izbrani kazalniki so primerni za izvajanje razvojnih ukrepov za krepitev kakovosti vzgoje in izobraževanja, pri čemer so pomembni vsešolski pristop, podpora strokovnim in pedagoškim delavcem ter odpiranje VIZ v lokalni in širši prostor. Pri načrtovanju, izvajanju in evalvaciji sodobnih pristopov učenja in poučevanja oz. izvajanja pouka in drugih šolskih dejavnosti, bo sodelovalo veliko številko ključnih deležnikov oz. organizacij.</w:t>
            </w:r>
          </w:p>
          <w:p w14:paraId="1A4202C7" w14:textId="77777777" w:rsidR="00EB2379" w:rsidRDefault="00EB2379" w:rsidP="00FA408F">
            <w:pPr>
              <w:spacing w:before="5pt"/>
              <w:rPr>
                <w:rFonts w:ascii="TimesNewRoman" w:eastAsia="TimesNewRoman" w:hAnsi="TimesNewRoman" w:cs="TimesNewRoman"/>
                <w:color w:val="000000"/>
              </w:rPr>
            </w:pPr>
          </w:p>
          <w:p w14:paraId="717157BE" w14:textId="77777777" w:rsidR="00EB2379" w:rsidRDefault="00EB2379" w:rsidP="00FA408F">
            <w:pPr>
              <w:spacing w:before="5pt"/>
              <w:rPr>
                <w:rFonts w:ascii="TimesNewRoman" w:eastAsia="TimesNewRoman" w:hAnsi="TimesNewRoman" w:cs="TimesNewRoman"/>
                <w:color w:val="000000"/>
              </w:rPr>
            </w:pPr>
            <w:r>
              <w:rPr>
                <w:rFonts w:ascii="TimesNewRoman" w:eastAsia="TimesNewRoman" w:hAnsi="TimesNewRoman" w:cs="TimesNewRoman"/>
                <w:color w:val="000000"/>
              </w:rPr>
              <w:t>S programsko specifičnim kazalnikom: Urejene površine za gospodarsko dejavnost se meri rezultat ukrepov v okviru SC 2 Trajnosten, prožen in raznolik gospodarski razvoj, katerih osnovni namen je funkcionalni razvoj saniranih degradiranih območij in razvoj javne infrastrukture za podporo podjetjem, in ne sama sanacija okoljsko in prostorsko degradiranih območij kot takšna.</w:t>
            </w:r>
          </w:p>
          <w:p w14:paraId="244010DB" w14:textId="77777777" w:rsidR="00EB2379" w:rsidRDefault="00EB2379" w:rsidP="00FA408F">
            <w:pPr>
              <w:spacing w:before="5pt"/>
              <w:rPr>
                <w:rFonts w:ascii="TimesNewRoman" w:eastAsia="TimesNewRoman" w:hAnsi="TimesNewRoman" w:cs="TimesNewRoman"/>
                <w:color w:val="000000"/>
              </w:rPr>
            </w:pPr>
          </w:p>
          <w:p w14:paraId="48D36CB6" w14:textId="77777777" w:rsidR="00EB2379" w:rsidRDefault="00EB2379" w:rsidP="00FA408F">
            <w:pPr>
              <w:spacing w:before="5pt"/>
              <w:rPr>
                <w:rFonts w:ascii="TimesNewRoman" w:eastAsia="TimesNewRoman" w:hAnsi="TimesNewRoman" w:cs="TimesNewRoman"/>
                <w:color w:val="000000"/>
              </w:rPr>
            </w:pPr>
            <w:r>
              <w:rPr>
                <w:rFonts w:ascii="TimesNewRoman" w:eastAsia="TimesNewRoman" w:hAnsi="TimesNewRoman" w:cs="TimesNewRoman"/>
                <w:color w:val="000000"/>
              </w:rPr>
              <w:t>Za podrobnosti glej Priloga 8: Metodološki listi za programsko specifične kazalnike.</w:t>
            </w:r>
          </w:p>
          <w:p w14:paraId="71FE6312" w14:textId="77777777" w:rsidR="00EB2379" w:rsidRDefault="00EB2379" w:rsidP="00FA408F">
            <w:pPr>
              <w:spacing w:before="5pt"/>
              <w:rPr>
                <w:rFonts w:ascii="TimesNewRoman" w:eastAsia="TimesNewRoman" w:hAnsi="TimesNewRoman" w:cs="TimesNewRoman"/>
                <w:color w:val="000000"/>
                <w:sz w:val="6"/>
              </w:rPr>
            </w:pPr>
          </w:p>
          <w:p w14:paraId="472BAB64" w14:textId="77777777" w:rsidR="00EB2379" w:rsidRDefault="00EB2379" w:rsidP="00FA408F">
            <w:pPr>
              <w:spacing w:before="5pt"/>
              <w:rPr>
                <w:rFonts w:ascii="TimesNewRoman" w:eastAsia="TimesNewRoman" w:hAnsi="TimesNewRoman" w:cs="TimesNewRoman"/>
                <w:color w:val="000000"/>
                <w:sz w:val="6"/>
              </w:rPr>
            </w:pPr>
          </w:p>
        </w:tc>
      </w:tr>
    </w:tbl>
    <w:p w14:paraId="48401285" w14:textId="77777777" w:rsidR="00EB2379" w:rsidRDefault="00EB2379" w:rsidP="00EB2379">
      <w:pPr>
        <w:spacing w:before="5pt"/>
        <w:rPr>
          <w:rFonts w:ascii="TimesNewRoman" w:eastAsia="TimesNewRoman" w:hAnsi="TimesNewRoman" w:cs="TimesNewRoman"/>
          <w:color w:val="000000"/>
        </w:rPr>
        <w:sectPr w:rsidR="00EB2379" w:rsidSect="00A40305">
          <w:headerReference w:type="even" r:id="rId79"/>
          <w:headerReference w:type="default" r:id="rId80"/>
          <w:footerReference w:type="even" r:id="rId81"/>
          <w:footerReference w:type="default" r:id="rId82"/>
          <w:headerReference w:type="first" r:id="rId83"/>
          <w:footerReference w:type="first" r:id="rId84"/>
          <w:pgSz w:w="595.30pt" w:h="841.90pt"/>
          <w:pgMar w:top="36pt" w:right="46.80pt" w:bottom="43.20pt" w:left="36pt" w:header="0pt" w:footer="3.60pt" w:gutter="0pt"/>
          <w:cols w:space="36pt"/>
          <w:noEndnote/>
          <w:docGrid w:linePitch="360"/>
        </w:sectPr>
      </w:pPr>
    </w:p>
    <w:p w14:paraId="5D134AA9" w14:textId="77777777" w:rsidR="00EB2379" w:rsidRDefault="00EB2379" w:rsidP="00EB2379">
      <w:pPr>
        <w:pStyle w:val="Naslov2"/>
        <w:spacing w:before="5pt" w:after="0pt"/>
        <w:rPr>
          <w:rFonts w:ascii="TimesNewRoman" w:eastAsia="TimesNewRoman" w:hAnsi="TimesNewRoman" w:cs="TimesNewRoman"/>
          <w:b w:val="0"/>
          <w:i w:val="0"/>
          <w:color w:val="000000"/>
          <w:sz w:val="24"/>
        </w:rPr>
      </w:pPr>
      <w:r>
        <w:rPr>
          <w:rFonts w:ascii="TimesNewRoman" w:eastAsia="TimesNewRoman" w:hAnsi="TimesNewRoman" w:cs="TimesNewRoman"/>
          <w:b w:val="0"/>
          <w:i w:val="0"/>
          <w:color w:val="000000"/>
          <w:sz w:val="24"/>
        </w:rPr>
        <w:lastRenderedPageBreak/>
        <w:t>Tabela 1: Kazalniki učinka</w:t>
      </w:r>
    </w:p>
    <w:p w14:paraId="48242723" w14:textId="77777777" w:rsidR="00EB2379" w:rsidRDefault="00EB2379" w:rsidP="00EB2379">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94"/>
        <w:gridCol w:w="3250"/>
        <w:gridCol w:w="3285"/>
        <w:gridCol w:w="2068"/>
        <w:gridCol w:w="2004"/>
        <w:gridCol w:w="1871"/>
      </w:tblGrid>
      <w:tr w:rsidR="00EB2379" w14:paraId="28244BBF" w14:textId="77777777" w:rsidTr="00FA408F">
        <w:trPr>
          <w:trHeight w:val="160"/>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FE3937" w14:textId="77777777" w:rsidR="00EB2379" w:rsidRDefault="00EB2379" w:rsidP="00FA408F">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E5C21C" w14:textId="77777777" w:rsidR="00EB2379" w:rsidRDefault="00EB2379" w:rsidP="00FA408F">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545874" w14:textId="77777777" w:rsidR="00EB2379" w:rsidRDefault="00EB2379" w:rsidP="00FA408F">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D24164" w14:textId="77777777" w:rsidR="00EB2379" w:rsidRDefault="00EB2379" w:rsidP="00FA408F">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237EB4" w14:textId="77777777" w:rsidR="00EB2379" w:rsidRDefault="00EB2379" w:rsidP="00FA408F">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C0B674" w14:textId="77777777" w:rsidR="00EB2379" w:rsidRDefault="00EB2379" w:rsidP="00FA408F">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Cilj (2029)</w:t>
            </w:r>
          </w:p>
        </w:tc>
      </w:tr>
      <w:tr w:rsidR="00EB2379" w14:paraId="594578D1" w14:textId="77777777" w:rsidTr="00FA408F">
        <w:trPr>
          <w:trHeight w:val="160"/>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7A9C6E" w14:textId="77777777" w:rsidR="00EB2379" w:rsidRDefault="00EB2379" w:rsidP="00FA408F">
            <w:pPr>
              <w:spacing w:before="5pt"/>
              <w:rPr>
                <w:rFonts w:ascii="TimesNewRoman" w:eastAsia="TimesNewRoman" w:hAnsi="TimesNewRoman" w:cs="TimesNewRoman"/>
                <w:color w:val="000000"/>
              </w:rPr>
            </w:pPr>
            <w:r>
              <w:rPr>
                <w:rFonts w:ascii="TimesNewRoman" w:eastAsia="TimesNewRoman" w:hAnsi="TimesNewRoman" w:cs="TimesNewRoman"/>
                <w:color w:val="00000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CFEAB8" w14:textId="77777777" w:rsidR="00EB2379" w:rsidRDefault="00EB2379" w:rsidP="00FA408F">
            <w:pPr>
              <w:spacing w:before="5pt"/>
              <w:rPr>
                <w:rFonts w:ascii="TimesNewRoman" w:eastAsia="TimesNewRoman" w:hAnsi="TimesNewRoman" w:cs="TimesNewRoman"/>
                <w:color w:val="000000"/>
              </w:rPr>
            </w:pPr>
            <w:r>
              <w:rPr>
                <w:rFonts w:ascii="TimesNewRoman" w:eastAsia="TimesNewRoman" w:hAnsi="TimesNewRoman" w:cs="TimesNewRoman"/>
                <w:color w:val="00000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6C8EFB" w14:textId="77777777" w:rsidR="00EB2379" w:rsidRDefault="00EB2379" w:rsidP="00FA408F">
            <w:pPr>
              <w:spacing w:before="5pt"/>
              <w:rPr>
                <w:rFonts w:ascii="TimesNewRoman" w:eastAsia="TimesNewRoman" w:hAnsi="TimesNewRoman" w:cs="TimesNewRoman"/>
                <w:color w:val="000000"/>
              </w:rPr>
            </w:pPr>
            <w:r>
              <w:rPr>
                <w:rFonts w:ascii="TimesNewRoman" w:eastAsia="TimesNewRoman" w:hAnsi="TimesNewRoman" w:cs="TimesNewRoman"/>
                <w:color w:val="000000"/>
              </w:rPr>
              <w:t>Število organizacij ki so vključene  v razvojne projekte za izboljšanje znanja spretnosti in kompetenc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B5E981" w14:textId="77777777" w:rsidR="00EB2379" w:rsidRDefault="00EB2379" w:rsidP="00FA408F">
            <w:pPr>
              <w:spacing w:before="5pt"/>
              <w:rPr>
                <w:rFonts w:ascii="TimesNewRoman" w:eastAsia="TimesNewRoman" w:hAnsi="TimesNewRoman" w:cs="TimesNewRoman"/>
                <w:color w:val="000000"/>
              </w:rPr>
            </w:pPr>
            <w:r>
              <w:rPr>
                <w:rFonts w:ascii="TimesNewRoman" w:eastAsia="TimesNewRoman" w:hAnsi="TimesNewRoman" w:cs="TimesNewRoman"/>
                <w:color w:val="00000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CBEE27" w14:textId="77777777" w:rsidR="00EB2379" w:rsidRDefault="00EB2379" w:rsidP="00FA408F">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4,00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7C2FE1" w14:textId="77777777" w:rsidR="00EB2379" w:rsidRDefault="00EB2379" w:rsidP="00FA408F">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16,00</w:t>
            </w:r>
          </w:p>
        </w:tc>
      </w:tr>
      <w:tr w:rsidR="00EB2379" w14:paraId="6CADDE87" w14:textId="77777777" w:rsidTr="00FA408F">
        <w:trPr>
          <w:trHeight w:val="160"/>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38DEF6" w14:textId="77777777" w:rsidR="00EB2379" w:rsidRDefault="00EB2379" w:rsidP="00FA408F">
            <w:pPr>
              <w:spacing w:before="5pt"/>
              <w:rPr>
                <w:rFonts w:ascii="TimesNewRoman" w:eastAsia="TimesNewRoman" w:hAnsi="TimesNewRoman" w:cs="TimesNewRoman"/>
                <w:color w:val="000000"/>
              </w:rPr>
            </w:pPr>
            <w:r>
              <w:rPr>
                <w:rFonts w:ascii="TimesNewRoman" w:eastAsia="TimesNewRoman" w:hAnsi="TimesNewRoman" w:cs="TimesNewRoman"/>
                <w:color w:val="00000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CE78ED" w14:textId="77777777" w:rsidR="00EB2379" w:rsidRDefault="00EB2379" w:rsidP="00FA408F">
            <w:pPr>
              <w:spacing w:before="5pt"/>
              <w:rPr>
                <w:rFonts w:ascii="TimesNewRoman" w:eastAsia="TimesNewRoman" w:hAnsi="TimesNewRoman" w:cs="TimesNewRoman"/>
                <w:color w:val="000000"/>
              </w:rPr>
            </w:pPr>
            <w:r>
              <w:rPr>
                <w:rFonts w:ascii="TimesNewRoman" w:eastAsia="TimesNewRoman" w:hAnsi="TimesNewRoman" w:cs="TimesNewRoman"/>
                <w:color w:val="00000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021C14" w14:textId="77777777" w:rsidR="00EB2379" w:rsidRPr="00EB2379" w:rsidRDefault="00EB2379" w:rsidP="00FA408F">
            <w:pPr>
              <w:spacing w:before="5pt"/>
              <w:rPr>
                <w:rFonts w:ascii="TimesNewRoman" w:eastAsia="TimesNewRoman" w:hAnsi="TimesNewRoman" w:cs="TimesNewRoman"/>
                <w:color w:val="000000"/>
                <w:lang w:val="it-IT"/>
              </w:rPr>
            </w:pPr>
            <w:r w:rsidRPr="00EB2379">
              <w:rPr>
                <w:rFonts w:ascii="TimesNewRoman" w:eastAsia="TimesNewRoman" w:hAnsi="TimesNewRoman" w:cs="TimesNewRoman"/>
                <w:color w:val="000000"/>
                <w:lang w:val="it-IT"/>
              </w:rPr>
              <w:t>Urejene površine za gospodarsko dejavnost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FBE809" w14:textId="77777777" w:rsidR="00EB2379" w:rsidRDefault="00EB2379" w:rsidP="00FA408F">
            <w:pPr>
              <w:spacing w:before="5pt"/>
              <w:rPr>
                <w:rFonts w:ascii="TimesNewRoman" w:eastAsia="TimesNewRoman" w:hAnsi="TimesNewRoman" w:cs="TimesNewRoman"/>
                <w:color w:val="000000"/>
              </w:rPr>
            </w:pPr>
            <w:r>
              <w:rPr>
                <w:rFonts w:ascii="TimesNewRoman" w:eastAsia="TimesNewRoman" w:hAnsi="TimesNewRoman" w:cs="TimesNewRoman"/>
                <w:color w:val="000000"/>
              </w:rPr>
              <w:t>ha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0160A8" w14:textId="77777777" w:rsidR="00EB2379" w:rsidRDefault="00EB2379" w:rsidP="00FA408F">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E6007F" w14:textId="77777777" w:rsidR="00EB2379" w:rsidRDefault="00EB2379" w:rsidP="00FA408F">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11,80</w:t>
            </w:r>
          </w:p>
        </w:tc>
      </w:tr>
    </w:tbl>
    <w:p w14:paraId="653ECB70" w14:textId="77777777" w:rsidR="00EB2379" w:rsidRDefault="00EB2379" w:rsidP="00EB2379">
      <w:pPr>
        <w:spacing w:before="5pt"/>
        <w:rPr>
          <w:rFonts w:ascii="TimesNewRoman" w:eastAsia="TimesNewRoman" w:hAnsi="TimesNewRoman" w:cs="TimesNewRoman"/>
          <w:color w:val="000000"/>
        </w:rPr>
      </w:pPr>
    </w:p>
    <w:p w14:paraId="350F8532" w14:textId="77777777" w:rsidR="00EB2379" w:rsidRDefault="00EB2379" w:rsidP="00EB2379">
      <w:pPr>
        <w:pStyle w:val="Naslov2"/>
        <w:spacing w:before="5pt" w:after="0pt"/>
        <w:rPr>
          <w:rFonts w:ascii="TimesNewRoman" w:eastAsia="TimesNewRoman" w:hAnsi="TimesNewRoman" w:cs="TimesNewRoman"/>
          <w:b w:val="0"/>
          <w:i w:val="0"/>
          <w:color w:val="000000"/>
          <w:sz w:val="24"/>
        </w:rPr>
      </w:pPr>
      <w:r>
        <w:rPr>
          <w:rFonts w:ascii="TimesNewRoman" w:eastAsia="TimesNewRoman" w:hAnsi="TimesNewRoman" w:cs="TimesNewRoman"/>
          <w:b w:val="0"/>
          <w:i w:val="0"/>
          <w:color w:val="000000"/>
          <w:sz w:val="24"/>
        </w:rPr>
        <w:t>Tabela 2: Kazalniki rezultatov</w:t>
      </w:r>
    </w:p>
    <w:p w14:paraId="2F758C28" w14:textId="77777777" w:rsidR="00EB2379" w:rsidRDefault="00EB2379" w:rsidP="00EB2379">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728"/>
        <w:gridCol w:w="2084"/>
        <w:gridCol w:w="1969"/>
        <w:gridCol w:w="1326"/>
        <w:gridCol w:w="1832"/>
        <w:gridCol w:w="1937"/>
        <w:gridCol w:w="1200"/>
        <w:gridCol w:w="1601"/>
        <w:gridCol w:w="1495"/>
      </w:tblGrid>
      <w:tr w:rsidR="00EB2379" w14:paraId="289DDB75" w14:textId="77777777" w:rsidTr="00FA408F">
        <w:trPr>
          <w:trHeight w:val="160"/>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8EAED3" w14:textId="77777777" w:rsidR="00EB2379" w:rsidRDefault="00EB2379" w:rsidP="00FA408F">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D5BBC1" w14:textId="77777777" w:rsidR="00EB2379" w:rsidRDefault="00EB2379" w:rsidP="00FA408F">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190B28F" w14:textId="77777777" w:rsidR="00EB2379" w:rsidRDefault="00EB2379" w:rsidP="00FA408F">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1ECA73" w14:textId="77777777" w:rsidR="00EB2379" w:rsidRDefault="00EB2379" w:rsidP="00FA408F">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4987F3" w14:textId="77777777" w:rsidR="00EB2379" w:rsidRDefault="00EB2379" w:rsidP="00FA408F">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F15DF3" w14:textId="77777777" w:rsidR="00EB2379" w:rsidRDefault="00EB2379" w:rsidP="00FA408F">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AE2A0A" w14:textId="77777777" w:rsidR="00EB2379" w:rsidRDefault="00EB2379" w:rsidP="00FA408F">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8F97A7" w14:textId="77777777" w:rsidR="00EB2379" w:rsidRDefault="00EB2379" w:rsidP="00FA408F">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B9A939" w14:textId="77777777" w:rsidR="00EB2379" w:rsidRDefault="00EB2379" w:rsidP="00FA408F">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Opombe</w:t>
            </w:r>
          </w:p>
        </w:tc>
      </w:tr>
      <w:tr w:rsidR="00EB2379" w14:paraId="6B728AC0" w14:textId="77777777" w:rsidTr="00FA408F">
        <w:trPr>
          <w:trHeight w:val="160"/>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F8D2C6" w14:textId="77777777" w:rsidR="00EB2379" w:rsidRDefault="00EB2379" w:rsidP="00FA408F">
            <w:pPr>
              <w:spacing w:before="5pt"/>
              <w:rPr>
                <w:rFonts w:ascii="TimesNewRoman" w:eastAsia="TimesNewRoman" w:hAnsi="TimesNewRoman" w:cs="TimesNewRoman"/>
                <w:color w:val="000000"/>
              </w:rPr>
            </w:pPr>
            <w:r>
              <w:rPr>
                <w:rFonts w:ascii="TimesNewRoman" w:eastAsia="TimesNewRoman" w:hAnsi="TimesNewRoman" w:cs="TimesNewRoman"/>
                <w:color w:val="00000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BAC368" w14:textId="77777777" w:rsidR="00EB2379" w:rsidRDefault="00EB2379" w:rsidP="00FA408F">
            <w:pPr>
              <w:spacing w:before="5pt"/>
              <w:rPr>
                <w:rFonts w:ascii="TimesNewRoman" w:eastAsia="TimesNewRoman" w:hAnsi="TimesNewRoman" w:cs="TimesNewRoman"/>
                <w:color w:val="000000"/>
              </w:rPr>
            </w:pPr>
            <w:r>
              <w:rPr>
                <w:rFonts w:ascii="TimesNewRoman" w:eastAsia="TimesNewRoman" w:hAnsi="TimesNewRoman" w:cs="TimesNewRoman"/>
                <w:color w:val="00000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E73F95" w14:textId="77777777" w:rsidR="00EB2379" w:rsidRDefault="00EB2379" w:rsidP="00FA408F">
            <w:pPr>
              <w:spacing w:before="5pt"/>
              <w:rPr>
                <w:rFonts w:ascii="TimesNewRoman" w:eastAsia="TimesNewRoman" w:hAnsi="TimesNewRoman" w:cs="TimesNewRoman"/>
                <w:color w:val="000000"/>
              </w:rPr>
            </w:pPr>
            <w:r>
              <w:rPr>
                <w:rFonts w:ascii="TimesNewRoman" w:eastAsia="TimesNewRoman" w:hAnsi="TimesNewRoman" w:cs="TimesNewRoman"/>
                <w:color w:val="000000"/>
              </w:rPr>
              <w:t>Delež podprtih organizacij, ki so uspešno vključile rezultate projektov za izboljšanje znanj, spretnosti in kompetenc v svoje razvojne načrte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7EDF98" w14:textId="77777777" w:rsidR="00EB2379" w:rsidRDefault="00EB2379" w:rsidP="00FA408F">
            <w:pPr>
              <w:spacing w:before="5pt"/>
              <w:rPr>
                <w:rFonts w:ascii="TimesNewRoman" w:eastAsia="TimesNewRoman" w:hAnsi="TimesNewRoman" w:cs="TimesNewRoman"/>
                <w:color w:val="000000"/>
              </w:rPr>
            </w:pPr>
            <w:r>
              <w:rPr>
                <w:rFonts w:ascii="TimesNewRoman" w:eastAsia="TimesNewRoman" w:hAnsi="TimesNewRoman" w:cs="TimesNewRoman"/>
                <w:color w:val="000000"/>
              </w:rPr>
              <w:t>delež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5480FF" w14:textId="77777777" w:rsidR="00EB2379" w:rsidRDefault="00EB2379" w:rsidP="00FA408F">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E561A6" w14:textId="77777777" w:rsidR="00EB2379" w:rsidRDefault="00EB2379" w:rsidP="00FA408F">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 xml:space="preserve">2022 -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DFDAD3" w14:textId="77777777" w:rsidR="00EB2379" w:rsidRDefault="00EB2379" w:rsidP="00FA408F">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80,00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DA88FF" w14:textId="77777777" w:rsidR="00EB2379" w:rsidRDefault="00EB2379" w:rsidP="00FA408F">
            <w:pPr>
              <w:spacing w:before="5pt"/>
              <w:rPr>
                <w:rFonts w:ascii="TimesNewRoman" w:eastAsia="TimesNewRoman" w:hAnsi="TimesNewRoman" w:cs="TimesNewRoman"/>
                <w:color w:val="000000"/>
              </w:rPr>
            </w:pPr>
            <w:r>
              <w:rPr>
                <w:rFonts w:ascii="TimesNewRoman" w:eastAsia="TimesNewRoman" w:hAnsi="TimesNewRoman" w:cs="TimesNewRoman"/>
                <w:color w:val="000000"/>
              </w:rPr>
              <w:t>MVI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C68F41" w14:textId="77777777" w:rsidR="00EB2379" w:rsidRDefault="00EB2379" w:rsidP="00FA408F">
            <w:pPr>
              <w:spacing w:before="5pt"/>
              <w:rPr>
                <w:rFonts w:ascii="TimesNewRoman" w:eastAsia="TimesNewRoman" w:hAnsi="TimesNewRoman" w:cs="TimesNewRoman"/>
                <w:color w:val="000000"/>
              </w:rPr>
            </w:pPr>
          </w:p>
        </w:tc>
      </w:tr>
    </w:tbl>
    <w:p w14:paraId="2441D54C" w14:textId="77777777" w:rsidR="00EB2379" w:rsidRDefault="00EB2379" w:rsidP="00EB2379">
      <w:pPr>
        <w:spacing w:before="5pt"/>
        <w:rPr>
          <w:rFonts w:ascii="TimesNewRoman" w:eastAsia="TimesNewRoman" w:hAnsi="TimesNewRoman" w:cs="TimesNewRoman"/>
          <w:color w:val="000000"/>
        </w:rPr>
      </w:pPr>
    </w:p>
    <w:p w14:paraId="0CA08DAB" w14:textId="77777777" w:rsidR="00EB2379" w:rsidRDefault="00EB2379" w:rsidP="00EB2379">
      <w:pPr>
        <w:spacing w:before="5pt"/>
        <w:rPr>
          <w:rFonts w:ascii="TimesNewRoman" w:eastAsia="TimesNewRoman" w:hAnsi="TimesNewRoman" w:cs="TimesNewRoman"/>
          <w:color w:val="000000"/>
        </w:rPr>
      </w:pPr>
    </w:p>
    <w:p w14:paraId="17E4889E" w14:textId="4EBCC14B" w:rsidR="00A77B3E" w:rsidRDefault="00A77B3E" w:rsidP="00EB2379">
      <w:pPr>
        <w:pStyle w:val="Naslov1"/>
        <w:spacing w:before="5pt" w:after="0pt"/>
        <w:rPr>
          <w:rFonts w:ascii="TimesNewRoman" w:eastAsia="TimesNewRoman" w:hAnsi="TimesNewRoman" w:cs="TimesNewRoman"/>
          <w:color w:val="000000"/>
        </w:rPr>
        <w:sectPr w:rsidR="00A77B3E">
          <w:headerReference w:type="even" r:id="rId85"/>
          <w:headerReference w:type="default" r:id="rId86"/>
          <w:footerReference w:type="even" r:id="rId87"/>
          <w:footerReference w:type="default" r:id="rId88"/>
          <w:headerReference w:type="first" r:id="rId89"/>
          <w:footerReference w:type="first" r:id="rId90"/>
          <w:pgSz w:w="841.90pt" w:h="595.30pt" w:orient="landscape"/>
          <w:pgMar w:top="36pt" w:right="36pt" w:bottom="43.20pt" w:left="46.80pt" w:header="14.40pt" w:footer="3.60pt" w:gutter="0pt"/>
          <w:cols w:space="36pt"/>
          <w:noEndnote/>
          <w:docGrid w:linePitch="360"/>
        </w:sectPr>
      </w:pPr>
    </w:p>
    <w:p w14:paraId="3559E62C" w14:textId="77777777" w:rsidR="00A77B3E" w:rsidRDefault="00B16CCF">
      <w:pPr>
        <w:pStyle w:val="Naslov1"/>
        <w:spacing w:before="5pt" w:after="0pt"/>
        <w:rPr>
          <w:rFonts w:ascii="TimesNewRoman" w:eastAsia="TimesNewRoman" w:hAnsi="TimesNewRoman" w:cs="TimesNewRoman"/>
          <w:b w:val="0"/>
          <w:color w:val="000000"/>
          <w:sz w:val="24"/>
        </w:rPr>
      </w:pPr>
      <w:bookmarkStart w:id="747" w:name="_Toc256001521"/>
      <w:r>
        <w:rPr>
          <w:rFonts w:ascii="TimesNewRoman" w:eastAsia="TimesNewRoman" w:hAnsi="TimesNewRoman" w:cs="TimesNewRoman"/>
          <w:b w:val="0"/>
          <w:color w:val="000000"/>
          <w:sz w:val="24"/>
        </w:rPr>
        <w:lastRenderedPageBreak/>
        <w:t>DOKUMENTI</w:t>
      </w:r>
      <w:bookmarkEnd w:id="747"/>
    </w:p>
    <w:p w14:paraId="54DFF87B"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092"/>
        <w:gridCol w:w="2092"/>
        <w:gridCol w:w="1308"/>
        <w:gridCol w:w="2093"/>
        <w:gridCol w:w="2093"/>
        <w:gridCol w:w="2093"/>
        <w:gridCol w:w="1308"/>
        <w:gridCol w:w="2093"/>
      </w:tblGrid>
      <w:tr w:rsidR="00823317" w14:paraId="4331177B" w14:textId="77777777">
        <w:trPr>
          <w:trHeight w:val="240"/>
          <w:tblHeader/>
        </w:trPr>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2F4C6000" w14:textId="77777777" w:rsidR="00A77B3E" w:rsidRDefault="00B16CCF">
            <w:pPr>
              <w:spacing w:before="5pt"/>
              <w:jc w:val="center"/>
              <w:rPr>
                <w:color w:val="000000"/>
                <w:sz w:val="16"/>
              </w:rPr>
            </w:pPr>
            <w:r>
              <w:rPr>
                <w:color w:val="000000"/>
                <w:sz w:val="16"/>
              </w:rPr>
              <w:t>Naslov dokumenta</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200BA742" w14:textId="77777777" w:rsidR="00A77B3E" w:rsidRDefault="00B16CCF">
            <w:pPr>
              <w:spacing w:before="5pt"/>
              <w:jc w:val="center"/>
              <w:rPr>
                <w:color w:val="000000"/>
                <w:sz w:val="16"/>
              </w:rPr>
            </w:pPr>
            <w:r>
              <w:rPr>
                <w:color w:val="000000"/>
                <w:sz w:val="16"/>
              </w:rPr>
              <w:t>Vrsta dokumenta</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7A1C5ED9" w14:textId="77777777" w:rsidR="00A77B3E" w:rsidRDefault="00B16CCF">
            <w:pPr>
              <w:spacing w:before="5pt"/>
              <w:jc w:val="center"/>
              <w:rPr>
                <w:color w:val="000000"/>
                <w:sz w:val="16"/>
              </w:rPr>
            </w:pPr>
            <w:r>
              <w:rPr>
                <w:color w:val="000000"/>
                <w:sz w:val="16"/>
              </w:rPr>
              <w:t>Datum dokumenta</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2D6F9CCD" w14:textId="77777777" w:rsidR="00A77B3E" w:rsidRDefault="00B16CCF">
            <w:pPr>
              <w:spacing w:before="5pt"/>
              <w:jc w:val="center"/>
              <w:rPr>
                <w:color w:val="000000"/>
                <w:sz w:val="16"/>
              </w:rPr>
            </w:pPr>
            <w:r>
              <w:rPr>
                <w:color w:val="000000"/>
                <w:sz w:val="16"/>
              </w:rPr>
              <w:t>Lokalna referenca</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2DDF2297" w14:textId="77777777" w:rsidR="00A77B3E" w:rsidRDefault="00B16CCF">
            <w:pPr>
              <w:spacing w:before="5pt"/>
              <w:jc w:val="center"/>
              <w:rPr>
                <w:color w:val="000000"/>
                <w:sz w:val="16"/>
              </w:rPr>
            </w:pPr>
            <w:r>
              <w:rPr>
                <w:color w:val="000000"/>
                <w:sz w:val="16"/>
              </w:rPr>
              <w:t>Referenčna oznaka Komisije</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643EC495" w14:textId="77777777" w:rsidR="00A77B3E" w:rsidRDefault="00B16CCF">
            <w:pPr>
              <w:spacing w:before="5pt"/>
              <w:jc w:val="center"/>
              <w:rPr>
                <w:color w:val="000000"/>
                <w:sz w:val="16"/>
              </w:rPr>
            </w:pPr>
            <w:r>
              <w:rPr>
                <w:color w:val="000000"/>
                <w:sz w:val="16"/>
              </w:rPr>
              <w:t>Datoteke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57087E24" w14:textId="77777777" w:rsidR="00A77B3E" w:rsidRDefault="00B16CCF">
            <w:pPr>
              <w:spacing w:before="5pt"/>
              <w:jc w:val="center"/>
              <w:rPr>
                <w:color w:val="000000"/>
                <w:sz w:val="16"/>
              </w:rPr>
            </w:pPr>
            <w:r>
              <w:rPr>
                <w:color w:val="000000"/>
                <w:sz w:val="16"/>
              </w:rPr>
              <w:t>Datum pošiljanja</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7BDC0823" w14:textId="77777777" w:rsidR="00A77B3E" w:rsidRDefault="00B16CCF">
            <w:pPr>
              <w:spacing w:before="5pt"/>
              <w:jc w:val="center"/>
              <w:rPr>
                <w:color w:val="000000"/>
                <w:sz w:val="16"/>
              </w:rPr>
            </w:pPr>
            <w:r>
              <w:rPr>
                <w:color w:val="000000"/>
                <w:sz w:val="16"/>
              </w:rPr>
              <w:t>Poslal</w:t>
            </w:r>
          </w:p>
        </w:tc>
      </w:tr>
    </w:tbl>
    <w:p w14:paraId="4D5EB1C2" w14:textId="77777777" w:rsidR="00A77B3E" w:rsidRDefault="00A77B3E">
      <w:pPr>
        <w:spacing w:before="5pt"/>
        <w:jc w:val="center"/>
        <w:rPr>
          <w:color w:val="000000"/>
          <w:sz w:val="16"/>
        </w:rPr>
      </w:pPr>
    </w:p>
    <w:sectPr w:rsidR="00A77B3E">
      <w:headerReference w:type="even" r:id="rId91"/>
      <w:headerReference w:type="default" r:id="rId92"/>
      <w:footerReference w:type="even" r:id="rId93"/>
      <w:footerReference w:type="default" r:id="rId94"/>
      <w:headerReference w:type="first" r:id="rId95"/>
      <w:footerReference w:type="first" r:id="rId96"/>
      <w:pgSz w:w="841.90pt" w:h="595.30pt" w:orient="landscape"/>
      <w:pgMar w:top="36pt" w:right="36pt" w:bottom="43.20pt" w:left="46.80pt" w:header="14.40pt" w:footer="3.60pt" w:gutter="0pt"/>
      <w:cols w:space="36pt"/>
      <w:noEndnote/>
      <w:docGrid w:linePitch="360"/>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6BF267A8" w14:textId="77777777" w:rsidR="001D0AD2" w:rsidRDefault="001D0AD2">
      <w:r>
        <w:separator/>
      </w:r>
    </w:p>
  </w:endnote>
  <w:endnote w:type="continuationSeparator" w:id="0">
    <w:p w14:paraId="2DD5C309" w14:textId="77777777" w:rsidR="001D0AD2" w:rsidRDefault="001D0AD2">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windows-1250"/>
    <w:family w:val="roman"/>
    <w:pitch w:val="variable"/>
    <w:sig w:usb0="E0002EFF" w:usb1="C000785B" w:usb2="00000009" w:usb3="00000000" w:csb0="000001FF" w:csb1="00000000"/>
  </w:font>
  <w:font w:name="Courier New">
    <w:panose1 w:val="02070309020205020404"/>
    <w:charset w:characterSet="windows-1250"/>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Arial">
    <w:panose1 w:val="020B0604020202020204"/>
    <w:charset w:characterSet="windows-1250"/>
    <w:family w:val="swiss"/>
    <w:pitch w:val="variable"/>
    <w:sig w:usb0="E0002EFF" w:usb1="C000785B" w:usb2="00000009" w:usb3="00000000" w:csb0="000001FF" w:csb1="00000000"/>
  </w:font>
  <w:font w:name="Calibri">
    <w:panose1 w:val="020F0502020204030204"/>
    <w:charset w:characterSet="windows-1250"/>
    <w:family w:val="swiss"/>
    <w:pitch w:val="variable"/>
    <w:sig w:usb0="E4002EFF" w:usb1="C000247B" w:usb2="00000009" w:usb3="00000000" w:csb0="000001FF" w:csb1="00000000"/>
  </w:font>
  <w:font w:name="TimesNewRoman">
    <w:altName w:val="Times New Roman"/>
    <w:panose1 w:val="00000000000000000000"/>
    <w:charset w:characterSet="iso-8859-1"/>
    <w:family w:val="roman"/>
    <w:notTrueType/>
    <w:pitch w:val="default"/>
  </w:font>
  <w:font w:name="Cambria">
    <w:panose1 w:val="02040503050406030204"/>
    <w:charset w:characterSet="windows-1250"/>
    <w:family w:val="roman"/>
    <w:pitch w:val="variable"/>
    <w:sig w:usb0="E00006FF" w:usb1="420024FF" w:usb2="02000000" w:usb3="00000000" w:csb0="0000019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76516218" w14:textId="77777777" w:rsidR="00823317" w:rsidRDefault="00823317"/>
</w:ftr>
</file>

<file path=word/footer10.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56F26B58" w14:textId="77777777" w:rsidR="00823317" w:rsidRDefault="00823317"/>
</w:ftr>
</file>

<file path=word/footer1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100.0%" w:type="pct"/>
      <w:tblLook w:firstRow="1" w:lastRow="0" w:firstColumn="1" w:lastColumn="0" w:noHBand="0" w:noVBand="1"/>
    </w:tblPr>
    <w:tblGrid>
      <w:gridCol w:w="5169"/>
      <w:gridCol w:w="4845"/>
      <w:gridCol w:w="5168"/>
    </w:tblGrid>
    <w:tr w:rsidR="00823317" w14:paraId="4C67AA2D" w14:textId="77777777">
      <w:tc>
        <w:tcPr>
          <w:tcW w:w="0pt" w:type="dxa"/>
          <w:tcMar>
            <w:top w:w="0pt" w:type="dxa"/>
            <w:start w:w="3pt" w:type="dxa"/>
            <w:bottom w:w="4pt" w:type="dxa"/>
            <w:end w:w="3pt" w:type="dxa"/>
          </w:tcMar>
        </w:tcPr>
        <w:p w14:paraId="678AADFC" w14:textId="77777777" w:rsidR="00823317" w:rsidRDefault="00B16CCF">
          <w:pPr>
            <w:rPr>
              <w:b/>
              <w:color w:val="000000"/>
            </w:rPr>
          </w:pPr>
          <w:r>
            <w:rPr>
              <w:b/>
              <w:color w:val="000000"/>
              <w:sz w:val="32"/>
            </w:rPr>
            <w:t>SL</w:t>
          </w:r>
        </w:p>
      </w:tc>
      <w:tc>
        <w:tcPr>
          <w:tcW w:w="0pt" w:type="dxa"/>
          <w:tcMar>
            <w:top w:w="0pt" w:type="dxa"/>
            <w:start w:w="3pt" w:type="dxa"/>
            <w:bottom w:w="4pt" w:type="dxa"/>
            <w:end w:w="3pt" w:type="dxa"/>
          </w:tcMar>
        </w:tcPr>
        <w:p w14:paraId="4E418512" w14:textId="096BE8BD" w:rsidR="00823317" w:rsidRDefault="00B16CCF">
          <w:pPr>
            <w:jc w:val="center"/>
            <w:rPr>
              <w:b/>
              <w:color w:val="000000"/>
              <w:sz w:val="32"/>
            </w:rPr>
          </w:pPr>
          <w:r>
            <w:rPr>
              <w:b/>
              <w:color w:val="000000"/>
            </w:rPr>
            <w:fldChar w:fldCharType="begin"/>
          </w:r>
          <w:r>
            <w:rPr>
              <w:b/>
              <w:color w:val="000000"/>
            </w:rPr>
            <w:instrText>PAGE</w:instrText>
          </w:r>
          <w:r>
            <w:rPr>
              <w:b/>
              <w:color w:val="000000"/>
            </w:rPr>
            <w:fldChar w:fldCharType="separate"/>
          </w:r>
          <w:r w:rsidR="00EB2379">
            <w:rPr>
              <w:b/>
              <w:color w:val="000000"/>
            </w:rPr>
            <w:t>362</w:t>
          </w:r>
          <w:r>
            <w:rPr>
              <w:b/>
              <w:color w:val="000000"/>
            </w:rPr>
            <w:fldChar w:fldCharType="end"/>
          </w:r>
        </w:p>
      </w:tc>
      <w:tc>
        <w:tcPr>
          <w:tcW w:w="0pt" w:type="dxa"/>
          <w:tcMar>
            <w:top w:w="0pt" w:type="dxa"/>
            <w:start w:w="3pt" w:type="dxa"/>
            <w:bottom w:w="4pt" w:type="dxa"/>
            <w:end w:w="3pt" w:type="dxa"/>
          </w:tcMar>
        </w:tcPr>
        <w:p w14:paraId="429AEC4A" w14:textId="77777777" w:rsidR="00823317" w:rsidRDefault="00B16CCF">
          <w:pPr>
            <w:jc w:val="end"/>
            <w:rPr>
              <w:b/>
              <w:color w:val="000000"/>
              <w:sz w:val="32"/>
            </w:rPr>
          </w:pPr>
          <w:r>
            <w:rPr>
              <w:b/>
              <w:color w:val="000000"/>
              <w:sz w:val="32"/>
            </w:rPr>
            <w:t>SL</w:t>
          </w:r>
        </w:p>
      </w:tc>
    </w:tr>
  </w:tbl>
  <w:p w14:paraId="3FF84B47" w14:textId="77777777" w:rsidR="00823317" w:rsidRDefault="00823317">
    <w:pPr>
      <w:rPr>
        <w:b/>
        <w:color w:val="000000"/>
      </w:rPr>
    </w:pPr>
  </w:p>
</w:ftr>
</file>

<file path=word/footer12.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7D57D587" w14:textId="77777777" w:rsidR="00823317" w:rsidRDefault="00823317"/>
</w:ftr>
</file>

<file path=word/footer13.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35C66875" w14:textId="77777777" w:rsidR="00823317" w:rsidRDefault="00823317"/>
</w:ftr>
</file>

<file path=word/footer14.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100.0%" w:type="pct"/>
      <w:tblLook w:firstRow="1" w:lastRow="0" w:firstColumn="1" w:lastColumn="0" w:noHBand="0" w:noVBand="1"/>
    </w:tblPr>
    <w:tblGrid>
      <w:gridCol w:w="5169"/>
      <w:gridCol w:w="4845"/>
      <w:gridCol w:w="5168"/>
    </w:tblGrid>
    <w:tr w:rsidR="00823317" w14:paraId="6571851E" w14:textId="77777777">
      <w:tc>
        <w:tcPr>
          <w:tcW w:w="0pt" w:type="dxa"/>
          <w:tcMar>
            <w:top w:w="0pt" w:type="dxa"/>
            <w:start w:w="3pt" w:type="dxa"/>
            <w:bottom w:w="4pt" w:type="dxa"/>
            <w:end w:w="3pt" w:type="dxa"/>
          </w:tcMar>
        </w:tcPr>
        <w:p w14:paraId="422B500E" w14:textId="77777777" w:rsidR="00823317" w:rsidRDefault="00B16CCF">
          <w:pPr>
            <w:rPr>
              <w:b/>
              <w:color w:val="000000"/>
            </w:rPr>
          </w:pPr>
          <w:r>
            <w:rPr>
              <w:b/>
              <w:color w:val="000000"/>
              <w:sz w:val="32"/>
            </w:rPr>
            <w:t>SL</w:t>
          </w:r>
        </w:p>
      </w:tc>
      <w:tc>
        <w:tcPr>
          <w:tcW w:w="0pt" w:type="dxa"/>
          <w:tcMar>
            <w:top w:w="0pt" w:type="dxa"/>
            <w:start w:w="3pt" w:type="dxa"/>
            <w:bottom w:w="4pt" w:type="dxa"/>
            <w:end w:w="3pt" w:type="dxa"/>
          </w:tcMar>
        </w:tcPr>
        <w:p w14:paraId="12AB0E78" w14:textId="5F84C9DD" w:rsidR="00823317" w:rsidRDefault="00B16CCF">
          <w:pPr>
            <w:jc w:val="center"/>
            <w:rPr>
              <w:b/>
              <w:color w:val="000000"/>
              <w:sz w:val="32"/>
            </w:rPr>
          </w:pPr>
          <w:r>
            <w:rPr>
              <w:b/>
              <w:color w:val="000000"/>
            </w:rPr>
            <w:fldChar w:fldCharType="begin"/>
          </w:r>
          <w:r>
            <w:rPr>
              <w:b/>
              <w:color w:val="000000"/>
            </w:rPr>
            <w:instrText>PAGE</w:instrText>
          </w:r>
          <w:r>
            <w:rPr>
              <w:b/>
              <w:color w:val="000000"/>
            </w:rPr>
            <w:fldChar w:fldCharType="separate"/>
          </w:r>
          <w:r w:rsidR="00EB2379">
            <w:rPr>
              <w:b/>
              <w:color w:val="000000"/>
            </w:rPr>
            <w:t>408</w:t>
          </w:r>
          <w:r>
            <w:rPr>
              <w:b/>
              <w:color w:val="000000"/>
            </w:rPr>
            <w:fldChar w:fldCharType="end"/>
          </w:r>
        </w:p>
      </w:tc>
      <w:tc>
        <w:tcPr>
          <w:tcW w:w="0pt" w:type="dxa"/>
          <w:tcMar>
            <w:top w:w="0pt" w:type="dxa"/>
            <w:start w:w="3pt" w:type="dxa"/>
            <w:bottom w:w="4pt" w:type="dxa"/>
            <w:end w:w="3pt" w:type="dxa"/>
          </w:tcMar>
        </w:tcPr>
        <w:p w14:paraId="4756BBDA" w14:textId="77777777" w:rsidR="00823317" w:rsidRDefault="00B16CCF">
          <w:pPr>
            <w:jc w:val="end"/>
            <w:rPr>
              <w:b/>
              <w:color w:val="000000"/>
              <w:sz w:val="32"/>
            </w:rPr>
          </w:pPr>
          <w:r>
            <w:rPr>
              <w:b/>
              <w:color w:val="000000"/>
              <w:sz w:val="32"/>
            </w:rPr>
            <w:t>SL</w:t>
          </w:r>
        </w:p>
      </w:tc>
    </w:tr>
  </w:tbl>
  <w:p w14:paraId="4F0CB174" w14:textId="77777777" w:rsidR="00823317" w:rsidRDefault="00823317">
    <w:pPr>
      <w:rPr>
        <w:b/>
        <w:color w:val="000000"/>
      </w:rPr>
    </w:pPr>
  </w:p>
</w:ftr>
</file>

<file path=word/footer15.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3ACC9415" w14:textId="77777777" w:rsidR="00823317" w:rsidRDefault="00823317"/>
</w:ftr>
</file>

<file path=word/footer16.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71E8E024" w14:textId="77777777" w:rsidR="00823317" w:rsidRDefault="00823317"/>
</w:ftr>
</file>

<file path=word/footer17.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100.0%" w:type="pct"/>
      <w:tblLook w:firstRow="1" w:lastRow="0" w:firstColumn="1" w:lastColumn="0" w:noHBand="0" w:noVBand="1"/>
    </w:tblPr>
    <w:tblGrid>
      <w:gridCol w:w="3490"/>
      <w:gridCol w:w="3271"/>
      <w:gridCol w:w="3489"/>
    </w:tblGrid>
    <w:tr w:rsidR="00823317" w14:paraId="0FB3047B" w14:textId="77777777">
      <w:trPr>
        <w:trHeight w:val="160"/>
      </w:trPr>
      <w:tc>
        <w:tcPr>
          <w:tcW w:w="0pt" w:type="dxa"/>
          <w:tcMar>
            <w:top w:w="0pt" w:type="dxa"/>
            <w:start w:w="3pt" w:type="dxa"/>
            <w:bottom w:w="4pt" w:type="dxa"/>
            <w:end w:w="3pt" w:type="dxa"/>
          </w:tcMar>
          <w:vAlign w:val="center"/>
        </w:tcPr>
        <w:p w14:paraId="26E2A504" w14:textId="77777777" w:rsidR="00823317" w:rsidRDefault="00B16CCF">
          <w:pPr>
            <w:rPr>
              <w:b/>
              <w:color w:val="000000"/>
            </w:rPr>
          </w:pPr>
          <w:r>
            <w:rPr>
              <w:b/>
              <w:color w:val="000000"/>
              <w:sz w:val="32"/>
            </w:rPr>
            <w:t>SL</w:t>
          </w:r>
        </w:p>
      </w:tc>
      <w:tc>
        <w:tcPr>
          <w:tcW w:w="0pt" w:type="dxa"/>
          <w:tcMar>
            <w:top w:w="0pt" w:type="dxa"/>
            <w:start w:w="3pt" w:type="dxa"/>
            <w:bottom w:w="4pt" w:type="dxa"/>
            <w:end w:w="3pt" w:type="dxa"/>
          </w:tcMar>
          <w:vAlign w:val="center"/>
        </w:tcPr>
        <w:p w14:paraId="5FE140D9" w14:textId="591CE5CA" w:rsidR="00823317" w:rsidRDefault="00B16CCF">
          <w:pPr>
            <w:jc w:val="center"/>
            <w:rPr>
              <w:b/>
              <w:color w:val="000000"/>
              <w:sz w:val="32"/>
            </w:rPr>
          </w:pPr>
          <w:r>
            <w:rPr>
              <w:b/>
              <w:color w:val="000000"/>
            </w:rPr>
            <w:fldChar w:fldCharType="begin"/>
          </w:r>
          <w:r>
            <w:rPr>
              <w:b/>
              <w:color w:val="000000"/>
            </w:rPr>
            <w:instrText>PAGE</w:instrText>
          </w:r>
          <w:r>
            <w:rPr>
              <w:b/>
              <w:color w:val="000000"/>
            </w:rPr>
            <w:fldChar w:fldCharType="separate"/>
          </w:r>
          <w:r w:rsidR="00EB2379">
            <w:rPr>
              <w:b/>
              <w:color w:val="000000"/>
            </w:rPr>
            <w:t>413</w:t>
          </w:r>
          <w:r>
            <w:rPr>
              <w:b/>
              <w:color w:val="000000"/>
            </w:rPr>
            <w:fldChar w:fldCharType="end"/>
          </w:r>
        </w:p>
      </w:tc>
      <w:tc>
        <w:tcPr>
          <w:tcW w:w="0pt" w:type="dxa"/>
          <w:tcMar>
            <w:top w:w="0pt" w:type="dxa"/>
            <w:start w:w="3pt" w:type="dxa"/>
            <w:bottom w:w="4pt" w:type="dxa"/>
            <w:end w:w="3pt" w:type="dxa"/>
          </w:tcMar>
          <w:vAlign w:val="center"/>
        </w:tcPr>
        <w:p w14:paraId="5F81C016" w14:textId="77777777" w:rsidR="00823317" w:rsidRDefault="00B16CCF">
          <w:pPr>
            <w:jc w:val="end"/>
            <w:rPr>
              <w:b/>
              <w:color w:val="000000"/>
              <w:sz w:val="32"/>
            </w:rPr>
          </w:pPr>
          <w:r>
            <w:rPr>
              <w:b/>
              <w:color w:val="000000"/>
              <w:sz w:val="32"/>
            </w:rPr>
            <w:t>SL</w:t>
          </w:r>
        </w:p>
      </w:tc>
    </w:tr>
  </w:tbl>
  <w:p w14:paraId="61BF9928" w14:textId="77777777" w:rsidR="00823317" w:rsidRDefault="00823317">
    <w:pPr>
      <w:rPr>
        <w:b/>
        <w:color w:val="000000"/>
      </w:rPr>
    </w:pPr>
  </w:p>
</w:ftr>
</file>

<file path=word/footer18.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3DEA0BEE" w14:textId="77777777" w:rsidR="00823317" w:rsidRDefault="00823317"/>
</w:ftr>
</file>

<file path=word/footer19.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671EB4E6" w14:textId="77777777" w:rsidR="00823317" w:rsidRDefault="00823317"/>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100.0%" w:type="pct"/>
      <w:tblLook w:firstRow="1" w:lastRow="0" w:firstColumn="1" w:lastColumn="0" w:noHBand="0" w:noVBand="1"/>
    </w:tblPr>
    <w:tblGrid>
      <w:gridCol w:w="4034"/>
      <w:gridCol w:w="2181"/>
      <w:gridCol w:w="4035"/>
    </w:tblGrid>
    <w:tr w:rsidR="00823317" w14:paraId="40D13667" w14:textId="77777777">
      <w:trPr>
        <w:trHeight w:val="240"/>
      </w:trPr>
      <w:tc>
        <w:tcPr>
          <w:tcW w:w="0pt" w:type="dxa"/>
          <w:tcMar>
            <w:start w:w="5pt" w:type="dxa"/>
            <w:end w:w="5pt" w:type="dxa"/>
          </w:tcMar>
        </w:tcPr>
        <w:p w14:paraId="7C7262A8" w14:textId="77777777" w:rsidR="00823317" w:rsidRDefault="00B16CCF">
          <w:pPr>
            <w:rPr>
              <w:b/>
              <w:color w:val="000000"/>
            </w:rPr>
          </w:pPr>
          <w:r>
            <w:rPr>
              <w:b/>
              <w:color w:val="000000"/>
              <w:sz w:val="32"/>
            </w:rPr>
            <w:t>SL</w:t>
          </w:r>
        </w:p>
      </w:tc>
      <w:tc>
        <w:tcPr>
          <w:tcW w:w="0pt" w:type="dxa"/>
          <w:tcMar>
            <w:start w:w="5pt" w:type="dxa"/>
            <w:end w:w="5pt" w:type="dxa"/>
          </w:tcMar>
        </w:tcPr>
        <w:p w14:paraId="4B3FD10C" w14:textId="36470652" w:rsidR="00823317" w:rsidRDefault="00B16CCF">
          <w:pPr>
            <w:jc w:val="center"/>
            <w:rPr>
              <w:b/>
              <w:color w:val="000000"/>
              <w:sz w:val="32"/>
            </w:rPr>
          </w:pPr>
          <w:r>
            <w:rPr>
              <w:b/>
              <w:color w:val="000000"/>
            </w:rPr>
            <w:fldChar w:fldCharType="begin"/>
          </w:r>
          <w:r>
            <w:rPr>
              <w:b/>
              <w:color w:val="000000"/>
            </w:rPr>
            <w:instrText>PAGE</w:instrText>
          </w:r>
          <w:r>
            <w:rPr>
              <w:b/>
              <w:color w:val="000000"/>
            </w:rPr>
            <w:fldChar w:fldCharType="separate"/>
          </w:r>
          <w:r w:rsidR="00EB2379">
            <w:rPr>
              <w:b/>
              <w:color w:val="000000"/>
            </w:rPr>
            <w:t>29</w:t>
          </w:r>
          <w:r>
            <w:rPr>
              <w:b/>
              <w:color w:val="000000"/>
            </w:rPr>
            <w:fldChar w:fldCharType="end"/>
          </w:r>
        </w:p>
      </w:tc>
      <w:tc>
        <w:tcPr>
          <w:tcW w:w="0pt" w:type="dxa"/>
          <w:tcMar>
            <w:start w:w="5pt" w:type="dxa"/>
            <w:end w:w="5pt" w:type="dxa"/>
          </w:tcMar>
        </w:tcPr>
        <w:p w14:paraId="6A43A9AD" w14:textId="77777777" w:rsidR="00823317" w:rsidRDefault="00B16CCF">
          <w:pPr>
            <w:jc w:val="end"/>
            <w:rPr>
              <w:b/>
              <w:color w:val="000000"/>
              <w:sz w:val="32"/>
            </w:rPr>
          </w:pPr>
          <w:r>
            <w:rPr>
              <w:b/>
              <w:color w:val="000000"/>
              <w:sz w:val="32"/>
            </w:rPr>
            <w:t>SL</w:t>
          </w:r>
        </w:p>
      </w:tc>
    </w:tr>
  </w:tbl>
  <w:p w14:paraId="3520DE1E" w14:textId="77777777" w:rsidR="00823317" w:rsidRDefault="00823317">
    <w:pPr>
      <w:rPr>
        <w:b/>
        <w:color w:val="000000"/>
      </w:rPr>
    </w:pPr>
  </w:p>
</w:ftr>
</file>

<file path=word/footer20.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100.0%" w:type="pct"/>
      <w:tblLook w:firstRow="1" w:lastRow="0" w:firstColumn="1" w:lastColumn="0" w:noHBand="0" w:noVBand="1"/>
    </w:tblPr>
    <w:tblGrid>
      <w:gridCol w:w="5169"/>
      <w:gridCol w:w="4845"/>
      <w:gridCol w:w="5168"/>
    </w:tblGrid>
    <w:tr w:rsidR="00823317" w14:paraId="20476B25" w14:textId="77777777">
      <w:tc>
        <w:tcPr>
          <w:tcW w:w="0pt" w:type="dxa"/>
          <w:tcMar>
            <w:top w:w="0pt" w:type="dxa"/>
            <w:start w:w="3pt" w:type="dxa"/>
            <w:bottom w:w="4pt" w:type="dxa"/>
            <w:end w:w="3pt" w:type="dxa"/>
          </w:tcMar>
        </w:tcPr>
        <w:p w14:paraId="6F90F284" w14:textId="77777777" w:rsidR="00823317" w:rsidRDefault="00B16CCF">
          <w:pPr>
            <w:rPr>
              <w:b/>
              <w:color w:val="000000"/>
            </w:rPr>
          </w:pPr>
          <w:r>
            <w:rPr>
              <w:b/>
              <w:color w:val="000000"/>
              <w:sz w:val="32"/>
            </w:rPr>
            <w:t>SL</w:t>
          </w:r>
        </w:p>
      </w:tc>
      <w:tc>
        <w:tcPr>
          <w:tcW w:w="0pt" w:type="dxa"/>
          <w:tcMar>
            <w:top w:w="0pt" w:type="dxa"/>
            <w:start w:w="3pt" w:type="dxa"/>
            <w:bottom w:w="4pt" w:type="dxa"/>
            <w:end w:w="3pt" w:type="dxa"/>
          </w:tcMar>
        </w:tcPr>
        <w:p w14:paraId="26B4A3C5" w14:textId="5AD65AD2" w:rsidR="00823317" w:rsidRDefault="00B16CCF">
          <w:pPr>
            <w:jc w:val="center"/>
            <w:rPr>
              <w:b/>
              <w:color w:val="000000"/>
              <w:sz w:val="32"/>
            </w:rPr>
          </w:pPr>
          <w:r>
            <w:rPr>
              <w:b/>
              <w:color w:val="000000"/>
            </w:rPr>
            <w:fldChar w:fldCharType="begin"/>
          </w:r>
          <w:r>
            <w:rPr>
              <w:b/>
              <w:color w:val="000000"/>
            </w:rPr>
            <w:instrText>PAGE</w:instrText>
          </w:r>
          <w:r>
            <w:rPr>
              <w:b/>
              <w:color w:val="000000"/>
            </w:rPr>
            <w:fldChar w:fldCharType="separate"/>
          </w:r>
          <w:r w:rsidR="00EB2379">
            <w:rPr>
              <w:b/>
              <w:color w:val="000000"/>
            </w:rPr>
            <w:t>415</w:t>
          </w:r>
          <w:r>
            <w:rPr>
              <w:b/>
              <w:color w:val="000000"/>
            </w:rPr>
            <w:fldChar w:fldCharType="end"/>
          </w:r>
        </w:p>
      </w:tc>
      <w:tc>
        <w:tcPr>
          <w:tcW w:w="0pt" w:type="dxa"/>
          <w:tcMar>
            <w:top w:w="0pt" w:type="dxa"/>
            <w:start w:w="3pt" w:type="dxa"/>
            <w:bottom w:w="4pt" w:type="dxa"/>
            <w:end w:w="3pt" w:type="dxa"/>
          </w:tcMar>
        </w:tcPr>
        <w:p w14:paraId="7AFB931B" w14:textId="77777777" w:rsidR="00823317" w:rsidRDefault="00B16CCF">
          <w:pPr>
            <w:jc w:val="end"/>
            <w:rPr>
              <w:b/>
              <w:color w:val="000000"/>
              <w:sz w:val="32"/>
            </w:rPr>
          </w:pPr>
          <w:r>
            <w:rPr>
              <w:b/>
              <w:color w:val="000000"/>
              <w:sz w:val="32"/>
            </w:rPr>
            <w:t>SL</w:t>
          </w:r>
        </w:p>
      </w:tc>
    </w:tr>
  </w:tbl>
  <w:p w14:paraId="6EE6397D" w14:textId="77777777" w:rsidR="00823317" w:rsidRDefault="00823317">
    <w:pPr>
      <w:rPr>
        <w:b/>
        <w:color w:val="000000"/>
      </w:rPr>
    </w:pPr>
  </w:p>
</w:ftr>
</file>

<file path=word/footer2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5EDEB420" w14:textId="77777777" w:rsidR="00823317" w:rsidRDefault="00823317"/>
</w:ftr>
</file>

<file path=word/footer22.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127D5F15" w14:textId="77777777" w:rsidR="00823317" w:rsidRDefault="00823317"/>
</w:ftr>
</file>

<file path=word/footer23.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100.0%" w:type="pct"/>
      <w:tblLook w:firstRow="1" w:lastRow="0" w:firstColumn="1" w:lastColumn="0" w:noHBand="0" w:noVBand="1"/>
    </w:tblPr>
    <w:tblGrid>
      <w:gridCol w:w="5147"/>
      <w:gridCol w:w="4887"/>
      <w:gridCol w:w="5148"/>
    </w:tblGrid>
    <w:tr w:rsidR="00823317" w14:paraId="165DE48B" w14:textId="77777777">
      <w:tc>
        <w:tcPr>
          <w:tcW w:w="0pt" w:type="dxa"/>
          <w:tcMar>
            <w:top w:w="1pt" w:type="dxa"/>
            <w:start w:w="6pt" w:type="dxa"/>
            <w:bottom w:w="6pt" w:type="dxa"/>
            <w:end w:w="6pt" w:type="dxa"/>
          </w:tcMar>
          <w:vAlign w:val="bottom"/>
        </w:tcPr>
        <w:p w14:paraId="3FF15A17" w14:textId="77777777" w:rsidR="00823317" w:rsidRDefault="00B16CCF">
          <w:pPr>
            <w:rPr>
              <w:b/>
              <w:color w:val="000000"/>
            </w:rPr>
          </w:pPr>
          <w:r>
            <w:rPr>
              <w:b/>
              <w:color w:val="000000"/>
              <w:sz w:val="32"/>
            </w:rPr>
            <w:t>SL</w:t>
          </w:r>
        </w:p>
      </w:tc>
      <w:tc>
        <w:tcPr>
          <w:tcW w:w="0pt" w:type="dxa"/>
          <w:tcMar>
            <w:top w:w="1pt" w:type="dxa"/>
            <w:start w:w="6pt" w:type="dxa"/>
            <w:bottom w:w="6pt" w:type="dxa"/>
            <w:end w:w="6pt" w:type="dxa"/>
          </w:tcMar>
          <w:vAlign w:val="bottom"/>
        </w:tcPr>
        <w:p w14:paraId="291A0623" w14:textId="3B5AF3DA" w:rsidR="00823317" w:rsidRDefault="00B16CCF">
          <w:pPr>
            <w:jc w:val="center"/>
            <w:rPr>
              <w:b/>
              <w:color w:val="000000"/>
              <w:sz w:val="32"/>
            </w:rPr>
          </w:pPr>
          <w:r>
            <w:rPr>
              <w:b/>
              <w:color w:val="000000"/>
            </w:rPr>
            <w:fldChar w:fldCharType="begin"/>
          </w:r>
          <w:r>
            <w:rPr>
              <w:b/>
              <w:color w:val="000000"/>
            </w:rPr>
            <w:instrText>PAGE</w:instrText>
          </w:r>
          <w:r>
            <w:rPr>
              <w:b/>
              <w:color w:val="000000"/>
            </w:rPr>
            <w:fldChar w:fldCharType="separate"/>
          </w:r>
          <w:r w:rsidR="00EB2379">
            <w:rPr>
              <w:b/>
              <w:color w:val="000000"/>
            </w:rPr>
            <w:t>416</w:t>
          </w:r>
          <w:r>
            <w:rPr>
              <w:b/>
              <w:color w:val="000000"/>
            </w:rPr>
            <w:fldChar w:fldCharType="end"/>
          </w:r>
        </w:p>
      </w:tc>
      <w:tc>
        <w:tcPr>
          <w:tcW w:w="0pt" w:type="dxa"/>
          <w:tcMar>
            <w:top w:w="1pt" w:type="dxa"/>
            <w:start w:w="6pt" w:type="dxa"/>
            <w:bottom w:w="6pt" w:type="dxa"/>
            <w:end w:w="6pt" w:type="dxa"/>
          </w:tcMar>
          <w:vAlign w:val="bottom"/>
        </w:tcPr>
        <w:p w14:paraId="666A4820" w14:textId="77777777" w:rsidR="00823317" w:rsidRDefault="00B16CCF">
          <w:pPr>
            <w:jc w:val="end"/>
            <w:rPr>
              <w:b/>
              <w:color w:val="000000"/>
              <w:sz w:val="32"/>
            </w:rPr>
          </w:pPr>
          <w:r>
            <w:rPr>
              <w:b/>
              <w:color w:val="000000"/>
              <w:sz w:val="32"/>
            </w:rPr>
            <w:t>SL</w:t>
          </w:r>
        </w:p>
      </w:tc>
    </w:tr>
  </w:tbl>
  <w:p w14:paraId="2B157812" w14:textId="77777777" w:rsidR="00823317" w:rsidRDefault="00823317">
    <w:pPr>
      <w:rPr>
        <w:b/>
        <w:color w:val="000000"/>
      </w:rPr>
    </w:pPr>
  </w:p>
</w:ftr>
</file>

<file path=word/footer24.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6E010F6E" w14:textId="77777777" w:rsidR="00823317" w:rsidRDefault="00823317"/>
</w:ftr>
</file>

<file path=word/footer25.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5E192F29" w14:textId="77777777" w:rsidR="00823317" w:rsidRDefault="00823317"/>
</w:ftr>
</file>

<file path=word/footer26.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100.0%" w:type="pct"/>
      <w:tblLook w:firstRow="1" w:lastRow="0" w:firstColumn="1" w:lastColumn="0" w:noHBand="0" w:noVBand="1"/>
    </w:tblPr>
    <w:tblGrid>
      <w:gridCol w:w="3490"/>
      <w:gridCol w:w="3271"/>
      <w:gridCol w:w="3489"/>
    </w:tblGrid>
    <w:tr w:rsidR="00823317" w14:paraId="2265CF25" w14:textId="77777777">
      <w:tc>
        <w:tcPr>
          <w:tcW w:w="0pt" w:type="dxa"/>
          <w:tcMar>
            <w:top w:w="0pt" w:type="dxa"/>
            <w:start w:w="3pt" w:type="dxa"/>
            <w:bottom w:w="4pt" w:type="dxa"/>
            <w:end w:w="3pt" w:type="dxa"/>
          </w:tcMar>
          <w:vAlign w:val="center"/>
        </w:tcPr>
        <w:p w14:paraId="4E7B3C9D" w14:textId="77777777" w:rsidR="00823317" w:rsidRDefault="00B16CCF">
          <w:pPr>
            <w:rPr>
              <w:b/>
              <w:color w:val="000000"/>
            </w:rPr>
          </w:pPr>
          <w:r>
            <w:rPr>
              <w:b/>
              <w:color w:val="000000"/>
              <w:sz w:val="32"/>
            </w:rPr>
            <w:t>SL</w:t>
          </w:r>
        </w:p>
      </w:tc>
      <w:tc>
        <w:tcPr>
          <w:tcW w:w="0pt" w:type="dxa"/>
          <w:tcMar>
            <w:top w:w="0pt" w:type="dxa"/>
            <w:start w:w="3pt" w:type="dxa"/>
            <w:bottom w:w="4pt" w:type="dxa"/>
            <w:end w:w="3pt" w:type="dxa"/>
          </w:tcMar>
          <w:vAlign w:val="center"/>
        </w:tcPr>
        <w:p w14:paraId="68D12F58" w14:textId="494D8521" w:rsidR="00823317" w:rsidRDefault="00B16CCF">
          <w:pPr>
            <w:jc w:val="center"/>
            <w:rPr>
              <w:b/>
              <w:color w:val="000000"/>
              <w:sz w:val="32"/>
            </w:rPr>
          </w:pPr>
          <w:r>
            <w:rPr>
              <w:b/>
              <w:color w:val="000000"/>
            </w:rPr>
            <w:fldChar w:fldCharType="begin"/>
          </w:r>
          <w:r>
            <w:rPr>
              <w:b/>
              <w:color w:val="000000"/>
            </w:rPr>
            <w:instrText>PAGE</w:instrText>
          </w:r>
          <w:r>
            <w:rPr>
              <w:b/>
              <w:color w:val="000000"/>
            </w:rPr>
            <w:fldChar w:fldCharType="separate"/>
          </w:r>
          <w:r w:rsidR="00EB2379">
            <w:rPr>
              <w:b/>
              <w:color w:val="000000"/>
            </w:rPr>
            <w:t>417</w:t>
          </w:r>
          <w:r>
            <w:rPr>
              <w:b/>
              <w:color w:val="000000"/>
            </w:rPr>
            <w:fldChar w:fldCharType="end"/>
          </w:r>
        </w:p>
      </w:tc>
      <w:tc>
        <w:tcPr>
          <w:tcW w:w="0pt" w:type="dxa"/>
          <w:tcMar>
            <w:top w:w="0pt" w:type="dxa"/>
            <w:start w:w="3pt" w:type="dxa"/>
            <w:bottom w:w="4pt" w:type="dxa"/>
            <w:end w:w="3pt" w:type="dxa"/>
          </w:tcMar>
          <w:vAlign w:val="center"/>
        </w:tcPr>
        <w:p w14:paraId="3C123AC8" w14:textId="77777777" w:rsidR="00823317" w:rsidRDefault="00B16CCF">
          <w:pPr>
            <w:jc w:val="end"/>
            <w:rPr>
              <w:b/>
              <w:color w:val="000000"/>
              <w:sz w:val="32"/>
            </w:rPr>
          </w:pPr>
          <w:r>
            <w:rPr>
              <w:b/>
              <w:color w:val="000000"/>
              <w:sz w:val="32"/>
            </w:rPr>
            <w:t>SL</w:t>
          </w:r>
        </w:p>
      </w:tc>
    </w:tr>
  </w:tbl>
  <w:p w14:paraId="36C872AB" w14:textId="77777777" w:rsidR="00823317" w:rsidRDefault="00823317">
    <w:pPr>
      <w:rPr>
        <w:b/>
        <w:color w:val="000000"/>
      </w:rPr>
    </w:pPr>
  </w:p>
</w:ftr>
</file>

<file path=word/footer27.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7CF7463D" w14:textId="77777777" w:rsidR="00823317" w:rsidRDefault="00823317"/>
</w:ftr>
</file>

<file path=word/footer28.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0E1A8E6E" w14:textId="77777777" w:rsidR="00EB2379" w:rsidRDefault="00EB2379"/>
</w:ftr>
</file>

<file path=word/footer29.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100.0%" w:type="pct"/>
      <w:tblLook w:firstRow="1" w:lastRow="0" w:firstColumn="1" w:lastColumn="0" w:noHBand="0" w:noVBand="1"/>
    </w:tblPr>
    <w:tblGrid>
      <w:gridCol w:w="3480"/>
      <w:gridCol w:w="3291"/>
      <w:gridCol w:w="3479"/>
    </w:tblGrid>
    <w:tr w:rsidR="00EB2379" w14:paraId="7D486F7F" w14:textId="77777777">
      <w:trPr>
        <w:trHeight w:val="240"/>
      </w:trPr>
      <w:tc>
        <w:tcPr>
          <w:tcW w:w="0pt" w:type="dxa"/>
          <w:tcMar>
            <w:start w:w="5pt" w:type="dxa"/>
            <w:end w:w="5pt" w:type="dxa"/>
          </w:tcMar>
        </w:tcPr>
        <w:p w14:paraId="6ACB5B10" w14:textId="77777777" w:rsidR="00EB2379" w:rsidRDefault="00EB2379">
          <w:pPr>
            <w:rPr>
              <w:b/>
              <w:color w:val="000000"/>
            </w:rPr>
          </w:pPr>
          <w:r>
            <w:rPr>
              <w:b/>
              <w:color w:val="000000"/>
              <w:sz w:val="32"/>
            </w:rPr>
            <w:t>SL</w:t>
          </w:r>
        </w:p>
      </w:tc>
      <w:tc>
        <w:tcPr>
          <w:tcW w:w="0pt" w:type="dxa"/>
          <w:tcMar>
            <w:start w:w="5pt" w:type="dxa"/>
            <w:end w:w="5pt" w:type="dxa"/>
          </w:tcMar>
        </w:tcPr>
        <w:p w14:paraId="1671600A" w14:textId="06AFE228" w:rsidR="00EB2379" w:rsidRDefault="00EB2379">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418</w:t>
          </w:r>
          <w:r>
            <w:rPr>
              <w:b/>
              <w:color w:val="000000"/>
            </w:rPr>
            <w:fldChar w:fldCharType="end"/>
          </w:r>
        </w:p>
      </w:tc>
      <w:tc>
        <w:tcPr>
          <w:tcW w:w="0pt" w:type="dxa"/>
          <w:tcMar>
            <w:start w:w="5pt" w:type="dxa"/>
            <w:end w:w="5pt" w:type="dxa"/>
          </w:tcMar>
        </w:tcPr>
        <w:p w14:paraId="167E106A" w14:textId="77777777" w:rsidR="00EB2379" w:rsidRDefault="00EB2379">
          <w:pPr>
            <w:jc w:val="end"/>
            <w:rPr>
              <w:b/>
              <w:color w:val="000000"/>
              <w:sz w:val="32"/>
            </w:rPr>
          </w:pPr>
          <w:r>
            <w:rPr>
              <w:b/>
              <w:color w:val="000000"/>
              <w:sz w:val="32"/>
            </w:rPr>
            <w:t>SL</w:t>
          </w:r>
        </w:p>
      </w:tc>
    </w:tr>
  </w:tbl>
  <w:p w14:paraId="5EEA55CB" w14:textId="77777777" w:rsidR="00EB2379" w:rsidRDefault="00EB2379">
    <w:pPr>
      <w:rPr>
        <w:b/>
        <w:color w:val="000000"/>
      </w:rPr>
    </w:pPr>
  </w:p>
</w:ftr>
</file>

<file path=word/footer3.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4DD60690" w14:textId="77777777" w:rsidR="00823317" w:rsidRDefault="00823317"/>
</w:ftr>
</file>

<file path=word/footer30.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3F96F09F" w14:textId="77777777" w:rsidR="00EB2379" w:rsidRDefault="00EB2379"/>
</w:ftr>
</file>

<file path=word/footer3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7B22688A" w14:textId="77777777" w:rsidR="00EB2379" w:rsidRDefault="00EB2379"/>
</w:ftr>
</file>

<file path=word/footer32.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100.0%" w:type="pct"/>
      <w:tblLook w:firstRow="1" w:lastRow="0" w:firstColumn="1" w:lastColumn="0" w:noHBand="0" w:noVBand="1"/>
    </w:tblPr>
    <w:tblGrid>
      <w:gridCol w:w="3490"/>
      <w:gridCol w:w="3271"/>
      <w:gridCol w:w="3489"/>
    </w:tblGrid>
    <w:tr w:rsidR="00EB2379" w14:paraId="38313E04" w14:textId="77777777">
      <w:trPr>
        <w:trHeight w:val="160"/>
      </w:trPr>
      <w:tc>
        <w:tcPr>
          <w:tcW w:w="0pt" w:type="dxa"/>
          <w:tcMar>
            <w:top w:w="0pt" w:type="dxa"/>
            <w:start w:w="3pt" w:type="dxa"/>
            <w:bottom w:w="4pt" w:type="dxa"/>
            <w:end w:w="3pt" w:type="dxa"/>
          </w:tcMar>
          <w:vAlign w:val="center"/>
        </w:tcPr>
        <w:p w14:paraId="20213395" w14:textId="77777777" w:rsidR="00EB2379" w:rsidRDefault="00EB2379">
          <w:pPr>
            <w:rPr>
              <w:b/>
              <w:color w:val="000000"/>
            </w:rPr>
          </w:pPr>
          <w:r>
            <w:rPr>
              <w:b/>
              <w:color w:val="000000"/>
              <w:sz w:val="32"/>
            </w:rPr>
            <w:t>SL</w:t>
          </w:r>
        </w:p>
      </w:tc>
      <w:tc>
        <w:tcPr>
          <w:tcW w:w="0pt" w:type="dxa"/>
          <w:tcMar>
            <w:top w:w="0pt" w:type="dxa"/>
            <w:start w:w="3pt" w:type="dxa"/>
            <w:bottom w:w="4pt" w:type="dxa"/>
            <w:end w:w="3pt" w:type="dxa"/>
          </w:tcMar>
          <w:vAlign w:val="center"/>
        </w:tcPr>
        <w:p w14:paraId="34C497E6" w14:textId="20690E57" w:rsidR="00EB2379" w:rsidRDefault="00EB2379">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434</w:t>
          </w:r>
          <w:r>
            <w:rPr>
              <w:b/>
              <w:color w:val="000000"/>
            </w:rPr>
            <w:fldChar w:fldCharType="end"/>
          </w:r>
        </w:p>
      </w:tc>
      <w:tc>
        <w:tcPr>
          <w:tcW w:w="0pt" w:type="dxa"/>
          <w:tcMar>
            <w:top w:w="0pt" w:type="dxa"/>
            <w:start w:w="3pt" w:type="dxa"/>
            <w:bottom w:w="4pt" w:type="dxa"/>
            <w:end w:w="3pt" w:type="dxa"/>
          </w:tcMar>
          <w:vAlign w:val="center"/>
        </w:tcPr>
        <w:p w14:paraId="750411F1" w14:textId="77777777" w:rsidR="00EB2379" w:rsidRDefault="00EB2379">
          <w:pPr>
            <w:jc w:val="end"/>
            <w:rPr>
              <w:b/>
              <w:color w:val="000000"/>
              <w:sz w:val="32"/>
            </w:rPr>
          </w:pPr>
          <w:r>
            <w:rPr>
              <w:b/>
              <w:color w:val="000000"/>
              <w:sz w:val="32"/>
            </w:rPr>
            <w:t>SL</w:t>
          </w:r>
        </w:p>
      </w:tc>
    </w:tr>
  </w:tbl>
  <w:p w14:paraId="5424F5D8" w14:textId="77777777" w:rsidR="00EB2379" w:rsidRDefault="00EB2379">
    <w:pPr>
      <w:rPr>
        <w:b/>
        <w:color w:val="000000"/>
      </w:rPr>
    </w:pPr>
  </w:p>
</w:ftr>
</file>

<file path=word/footer33.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58CA4EF4" w14:textId="77777777" w:rsidR="00EB2379" w:rsidRDefault="00EB2379"/>
</w:ftr>
</file>

<file path=word/footer34.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0EBDBD52" w14:textId="77777777" w:rsidR="00EB2379" w:rsidRDefault="00EB2379"/>
</w:ftr>
</file>

<file path=word/footer35.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100.0%" w:type="pct"/>
      <w:tblLook w:firstRow="1" w:lastRow="0" w:firstColumn="1" w:lastColumn="0" w:noHBand="0" w:noVBand="1"/>
    </w:tblPr>
    <w:tblGrid>
      <w:gridCol w:w="3480"/>
      <w:gridCol w:w="3291"/>
      <w:gridCol w:w="3479"/>
    </w:tblGrid>
    <w:tr w:rsidR="00EB2379" w14:paraId="1CAA8860" w14:textId="77777777">
      <w:trPr>
        <w:trHeight w:val="240"/>
      </w:trPr>
      <w:tc>
        <w:tcPr>
          <w:tcW w:w="0pt" w:type="dxa"/>
          <w:tcMar>
            <w:start w:w="5pt" w:type="dxa"/>
            <w:end w:w="5pt" w:type="dxa"/>
          </w:tcMar>
        </w:tcPr>
        <w:p w14:paraId="523B7BE2" w14:textId="77777777" w:rsidR="00EB2379" w:rsidRDefault="00EB2379">
          <w:pPr>
            <w:rPr>
              <w:b/>
              <w:color w:val="000000"/>
            </w:rPr>
          </w:pPr>
          <w:r>
            <w:rPr>
              <w:b/>
              <w:color w:val="000000"/>
              <w:sz w:val="32"/>
            </w:rPr>
            <w:t>SL</w:t>
          </w:r>
        </w:p>
      </w:tc>
      <w:tc>
        <w:tcPr>
          <w:tcW w:w="0pt" w:type="dxa"/>
          <w:tcMar>
            <w:start w:w="5pt" w:type="dxa"/>
            <w:end w:w="5pt" w:type="dxa"/>
          </w:tcMar>
        </w:tcPr>
        <w:p w14:paraId="4F0C7BFF" w14:textId="36E89549" w:rsidR="00EB2379" w:rsidRDefault="00EB2379">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439</w:t>
          </w:r>
          <w:r>
            <w:rPr>
              <w:b/>
              <w:color w:val="000000"/>
            </w:rPr>
            <w:fldChar w:fldCharType="end"/>
          </w:r>
        </w:p>
      </w:tc>
      <w:tc>
        <w:tcPr>
          <w:tcW w:w="0pt" w:type="dxa"/>
          <w:tcMar>
            <w:start w:w="5pt" w:type="dxa"/>
            <w:end w:w="5pt" w:type="dxa"/>
          </w:tcMar>
        </w:tcPr>
        <w:p w14:paraId="2CFDB8E2" w14:textId="77777777" w:rsidR="00EB2379" w:rsidRDefault="00EB2379">
          <w:pPr>
            <w:jc w:val="end"/>
            <w:rPr>
              <w:b/>
              <w:color w:val="000000"/>
              <w:sz w:val="32"/>
            </w:rPr>
          </w:pPr>
          <w:r>
            <w:rPr>
              <w:b/>
              <w:color w:val="000000"/>
              <w:sz w:val="32"/>
            </w:rPr>
            <w:t>SL</w:t>
          </w:r>
        </w:p>
      </w:tc>
    </w:tr>
  </w:tbl>
  <w:p w14:paraId="553E8F49" w14:textId="77777777" w:rsidR="00EB2379" w:rsidRDefault="00EB2379">
    <w:pPr>
      <w:rPr>
        <w:b/>
        <w:color w:val="000000"/>
      </w:rPr>
    </w:pPr>
  </w:p>
</w:ftr>
</file>

<file path=word/footer36.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1F6DCD92" w14:textId="77777777" w:rsidR="00EB2379" w:rsidRDefault="00EB2379"/>
</w:ftr>
</file>

<file path=word/footer37.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1BFBFF03" w14:textId="77777777" w:rsidR="00EB2379" w:rsidRDefault="00EB2379"/>
</w:ftr>
</file>

<file path=word/footer38.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100.0%" w:type="pct"/>
      <w:tblLook w:firstRow="1" w:lastRow="0" w:firstColumn="1" w:lastColumn="0" w:noHBand="0" w:noVBand="1"/>
    </w:tblPr>
    <w:tblGrid>
      <w:gridCol w:w="3490"/>
      <w:gridCol w:w="3271"/>
      <w:gridCol w:w="3489"/>
    </w:tblGrid>
    <w:tr w:rsidR="00EB2379" w14:paraId="7565BBEC" w14:textId="77777777">
      <w:trPr>
        <w:trHeight w:val="160"/>
      </w:trPr>
      <w:tc>
        <w:tcPr>
          <w:tcW w:w="0pt" w:type="dxa"/>
          <w:tcMar>
            <w:top w:w="0pt" w:type="dxa"/>
            <w:start w:w="3pt" w:type="dxa"/>
            <w:bottom w:w="4pt" w:type="dxa"/>
            <w:end w:w="3pt" w:type="dxa"/>
          </w:tcMar>
          <w:vAlign w:val="center"/>
        </w:tcPr>
        <w:p w14:paraId="29D37885" w14:textId="77777777" w:rsidR="00EB2379" w:rsidRDefault="00EB2379">
          <w:pPr>
            <w:rPr>
              <w:b/>
              <w:color w:val="000000"/>
            </w:rPr>
          </w:pPr>
          <w:r>
            <w:rPr>
              <w:b/>
              <w:color w:val="000000"/>
              <w:sz w:val="32"/>
            </w:rPr>
            <w:t>SL</w:t>
          </w:r>
        </w:p>
      </w:tc>
      <w:tc>
        <w:tcPr>
          <w:tcW w:w="0pt" w:type="dxa"/>
          <w:tcMar>
            <w:top w:w="0pt" w:type="dxa"/>
            <w:start w:w="3pt" w:type="dxa"/>
            <w:bottom w:w="4pt" w:type="dxa"/>
            <w:end w:w="3pt" w:type="dxa"/>
          </w:tcMar>
          <w:vAlign w:val="center"/>
        </w:tcPr>
        <w:p w14:paraId="30C347BB" w14:textId="2CAFB24B" w:rsidR="00EB2379" w:rsidRDefault="00EB2379">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453</w:t>
          </w:r>
          <w:r>
            <w:rPr>
              <w:b/>
              <w:color w:val="000000"/>
            </w:rPr>
            <w:fldChar w:fldCharType="end"/>
          </w:r>
        </w:p>
      </w:tc>
      <w:tc>
        <w:tcPr>
          <w:tcW w:w="0pt" w:type="dxa"/>
          <w:tcMar>
            <w:top w:w="0pt" w:type="dxa"/>
            <w:start w:w="3pt" w:type="dxa"/>
            <w:bottom w:w="4pt" w:type="dxa"/>
            <w:end w:w="3pt" w:type="dxa"/>
          </w:tcMar>
          <w:vAlign w:val="center"/>
        </w:tcPr>
        <w:p w14:paraId="4EA39A5D" w14:textId="77777777" w:rsidR="00EB2379" w:rsidRDefault="00EB2379">
          <w:pPr>
            <w:jc w:val="end"/>
            <w:rPr>
              <w:b/>
              <w:color w:val="000000"/>
              <w:sz w:val="32"/>
            </w:rPr>
          </w:pPr>
          <w:r>
            <w:rPr>
              <w:b/>
              <w:color w:val="000000"/>
              <w:sz w:val="32"/>
            </w:rPr>
            <w:t>SL</w:t>
          </w:r>
        </w:p>
      </w:tc>
    </w:tr>
  </w:tbl>
  <w:p w14:paraId="5AE73A47" w14:textId="77777777" w:rsidR="00EB2379" w:rsidRDefault="00EB2379">
    <w:pPr>
      <w:rPr>
        <w:b/>
        <w:color w:val="000000"/>
      </w:rPr>
    </w:pPr>
  </w:p>
</w:ftr>
</file>

<file path=word/footer39.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114B93E8" w14:textId="77777777" w:rsidR="00EB2379" w:rsidRDefault="00EB2379"/>
</w:ftr>
</file>

<file path=word/footer4.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315D6029" w14:textId="77777777" w:rsidR="00823317" w:rsidRDefault="00823317"/>
</w:ftr>
</file>

<file path=word/footer40.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5807202A" w14:textId="77777777" w:rsidR="00823317" w:rsidRDefault="00823317"/>
</w:ftr>
</file>

<file path=word/footer4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100.0%" w:type="pct"/>
      <w:tblLook w:firstRow="1" w:lastRow="0" w:firstColumn="1" w:lastColumn="0" w:noHBand="0" w:noVBand="1"/>
    </w:tblPr>
    <w:tblGrid>
      <w:gridCol w:w="5169"/>
      <w:gridCol w:w="4845"/>
      <w:gridCol w:w="5168"/>
    </w:tblGrid>
    <w:tr w:rsidR="00823317" w14:paraId="14B116E6" w14:textId="77777777">
      <w:trPr>
        <w:trHeight w:val="160"/>
      </w:trPr>
      <w:tc>
        <w:tcPr>
          <w:tcW w:w="0pt" w:type="dxa"/>
          <w:tcMar>
            <w:top w:w="0pt" w:type="dxa"/>
            <w:start w:w="3pt" w:type="dxa"/>
            <w:bottom w:w="4pt" w:type="dxa"/>
            <w:end w:w="3pt" w:type="dxa"/>
          </w:tcMar>
          <w:vAlign w:val="center"/>
        </w:tcPr>
        <w:p w14:paraId="09E05491" w14:textId="77777777" w:rsidR="00823317" w:rsidRDefault="00B16CCF">
          <w:pPr>
            <w:rPr>
              <w:b/>
              <w:color w:val="000000"/>
            </w:rPr>
          </w:pPr>
          <w:r>
            <w:rPr>
              <w:b/>
              <w:color w:val="000000"/>
              <w:sz w:val="32"/>
            </w:rPr>
            <w:t>SL</w:t>
          </w:r>
        </w:p>
      </w:tc>
      <w:tc>
        <w:tcPr>
          <w:tcW w:w="0pt" w:type="dxa"/>
          <w:tcMar>
            <w:top w:w="0pt" w:type="dxa"/>
            <w:start w:w="3pt" w:type="dxa"/>
            <w:bottom w:w="4pt" w:type="dxa"/>
            <w:end w:w="3pt" w:type="dxa"/>
          </w:tcMar>
          <w:vAlign w:val="center"/>
        </w:tcPr>
        <w:p w14:paraId="7E18F359" w14:textId="681F924E" w:rsidR="00823317" w:rsidRDefault="00B16CCF">
          <w:pPr>
            <w:jc w:val="center"/>
            <w:rPr>
              <w:b/>
              <w:color w:val="000000"/>
              <w:sz w:val="32"/>
            </w:rPr>
          </w:pPr>
          <w:r>
            <w:rPr>
              <w:b/>
              <w:color w:val="000000"/>
            </w:rPr>
            <w:fldChar w:fldCharType="begin"/>
          </w:r>
          <w:r>
            <w:rPr>
              <w:b/>
              <w:color w:val="000000"/>
            </w:rPr>
            <w:instrText>PAGE</w:instrText>
          </w:r>
          <w:r>
            <w:rPr>
              <w:b/>
              <w:color w:val="000000"/>
            </w:rPr>
            <w:fldChar w:fldCharType="separate"/>
          </w:r>
          <w:r w:rsidR="00EB2379">
            <w:rPr>
              <w:b/>
              <w:color w:val="000000"/>
            </w:rPr>
            <w:t>456</w:t>
          </w:r>
          <w:r>
            <w:rPr>
              <w:b/>
              <w:color w:val="000000"/>
            </w:rPr>
            <w:fldChar w:fldCharType="end"/>
          </w:r>
        </w:p>
      </w:tc>
      <w:tc>
        <w:tcPr>
          <w:tcW w:w="0pt" w:type="dxa"/>
          <w:tcMar>
            <w:top w:w="0pt" w:type="dxa"/>
            <w:start w:w="3pt" w:type="dxa"/>
            <w:bottom w:w="4pt" w:type="dxa"/>
            <w:end w:w="3pt" w:type="dxa"/>
          </w:tcMar>
          <w:vAlign w:val="center"/>
        </w:tcPr>
        <w:p w14:paraId="1E3C91C6" w14:textId="77777777" w:rsidR="00823317" w:rsidRDefault="00B16CCF">
          <w:pPr>
            <w:jc w:val="end"/>
            <w:rPr>
              <w:b/>
              <w:color w:val="000000"/>
              <w:sz w:val="32"/>
            </w:rPr>
          </w:pPr>
          <w:r>
            <w:rPr>
              <w:b/>
              <w:color w:val="000000"/>
              <w:sz w:val="32"/>
            </w:rPr>
            <w:t>SL</w:t>
          </w:r>
        </w:p>
      </w:tc>
    </w:tr>
  </w:tbl>
  <w:p w14:paraId="68C83158" w14:textId="77777777" w:rsidR="00823317" w:rsidRDefault="00823317">
    <w:pPr>
      <w:rPr>
        <w:b/>
        <w:color w:val="000000"/>
      </w:rPr>
    </w:pPr>
  </w:p>
</w:ftr>
</file>

<file path=word/footer42.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78FD6842" w14:textId="77777777" w:rsidR="00823317" w:rsidRDefault="00823317"/>
</w:ftr>
</file>

<file path=word/footer43.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7208BDB0" w14:textId="77777777" w:rsidR="00823317" w:rsidRDefault="00823317"/>
</w:ftr>
</file>

<file path=word/footer44.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100.0%" w:type="pct"/>
      <w:tblLook w:firstRow="1" w:lastRow="0" w:firstColumn="1" w:lastColumn="0" w:noHBand="0" w:noVBand="1"/>
    </w:tblPr>
    <w:tblGrid>
      <w:gridCol w:w="5169"/>
      <w:gridCol w:w="4845"/>
      <w:gridCol w:w="5168"/>
    </w:tblGrid>
    <w:tr w:rsidR="00823317" w14:paraId="69BF9CB1" w14:textId="77777777">
      <w:trPr>
        <w:trHeight w:val="160"/>
      </w:trPr>
      <w:tc>
        <w:tcPr>
          <w:tcW w:w="0pt" w:type="dxa"/>
          <w:tcMar>
            <w:top w:w="0pt" w:type="dxa"/>
            <w:start w:w="3pt" w:type="dxa"/>
            <w:bottom w:w="4pt" w:type="dxa"/>
            <w:end w:w="3pt" w:type="dxa"/>
          </w:tcMar>
        </w:tcPr>
        <w:p w14:paraId="50D192B8" w14:textId="77777777" w:rsidR="00823317" w:rsidRDefault="00B16CCF">
          <w:pPr>
            <w:rPr>
              <w:b/>
              <w:color w:val="000000"/>
            </w:rPr>
          </w:pPr>
          <w:r>
            <w:rPr>
              <w:b/>
              <w:color w:val="000000"/>
              <w:sz w:val="32"/>
            </w:rPr>
            <w:t>SL</w:t>
          </w:r>
        </w:p>
      </w:tc>
      <w:tc>
        <w:tcPr>
          <w:tcW w:w="0pt" w:type="dxa"/>
          <w:tcMar>
            <w:top w:w="0pt" w:type="dxa"/>
            <w:start w:w="3pt" w:type="dxa"/>
            <w:bottom w:w="4pt" w:type="dxa"/>
            <w:end w:w="3pt" w:type="dxa"/>
          </w:tcMar>
        </w:tcPr>
        <w:p w14:paraId="12F66C1F" w14:textId="09301052" w:rsidR="00823317" w:rsidRDefault="00B16CCF">
          <w:pPr>
            <w:jc w:val="center"/>
            <w:rPr>
              <w:b/>
              <w:color w:val="000000"/>
              <w:sz w:val="32"/>
            </w:rPr>
          </w:pPr>
          <w:r>
            <w:rPr>
              <w:b/>
              <w:color w:val="000000"/>
            </w:rPr>
            <w:fldChar w:fldCharType="begin"/>
          </w:r>
          <w:r>
            <w:rPr>
              <w:b/>
              <w:color w:val="000000"/>
            </w:rPr>
            <w:instrText>PAGE</w:instrText>
          </w:r>
          <w:r>
            <w:rPr>
              <w:b/>
              <w:color w:val="000000"/>
            </w:rPr>
            <w:fldChar w:fldCharType="separate"/>
          </w:r>
          <w:r w:rsidR="00EB2379">
            <w:rPr>
              <w:b/>
              <w:color w:val="000000"/>
            </w:rPr>
            <w:t>457</w:t>
          </w:r>
          <w:r>
            <w:rPr>
              <w:b/>
              <w:color w:val="000000"/>
            </w:rPr>
            <w:fldChar w:fldCharType="end"/>
          </w:r>
        </w:p>
      </w:tc>
      <w:tc>
        <w:tcPr>
          <w:tcW w:w="0pt" w:type="dxa"/>
          <w:tcMar>
            <w:top w:w="0pt" w:type="dxa"/>
            <w:start w:w="3pt" w:type="dxa"/>
            <w:bottom w:w="4pt" w:type="dxa"/>
            <w:end w:w="3pt" w:type="dxa"/>
          </w:tcMar>
        </w:tcPr>
        <w:p w14:paraId="129E9B7C" w14:textId="77777777" w:rsidR="00823317" w:rsidRDefault="00B16CCF">
          <w:pPr>
            <w:jc w:val="end"/>
            <w:rPr>
              <w:b/>
              <w:color w:val="000000"/>
              <w:sz w:val="32"/>
            </w:rPr>
          </w:pPr>
          <w:r>
            <w:rPr>
              <w:b/>
              <w:color w:val="000000"/>
              <w:sz w:val="32"/>
            </w:rPr>
            <w:t>SL</w:t>
          </w:r>
        </w:p>
      </w:tc>
    </w:tr>
  </w:tbl>
  <w:p w14:paraId="76EB186D" w14:textId="77777777" w:rsidR="00823317" w:rsidRDefault="00823317">
    <w:pPr>
      <w:rPr>
        <w:b/>
        <w:color w:val="000000"/>
      </w:rPr>
    </w:pPr>
  </w:p>
</w:ftr>
</file>

<file path=word/footer45.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5A328062" w14:textId="77777777" w:rsidR="00823317" w:rsidRDefault="00823317"/>
</w:ftr>
</file>

<file path=word/footer5.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100.0%" w:type="pct"/>
      <w:tblLook w:firstRow="1" w:lastRow="0" w:firstColumn="1" w:lastColumn="0" w:noHBand="0" w:noVBand="1"/>
    </w:tblPr>
    <w:tblGrid>
      <w:gridCol w:w="5617"/>
      <w:gridCol w:w="3949"/>
      <w:gridCol w:w="5616"/>
    </w:tblGrid>
    <w:tr w:rsidR="00823317" w14:paraId="6686E96D" w14:textId="77777777">
      <w:trPr>
        <w:trHeight w:val="160"/>
      </w:trPr>
      <w:tc>
        <w:tcPr>
          <w:tcW w:w="0pt" w:type="dxa"/>
          <w:tcMar>
            <w:top w:w="0pt" w:type="dxa"/>
            <w:start w:w="3pt" w:type="dxa"/>
            <w:bottom w:w="4pt" w:type="dxa"/>
            <w:end w:w="3pt" w:type="dxa"/>
          </w:tcMar>
          <w:vAlign w:val="center"/>
        </w:tcPr>
        <w:p w14:paraId="111F7012" w14:textId="77777777" w:rsidR="00823317" w:rsidRDefault="00B16CCF">
          <w:pPr>
            <w:rPr>
              <w:b/>
              <w:color w:val="000000"/>
            </w:rPr>
          </w:pPr>
          <w:r>
            <w:rPr>
              <w:b/>
              <w:color w:val="000000"/>
              <w:sz w:val="32"/>
            </w:rPr>
            <w:t>SL</w:t>
          </w:r>
        </w:p>
      </w:tc>
      <w:tc>
        <w:tcPr>
          <w:tcW w:w="0pt" w:type="dxa"/>
          <w:tcMar>
            <w:top w:w="0pt" w:type="dxa"/>
            <w:start w:w="3pt" w:type="dxa"/>
            <w:bottom w:w="4pt" w:type="dxa"/>
            <w:end w:w="3pt" w:type="dxa"/>
          </w:tcMar>
          <w:vAlign w:val="center"/>
        </w:tcPr>
        <w:p w14:paraId="7E1B2DC3" w14:textId="1D64AB9F" w:rsidR="00823317" w:rsidRDefault="00B16CCF">
          <w:pPr>
            <w:jc w:val="center"/>
            <w:rPr>
              <w:b/>
              <w:color w:val="000000"/>
              <w:sz w:val="32"/>
            </w:rPr>
          </w:pPr>
          <w:r>
            <w:rPr>
              <w:b/>
              <w:color w:val="000000"/>
            </w:rPr>
            <w:fldChar w:fldCharType="begin"/>
          </w:r>
          <w:r>
            <w:rPr>
              <w:b/>
              <w:color w:val="000000"/>
            </w:rPr>
            <w:instrText>PAGE</w:instrText>
          </w:r>
          <w:r>
            <w:rPr>
              <w:b/>
              <w:color w:val="000000"/>
            </w:rPr>
            <w:fldChar w:fldCharType="separate"/>
          </w:r>
          <w:r w:rsidR="00EB2379">
            <w:rPr>
              <w:b/>
              <w:color w:val="000000"/>
            </w:rPr>
            <w:t>72</w:t>
          </w:r>
          <w:r>
            <w:rPr>
              <w:b/>
              <w:color w:val="000000"/>
            </w:rPr>
            <w:fldChar w:fldCharType="end"/>
          </w:r>
        </w:p>
      </w:tc>
      <w:tc>
        <w:tcPr>
          <w:tcW w:w="0pt" w:type="dxa"/>
          <w:tcMar>
            <w:top w:w="0pt" w:type="dxa"/>
            <w:start w:w="3pt" w:type="dxa"/>
            <w:bottom w:w="4pt" w:type="dxa"/>
            <w:end w:w="3pt" w:type="dxa"/>
          </w:tcMar>
          <w:vAlign w:val="center"/>
        </w:tcPr>
        <w:p w14:paraId="73B7A020" w14:textId="77777777" w:rsidR="00823317" w:rsidRDefault="00B16CCF">
          <w:pPr>
            <w:jc w:val="end"/>
            <w:rPr>
              <w:b/>
              <w:color w:val="000000"/>
              <w:sz w:val="32"/>
            </w:rPr>
          </w:pPr>
          <w:r>
            <w:rPr>
              <w:b/>
              <w:color w:val="000000"/>
              <w:sz w:val="32"/>
            </w:rPr>
            <w:t>SL</w:t>
          </w:r>
        </w:p>
      </w:tc>
    </w:tr>
  </w:tbl>
  <w:p w14:paraId="60B5F9E6" w14:textId="77777777" w:rsidR="00823317" w:rsidRDefault="00823317">
    <w:pPr>
      <w:rPr>
        <w:b/>
        <w:color w:val="000000"/>
      </w:rPr>
    </w:pPr>
  </w:p>
</w:ftr>
</file>

<file path=word/footer6.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756472A1" w14:textId="77777777" w:rsidR="00823317" w:rsidRDefault="00823317"/>
</w:ftr>
</file>

<file path=word/footer7.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6FE94295" w14:textId="77777777" w:rsidR="00823317" w:rsidRDefault="00823317"/>
</w:ftr>
</file>

<file path=word/footer8.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100.0%" w:type="pct"/>
      <w:tblLook w:firstRow="1" w:lastRow="0" w:firstColumn="1" w:lastColumn="0" w:noHBand="0" w:noVBand="1"/>
    </w:tblPr>
    <w:tblGrid>
      <w:gridCol w:w="5535"/>
      <w:gridCol w:w="4113"/>
      <w:gridCol w:w="5534"/>
    </w:tblGrid>
    <w:tr w:rsidR="00823317" w14:paraId="79C8740E" w14:textId="77777777">
      <w:trPr>
        <w:trHeight w:val="160"/>
      </w:trPr>
      <w:tc>
        <w:tcPr>
          <w:tcW w:w="0pt" w:type="dxa"/>
          <w:tcMar>
            <w:top w:w="0pt" w:type="dxa"/>
            <w:start w:w="5pt" w:type="dxa"/>
            <w:bottom w:w="4pt" w:type="dxa"/>
            <w:end w:w="5pt" w:type="dxa"/>
          </w:tcMar>
        </w:tcPr>
        <w:p w14:paraId="02B9B915" w14:textId="77777777" w:rsidR="00823317" w:rsidRDefault="00B16CCF">
          <w:pPr>
            <w:rPr>
              <w:b/>
              <w:color w:val="000000"/>
            </w:rPr>
          </w:pPr>
          <w:r>
            <w:rPr>
              <w:b/>
              <w:color w:val="000000"/>
              <w:sz w:val="32"/>
            </w:rPr>
            <w:t>SL</w:t>
          </w:r>
        </w:p>
      </w:tc>
      <w:tc>
        <w:tcPr>
          <w:tcW w:w="0pt" w:type="dxa"/>
          <w:tcMar>
            <w:top w:w="0pt" w:type="dxa"/>
            <w:start w:w="5pt" w:type="dxa"/>
            <w:bottom w:w="4pt" w:type="dxa"/>
            <w:end w:w="5pt" w:type="dxa"/>
          </w:tcMar>
        </w:tcPr>
        <w:p w14:paraId="29FE08A3" w14:textId="7FD875FA" w:rsidR="00823317" w:rsidRDefault="00B16CCF">
          <w:pPr>
            <w:jc w:val="center"/>
            <w:rPr>
              <w:b/>
              <w:color w:val="000000"/>
              <w:sz w:val="32"/>
            </w:rPr>
          </w:pPr>
          <w:r>
            <w:rPr>
              <w:b/>
              <w:color w:val="000000"/>
            </w:rPr>
            <w:fldChar w:fldCharType="begin"/>
          </w:r>
          <w:r>
            <w:rPr>
              <w:b/>
              <w:color w:val="000000"/>
            </w:rPr>
            <w:instrText>PAGE</w:instrText>
          </w:r>
          <w:r>
            <w:rPr>
              <w:b/>
              <w:color w:val="000000"/>
            </w:rPr>
            <w:fldChar w:fldCharType="separate"/>
          </w:r>
          <w:r w:rsidR="00EB2379">
            <w:rPr>
              <w:b/>
              <w:color w:val="000000"/>
            </w:rPr>
            <w:t>352</w:t>
          </w:r>
          <w:r>
            <w:rPr>
              <w:b/>
              <w:color w:val="000000"/>
            </w:rPr>
            <w:fldChar w:fldCharType="end"/>
          </w:r>
        </w:p>
      </w:tc>
      <w:tc>
        <w:tcPr>
          <w:tcW w:w="0pt" w:type="dxa"/>
          <w:tcMar>
            <w:top w:w="0pt" w:type="dxa"/>
            <w:start w:w="5pt" w:type="dxa"/>
            <w:bottom w:w="4pt" w:type="dxa"/>
            <w:end w:w="5pt" w:type="dxa"/>
          </w:tcMar>
        </w:tcPr>
        <w:p w14:paraId="119E1CED" w14:textId="77777777" w:rsidR="00823317" w:rsidRDefault="00B16CCF">
          <w:pPr>
            <w:jc w:val="end"/>
            <w:rPr>
              <w:b/>
              <w:color w:val="000000"/>
              <w:sz w:val="32"/>
            </w:rPr>
          </w:pPr>
          <w:r>
            <w:rPr>
              <w:b/>
              <w:color w:val="000000"/>
              <w:sz w:val="32"/>
            </w:rPr>
            <w:t>SL</w:t>
          </w:r>
        </w:p>
      </w:tc>
    </w:tr>
  </w:tbl>
  <w:p w14:paraId="1A1933A0" w14:textId="77777777" w:rsidR="00823317" w:rsidRDefault="00823317">
    <w:pPr>
      <w:rPr>
        <w:b/>
        <w:color w:val="000000"/>
      </w:rPr>
    </w:pPr>
  </w:p>
</w:ftr>
</file>

<file path=word/footer9.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046437EC" w14:textId="77777777" w:rsidR="00823317" w:rsidRDefault="00823317"/>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457ED351" w14:textId="77777777" w:rsidR="001D0AD2" w:rsidRDefault="001D0AD2">
      <w:r>
        <w:separator/>
      </w:r>
    </w:p>
  </w:footnote>
  <w:footnote w:type="continuationSeparator" w:id="0">
    <w:p w14:paraId="4A389DAC" w14:textId="77777777" w:rsidR="001D0AD2" w:rsidRDefault="001D0AD2">
      <w:r>
        <w:continuationSeparator/>
      </w:r>
    </w:p>
  </w:footnote>
</w:footnotes>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5D821E46" w14:textId="77777777" w:rsidR="00823317" w:rsidRDefault="00823317"/>
</w:hdr>
</file>

<file path=word/header10.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14DFD65D" w14:textId="77777777" w:rsidR="00823317" w:rsidRDefault="00823317"/>
</w:hdr>
</file>

<file path=word/header1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37AA4DE4" w14:textId="77777777" w:rsidR="00823317" w:rsidRDefault="00823317"/>
</w:hdr>
</file>

<file path=word/header12.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6B7C7C51" w14:textId="77777777" w:rsidR="00823317" w:rsidRDefault="00823317"/>
</w:hdr>
</file>

<file path=word/header13.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106FE217" w14:textId="77777777" w:rsidR="00823317" w:rsidRDefault="00823317"/>
</w:hdr>
</file>

<file path=word/header14.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766E3236" w14:textId="77777777" w:rsidR="00823317" w:rsidRDefault="00823317"/>
</w:hdr>
</file>

<file path=word/header15.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736DF601" w14:textId="77777777" w:rsidR="00823317" w:rsidRDefault="00823317"/>
</w:hdr>
</file>

<file path=word/header16.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6CC9E580" w14:textId="77777777" w:rsidR="00823317" w:rsidRDefault="00823317"/>
</w:hdr>
</file>

<file path=word/header17.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0DEF48D6" w14:textId="77777777" w:rsidR="00823317" w:rsidRDefault="00823317"/>
</w:hdr>
</file>

<file path=word/header18.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17B543B2" w14:textId="77777777" w:rsidR="00823317" w:rsidRDefault="00823317"/>
</w:hdr>
</file>

<file path=word/header19.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4C15086D" w14:textId="77777777" w:rsidR="00823317" w:rsidRDefault="00823317"/>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4694B432" w14:textId="77777777" w:rsidR="00823317" w:rsidRDefault="00823317"/>
</w:hdr>
</file>

<file path=word/header20.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07FFB420" w14:textId="77777777" w:rsidR="00823317" w:rsidRDefault="00823317"/>
</w:hdr>
</file>

<file path=word/header2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3B25C14D" w14:textId="77777777" w:rsidR="00823317" w:rsidRDefault="00823317"/>
</w:hdr>
</file>

<file path=word/header22.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42C7CBC6" w14:textId="77777777" w:rsidR="00823317" w:rsidRDefault="00823317"/>
</w:hdr>
</file>

<file path=word/header23.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2D68B321" w14:textId="77777777" w:rsidR="00823317" w:rsidRDefault="00823317"/>
</w:hdr>
</file>

<file path=word/header24.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736CB560" w14:textId="77777777" w:rsidR="00823317" w:rsidRDefault="00823317"/>
</w:hdr>
</file>

<file path=word/header25.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29AC3787" w14:textId="77777777" w:rsidR="00823317" w:rsidRDefault="00823317"/>
</w:hdr>
</file>

<file path=word/header26.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3FE6FD5C" w14:textId="77777777" w:rsidR="00823317" w:rsidRDefault="00823317"/>
</w:hdr>
</file>

<file path=word/header27.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3965A04B" w14:textId="77777777" w:rsidR="00823317" w:rsidRDefault="00823317"/>
</w:hdr>
</file>

<file path=word/header28.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0667906C" w14:textId="77777777" w:rsidR="00EB2379" w:rsidRDefault="00EB2379"/>
</w:hdr>
</file>

<file path=word/header29.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2B1CFE6E" w14:textId="77777777" w:rsidR="00EB2379" w:rsidRDefault="00EB2379"/>
</w:hdr>
</file>

<file path=word/header3.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1E156309" w14:textId="77777777" w:rsidR="00823317" w:rsidRDefault="00823317"/>
</w:hdr>
</file>

<file path=word/header30.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59D6C325" w14:textId="77777777" w:rsidR="00EB2379" w:rsidRDefault="00EB2379"/>
</w:hdr>
</file>

<file path=word/header3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57865B38" w14:textId="77777777" w:rsidR="00EB2379" w:rsidRDefault="00EB2379"/>
</w:hdr>
</file>

<file path=word/header32.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66F3DE05" w14:textId="77777777" w:rsidR="00EB2379" w:rsidRDefault="00EB2379"/>
</w:hdr>
</file>

<file path=word/header33.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5836A0CA" w14:textId="77777777" w:rsidR="00EB2379" w:rsidRDefault="00EB2379"/>
</w:hdr>
</file>

<file path=word/header34.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1838C978" w14:textId="77777777" w:rsidR="00EB2379" w:rsidRDefault="00EB2379"/>
</w:hdr>
</file>

<file path=word/header35.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6B0489E4" w14:textId="77777777" w:rsidR="00EB2379" w:rsidRDefault="00EB2379"/>
</w:hdr>
</file>

<file path=word/header36.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487DAED4" w14:textId="77777777" w:rsidR="00EB2379" w:rsidRDefault="00EB2379"/>
</w:hdr>
</file>

<file path=word/header37.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4AAA21F1" w14:textId="77777777" w:rsidR="00EB2379" w:rsidRDefault="00EB2379"/>
</w:hdr>
</file>

<file path=word/header38.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1A410956" w14:textId="77777777" w:rsidR="00EB2379" w:rsidRDefault="00EB2379"/>
</w:hdr>
</file>

<file path=word/header39.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4DD5E647" w14:textId="77777777" w:rsidR="00EB2379" w:rsidRDefault="00EB2379"/>
</w:hdr>
</file>

<file path=word/header4.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2D55AAD9" w14:textId="77777777" w:rsidR="00823317" w:rsidRDefault="00823317"/>
</w:hdr>
</file>

<file path=word/header40.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1C2FFFDE" w14:textId="77777777" w:rsidR="00823317" w:rsidRDefault="00823317"/>
</w:hdr>
</file>

<file path=word/header4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2124D9AD" w14:textId="77777777" w:rsidR="00823317" w:rsidRDefault="00823317"/>
</w:hdr>
</file>

<file path=word/header42.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76C79604" w14:textId="77777777" w:rsidR="00823317" w:rsidRDefault="00823317"/>
</w:hdr>
</file>

<file path=word/header43.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06234537" w14:textId="77777777" w:rsidR="00823317" w:rsidRDefault="00823317"/>
</w:hdr>
</file>

<file path=word/header44.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65C8A12A" w14:textId="77777777" w:rsidR="00823317" w:rsidRDefault="00823317"/>
</w:hdr>
</file>

<file path=word/header45.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244F7F5C" w14:textId="77777777" w:rsidR="00823317" w:rsidRDefault="00823317"/>
</w:hdr>
</file>

<file path=word/header5.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62886198" w14:textId="77777777" w:rsidR="00823317" w:rsidRDefault="00823317"/>
</w:hdr>
</file>

<file path=word/header6.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1385DA25" w14:textId="77777777" w:rsidR="00823317" w:rsidRDefault="00823317"/>
</w:hdr>
</file>

<file path=word/header7.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5CE7148F" w14:textId="77777777" w:rsidR="00823317" w:rsidRDefault="00823317"/>
</w:hdr>
</file>

<file path=word/header8.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08918590" w14:textId="77777777" w:rsidR="00823317" w:rsidRDefault="00823317"/>
</w:hdr>
</file>

<file path=word/header9.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10A5B1D3" w14:textId="77777777" w:rsidR="00823317" w:rsidRDefault="00823317"/>
</w:hdr>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00000001"/>
    <w:multiLevelType w:val="hybridMultilevel"/>
    <w:tmpl w:val="00000001"/>
    <w:lvl w:ilvl="0" w:tplc="5A167638">
      <w:start w:val="1"/>
      <w:numFmt w:val="bullet"/>
      <w:lvlText w:val=""/>
      <w:lvlJc w:val="start"/>
      <w:pPr>
        <w:ind w:start="36pt" w:hanging="18pt"/>
      </w:pPr>
      <w:rPr>
        <w:rFonts w:ascii="Symbol" w:hAnsi="Symbol"/>
      </w:rPr>
    </w:lvl>
    <w:lvl w:ilvl="1" w:tplc="B212D528">
      <w:start w:val="1"/>
      <w:numFmt w:val="bullet"/>
      <w:lvlText w:val="o"/>
      <w:lvlJc w:val="start"/>
      <w:pPr>
        <w:tabs>
          <w:tab w:val="num" w:pos="72pt"/>
        </w:tabs>
        <w:ind w:start="72pt" w:hanging="18pt"/>
      </w:pPr>
      <w:rPr>
        <w:rFonts w:ascii="Courier New" w:hAnsi="Courier New"/>
      </w:rPr>
    </w:lvl>
    <w:lvl w:ilvl="2" w:tplc="162283EA">
      <w:start w:val="1"/>
      <w:numFmt w:val="bullet"/>
      <w:lvlText w:val=""/>
      <w:lvlJc w:val="start"/>
      <w:pPr>
        <w:tabs>
          <w:tab w:val="num" w:pos="108pt"/>
        </w:tabs>
        <w:ind w:start="108pt" w:hanging="18pt"/>
      </w:pPr>
      <w:rPr>
        <w:rFonts w:ascii="Wingdings" w:hAnsi="Wingdings"/>
      </w:rPr>
    </w:lvl>
    <w:lvl w:ilvl="3" w:tplc="4CE6A23E">
      <w:start w:val="1"/>
      <w:numFmt w:val="bullet"/>
      <w:lvlText w:val=""/>
      <w:lvlJc w:val="start"/>
      <w:pPr>
        <w:tabs>
          <w:tab w:val="num" w:pos="144pt"/>
        </w:tabs>
        <w:ind w:start="144pt" w:hanging="18pt"/>
      </w:pPr>
      <w:rPr>
        <w:rFonts w:ascii="Symbol" w:hAnsi="Symbol"/>
      </w:rPr>
    </w:lvl>
    <w:lvl w:ilvl="4" w:tplc="BCDA7780">
      <w:start w:val="1"/>
      <w:numFmt w:val="bullet"/>
      <w:lvlText w:val="o"/>
      <w:lvlJc w:val="start"/>
      <w:pPr>
        <w:tabs>
          <w:tab w:val="num" w:pos="180pt"/>
        </w:tabs>
        <w:ind w:start="180pt" w:hanging="18pt"/>
      </w:pPr>
      <w:rPr>
        <w:rFonts w:ascii="Courier New" w:hAnsi="Courier New"/>
      </w:rPr>
    </w:lvl>
    <w:lvl w:ilvl="5" w:tplc="D97AAE20">
      <w:start w:val="1"/>
      <w:numFmt w:val="bullet"/>
      <w:lvlText w:val=""/>
      <w:lvlJc w:val="start"/>
      <w:pPr>
        <w:tabs>
          <w:tab w:val="num" w:pos="216pt"/>
        </w:tabs>
        <w:ind w:start="216pt" w:hanging="18pt"/>
      </w:pPr>
      <w:rPr>
        <w:rFonts w:ascii="Wingdings" w:hAnsi="Wingdings"/>
      </w:rPr>
    </w:lvl>
    <w:lvl w:ilvl="6" w:tplc="7CB258BA">
      <w:start w:val="1"/>
      <w:numFmt w:val="bullet"/>
      <w:lvlText w:val=""/>
      <w:lvlJc w:val="start"/>
      <w:pPr>
        <w:tabs>
          <w:tab w:val="num" w:pos="252pt"/>
        </w:tabs>
        <w:ind w:start="252pt" w:hanging="18pt"/>
      </w:pPr>
      <w:rPr>
        <w:rFonts w:ascii="Symbol" w:hAnsi="Symbol"/>
      </w:rPr>
    </w:lvl>
    <w:lvl w:ilvl="7" w:tplc="65525E48">
      <w:start w:val="1"/>
      <w:numFmt w:val="bullet"/>
      <w:lvlText w:val="o"/>
      <w:lvlJc w:val="start"/>
      <w:pPr>
        <w:tabs>
          <w:tab w:val="num" w:pos="288pt"/>
        </w:tabs>
        <w:ind w:start="288pt" w:hanging="18pt"/>
      </w:pPr>
      <w:rPr>
        <w:rFonts w:ascii="Courier New" w:hAnsi="Courier New"/>
      </w:rPr>
    </w:lvl>
    <w:lvl w:ilvl="8" w:tplc="44F62876">
      <w:start w:val="1"/>
      <w:numFmt w:val="bullet"/>
      <w:lvlText w:val=""/>
      <w:lvlJc w:val="start"/>
      <w:pPr>
        <w:tabs>
          <w:tab w:val="num" w:pos="324pt"/>
        </w:tabs>
        <w:ind w:start="324pt" w:hanging="18pt"/>
      </w:pPr>
      <w:rPr>
        <w:rFonts w:ascii="Wingdings" w:hAnsi="Wingdings"/>
      </w:rPr>
    </w:lvl>
  </w:abstractNum>
  <w:abstractNum w:abstractNumId="1" w15:restartNumberingAfterBreak="0">
    <w:nsid w:val="00000002"/>
    <w:multiLevelType w:val="hybridMultilevel"/>
    <w:tmpl w:val="00000002"/>
    <w:lvl w:ilvl="0" w:tplc="46EEA162">
      <w:start w:val="1"/>
      <w:numFmt w:val="bullet"/>
      <w:lvlText w:val=""/>
      <w:lvlJc w:val="start"/>
      <w:pPr>
        <w:ind w:start="36pt" w:hanging="18pt"/>
      </w:pPr>
      <w:rPr>
        <w:rFonts w:ascii="Symbol" w:hAnsi="Symbol"/>
      </w:rPr>
    </w:lvl>
    <w:lvl w:ilvl="1" w:tplc="97E8100A">
      <w:start w:val="1"/>
      <w:numFmt w:val="bullet"/>
      <w:lvlText w:val="o"/>
      <w:lvlJc w:val="start"/>
      <w:pPr>
        <w:ind w:start="72pt" w:hanging="18pt"/>
      </w:pPr>
      <w:rPr>
        <w:rFonts w:ascii="Courier New" w:hAnsi="Courier New"/>
      </w:rPr>
    </w:lvl>
    <w:lvl w:ilvl="2" w:tplc="D39CAE04">
      <w:start w:val="1"/>
      <w:numFmt w:val="bullet"/>
      <w:lvlText w:val=""/>
      <w:lvlJc w:val="start"/>
      <w:pPr>
        <w:tabs>
          <w:tab w:val="num" w:pos="108pt"/>
        </w:tabs>
        <w:ind w:start="108pt" w:hanging="18pt"/>
      </w:pPr>
      <w:rPr>
        <w:rFonts w:ascii="Wingdings" w:hAnsi="Wingdings"/>
      </w:rPr>
    </w:lvl>
    <w:lvl w:ilvl="3" w:tplc="4808D392">
      <w:start w:val="1"/>
      <w:numFmt w:val="bullet"/>
      <w:lvlText w:val=""/>
      <w:lvlJc w:val="start"/>
      <w:pPr>
        <w:tabs>
          <w:tab w:val="num" w:pos="144pt"/>
        </w:tabs>
        <w:ind w:start="144pt" w:hanging="18pt"/>
      </w:pPr>
      <w:rPr>
        <w:rFonts w:ascii="Symbol" w:hAnsi="Symbol"/>
      </w:rPr>
    </w:lvl>
    <w:lvl w:ilvl="4" w:tplc="00FC2052">
      <w:start w:val="1"/>
      <w:numFmt w:val="bullet"/>
      <w:lvlText w:val="o"/>
      <w:lvlJc w:val="start"/>
      <w:pPr>
        <w:tabs>
          <w:tab w:val="num" w:pos="180pt"/>
        </w:tabs>
        <w:ind w:start="180pt" w:hanging="18pt"/>
      </w:pPr>
      <w:rPr>
        <w:rFonts w:ascii="Courier New" w:hAnsi="Courier New"/>
      </w:rPr>
    </w:lvl>
    <w:lvl w:ilvl="5" w:tplc="29A27C2E">
      <w:start w:val="1"/>
      <w:numFmt w:val="bullet"/>
      <w:lvlText w:val=""/>
      <w:lvlJc w:val="start"/>
      <w:pPr>
        <w:tabs>
          <w:tab w:val="num" w:pos="216pt"/>
        </w:tabs>
        <w:ind w:start="216pt" w:hanging="18pt"/>
      </w:pPr>
      <w:rPr>
        <w:rFonts w:ascii="Wingdings" w:hAnsi="Wingdings"/>
      </w:rPr>
    </w:lvl>
    <w:lvl w:ilvl="6" w:tplc="4D4AA74A">
      <w:start w:val="1"/>
      <w:numFmt w:val="bullet"/>
      <w:lvlText w:val=""/>
      <w:lvlJc w:val="start"/>
      <w:pPr>
        <w:tabs>
          <w:tab w:val="num" w:pos="252pt"/>
        </w:tabs>
        <w:ind w:start="252pt" w:hanging="18pt"/>
      </w:pPr>
      <w:rPr>
        <w:rFonts w:ascii="Symbol" w:hAnsi="Symbol"/>
      </w:rPr>
    </w:lvl>
    <w:lvl w:ilvl="7" w:tplc="67F48D98">
      <w:start w:val="1"/>
      <w:numFmt w:val="bullet"/>
      <w:lvlText w:val="o"/>
      <w:lvlJc w:val="start"/>
      <w:pPr>
        <w:tabs>
          <w:tab w:val="num" w:pos="288pt"/>
        </w:tabs>
        <w:ind w:start="288pt" w:hanging="18pt"/>
      </w:pPr>
      <w:rPr>
        <w:rFonts w:ascii="Courier New" w:hAnsi="Courier New"/>
      </w:rPr>
    </w:lvl>
    <w:lvl w:ilvl="8" w:tplc="894CC5D4">
      <w:start w:val="1"/>
      <w:numFmt w:val="bullet"/>
      <w:lvlText w:val=""/>
      <w:lvlJc w:val="start"/>
      <w:pPr>
        <w:tabs>
          <w:tab w:val="num" w:pos="324pt"/>
        </w:tabs>
        <w:ind w:start="324pt" w:hanging="18pt"/>
      </w:pPr>
      <w:rPr>
        <w:rFonts w:ascii="Wingdings" w:hAnsi="Wingdings"/>
      </w:rPr>
    </w:lvl>
  </w:abstractNum>
  <w:abstractNum w:abstractNumId="2" w15:restartNumberingAfterBreak="0">
    <w:nsid w:val="00000003"/>
    <w:multiLevelType w:val="hybridMultilevel"/>
    <w:tmpl w:val="00000003"/>
    <w:lvl w:ilvl="0" w:tplc="B57E50F2">
      <w:start w:val="1"/>
      <w:numFmt w:val="bullet"/>
      <w:lvlText w:val=""/>
      <w:lvlJc w:val="start"/>
      <w:pPr>
        <w:ind w:start="36pt" w:hanging="18pt"/>
      </w:pPr>
      <w:rPr>
        <w:rFonts w:ascii="Symbol" w:hAnsi="Symbol"/>
      </w:rPr>
    </w:lvl>
    <w:lvl w:ilvl="1" w:tplc="AE1E3614">
      <w:start w:val="1"/>
      <w:numFmt w:val="bullet"/>
      <w:lvlText w:val="o"/>
      <w:lvlJc w:val="start"/>
      <w:pPr>
        <w:ind w:start="72pt" w:hanging="18pt"/>
      </w:pPr>
      <w:rPr>
        <w:rFonts w:ascii="Courier New" w:hAnsi="Courier New"/>
      </w:rPr>
    </w:lvl>
    <w:lvl w:ilvl="2" w:tplc="0AF47F8E">
      <w:start w:val="1"/>
      <w:numFmt w:val="bullet"/>
      <w:lvlText w:val=""/>
      <w:lvlJc w:val="start"/>
      <w:pPr>
        <w:tabs>
          <w:tab w:val="num" w:pos="108pt"/>
        </w:tabs>
        <w:ind w:start="108pt" w:hanging="18pt"/>
      </w:pPr>
      <w:rPr>
        <w:rFonts w:ascii="Wingdings" w:hAnsi="Wingdings"/>
      </w:rPr>
    </w:lvl>
    <w:lvl w:ilvl="3" w:tplc="EEC6C742">
      <w:start w:val="1"/>
      <w:numFmt w:val="bullet"/>
      <w:lvlText w:val=""/>
      <w:lvlJc w:val="start"/>
      <w:pPr>
        <w:tabs>
          <w:tab w:val="num" w:pos="144pt"/>
        </w:tabs>
        <w:ind w:start="144pt" w:hanging="18pt"/>
      </w:pPr>
      <w:rPr>
        <w:rFonts w:ascii="Symbol" w:hAnsi="Symbol"/>
      </w:rPr>
    </w:lvl>
    <w:lvl w:ilvl="4" w:tplc="AB14B790">
      <w:start w:val="1"/>
      <w:numFmt w:val="bullet"/>
      <w:lvlText w:val="o"/>
      <w:lvlJc w:val="start"/>
      <w:pPr>
        <w:tabs>
          <w:tab w:val="num" w:pos="180pt"/>
        </w:tabs>
        <w:ind w:start="180pt" w:hanging="18pt"/>
      </w:pPr>
      <w:rPr>
        <w:rFonts w:ascii="Courier New" w:hAnsi="Courier New"/>
      </w:rPr>
    </w:lvl>
    <w:lvl w:ilvl="5" w:tplc="A27E3954">
      <w:start w:val="1"/>
      <w:numFmt w:val="bullet"/>
      <w:lvlText w:val=""/>
      <w:lvlJc w:val="start"/>
      <w:pPr>
        <w:tabs>
          <w:tab w:val="num" w:pos="216pt"/>
        </w:tabs>
        <w:ind w:start="216pt" w:hanging="18pt"/>
      </w:pPr>
      <w:rPr>
        <w:rFonts w:ascii="Wingdings" w:hAnsi="Wingdings"/>
      </w:rPr>
    </w:lvl>
    <w:lvl w:ilvl="6" w:tplc="CE1EDC9A">
      <w:start w:val="1"/>
      <w:numFmt w:val="bullet"/>
      <w:lvlText w:val=""/>
      <w:lvlJc w:val="start"/>
      <w:pPr>
        <w:tabs>
          <w:tab w:val="num" w:pos="252pt"/>
        </w:tabs>
        <w:ind w:start="252pt" w:hanging="18pt"/>
      </w:pPr>
      <w:rPr>
        <w:rFonts w:ascii="Symbol" w:hAnsi="Symbol"/>
      </w:rPr>
    </w:lvl>
    <w:lvl w:ilvl="7" w:tplc="88FA430A">
      <w:start w:val="1"/>
      <w:numFmt w:val="bullet"/>
      <w:lvlText w:val="o"/>
      <w:lvlJc w:val="start"/>
      <w:pPr>
        <w:tabs>
          <w:tab w:val="num" w:pos="288pt"/>
        </w:tabs>
        <w:ind w:start="288pt" w:hanging="18pt"/>
      </w:pPr>
      <w:rPr>
        <w:rFonts w:ascii="Courier New" w:hAnsi="Courier New"/>
      </w:rPr>
    </w:lvl>
    <w:lvl w:ilvl="8" w:tplc="63D66D1C">
      <w:start w:val="1"/>
      <w:numFmt w:val="bullet"/>
      <w:lvlText w:val=""/>
      <w:lvlJc w:val="start"/>
      <w:pPr>
        <w:tabs>
          <w:tab w:val="num" w:pos="324pt"/>
        </w:tabs>
        <w:ind w:start="324pt" w:hanging="18pt"/>
      </w:pPr>
      <w:rPr>
        <w:rFonts w:ascii="Wingdings" w:hAnsi="Wingdings"/>
      </w:rPr>
    </w:lvl>
  </w:abstractNum>
  <w:abstractNum w:abstractNumId="3" w15:restartNumberingAfterBreak="0">
    <w:nsid w:val="00000004"/>
    <w:multiLevelType w:val="hybridMultilevel"/>
    <w:tmpl w:val="00000004"/>
    <w:lvl w:ilvl="0" w:tplc="1180AB06">
      <w:start w:val="1"/>
      <w:numFmt w:val="bullet"/>
      <w:lvlText w:val=""/>
      <w:lvlJc w:val="start"/>
      <w:pPr>
        <w:ind w:start="36pt" w:hanging="18pt"/>
      </w:pPr>
      <w:rPr>
        <w:rFonts w:ascii="Symbol" w:hAnsi="Symbol"/>
      </w:rPr>
    </w:lvl>
    <w:lvl w:ilvl="1" w:tplc="B560A4F6">
      <w:start w:val="1"/>
      <w:numFmt w:val="bullet"/>
      <w:lvlText w:val="o"/>
      <w:lvlJc w:val="start"/>
      <w:pPr>
        <w:ind w:start="72pt" w:hanging="18pt"/>
      </w:pPr>
      <w:rPr>
        <w:rFonts w:ascii="Courier New" w:hAnsi="Courier New"/>
      </w:rPr>
    </w:lvl>
    <w:lvl w:ilvl="2" w:tplc="033C8040">
      <w:start w:val="1"/>
      <w:numFmt w:val="bullet"/>
      <w:lvlText w:val=""/>
      <w:lvlJc w:val="start"/>
      <w:pPr>
        <w:ind w:start="108pt" w:hanging="18pt"/>
      </w:pPr>
      <w:rPr>
        <w:rFonts w:ascii="Wingdings" w:hAnsi="Wingdings"/>
      </w:rPr>
    </w:lvl>
    <w:lvl w:ilvl="3" w:tplc="86A0517C">
      <w:start w:val="1"/>
      <w:numFmt w:val="bullet"/>
      <w:lvlText w:val=""/>
      <w:lvlJc w:val="start"/>
      <w:pPr>
        <w:tabs>
          <w:tab w:val="num" w:pos="144pt"/>
        </w:tabs>
        <w:ind w:start="144pt" w:hanging="18pt"/>
      </w:pPr>
      <w:rPr>
        <w:rFonts w:ascii="Symbol" w:hAnsi="Symbol"/>
      </w:rPr>
    </w:lvl>
    <w:lvl w:ilvl="4" w:tplc="583A24C6">
      <w:start w:val="1"/>
      <w:numFmt w:val="bullet"/>
      <w:lvlText w:val="o"/>
      <w:lvlJc w:val="start"/>
      <w:pPr>
        <w:tabs>
          <w:tab w:val="num" w:pos="180pt"/>
        </w:tabs>
        <w:ind w:start="180pt" w:hanging="18pt"/>
      </w:pPr>
      <w:rPr>
        <w:rFonts w:ascii="Courier New" w:hAnsi="Courier New"/>
      </w:rPr>
    </w:lvl>
    <w:lvl w:ilvl="5" w:tplc="3808EFDC">
      <w:start w:val="1"/>
      <w:numFmt w:val="bullet"/>
      <w:lvlText w:val=""/>
      <w:lvlJc w:val="start"/>
      <w:pPr>
        <w:tabs>
          <w:tab w:val="num" w:pos="216pt"/>
        </w:tabs>
        <w:ind w:start="216pt" w:hanging="18pt"/>
      </w:pPr>
      <w:rPr>
        <w:rFonts w:ascii="Wingdings" w:hAnsi="Wingdings"/>
      </w:rPr>
    </w:lvl>
    <w:lvl w:ilvl="6" w:tplc="8EFA7C80">
      <w:start w:val="1"/>
      <w:numFmt w:val="bullet"/>
      <w:lvlText w:val=""/>
      <w:lvlJc w:val="start"/>
      <w:pPr>
        <w:tabs>
          <w:tab w:val="num" w:pos="252pt"/>
        </w:tabs>
        <w:ind w:start="252pt" w:hanging="18pt"/>
      </w:pPr>
      <w:rPr>
        <w:rFonts w:ascii="Symbol" w:hAnsi="Symbol"/>
      </w:rPr>
    </w:lvl>
    <w:lvl w:ilvl="7" w:tplc="CF2ECC5E">
      <w:start w:val="1"/>
      <w:numFmt w:val="bullet"/>
      <w:lvlText w:val="o"/>
      <w:lvlJc w:val="start"/>
      <w:pPr>
        <w:tabs>
          <w:tab w:val="num" w:pos="288pt"/>
        </w:tabs>
        <w:ind w:start="288pt" w:hanging="18pt"/>
      </w:pPr>
      <w:rPr>
        <w:rFonts w:ascii="Courier New" w:hAnsi="Courier New"/>
      </w:rPr>
    </w:lvl>
    <w:lvl w:ilvl="8" w:tplc="C77EDB7A">
      <w:start w:val="1"/>
      <w:numFmt w:val="bullet"/>
      <w:lvlText w:val=""/>
      <w:lvlJc w:val="start"/>
      <w:pPr>
        <w:tabs>
          <w:tab w:val="num" w:pos="324pt"/>
        </w:tabs>
        <w:ind w:start="324pt" w:hanging="18pt"/>
      </w:pPr>
      <w:rPr>
        <w:rFonts w:ascii="Wingdings" w:hAnsi="Wingdings"/>
      </w:rPr>
    </w:lvl>
  </w:abstractNum>
  <w:abstractNum w:abstractNumId="4" w15:restartNumberingAfterBreak="0">
    <w:nsid w:val="00000005"/>
    <w:multiLevelType w:val="hybridMultilevel"/>
    <w:tmpl w:val="00000005"/>
    <w:lvl w:ilvl="0" w:tplc="3008F086">
      <w:start w:val="1"/>
      <w:numFmt w:val="bullet"/>
      <w:lvlText w:val=""/>
      <w:lvlJc w:val="start"/>
      <w:pPr>
        <w:ind w:start="36pt" w:hanging="18pt"/>
      </w:pPr>
      <w:rPr>
        <w:rFonts w:ascii="Symbol" w:hAnsi="Symbol"/>
      </w:rPr>
    </w:lvl>
    <w:lvl w:ilvl="1" w:tplc="F09E70CC">
      <w:start w:val="1"/>
      <w:numFmt w:val="bullet"/>
      <w:lvlText w:val="o"/>
      <w:lvlJc w:val="start"/>
      <w:pPr>
        <w:ind w:start="72pt" w:hanging="18pt"/>
      </w:pPr>
      <w:rPr>
        <w:rFonts w:ascii="Courier New" w:hAnsi="Courier New"/>
      </w:rPr>
    </w:lvl>
    <w:lvl w:ilvl="2" w:tplc="9AE838D6">
      <w:start w:val="1"/>
      <w:numFmt w:val="bullet"/>
      <w:lvlText w:val=""/>
      <w:lvlJc w:val="start"/>
      <w:pPr>
        <w:tabs>
          <w:tab w:val="num" w:pos="108pt"/>
        </w:tabs>
        <w:ind w:start="108pt" w:hanging="18pt"/>
      </w:pPr>
      <w:rPr>
        <w:rFonts w:ascii="Wingdings" w:hAnsi="Wingdings"/>
      </w:rPr>
    </w:lvl>
    <w:lvl w:ilvl="3" w:tplc="B2DAC288">
      <w:start w:val="1"/>
      <w:numFmt w:val="bullet"/>
      <w:lvlText w:val=""/>
      <w:lvlJc w:val="start"/>
      <w:pPr>
        <w:tabs>
          <w:tab w:val="num" w:pos="144pt"/>
        </w:tabs>
        <w:ind w:start="144pt" w:hanging="18pt"/>
      </w:pPr>
      <w:rPr>
        <w:rFonts w:ascii="Symbol" w:hAnsi="Symbol"/>
      </w:rPr>
    </w:lvl>
    <w:lvl w:ilvl="4" w:tplc="73388806">
      <w:start w:val="1"/>
      <w:numFmt w:val="bullet"/>
      <w:lvlText w:val="o"/>
      <w:lvlJc w:val="start"/>
      <w:pPr>
        <w:tabs>
          <w:tab w:val="num" w:pos="180pt"/>
        </w:tabs>
        <w:ind w:start="180pt" w:hanging="18pt"/>
      </w:pPr>
      <w:rPr>
        <w:rFonts w:ascii="Courier New" w:hAnsi="Courier New"/>
      </w:rPr>
    </w:lvl>
    <w:lvl w:ilvl="5" w:tplc="BBA2BACC">
      <w:start w:val="1"/>
      <w:numFmt w:val="bullet"/>
      <w:lvlText w:val=""/>
      <w:lvlJc w:val="start"/>
      <w:pPr>
        <w:tabs>
          <w:tab w:val="num" w:pos="216pt"/>
        </w:tabs>
        <w:ind w:start="216pt" w:hanging="18pt"/>
      </w:pPr>
      <w:rPr>
        <w:rFonts w:ascii="Wingdings" w:hAnsi="Wingdings"/>
      </w:rPr>
    </w:lvl>
    <w:lvl w:ilvl="6" w:tplc="A0345448">
      <w:start w:val="1"/>
      <w:numFmt w:val="bullet"/>
      <w:lvlText w:val=""/>
      <w:lvlJc w:val="start"/>
      <w:pPr>
        <w:tabs>
          <w:tab w:val="num" w:pos="252pt"/>
        </w:tabs>
        <w:ind w:start="252pt" w:hanging="18pt"/>
      </w:pPr>
      <w:rPr>
        <w:rFonts w:ascii="Symbol" w:hAnsi="Symbol"/>
      </w:rPr>
    </w:lvl>
    <w:lvl w:ilvl="7" w:tplc="BF189218">
      <w:start w:val="1"/>
      <w:numFmt w:val="bullet"/>
      <w:lvlText w:val="o"/>
      <w:lvlJc w:val="start"/>
      <w:pPr>
        <w:tabs>
          <w:tab w:val="num" w:pos="288pt"/>
        </w:tabs>
        <w:ind w:start="288pt" w:hanging="18pt"/>
      </w:pPr>
      <w:rPr>
        <w:rFonts w:ascii="Courier New" w:hAnsi="Courier New"/>
      </w:rPr>
    </w:lvl>
    <w:lvl w:ilvl="8" w:tplc="36E69316">
      <w:start w:val="1"/>
      <w:numFmt w:val="bullet"/>
      <w:lvlText w:val=""/>
      <w:lvlJc w:val="start"/>
      <w:pPr>
        <w:tabs>
          <w:tab w:val="num" w:pos="324pt"/>
        </w:tabs>
        <w:ind w:start="324pt" w:hanging="18pt"/>
      </w:pPr>
      <w:rPr>
        <w:rFonts w:ascii="Wingdings" w:hAnsi="Wingdings"/>
      </w:rPr>
    </w:lvl>
  </w:abstractNum>
  <w:abstractNum w:abstractNumId="5" w15:restartNumberingAfterBreak="0">
    <w:nsid w:val="00000006"/>
    <w:multiLevelType w:val="hybridMultilevel"/>
    <w:tmpl w:val="00000006"/>
    <w:lvl w:ilvl="0" w:tplc="415A7CE2">
      <w:start w:val="1"/>
      <w:numFmt w:val="bullet"/>
      <w:lvlText w:val=""/>
      <w:lvlJc w:val="start"/>
      <w:pPr>
        <w:ind w:start="36pt" w:hanging="18pt"/>
      </w:pPr>
      <w:rPr>
        <w:rFonts w:ascii="Symbol" w:hAnsi="Symbol"/>
      </w:rPr>
    </w:lvl>
    <w:lvl w:ilvl="1" w:tplc="65D641E8">
      <w:start w:val="1"/>
      <w:numFmt w:val="bullet"/>
      <w:lvlText w:val="o"/>
      <w:lvlJc w:val="start"/>
      <w:pPr>
        <w:tabs>
          <w:tab w:val="num" w:pos="72pt"/>
        </w:tabs>
        <w:ind w:start="72pt" w:hanging="18pt"/>
      </w:pPr>
      <w:rPr>
        <w:rFonts w:ascii="Courier New" w:hAnsi="Courier New"/>
      </w:rPr>
    </w:lvl>
    <w:lvl w:ilvl="2" w:tplc="DE305192">
      <w:start w:val="1"/>
      <w:numFmt w:val="bullet"/>
      <w:lvlText w:val=""/>
      <w:lvlJc w:val="start"/>
      <w:pPr>
        <w:tabs>
          <w:tab w:val="num" w:pos="108pt"/>
        </w:tabs>
        <w:ind w:start="108pt" w:hanging="18pt"/>
      </w:pPr>
      <w:rPr>
        <w:rFonts w:ascii="Wingdings" w:hAnsi="Wingdings"/>
      </w:rPr>
    </w:lvl>
    <w:lvl w:ilvl="3" w:tplc="C82CD544">
      <w:start w:val="1"/>
      <w:numFmt w:val="bullet"/>
      <w:lvlText w:val=""/>
      <w:lvlJc w:val="start"/>
      <w:pPr>
        <w:tabs>
          <w:tab w:val="num" w:pos="144pt"/>
        </w:tabs>
        <w:ind w:start="144pt" w:hanging="18pt"/>
      </w:pPr>
      <w:rPr>
        <w:rFonts w:ascii="Symbol" w:hAnsi="Symbol"/>
      </w:rPr>
    </w:lvl>
    <w:lvl w:ilvl="4" w:tplc="3B3849EE">
      <w:start w:val="1"/>
      <w:numFmt w:val="bullet"/>
      <w:lvlText w:val="o"/>
      <w:lvlJc w:val="start"/>
      <w:pPr>
        <w:tabs>
          <w:tab w:val="num" w:pos="180pt"/>
        </w:tabs>
        <w:ind w:start="180pt" w:hanging="18pt"/>
      </w:pPr>
      <w:rPr>
        <w:rFonts w:ascii="Courier New" w:hAnsi="Courier New"/>
      </w:rPr>
    </w:lvl>
    <w:lvl w:ilvl="5" w:tplc="A1A8419C">
      <w:start w:val="1"/>
      <w:numFmt w:val="bullet"/>
      <w:lvlText w:val=""/>
      <w:lvlJc w:val="start"/>
      <w:pPr>
        <w:tabs>
          <w:tab w:val="num" w:pos="216pt"/>
        </w:tabs>
        <w:ind w:start="216pt" w:hanging="18pt"/>
      </w:pPr>
      <w:rPr>
        <w:rFonts w:ascii="Wingdings" w:hAnsi="Wingdings"/>
      </w:rPr>
    </w:lvl>
    <w:lvl w:ilvl="6" w:tplc="5F0CAD68">
      <w:start w:val="1"/>
      <w:numFmt w:val="bullet"/>
      <w:lvlText w:val=""/>
      <w:lvlJc w:val="start"/>
      <w:pPr>
        <w:tabs>
          <w:tab w:val="num" w:pos="252pt"/>
        </w:tabs>
        <w:ind w:start="252pt" w:hanging="18pt"/>
      </w:pPr>
      <w:rPr>
        <w:rFonts w:ascii="Symbol" w:hAnsi="Symbol"/>
      </w:rPr>
    </w:lvl>
    <w:lvl w:ilvl="7" w:tplc="2578CF46">
      <w:start w:val="1"/>
      <w:numFmt w:val="bullet"/>
      <w:lvlText w:val="o"/>
      <w:lvlJc w:val="start"/>
      <w:pPr>
        <w:tabs>
          <w:tab w:val="num" w:pos="288pt"/>
        </w:tabs>
        <w:ind w:start="288pt" w:hanging="18pt"/>
      </w:pPr>
      <w:rPr>
        <w:rFonts w:ascii="Courier New" w:hAnsi="Courier New"/>
      </w:rPr>
    </w:lvl>
    <w:lvl w:ilvl="8" w:tplc="5600D03A">
      <w:start w:val="1"/>
      <w:numFmt w:val="bullet"/>
      <w:lvlText w:val=""/>
      <w:lvlJc w:val="start"/>
      <w:pPr>
        <w:tabs>
          <w:tab w:val="num" w:pos="324pt"/>
        </w:tabs>
        <w:ind w:start="324pt" w:hanging="18pt"/>
      </w:pPr>
      <w:rPr>
        <w:rFonts w:ascii="Wingdings" w:hAnsi="Wingdings"/>
      </w:rPr>
    </w:lvl>
  </w:abstractNum>
  <w:abstractNum w:abstractNumId="6" w15:restartNumberingAfterBreak="0">
    <w:nsid w:val="00000007"/>
    <w:multiLevelType w:val="hybridMultilevel"/>
    <w:tmpl w:val="00000007"/>
    <w:lvl w:ilvl="0" w:tplc="24A2E4F4">
      <w:start w:val="1"/>
      <w:numFmt w:val="bullet"/>
      <w:lvlText w:val=""/>
      <w:lvlJc w:val="start"/>
      <w:pPr>
        <w:ind w:start="36pt" w:hanging="18pt"/>
      </w:pPr>
      <w:rPr>
        <w:rFonts w:ascii="Symbol" w:hAnsi="Symbol"/>
      </w:rPr>
    </w:lvl>
    <w:lvl w:ilvl="1" w:tplc="148A4C64">
      <w:start w:val="1"/>
      <w:numFmt w:val="bullet"/>
      <w:lvlText w:val="o"/>
      <w:lvlJc w:val="start"/>
      <w:pPr>
        <w:ind w:start="72pt" w:hanging="18pt"/>
      </w:pPr>
      <w:rPr>
        <w:rFonts w:ascii="Courier New" w:hAnsi="Courier New"/>
      </w:rPr>
    </w:lvl>
    <w:lvl w:ilvl="2" w:tplc="00EA72E6">
      <w:start w:val="1"/>
      <w:numFmt w:val="bullet"/>
      <w:lvlText w:val=""/>
      <w:lvlJc w:val="start"/>
      <w:pPr>
        <w:ind w:start="108pt" w:hanging="18pt"/>
      </w:pPr>
      <w:rPr>
        <w:rFonts w:ascii="Wingdings" w:hAnsi="Wingdings"/>
      </w:rPr>
    </w:lvl>
    <w:lvl w:ilvl="3" w:tplc="5A7A62BE">
      <w:start w:val="1"/>
      <w:numFmt w:val="bullet"/>
      <w:lvlText w:val=""/>
      <w:lvlJc w:val="start"/>
      <w:pPr>
        <w:tabs>
          <w:tab w:val="num" w:pos="144pt"/>
        </w:tabs>
        <w:ind w:start="144pt" w:hanging="18pt"/>
      </w:pPr>
      <w:rPr>
        <w:rFonts w:ascii="Symbol" w:hAnsi="Symbol"/>
      </w:rPr>
    </w:lvl>
    <w:lvl w:ilvl="4" w:tplc="6C9E7052">
      <w:start w:val="1"/>
      <w:numFmt w:val="bullet"/>
      <w:lvlText w:val="o"/>
      <w:lvlJc w:val="start"/>
      <w:pPr>
        <w:tabs>
          <w:tab w:val="num" w:pos="180pt"/>
        </w:tabs>
        <w:ind w:start="180pt" w:hanging="18pt"/>
      </w:pPr>
      <w:rPr>
        <w:rFonts w:ascii="Courier New" w:hAnsi="Courier New"/>
      </w:rPr>
    </w:lvl>
    <w:lvl w:ilvl="5" w:tplc="841E160E">
      <w:start w:val="1"/>
      <w:numFmt w:val="bullet"/>
      <w:lvlText w:val=""/>
      <w:lvlJc w:val="start"/>
      <w:pPr>
        <w:tabs>
          <w:tab w:val="num" w:pos="216pt"/>
        </w:tabs>
        <w:ind w:start="216pt" w:hanging="18pt"/>
      </w:pPr>
      <w:rPr>
        <w:rFonts w:ascii="Wingdings" w:hAnsi="Wingdings"/>
      </w:rPr>
    </w:lvl>
    <w:lvl w:ilvl="6" w:tplc="7006F55C">
      <w:start w:val="1"/>
      <w:numFmt w:val="bullet"/>
      <w:lvlText w:val=""/>
      <w:lvlJc w:val="start"/>
      <w:pPr>
        <w:tabs>
          <w:tab w:val="num" w:pos="252pt"/>
        </w:tabs>
        <w:ind w:start="252pt" w:hanging="18pt"/>
      </w:pPr>
      <w:rPr>
        <w:rFonts w:ascii="Symbol" w:hAnsi="Symbol"/>
      </w:rPr>
    </w:lvl>
    <w:lvl w:ilvl="7" w:tplc="71B841F6">
      <w:start w:val="1"/>
      <w:numFmt w:val="bullet"/>
      <w:lvlText w:val="o"/>
      <w:lvlJc w:val="start"/>
      <w:pPr>
        <w:tabs>
          <w:tab w:val="num" w:pos="288pt"/>
        </w:tabs>
        <w:ind w:start="288pt" w:hanging="18pt"/>
      </w:pPr>
      <w:rPr>
        <w:rFonts w:ascii="Courier New" w:hAnsi="Courier New"/>
      </w:rPr>
    </w:lvl>
    <w:lvl w:ilvl="8" w:tplc="FC306A50">
      <w:start w:val="1"/>
      <w:numFmt w:val="bullet"/>
      <w:lvlText w:val=""/>
      <w:lvlJc w:val="start"/>
      <w:pPr>
        <w:tabs>
          <w:tab w:val="num" w:pos="324pt"/>
        </w:tabs>
        <w:ind w:start="324pt" w:hanging="18pt"/>
      </w:pPr>
      <w:rPr>
        <w:rFonts w:ascii="Wingdings" w:hAnsi="Wingdings"/>
      </w:rPr>
    </w:lvl>
  </w:abstractNum>
  <w:abstractNum w:abstractNumId="7" w15:restartNumberingAfterBreak="0">
    <w:nsid w:val="00000008"/>
    <w:multiLevelType w:val="hybridMultilevel"/>
    <w:tmpl w:val="00000008"/>
    <w:lvl w:ilvl="0" w:tplc="C2DAA738">
      <w:start w:val="1"/>
      <w:numFmt w:val="bullet"/>
      <w:lvlText w:val=""/>
      <w:lvlJc w:val="start"/>
      <w:pPr>
        <w:ind w:start="36pt" w:hanging="18pt"/>
      </w:pPr>
      <w:rPr>
        <w:rFonts w:ascii="Symbol" w:hAnsi="Symbol"/>
      </w:rPr>
    </w:lvl>
    <w:lvl w:ilvl="1" w:tplc="C0A03C82">
      <w:start w:val="1"/>
      <w:numFmt w:val="bullet"/>
      <w:lvlText w:val="o"/>
      <w:lvlJc w:val="start"/>
      <w:pPr>
        <w:ind w:start="72pt" w:hanging="18pt"/>
      </w:pPr>
      <w:rPr>
        <w:rFonts w:ascii="Courier New" w:hAnsi="Courier New"/>
      </w:rPr>
    </w:lvl>
    <w:lvl w:ilvl="2" w:tplc="AD8EA60E">
      <w:start w:val="1"/>
      <w:numFmt w:val="bullet"/>
      <w:lvlText w:val=""/>
      <w:lvlJc w:val="start"/>
      <w:pPr>
        <w:tabs>
          <w:tab w:val="num" w:pos="108pt"/>
        </w:tabs>
        <w:ind w:start="108pt" w:hanging="18pt"/>
      </w:pPr>
      <w:rPr>
        <w:rFonts w:ascii="Wingdings" w:hAnsi="Wingdings"/>
      </w:rPr>
    </w:lvl>
    <w:lvl w:ilvl="3" w:tplc="10E6A3E4">
      <w:start w:val="1"/>
      <w:numFmt w:val="bullet"/>
      <w:lvlText w:val=""/>
      <w:lvlJc w:val="start"/>
      <w:pPr>
        <w:tabs>
          <w:tab w:val="num" w:pos="144pt"/>
        </w:tabs>
        <w:ind w:start="144pt" w:hanging="18pt"/>
      </w:pPr>
      <w:rPr>
        <w:rFonts w:ascii="Symbol" w:hAnsi="Symbol"/>
      </w:rPr>
    </w:lvl>
    <w:lvl w:ilvl="4" w:tplc="E7682480">
      <w:start w:val="1"/>
      <w:numFmt w:val="bullet"/>
      <w:lvlText w:val="o"/>
      <w:lvlJc w:val="start"/>
      <w:pPr>
        <w:tabs>
          <w:tab w:val="num" w:pos="180pt"/>
        </w:tabs>
        <w:ind w:start="180pt" w:hanging="18pt"/>
      </w:pPr>
      <w:rPr>
        <w:rFonts w:ascii="Courier New" w:hAnsi="Courier New"/>
      </w:rPr>
    </w:lvl>
    <w:lvl w:ilvl="5" w:tplc="93301760">
      <w:start w:val="1"/>
      <w:numFmt w:val="bullet"/>
      <w:lvlText w:val=""/>
      <w:lvlJc w:val="start"/>
      <w:pPr>
        <w:tabs>
          <w:tab w:val="num" w:pos="216pt"/>
        </w:tabs>
        <w:ind w:start="216pt" w:hanging="18pt"/>
      </w:pPr>
      <w:rPr>
        <w:rFonts w:ascii="Wingdings" w:hAnsi="Wingdings"/>
      </w:rPr>
    </w:lvl>
    <w:lvl w:ilvl="6" w:tplc="39F6FEDE">
      <w:start w:val="1"/>
      <w:numFmt w:val="bullet"/>
      <w:lvlText w:val=""/>
      <w:lvlJc w:val="start"/>
      <w:pPr>
        <w:tabs>
          <w:tab w:val="num" w:pos="252pt"/>
        </w:tabs>
        <w:ind w:start="252pt" w:hanging="18pt"/>
      </w:pPr>
      <w:rPr>
        <w:rFonts w:ascii="Symbol" w:hAnsi="Symbol"/>
      </w:rPr>
    </w:lvl>
    <w:lvl w:ilvl="7" w:tplc="1ABE3C98">
      <w:start w:val="1"/>
      <w:numFmt w:val="bullet"/>
      <w:lvlText w:val="o"/>
      <w:lvlJc w:val="start"/>
      <w:pPr>
        <w:tabs>
          <w:tab w:val="num" w:pos="288pt"/>
        </w:tabs>
        <w:ind w:start="288pt" w:hanging="18pt"/>
      </w:pPr>
      <w:rPr>
        <w:rFonts w:ascii="Courier New" w:hAnsi="Courier New"/>
      </w:rPr>
    </w:lvl>
    <w:lvl w:ilvl="8" w:tplc="DCE49F3E">
      <w:start w:val="1"/>
      <w:numFmt w:val="bullet"/>
      <w:lvlText w:val=""/>
      <w:lvlJc w:val="start"/>
      <w:pPr>
        <w:tabs>
          <w:tab w:val="num" w:pos="324pt"/>
        </w:tabs>
        <w:ind w:start="324pt" w:hanging="18pt"/>
      </w:pPr>
      <w:rPr>
        <w:rFonts w:ascii="Wingdings" w:hAnsi="Wingdings"/>
      </w:rPr>
    </w:lvl>
  </w:abstractNum>
  <w:abstractNum w:abstractNumId="8" w15:restartNumberingAfterBreak="0">
    <w:nsid w:val="00000009"/>
    <w:multiLevelType w:val="hybridMultilevel"/>
    <w:tmpl w:val="00000009"/>
    <w:lvl w:ilvl="0" w:tplc="1B24897C">
      <w:start w:val="1"/>
      <w:numFmt w:val="bullet"/>
      <w:lvlText w:val=""/>
      <w:lvlJc w:val="start"/>
      <w:pPr>
        <w:ind w:start="36pt" w:hanging="18pt"/>
      </w:pPr>
      <w:rPr>
        <w:rFonts w:ascii="Symbol" w:hAnsi="Symbol"/>
      </w:rPr>
    </w:lvl>
    <w:lvl w:ilvl="1" w:tplc="BC4A06D0">
      <w:start w:val="1"/>
      <w:numFmt w:val="bullet"/>
      <w:lvlText w:val="o"/>
      <w:lvlJc w:val="start"/>
      <w:pPr>
        <w:tabs>
          <w:tab w:val="num" w:pos="72pt"/>
        </w:tabs>
        <w:ind w:start="72pt" w:hanging="18pt"/>
      </w:pPr>
      <w:rPr>
        <w:rFonts w:ascii="Courier New" w:hAnsi="Courier New"/>
      </w:rPr>
    </w:lvl>
    <w:lvl w:ilvl="2" w:tplc="A4467FB0">
      <w:start w:val="1"/>
      <w:numFmt w:val="bullet"/>
      <w:lvlText w:val=""/>
      <w:lvlJc w:val="start"/>
      <w:pPr>
        <w:tabs>
          <w:tab w:val="num" w:pos="108pt"/>
        </w:tabs>
        <w:ind w:start="108pt" w:hanging="18pt"/>
      </w:pPr>
      <w:rPr>
        <w:rFonts w:ascii="Wingdings" w:hAnsi="Wingdings"/>
      </w:rPr>
    </w:lvl>
    <w:lvl w:ilvl="3" w:tplc="FFE83228">
      <w:start w:val="1"/>
      <w:numFmt w:val="bullet"/>
      <w:lvlText w:val=""/>
      <w:lvlJc w:val="start"/>
      <w:pPr>
        <w:tabs>
          <w:tab w:val="num" w:pos="144pt"/>
        </w:tabs>
        <w:ind w:start="144pt" w:hanging="18pt"/>
      </w:pPr>
      <w:rPr>
        <w:rFonts w:ascii="Symbol" w:hAnsi="Symbol"/>
      </w:rPr>
    </w:lvl>
    <w:lvl w:ilvl="4" w:tplc="72C6A4C0">
      <w:start w:val="1"/>
      <w:numFmt w:val="bullet"/>
      <w:lvlText w:val="o"/>
      <w:lvlJc w:val="start"/>
      <w:pPr>
        <w:tabs>
          <w:tab w:val="num" w:pos="180pt"/>
        </w:tabs>
        <w:ind w:start="180pt" w:hanging="18pt"/>
      </w:pPr>
      <w:rPr>
        <w:rFonts w:ascii="Courier New" w:hAnsi="Courier New"/>
      </w:rPr>
    </w:lvl>
    <w:lvl w:ilvl="5" w:tplc="DCA6575C">
      <w:start w:val="1"/>
      <w:numFmt w:val="bullet"/>
      <w:lvlText w:val=""/>
      <w:lvlJc w:val="start"/>
      <w:pPr>
        <w:tabs>
          <w:tab w:val="num" w:pos="216pt"/>
        </w:tabs>
        <w:ind w:start="216pt" w:hanging="18pt"/>
      </w:pPr>
      <w:rPr>
        <w:rFonts w:ascii="Wingdings" w:hAnsi="Wingdings"/>
      </w:rPr>
    </w:lvl>
    <w:lvl w:ilvl="6" w:tplc="E0EE87FA">
      <w:start w:val="1"/>
      <w:numFmt w:val="bullet"/>
      <w:lvlText w:val=""/>
      <w:lvlJc w:val="start"/>
      <w:pPr>
        <w:tabs>
          <w:tab w:val="num" w:pos="252pt"/>
        </w:tabs>
        <w:ind w:start="252pt" w:hanging="18pt"/>
      </w:pPr>
      <w:rPr>
        <w:rFonts w:ascii="Symbol" w:hAnsi="Symbol"/>
      </w:rPr>
    </w:lvl>
    <w:lvl w:ilvl="7" w:tplc="F818315C">
      <w:start w:val="1"/>
      <w:numFmt w:val="bullet"/>
      <w:lvlText w:val="o"/>
      <w:lvlJc w:val="start"/>
      <w:pPr>
        <w:tabs>
          <w:tab w:val="num" w:pos="288pt"/>
        </w:tabs>
        <w:ind w:start="288pt" w:hanging="18pt"/>
      </w:pPr>
      <w:rPr>
        <w:rFonts w:ascii="Courier New" w:hAnsi="Courier New"/>
      </w:rPr>
    </w:lvl>
    <w:lvl w:ilvl="8" w:tplc="FB5A5214">
      <w:start w:val="1"/>
      <w:numFmt w:val="bullet"/>
      <w:lvlText w:val=""/>
      <w:lvlJc w:val="start"/>
      <w:pPr>
        <w:tabs>
          <w:tab w:val="num" w:pos="324pt"/>
        </w:tabs>
        <w:ind w:start="324pt" w:hanging="18pt"/>
      </w:pPr>
      <w:rPr>
        <w:rFonts w:ascii="Wingdings" w:hAnsi="Wingdings"/>
      </w:rPr>
    </w:lvl>
  </w:abstractNum>
  <w:abstractNum w:abstractNumId="9" w15:restartNumberingAfterBreak="0">
    <w:nsid w:val="0000000A"/>
    <w:multiLevelType w:val="hybridMultilevel"/>
    <w:tmpl w:val="0000000A"/>
    <w:lvl w:ilvl="0" w:tplc="F2CE548C">
      <w:start w:val="1"/>
      <w:numFmt w:val="bullet"/>
      <w:lvlText w:val=""/>
      <w:lvlJc w:val="start"/>
      <w:pPr>
        <w:ind w:start="36pt" w:hanging="18pt"/>
      </w:pPr>
      <w:rPr>
        <w:rFonts w:ascii="Symbol" w:hAnsi="Symbol"/>
      </w:rPr>
    </w:lvl>
    <w:lvl w:ilvl="1" w:tplc="F5E02DDA">
      <w:start w:val="1"/>
      <w:numFmt w:val="bullet"/>
      <w:lvlText w:val="o"/>
      <w:lvlJc w:val="start"/>
      <w:pPr>
        <w:ind w:start="72pt" w:hanging="18pt"/>
      </w:pPr>
      <w:rPr>
        <w:rFonts w:ascii="Courier New" w:hAnsi="Courier New"/>
      </w:rPr>
    </w:lvl>
    <w:lvl w:ilvl="2" w:tplc="63820BC2">
      <w:start w:val="1"/>
      <w:numFmt w:val="bullet"/>
      <w:lvlText w:val=""/>
      <w:lvlJc w:val="start"/>
      <w:pPr>
        <w:tabs>
          <w:tab w:val="num" w:pos="108pt"/>
        </w:tabs>
        <w:ind w:start="108pt" w:hanging="18pt"/>
      </w:pPr>
      <w:rPr>
        <w:rFonts w:ascii="Wingdings" w:hAnsi="Wingdings"/>
      </w:rPr>
    </w:lvl>
    <w:lvl w:ilvl="3" w:tplc="812C0722">
      <w:start w:val="1"/>
      <w:numFmt w:val="bullet"/>
      <w:lvlText w:val=""/>
      <w:lvlJc w:val="start"/>
      <w:pPr>
        <w:tabs>
          <w:tab w:val="num" w:pos="144pt"/>
        </w:tabs>
        <w:ind w:start="144pt" w:hanging="18pt"/>
      </w:pPr>
      <w:rPr>
        <w:rFonts w:ascii="Symbol" w:hAnsi="Symbol"/>
      </w:rPr>
    </w:lvl>
    <w:lvl w:ilvl="4" w:tplc="ECFC453A">
      <w:start w:val="1"/>
      <w:numFmt w:val="bullet"/>
      <w:lvlText w:val="o"/>
      <w:lvlJc w:val="start"/>
      <w:pPr>
        <w:tabs>
          <w:tab w:val="num" w:pos="180pt"/>
        </w:tabs>
        <w:ind w:start="180pt" w:hanging="18pt"/>
      </w:pPr>
      <w:rPr>
        <w:rFonts w:ascii="Courier New" w:hAnsi="Courier New"/>
      </w:rPr>
    </w:lvl>
    <w:lvl w:ilvl="5" w:tplc="3CCE2258">
      <w:start w:val="1"/>
      <w:numFmt w:val="bullet"/>
      <w:lvlText w:val=""/>
      <w:lvlJc w:val="start"/>
      <w:pPr>
        <w:tabs>
          <w:tab w:val="num" w:pos="216pt"/>
        </w:tabs>
        <w:ind w:start="216pt" w:hanging="18pt"/>
      </w:pPr>
      <w:rPr>
        <w:rFonts w:ascii="Wingdings" w:hAnsi="Wingdings"/>
      </w:rPr>
    </w:lvl>
    <w:lvl w:ilvl="6" w:tplc="D4FA3600">
      <w:start w:val="1"/>
      <w:numFmt w:val="bullet"/>
      <w:lvlText w:val=""/>
      <w:lvlJc w:val="start"/>
      <w:pPr>
        <w:tabs>
          <w:tab w:val="num" w:pos="252pt"/>
        </w:tabs>
        <w:ind w:start="252pt" w:hanging="18pt"/>
      </w:pPr>
      <w:rPr>
        <w:rFonts w:ascii="Symbol" w:hAnsi="Symbol"/>
      </w:rPr>
    </w:lvl>
    <w:lvl w:ilvl="7" w:tplc="0292EB16">
      <w:start w:val="1"/>
      <w:numFmt w:val="bullet"/>
      <w:lvlText w:val="o"/>
      <w:lvlJc w:val="start"/>
      <w:pPr>
        <w:tabs>
          <w:tab w:val="num" w:pos="288pt"/>
        </w:tabs>
        <w:ind w:start="288pt" w:hanging="18pt"/>
      </w:pPr>
      <w:rPr>
        <w:rFonts w:ascii="Courier New" w:hAnsi="Courier New"/>
      </w:rPr>
    </w:lvl>
    <w:lvl w:ilvl="8" w:tplc="45843172">
      <w:start w:val="1"/>
      <w:numFmt w:val="bullet"/>
      <w:lvlText w:val=""/>
      <w:lvlJc w:val="start"/>
      <w:pPr>
        <w:tabs>
          <w:tab w:val="num" w:pos="324pt"/>
        </w:tabs>
        <w:ind w:start="324pt" w:hanging="18pt"/>
      </w:pPr>
      <w:rPr>
        <w:rFonts w:ascii="Wingdings" w:hAnsi="Wingdings"/>
      </w:rPr>
    </w:lvl>
  </w:abstractNum>
  <w:abstractNum w:abstractNumId="10" w15:restartNumberingAfterBreak="0">
    <w:nsid w:val="0000000B"/>
    <w:multiLevelType w:val="hybridMultilevel"/>
    <w:tmpl w:val="0000000B"/>
    <w:lvl w:ilvl="0" w:tplc="8A6610FE">
      <w:start w:val="1"/>
      <w:numFmt w:val="bullet"/>
      <w:lvlText w:val=""/>
      <w:lvlJc w:val="start"/>
      <w:pPr>
        <w:ind w:start="36pt" w:hanging="18pt"/>
      </w:pPr>
      <w:rPr>
        <w:rFonts w:ascii="Symbol" w:hAnsi="Symbol"/>
      </w:rPr>
    </w:lvl>
    <w:lvl w:ilvl="1" w:tplc="65B4169A">
      <w:start w:val="1"/>
      <w:numFmt w:val="bullet"/>
      <w:lvlText w:val="o"/>
      <w:lvlJc w:val="start"/>
      <w:pPr>
        <w:ind w:start="72pt" w:hanging="18pt"/>
      </w:pPr>
      <w:rPr>
        <w:rFonts w:ascii="Courier New" w:hAnsi="Courier New"/>
      </w:rPr>
    </w:lvl>
    <w:lvl w:ilvl="2" w:tplc="82AA4DA2">
      <w:start w:val="1"/>
      <w:numFmt w:val="bullet"/>
      <w:lvlText w:val=""/>
      <w:lvlJc w:val="start"/>
      <w:pPr>
        <w:tabs>
          <w:tab w:val="num" w:pos="108pt"/>
        </w:tabs>
        <w:ind w:start="108pt" w:hanging="18pt"/>
      </w:pPr>
      <w:rPr>
        <w:rFonts w:ascii="Wingdings" w:hAnsi="Wingdings"/>
      </w:rPr>
    </w:lvl>
    <w:lvl w:ilvl="3" w:tplc="CA6049CE">
      <w:start w:val="1"/>
      <w:numFmt w:val="bullet"/>
      <w:lvlText w:val=""/>
      <w:lvlJc w:val="start"/>
      <w:pPr>
        <w:tabs>
          <w:tab w:val="num" w:pos="144pt"/>
        </w:tabs>
        <w:ind w:start="144pt" w:hanging="18pt"/>
      </w:pPr>
      <w:rPr>
        <w:rFonts w:ascii="Symbol" w:hAnsi="Symbol"/>
      </w:rPr>
    </w:lvl>
    <w:lvl w:ilvl="4" w:tplc="B57CFB68">
      <w:start w:val="1"/>
      <w:numFmt w:val="bullet"/>
      <w:lvlText w:val="o"/>
      <w:lvlJc w:val="start"/>
      <w:pPr>
        <w:tabs>
          <w:tab w:val="num" w:pos="180pt"/>
        </w:tabs>
        <w:ind w:start="180pt" w:hanging="18pt"/>
      </w:pPr>
      <w:rPr>
        <w:rFonts w:ascii="Courier New" w:hAnsi="Courier New"/>
      </w:rPr>
    </w:lvl>
    <w:lvl w:ilvl="5" w:tplc="77940AEA">
      <w:start w:val="1"/>
      <w:numFmt w:val="bullet"/>
      <w:lvlText w:val=""/>
      <w:lvlJc w:val="start"/>
      <w:pPr>
        <w:tabs>
          <w:tab w:val="num" w:pos="216pt"/>
        </w:tabs>
        <w:ind w:start="216pt" w:hanging="18pt"/>
      </w:pPr>
      <w:rPr>
        <w:rFonts w:ascii="Wingdings" w:hAnsi="Wingdings"/>
      </w:rPr>
    </w:lvl>
    <w:lvl w:ilvl="6" w:tplc="1E8C5BA8">
      <w:start w:val="1"/>
      <w:numFmt w:val="bullet"/>
      <w:lvlText w:val=""/>
      <w:lvlJc w:val="start"/>
      <w:pPr>
        <w:tabs>
          <w:tab w:val="num" w:pos="252pt"/>
        </w:tabs>
        <w:ind w:start="252pt" w:hanging="18pt"/>
      </w:pPr>
      <w:rPr>
        <w:rFonts w:ascii="Symbol" w:hAnsi="Symbol"/>
      </w:rPr>
    </w:lvl>
    <w:lvl w:ilvl="7" w:tplc="B5FC139C">
      <w:start w:val="1"/>
      <w:numFmt w:val="bullet"/>
      <w:lvlText w:val="o"/>
      <w:lvlJc w:val="start"/>
      <w:pPr>
        <w:tabs>
          <w:tab w:val="num" w:pos="288pt"/>
        </w:tabs>
        <w:ind w:start="288pt" w:hanging="18pt"/>
      </w:pPr>
      <w:rPr>
        <w:rFonts w:ascii="Courier New" w:hAnsi="Courier New"/>
      </w:rPr>
    </w:lvl>
    <w:lvl w:ilvl="8" w:tplc="B4CC7658">
      <w:start w:val="1"/>
      <w:numFmt w:val="bullet"/>
      <w:lvlText w:val=""/>
      <w:lvlJc w:val="start"/>
      <w:pPr>
        <w:tabs>
          <w:tab w:val="num" w:pos="324pt"/>
        </w:tabs>
        <w:ind w:start="324pt" w:hanging="18pt"/>
      </w:pPr>
      <w:rPr>
        <w:rFonts w:ascii="Wingdings" w:hAnsi="Wingdings"/>
      </w:rPr>
    </w:lvl>
  </w:abstractNum>
  <w:abstractNum w:abstractNumId="11" w15:restartNumberingAfterBreak="0">
    <w:nsid w:val="0000000C"/>
    <w:multiLevelType w:val="hybridMultilevel"/>
    <w:tmpl w:val="0000000C"/>
    <w:lvl w:ilvl="0" w:tplc="8146DB64">
      <w:start w:val="1"/>
      <w:numFmt w:val="bullet"/>
      <w:lvlText w:val=""/>
      <w:lvlJc w:val="start"/>
      <w:pPr>
        <w:ind w:start="36pt" w:hanging="18pt"/>
      </w:pPr>
      <w:rPr>
        <w:rFonts w:ascii="Symbol" w:hAnsi="Symbol"/>
      </w:rPr>
    </w:lvl>
    <w:lvl w:ilvl="1" w:tplc="209A0F3C">
      <w:start w:val="1"/>
      <w:numFmt w:val="bullet"/>
      <w:lvlText w:val="o"/>
      <w:lvlJc w:val="start"/>
      <w:pPr>
        <w:ind w:start="72pt" w:hanging="18pt"/>
      </w:pPr>
      <w:rPr>
        <w:rFonts w:ascii="Courier New" w:hAnsi="Courier New"/>
      </w:rPr>
    </w:lvl>
    <w:lvl w:ilvl="2" w:tplc="E654C9B6">
      <w:start w:val="1"/>
      <w:numFmt w:val="bullet"/>
      <w:lvlText w:val=""/>
      <w:lvlJc w:val="start"/>
      <w:pPr>
        <w:tabs>
          <w:tab w:val="num" w:pos="108pt"/>
        </w:tabs>
        <w:ind w:start="108pt" w:hanging="18pt"/>
      </w:pPr>
      <w:rPr>
        <w:rFonts w:ascii="Wingdings" w:hAnsi="Wingdings"/>
      </w:rPr>
    </w:lvl>
    <w:lvl w:ilvl="3" w:tplc="EB4A1186">
      <w:start w:val="1"/>
      <w:numFmt w:val="bullet"/>
      <w:lvlText w:val=""/>
      <w:lvlJc w:val="start"/>
      <w:pPr>
        <w:tabs>
          <w:tab w:val="num" w:pos="144pt"/>
        </w:tabs>
        <w:ind w:start="144pt" w:hanging="18pt"/>
      </w:pPr>
      <w:rPr>
        <w:rFonts w:ascii="Symbol" w:hAnsi="Symbol"/>
      </w:rPr>
    </w:lvl>
    <w:lvl w:ilvl="4" w:tplc="B090299A">
      <w:start w:val="1"/>
      <w:numFmt w:val="bullet"/>
      <w:lvlText w:val="o"/>
      <w:lvlJc w:val="start"/>
      <w:pPr>
        <w:tabs>
          <w:tab w:val="num" w:pos="180pt"/>
        </w:tabs>
        <w:ind w:start="180pt" w:hanging="18pt"/>
      </w:pPr>
      <w:rPr>
        <w:rFonts w:ascii="Courier New" w:hAnsi="Courier New"/>
      </w:rPr>
    </w:lvl>
    <w:lvl w:ilvl="5" w:tplc="5B5C51B2">
      <w:start w:val="1"/>
      <w:numFmt w:val="bullet"/>
      <w:lvlText w:val=""/>
      <w:lvlJc w:val="start"/>
      <w:pPr>
        <w:tabs>
          <w:tab w:val="num" w:pos="216pt"/>
        </w:tabs>
        <w:ind w:start="216pt" w:hanging="18pt"/>
      </w:pPr>
      <w:rPr>
        <w:rFonts w:ascii="Wingdings" w:hAnsi="Wingdings"/>
      </w:rPr>
    </w:lvl>
    <w:lvl w:ilvl="6" w:tplc="9CF61732">
      <w:start w:val="1"/>
      <w:numFmt w:val="bullet"/>
      <w:lvlText w:val=""/>
      <w:lvlJc w:val="start"/>
      <w:pPr>
        <w:tabs>
          <w:tab w:val="num" w:pos="252pt"/>
        </w:tabs>
        <w:ind w:start="252pt" w:hanging="18pt"/>
      </w:pPr>
      <w:rPr>
        <w:rFonts w:ascii="Symbol" w:hAnsi="Symbol"/>
      </w:rPr>
    </w:lvl>
    <w:lvl w:ilvl="7" w:tplc="3BBCFA84">
      <w:start w:val="1"/>
      <w:numFmt w:val="bullet"/>
      <w:lvlText w:val="o"/>
      <w:lvlJc w:val="start"/>
      <w:pPr>
        <w:tabs>
          <w:tab w:val="num" w:pos="288pt"/>
        </w:tabs>
        <w:ind w:start="288pt" w:hanging="18pt"/>
      </w:pPr>
      <w:rPr>
        <w:rFonts w:ascii="Courier New" w:hAnsi="Courier New"/>
      </w:rPr>
    </w:lvl>
    <w:lvl w:ilvl="8" w:tplc="48B00014">
      <w:start w:val="1"/>
      <w:numFmt w:val="bullet"/>
      <w:lvlText w:val=""/>
      <w:lvlJc w:val="start"/>
      <w:pPr>
        <w:tabs>
          <w:tab w:val="num" w:pos="324pt"/>
        </w:tabs>
        <w:ind w:start="324pt" w:hanging="18pt"/>
      </w:pPr>
      <w:rPr>
        <w:rFonts w:ascii="Wingdings" w:hAnsi="Wingdings"/>
      </w:rPr>
    </w:lvl>
  </w:abstractNum>
  <w:abstractNum w:abstractNumId="12" w15:restartNumberingAfterBreak="0">
    <w:nsid w:val="0000000D"/>
    <w:multiLevelType w:val="hybridMultilevel"/>
    <w:tmpl w:val="0000000D"/>
    <w:lvl w:ilvl="0" w:tplc="0706DB78">
      <w:start w:val="1"/>
      <w:numFmt w:val="bullet"/>
      <w:lvlText w:val=""/>
      <w:lvlJc w:val="start"/>
      <w:pPr>
        <w:ind w:start="36pt" w:hanging="18pt"/>
      </w:pPr>
      <w:rPr>
        <w:rFonts w:ascii="Symbol" w:hAnsi="Symbol"/>
      </w:rPr>
    </w:lvl>
    <w:lvl w:ilvl="1" w:tplc="2BC6ABA2">
      <w:start w:val="1"/>
      <w:numFmt w:val="bullet"/>
      <w:lvlText w:val="o"/>
      <w:lvlJc w:val="start"/>
      <w:pPr>
        <w:ind w:start="72pt" w:hanging="18pt"/>
      </w:pPr>
      <w:rPr>
        <w:rFonts w:ascii="Courier New" w:hAnsi="Courier New"/>
      </w:rPr>
    </w:lvl>
    <w:lvl w:ilvl="2" w:tplc="D86C2262">
      <w:start w:val="1"/>
      <w:numFmt w:val="bullet"/>
      <w:lvlText w:val=""/>
      <w:lvlJc w:val="start"/>
      <w:pPr>
        <w:tabs>
          <w:tab w:val="num" w:pos="108pt"/>
        </w:tabs>
        <w:ind w:start="108pt" w:hanging="18pt"/>
      </w:pPr>
      <w:rPr>
        <w:rFonts w:ascii="Wingdings" w:hAnsi="Wingdings"/>
      </w:rPr>
    </w:lvl>
    <w:lvl w:ilvl="3" w:tplc="8AF2DB38">
      <w:start w:val="1"/>
      <w:numFmt w:val="bullet"/>
      <w:lvlText w:val=""/>
      <w:lvlJc w:val="start"/>
      <w:pPr>
        <w:tabs>
          <w:tab w:val="num" w:pos="144pt"/>
        </w:tabs>
        <w:ind w:start="144pt" w:hanging="18pt"/>
      </w:pPr>
      <w:rPr>
        <w:rFonts w:ascii="Symbol" w:hAnsi="Symbol"/>
      </w:rPr>
    </w:lvl>
    <w:lvl w:ilvl="4" w:tplc="6CF6A8FC">
      <w:start w:val="1"/>
      <w:numFmt w:val="bullet"/>
      <w:lvlText w:val="o"/>
      <w:lvlJc w:val="start"/>
      <w:pPr>
        <w:tabs>
          <w:tab w:val="num" w:pos="180pt"/>
        </w:tabs>
        <w:ind w:start="180pt" w:hanging="18pt"/>
      </w:pPr>
      <w:rPr>
        <w:rFonts w:ascii="Courier New" w:hAnsi="Courier New"/>
      </w:rPr>
    </w:lvl>
    <w:lvl w:ilvl="5" w:tplc="520A9A96">
      <w:start w:val="1"/>
      <w:numFmt w:val="bullet"/>
      <w:lvlText w:val=""/>
      <w:lvlJc w:val="start"/>
      <w:pPr>
        <w:tabs>
          <w:tab w:val="num" w:pos="216pt"/>
        </w:tabs>
        <w:ind w:start="216pt" w:hanging="18pt"/>
      </w:pPr>
      <w:rPr>
        <w:rFonts w:ascii="Wingdings" w:hAnsi="Wingdings"/>
      </w:rPr>
    </w:lvl>
    <w:lvl w:ilvl="6" w:tplc="FA32DE32">
      <w:start w:val="1"/>
      <w:numFmt w:val="bullet"/>
      <w:lvlText w:val=""/>
      <w:lvlJc w:val="start"/>
      <w:pPr>
        <w:tabs>
          <w:tab w:val="num" w:pos="252pt"/>
        </w:tabs>
        <w:ind w:start="252pt" w:hanging="18pt"/>
      </w:pPr>
      <w:rPr>
        <w:rFonts w:ascii="Symbol" w:hAnsi="Symbol"/>
      </w:rPr>
    </w:lvl>
    <w:lvl w:ilvl="7" w:tplc="C7860ED6">
      <w:start w:val="1"/>
      <w:numFmt w:val="bullet"/>
      <w:lvlText w:val="o"/>
      <w:lvlJc w:val="start"/>
      <w:pPr>
        <w:tabs>
          <w:tab w:val="num" w:pos="288pt"/>
        </w:tabs>
        <w:ind w:start="288pt" w:hanging="18pt"/>
      </w:pPr>
      <w:rPr>
        <w:rFonts w:ascii="Courier New" w:hAnsi="Courier New"/>
      </w:rPr>
    </w:lvl>
    <w:lvl w:ilvl="8" w:tplc="9EB2B0D4">
      <w:start w:val="1"/>
      <w:numFmt w:val="bullet"/>
      <w:lvlText w:val=""/>
      <w:lvlJc w:val="start"/>
      <w:pPr>
        <w:tabs>
          <w:tab w:val="num" w:pos="324pt"/>
        </w:tabs>
        <w:ind w:start="324pt" w:hanging="18pt"/>
      </w:pPr>
      <w:rPr>
        <w:rFonts w:ascii="Wingdings" w:hAnsi="Wingdings"/>
      </w:rPr>
    </w:lvl>
  </w:abstractNum>
  <w:abstractNum w:abstractNumId="13" w15:restartNumberingAfterBreak="0">
    <w:nsid w:val="0000000E"/>
    <w:multiLevelType w:val="hybridMultilevel"/>
    <w:tmpl w:val="0000000E"/>
    <w:lvl w:ilvl="0" w:tplc="B6F09988">
      <w:start w:val="1"/>
      <w:numFmt w:val="bullet"/>
      <w:lvlText w:val=""/>
      <w:lvlJc w:val="start"/>
      <w:pPr>
        <w:ind w:start="36pt" w:hanging="18pt"/>
      </w:pPr>
      <w:rPr>
        <w:rFonts w:ascii="Symbol" w:hAnsi="Symbol"/>
      </w:rPr>
    </w:lvl>
    <w:lvl w:ilvl="1" w:tplc="A06E04DA">
      <w:start w:val="1"/>
      <w:numFmt w:val="bullet"/>
      <w:lvlText w:val="o"/>
      <w:lvlJc w:val="start"/>
      <w:pPr>
        <w:tabs>
          <w:tab w:val="num" w:pos="72pt"/>
        </w:tabs>
        <w:ind w:start="72pt" w:hanging="18pt"/>
      </w:pPr>
      <w:rPr>
        <w:rFonts w:ascii="Courier New" w:hAnsi="Courier New"/>
      </w:rPr>
    </w:lvl>
    <w:lvl w:ilvl="2" w:tplc="6A884E68">
      <w:start w:val="1"/>
      <w:numFmt w:val="bullet"/>
      <w:lvlText w:val=""/>
      <w:lvlJc w:val="start"/>
      <w:pPr>
        <w:tabs>
          <w:tab w:val="num" w:pos="108pt"/>
        </w:tabs>
        <w:ind w:start="108pt" w:hanging="18pt"/>
      </w:pPr>
      <w:rPr>
        <w:rFonts w:ascii="Wingdings" w:hAnsi="Wingdings"/>
      </w:rPr>
    </w:lvl>
    <w:lvl w:ilvl="3" w:tplc="71DC9642">
      <w:start w:val="1"/>
      <w:numFmt w:val="bullet"/>
      <w:lvlText w:val=""/>
      <w:lvlJc w:val="start"/>
      <w:pPr>
        <w:tabs>
          <w:tab w:val="num" w:pos="144pt"/>
        </w:tabs>
        <w:ind w:start="144pt" w:hanging="18pt"/>
      </w:pPr>
      <w:rPr>
        <w:rFonts w:ascii="Symbol" w:hAnsi="Symbol"/>
      </w:rPr>
    </w:lvl>
    <w:lvl w:ilvl="4" w:tplc="D52C7736">
      <w:start w:val="1"/>
      <w:numFmt w:val="bullet"/>
      <w:lvlText w:val="o"/>
      <w:lvlJc w:val="start"/>
      <w:pPr>
        <w:tabs>
          <w:tab w:val="num" w:pos="180pt"/>
        </w:tabs>
        <w:ind w:start="180pt" w:hanging="18pt"/>
      </w:pPr>
      <w:rPr>
        <w:rFonts w:ascii="Courier New" w:hAnsi="Courier New"/>
      </w:rPr>
    </w:lvl>
    <w:lvl w:ilvl="5" w:tplc="BEF2FCFE">
      <w:start w:val="1"/>
      <w:numFmt w:val="bullet"/>
      <w:lvlText w:val=""/>
      <w:lvlJc w:val="start"/>
      <w:pPr>
        <w:tabs>
          <w:tab w:val="num" w:pos="216pt"/>
        </w:tabs>
        <w:ind w:start="216pt" w:hanging="18pt"/>
      </w:pPr>
      <w:rPr>
        <w:rFonts w:ascii="Wingdings" w:hAnsi="Wingdings"/>
      </w:rPr>
    </w:lvl>
    <w:lvl w:ilvl="6" w:tplc="3F2607CE">
      <w:start w:val="1"/>
      <w:numFmt w:val="bullet"/>
      <w:lvlText w:val=""/>
      <w:lvlJc w:val="start"/>
      <w:pPr>
        <w:tabs>
          <w:tab w:val="num" w:pos="252pt"/>
        </w:tabs>
        <w:ind w:start="252pt" w:hanging="18pt"/>
      </w:pPr>
      <w:rPr>
        <w:rFonts w:ascii="Symbol" w:hAnsi="Symbol"/>
      </w:rPr>
    </w:lvl>
    <w:lvl w:ilvl="7" w:tplc="D66ED038">
      <w:start w:val="1"/>
      <w:numFmt w:val="bullet"/>
      <w:lvlText w:val="o"/>
      <w:lvlJc w:val="start"/>
      <w:pPr>
        <w:tabs>
          <w:tab w:val="num" w:pos="288pt"/>
        </w:tabs>
        <w:ind w:start="288pt" w:hanging="18pt"/>
      </w:pPr>
      <w:rPr>
        <w:rFonts w:ascii="Courier New" w:hAnsi="Courier New"/>
      </w:rPr>
    </w:lvl>
    <w:lvl w:ilvl="8" w:tplc="8AE84DB2">
      <w:start w:val="1"/>
      <w:numFmt w:val="bullet"/>
      <w:lvlText w:val=""/>
      <w:lvlJc w:val="start"/>
      <w:pPr>
        <w:tabs>
          <w:tab w:val="num" w:pos="324pt"/>
        </w:tabs>
        <w:ind w:start="324pt" w:hanging="18pt"/>
      </w:pPr>
      <w:rPr>
        <w:rFonts w:ascii="Wingdings" w:hAnsi="Wingdings"/>
      </w:rPr>
    </w:lvl>
  </w:abstractNum>
  <w:abstractNum w:abstractNumId="14" w15:restartNumberingAfterBreak="0">
    <w:nsid w:val="0000000F"/>
    <w:multiLevelType w:val="hybridMultilevel"/>
    <w:tmpl w:val="0000000F"/>
    <w:lvl w:ilvl="0" w:tplc="63623A44">
      <w:start w:val="1"/>
      <w:numFmt w:val="bullet"/>
      <w:lvlText w:val=""/>
      <w:lvlJc w:val="start"/>
      <w:pPr>
        <w:ind w:start="36pt" w:hanging="18pt"/>
      </w:pPr>
      <w:rPr>
        <w:rFonts w:ascii="Symbol" w:hAnsi="Symbol"/>
      </w:rPr>
    </w:lvl>
    <w:lvl w:ilvl="1" w:tplc="9A1E17A8">
      <w:start w:val="1"/>
      <w:numFmt w:val="bullet"/>
      <w:lvlText w:val="o"/>
      <w:lvlJc w:val="start"/>
      <w:pPr>
        <w:tabs>
          <w:tab w:val="num" w:pos="72pt"/>
        </w:tabs>
        <w:ind w:start="72pt" w:hanging="18pt"/>
      </w:pPr>
      <w:rPr>
        <w:rFonts w:ascii="Courier New" w:hAnsi="Courier New"/>
      </w:rPr>
    </w:lvl>
    <w:lvl w:ilvl="2" w:tplc="F2A4233C">
      <w:start w:val="1"/>
      <w:numFmt w:val="bullet"/>
      <w:lvlText w:val=""/>
      <w:lvlJc w:val="start"/>
      <w:pPr>
        <w:tabs>
          <w:tab w:val="num" w:pos="108pt"/>
        </w:tabs>
        <w:ind w:start="108pt" w:hanging="18pt"/>
      </w:pPr>
      <w:rPr>
        <w:rFonts w:ascii="Wingdings" w:hAnsi="Wingdings"/>
      </w:rPr>
    </w:lvl>
    <w:lvl w:ilvl="3" w:tplc="1FBE1D48">
      <w:start w:val="1"/>
      <w:numFmt w:val="bullet"/>
      <w:lvlText w:val=""/>
      <w:lvlJc w:val="start"/>
      <w:pPr>
        <w:tabs>
          <w:tab w:val="num" w:pos="144pt"/>
        </w:tabs>
        <w:ind w:start="144pt" w:hanging="18pt"/>
      </w:pPr>
      <w:rPr>
        <w:rFonts w:ascii="Symbol" w:hAnsi="Symbol"/>
      </w:rPr>
    </w:lvl>
    <w:lvl w:ilvl="4" w:tplc="B05A12D2">
      <w:start w:val="1"/>
      <w:numFmt w:val="bullet"/>
      <w:lvlText w:val="o"/>
      <w:lvlJc w:val="start"/>
      <w:pPr>
        <w:tabs>
          <w:tab w:val="num" w:pos="180pt"/>
        </w:tabs>
        <w:ind w:start="180pt" w:hanging="18pt"/>
      </w:pPr>
      <w:rPr>
        <w:rFonts w:ascii="Courier New" w:hAnsi="Courier New"/>
      </w:rPr>
    </w:lvl>
    <w:lvl w:ilvl="5" w:tplc="5BDA21A6">
      <w:start w:val="1"/>
      <w:numFmt w:val="bullet"/>
      <w:lvlText w:val=""/>
      <w:lvlJc w:val="start"/>
      <w:pPr>
        <w:tabs>
          <w:tab w:val="num" w:pos="216pt"/>
        </w:tabs>
        <w:ind w:start="216pt" w:hanging="18pt"/>
      </w:pPr>
      <w:rPr>
        <w:rFonts w:ascii="Wingdings" w:hAnsi="Wingdings"/>
      </w:rPr>
    </w:lvl>
    <w:lvl w:ilvl="6" w:tplc="2382A2E0">
      <w:start w:val="1"/>
      <w:numFmt w:val="bullet"/>
      <w:lvlText w:val=""/>
      <w:lvlJc w:val="start"/>
      <w:pPr>
        <w:tabs>
          <w:tab w:val="num" w:pos="252pt"/>
        </w:tabs>
        <w:ind w:start="252pt" w:hanging="18pt"/>
      </w:pPr>
      <w:rPr>
        <w:rFonts w:ascii="Symbol" w:hAnsi="Symbol"/>
      </w:rPr>
    </w:lvl>
    <w:lvl w:ilvl="7" w:tplc="DC80A13C">
      <w:start w:val="1"/>
      <w:numFmt w:val="bullet"/>
      <w:lvlText w:val="o"/>
      <w:lvlJc w:val="start"/>
      <w:pPr>
        <w:tabs>
          <w:tab w:val="num" w:pos="288pt"/>
        </w:tabs>
        <w:ind w:start="288pt" w:hanging="18pt"/>
      </w:pPr>
      <w:rPr>
        <w:rFonts w:ascii="Courier New" w:hAnsi="Courier New"/>
      </w:rPr>
    </w:lvl>
    <w:lvl w:ilvl="8" w:tplc="1CA2C148">
      <w:start w:val="1"/>
      <w:numFmt w:val="bullet"/>
      <w:lvlText w:val=""/>
      <w:lvlJc w:val="start"/>
      <w:pPr>
        <w:tabs>
          <w:tab w:val="num" w:pos="324pt"/>
        </w:tabs>
        <w:ind w:start="324pt" w:hanging="18pt"/>
      </w:pPr>
      <w:rPr>
        <w:rFonts w:ascii="Wingdings" w:hAnsi="Wingdings"/>
      </w:rPr>
    </w:lvl>
  </w:abstractNum>
  <w:abstractNum w:abstractNumId="15" w15:restartNumberingAfterBreak="0">
    <w:nsid w:val="00000010"/>
    <w:multiLevelType w:val="hybridMultilevel"/>
    <w:tmpl w:val="00000010"/>
    <w:lvl w:ilvl="0" w:tplc="6BDE8B72">
      <w:start w:val="1"/>
      <w:numFmt w:val="bullet"/>
      <w:lvlText w:val=""/>
      <w:lvlJc w:val="start"/>
      <w:pPr>
        <w:ind w:start="36pt" w:hanging="18pt"/>
      </w:pPr>
      <w:rPr>
        <w:rFonts w:ascii="Symbol" w:hAnsi="Symbol"/>
      </w:rPr>
    </w:lvl>
    <w:lvl w:ilvl="1" w:tplc="05DC3FF8">
      <w:start w:val="1"/>
      <w:numFmt w:val="bullet"/>
      <w:lvlText w:val="o"/>
      <w:lvlJc w:val="start"/>
      <w:pPr>
        <w:tabs>
          <w:tab w:val="num" w:pos="72pt"/>
        </w:tabs>
        <w:ind w:start="72pt" w:hanging="18pt"/>
      </w:pPr>
      <w:rPr>
        <w:rFonts w:ascii="Courier New" w:hAnsi="Courier New"/>
      </w:rPr>
    </w:lvl>
    <w:lvl w:ilvl="2" w:tplc="A26EBDA6">
      <w:start w:val="1"/>
      <w:numFmt w:val="bullet"/>
      <w:lvlText w:val=""/>
      <w:lvlJc w:val="start"/>
      <w:pPr>
        <w:tabs>
          <w:tab w:val="num" w:pos="108pt"/>
        </w:tabs>
        <w:ind w:start="108pt" w:hanging="18pt"/>
      </w:pPr>
      <w:rPr>
        <w:rFonts w:ascii="Wingdings" w:hAnsi="Wingdings"/>
      </w:rPr>
    </w:lvl>
    <w:lvl w:ilvl="3" w:tplc="1BCCB54A">
      <w:start w:val="1"/>
      <w:numFmt w:val="bullet"/>
      <w:lvlText w:val=""/>
      <w:lvlJc w:val="start"/>
      <w:pPr>
        <w:tabs>
          <w:tab w:val="num" w:pos="144pt"/>
        </w:tabs>
        <w:ind w:start="144pt" w:hanging="18pt"/>
      </w:pPr>
      <w:rPr>
        <w:rFonts w:ascii="Symbol" w:hAnsi="Symbol"/>
      </w:rPr>
    </w:lvl>
    <w:lvl w:ilvl="4" w:tplc="8FAC4502">
      <w:start w:val="1"/>
      <w:numFmt w:val="bullet"/>
      <w:lvlText w:val="o"/>
      <w:lvlJc w:val="start"/>
      <w:pPr>
        <w:tabs>
          <w:tab w:val="num" w:pos="180pt"/>
        </w:tabs>
        <w:ind w:start="180pt" w:hanging="18pt"/>
      </w:pPr>
      <w:rPr>
        <w:rFonts w:ascii="Courier New" w:hAnsi="Courier New"/>
      </w:rPr>
    </w:lvl>
    <w:lvl w:ilvl="5" w:tplc="AA60C074">
      <w:start w:val="1"/>
      <w:numFmt w:val="bullet"/>
      <w:lvlText w:val=""/>
      <w:lvlJc w:val="start"/>
      <w:pPr>
        <w:tabs>
          <w:tab w:val="num" w:pos="216pt"/>
        </w:tabs>
        <w:ind w:start="216pt" w:hanging="18pt"/>
      </w:pPr>
      <w:rPr>
        <w:rFonts w:ascii="Wingdings" w:hAnsi="Wingdings"/>
      </w:rPr>
    </w:lvl>
    <w:lvl w:ilvl="6" w:tplc="A39E6474">
      <w:start w:val="1"/>
      <w:numFmt w:val="bullet"/>
      <w:lvlText w:val=""/>
      <w:lvlJc w:val="start"/>
      <w:pPr>
        <w:tabs>
          <w:tab w:val="num" w:pos="252pt"/>
        </w:tabs>
        <w:ind w:start="252pt" w:hanging="18pt"/>
      </w:pPr>
      <w:rPr>
        <w:rFonts w:ascii="Symbol" w:hAnsi="Symbol"/>
      </w:rPr>
    </w:lvl>
    <w:lvl w:ilvl="7" w:tplc="461ADB9A">
      <w:start w:val="1"/>
      <w:numFmt w:val="bullet"/>
      <w:lvlText w:val="o"/>
      <w:lvlJc w:val="start"/>
      <w:pPr>
        <w:tabs>
          <w:tab w:val="num" w:pos="288pt"/>
        </w:tabs>
        <w:ind w:start="288pt" w:hanging="18pt"/>
      </w:pPr>
      <w:rPr>
        <w:rFonts w:ascii="Courier New" w:hAnsi="Courier New"/>
      </w:rPr>
    </w:lvl>
    <w:lvl w:ilvl="8" w:tplc="5ED21F2A">
      <w:start w:val="1"/>
      <w:numFmt w:val="bullet"/>
      <w:lvlText w:val=""/>
      <w:lvlJc w:val="start"/>
      <w:pPr>
        <w:tabs>
          <w:tab w:val="num" w:pos="324pt"/>
        </w:tabs>
        <w:ind w:start="324pt" w:hanging="18pt"/>
      </w:pPr>
      <w:rPr>
        <w:rFonts w:ascii="Wingdings" w:hAnsi="Wingdings"/>
      </w:rPr>
    </w:lvl>
  </w:abstractNum>
  <w:abstractNum w:abstractNumId="16" w15:restartNumberingAfterBreak="0">
    <w:nsid w:val="00000011"/>
    <w:multiLevelType w:val="hybridMultilevel"/>
    <w:tmpl w:val="00000011"/>
    <w:lvl w:ilvl="0" w:tplc="F50EE108">
      <w:start w:val="1"/>
      <w:numFmt w:val="bullet"/>
      <w:lvlText w:val=""/>
      <w:lvlJc w:val="start"/>
      <w:pPr>
        <w:ind w:start="36pt" w:hanging="18pt"/>
      </w:pPr>
      <w:rPr>
        <w:rFonts w:ascii="Symbol" w:hAnsi="Symbol"/>
      </w:rPr>
    </w:lvl>
    <w:lvl w:ilvl="1" w:tplc="A5C4B8FC">
      <w:start w:val="1"/>
      <w:numFmt w:val="bullet"/>
      <w:lvlText w:val="o"/>
      <w:lvlJc w:val="start"/>
      <w:pPr>
        <w:tabs>
          <w:tab w:val="num" w:pos="72pt"/>
        </w:tabs>
        <w:ind w:start="72pt" w:hanging="18pt"/>
      </w:pPr>
      <w:rPr>
        <w:rFonts w:ascii="Courier New" w:hAnsi="Courier New"/>
      </w:rPr>
    </w:lvl>
    <w:lvl w:ilvl="2" w:tplc="3334A5A6">
      <w:start w:val="1"/>
      <w:numFmt w:val="bullet"/>
      <w:lvlText w:val=""/>
      <w:lvlJc w:val="start"/>
      <w:pPr>
        <w:tabs>
          <w:tab w:val="num" w:pos="108pt"/>
        </w:tabs>
        <w:ind w:start="108pt" w:hanging="18pt"/>
      </w:pPr>
      <w:rPr>
        <w:rFonts w:ascii="Wingdings" w:hAnsi="Wingdings"/>
      </w:rPr>
    </w:lvl>
    <w:lvl w:ilvl="3" w:tplc="7FA0B56E">
      <w:start w:val="1"/>
      <w:numFmt w:val="bullet"/>
      <w:lvlText w:val=""/>
      <w:lvlJc w:val="start"/>
      <w:pPr>
        <w:tabs>
          <w:tab w:val="num" w:pos="144pt"/>
        </w:tabs>
        <w:ind w:start="144pt" w:hanging="18pt"/>
      </w:pPr>
      <w:rPr>
        <w:rFonts w:ascii="Symbol" w:hAnsi="Symbol"/>
      </w:rPr>
    </w:lvl>
    <w:lvl w:ilvl="4" w:tplc="F29E18DC">
      <w:start w:val="1"/>
      <w:numFmt w:val="bullet"/>
      <w:lvlText w:val="o"/>
      <w:lvlJc w:val="start"/>
      <w:pPr>
        <w:tabs>
          <w:tab w:val="num" w:pos="180pt"/>
        </w:tabs>
        <w:ind w:start="180pt" w:hanging="18pt"/>
      </w:pPr>
      <w:rPr>
        <w:rFonts w:ascii="Courier New" w:hAnsi="Courier New"/>
      </w:rPr>
    </w:lvl>
    <w:lvl w:ilvl="5" w:tplc="F6ACAA32">
      <w:start w:val="1"/>
      <w:numFmt w:val="bullet"/>
      <w:lvlText w:val=""/>
      <w:lvlJc w:val="start"/>
      <w:pPr>
        <w:tabs>
          <w:tab w:val="num" w:pos="216pt"/>
        </w:tabs>
        <w:ind w:start="216pt" w:hanging="18pt"/>
      </w:pPr>
      <w:rPr>
        <w:rFonts w:ascii="Wingdings" w:hAnsi="Wingdings"/>
      </w:rPr>
    </w:lvl>
    <w:lvl w:ilvl="6" w:tplc="C122B15E">
      <w:start w:val="1"/>
      <w:numFmt w:val="bullet"/>
      <w:lvlText w:val=""/>
      <w:lvlJc w:val="start"/>
      <w:pPr>
        <w:tabs>
          <w:tab w:val="num" w:pos="252pt"/>
        </w:tabs>
        <w:ind w:start="252pt" w:hanging="18pt"/>
      </w:pPr>
      <w:rPr>
        <w:rFonts w:ascii="Symbol" w:hAnsi="Symbol"/>
      </w:rPr>
    </w:lvl>
    <w:lvl w:ilvl="7" w:tplc="D8B05172">
      <w:start w:val="1"/>
      <w:numFmt w:val="bullet"/>
      <w:lvlText w:val="o"/>
      <w:lvlJc w:val="start"/>
      <w:pPr>
        <w:tabs>
          <w:tab w:val="num" w:pos="288pt"/>
        </w:tabs>
        <w:ind w:start="288pt" w:hanging="18pt"/>
      </w:pPr>
      <w:rPr>
        <w:rFonts w:ascii="Courier New" w:hAnsi="Courier New"/>
      </w:rPr>
    </w:lvl>
    <w:lvl w:ilvl="8" w:tplc="F3280444">
      <w:start w:val="1"/>
      <w:numFmt w:val="bullet"/>
      <w:lvlText w:val=""/>
      <w:lvlJc w:val="start"/>
      <w:pPr>
        <w:tabs>
          <w:tab w:val="num" w:pos="324pt"/>
        </w:tabs>
        <w:ind w:start="324pt" w:hanging="18pt"/>
      </w:pPr>
      <w:rPr>
        <w:rFonts w:ascii="Wingdings" w:hAnsi="Wingdings"/>
      </w:rPr>
    </w:lvl>
  </w:abstractNum>
  <w:abstractNum w:abstractNumId="17" w15:restartNumberingAfterBreak="0">
    <w:nsid w:val="00000012"/>
    <w:multiLevelType w:val="hybridMultilevel"/>
    <w:tmpl w:val="00000012"/>
    <w:lvl w:ilvl="0" w:tplc="78D27616">
      <w:start w:val="1"/>
      <w:numFmt w:val="bullet"/>
      <w:lvlText w:val=""/>
      <w:lvlJc w:val="start"/>
      <w:pPr>
        <w:ind w:start="36pt" w:hanging="18pt"/>
      </w:pPr>
      <w:rPr>
        <w:rFonts w:ascii="Symbol" w:hAnsi="Symbol"/>
      </w:rPr>
    </w:lvl>
    <w:lvl w:ilvl="1" w:tplc="8DFA3C8E">
      <w:start w:val="1"/>
      <w:numFmt w:val="bullet"/>
      <w:lvlText w:val="o"/>
      <w:lvlJc w:val="start"/>
      <w:pPr>
        <w:tabs>
          <w:tab w:val="num" w:pos="72pt"/>
        </w:tabs>
        <w:ind w:start="72pt" w:hanging="18pt"/>
      </w:pPr>
      <w:rPr>
        <w:rFonts w:ascii="Courier New" w:hAnsi="Courier New"/>
      </w:rPr>
    </w:lvl>
    <w:lvl w:ilvl="2" w:tplc="5E4879AE">
      <w:start w:val="1"/>
      <w:numFmt w:val="bullet"/>
      <w:lvlText w:val=""/>
      <w:lvlJc w:val="start"/>
      <w:pPr>
        <w:tabs>
          <w:tab w:val="num" w:pos="108pt"/>
        </w:tabs>
        <w:ind w:start="108pt" w:hanging="18pt"/>
      </w:pPr>
      <w:rPr>
        <w:rFonts w:ascii="Wingdings" w:hAnsi="Wingdings"/>
      </w:rPr>
    </w:lvl>
    <w:lvl w:ilvl="3" w:tplc="9594BC3C">
      <w:start w:val="1"/>
      <w:numFmt w:val="bullet"/>
      <w:lvlText w:val=""/>
      <w:lvlJc w:val="start"/>
      <w:pPr>
        <w:tabs>
          <w:tab w:val="num" w:pos="144pt"/>
        </w:tabs>
        <w:ind w:start="144pt" w:hanging="18pt"/>
      </w:pPr>
      <w:rPr>
        <w:rFonts w:ascii="Symbol" w:hAnsi="Symbol"/>
      </w:rPr>
    </w:lvl>
    <w:lvl w:ilvl="4" w:tplc="C2FE0B26">
      <w:start w:val="1"/>
      <w:numFmt w:val="bullet"/>
      <w:lvlText w:val="o"/>
      <w:lvlJc w:val="start"/>
      <w:pPr>
        <w:tabs>
          <w:tab w:val="num" w:pos="180pt"/>
        </w:tabs>
        <w:ind w:start="180pt" w:hanging="18pt"/>
      </w:pPr>
      <w:rPr>
        <w:rFonts w:ascii="Courier New" w:hAnsi="Courier New"/>
      </w:rPr>
    </w:lvl>
    <w:lvl w:ilvl="5" w:tplc="1D385488">
      <w:start w:val="1"/>
      <w:numFmt w:val="bullet"/>
      <w:lvlText w:val=""/>
      <w:lvlJc w:val="start"/>
      <w:pPr>
        <w:tabs>
          <w:tab w:val="num" w:pos="216pt"/>
        </w:tabs>
        <w:ind w:start="216pt" w:hanging="18pt"/>
      </w:pPr>
      <w:rPr>
        <w:rFonts w:ascii="Wingdings" w:hAnsi="Wingdings"/>
      </w:rPr>
    </w:lvl>
    <w:lvl w:ilvl="6" w:tplc="5622A87C">
      <w:start w:val="1"/>
      <w:numFmt w:val="bullet"/>
      <w:lvlText w:val=""/>
      <w:lvlJc w:val="start"/>
      <w:pPr>
        <w:tabs>
          <w:tab w:val="num" w:pos="252pt"/>
        </w:tabs>
        <w:ind w:start="252pt" w:hanging="18pt"/>
      </w:pPr>
      <w:rPr>
        <w:rFonts w:ascii="Symbol" w:hAnsi="Symbol"/>
      </w:rPr>
    </w:lvl>
    <w:lvl w:ilvl="7" w:tplc="32265376">
      <w:start w:val="1"/>
      <w:numFmt w:val="bullet"/>
      <w:lvlText w:val="o"/>
      <w:lvlJc w:val="start"/>
      <w:pPr>
        <w:tabs>
          <w:tab w:val="num" w:pos="288pt"/>
        </w:tabs>
        <w:ind w:start="288pt" w:hanging="18pt"/>
      </w:pPr>
      <w:rPr>
        <w:rFonts w:ascii="Courier New" w:hAnsi="Courier New"/>
      </w:rPr>
    </w:lvl>
    <w:lvl w:ilvl="8" w:tplc="51C8F902">
      <w:start w:val="1"/>
      <w:numFmt w:val="bullet"/>
      <w:lvlText w:val=""/>
      <w:lvlJc w:val="start"/>
      <w:pPr>
        <w:tabs>
          <w:tab w:val="num" w:pos="324pt"/>
        </w:tabs>
        <w:ind w:start="324pt" w:hanging="18pt"/>
      </w:pPr>
      <w:rPr>
        <w:rFonts w:ascii="Wingdings" w:hAnsi="Wingdings"/>
      </w:rPr>
    </w:lvl>
  </w:abstractNum>
  <w:abstractNum w:abstractNumId="18" w15:restartNumberingAfterBreak="0">
    <w:nsid w:val="00000013"/>
    <w:multiLevelType w:val="hybridMultilevel"/>
    <w:tmpl w:val="00000013"/>
    <w:lvl w:ilvl="0" w:tplc="634CB48E">
      <w:start w:val="1"/>
      <w:numFmt w:val="bullet"/>
      <w:lvlText w:val=""/>
      <w:lvlJc w:val="start"/>
      <w:pPr>
        <w:ind w:start="36pt" w:hanging="18pt"/>
      </w:pPr>
      <w:rPr>
        <w:rFonts w:ascii="Symbol" w:hAnsi="Symbol"/>
      </w:rPr>
    </w:lvl>
    <w:lvl w:ilvl="1" w:tplc="1B84F8D0">
      <w:start w:val="1"/>
      <w:numFmt w:val="bullet"/>
      <w:lvlText w:val="o"/>
      <w:lvlJc w:val="start"/>
      <w:pPr>
        <w:tabs>
          <w:tab w:val="num" w:pos="72pt"/>
        </w:tabs>
        <w:ind w:start="72pt" w:hanging="18pt"/>
      </w:pPr>
      <w:rPr>
        <w:rFonts w:ascii="Courier New" w:hAnsi="Courier New"/>
      </w:rPr>
    </w:lvl>
    <w:lvl w:ilvl="2" w:tplc="CB10C302">
      <w:start w:val="1"/>
      <w:numFmt w:val="bullet"/>
      <w:lvlText w:val=""/>
      <w:lvlJc w:val="start"/>
      <w:pPr>
        <w:tabs>
          <w:tab w:val="num" w:pos="108pt"/>
        </w:tabs>
        <w:ind w:start="108pt" w:hanging="18pt"/>
      </w:pPr>
      <w:rPr>
        <w:rFonts w:ascii="Wingdings" w:hAnsi="Wingdings"/>
      </w:rPr>
    </w:lvl>
    <w:lvl w:ilvl="3" w:tplc="B03A247A">
      <w:start w:val="1"/>
      <w:numFmt w:val="bullet"/>
      <w:lvlText w:val=""/>
      <w:lvlJc w:val="start"/>
      <w:pPr>
        <w:tabs>
          <w:tab w:val="num" w:pos="144pt"/>
        </w:tabs>
        <w:ind w:start="144pt" w:hanging="18pt"/>
      </w:pPr>
      <w:rPr>
        <w:rFonts w:ascii="Symbol" w:hAnsi="Symbol"/>
      </w:rPr>
    </w:lvl>
    <w:lvl w:ilvl="4" w:tplc="A30A2772">
      <w:start w:val="1"/>
      <w:numFmt w:val="bullet"/>
      <w:lvlText w:val="o"/>
      <w:lvlJc w:val="start"/>
      <w:pPr>
        <w:tabs>
          <w:tab w:val="num" w:pos="180pt"/>
        </w:tabs>
        <w:ind w:start="180pt" w:hanging="18pt"/>
      </w:pPr>
      <w:rPr>
        <w:rFonts w:ascii="Courier New" w:hAnsi="Courier New"/>
      </w:rPr>
    </w:lvl>
    <w:lvl w:ilvl="5" w:tplc="C150A2AA">
      <w:start w:val="1"/>
      <w:numFmt w:val="bullet"/>
      <w:lvlText w:val=""/>
      <w:lvlJc w:val="start"/>
      <w:pPr>
        <w:tabs>
          <w:tab w:val="num" w:pos="216pt"/>
        </w:tabs>
        <w:ind w:start="216pt" w:hanging="18pt"/>
      </w:pPr>
      <w:rPr>
        <w:rFonts w:ascii="Wingdings" w:hAnsi="Wingdings"/>
      </w:rPr>
    </w:lvl>
    <w:lvl w:ilvl="6" w:tplc="BFC47616">
      <w:start w:val="1"/>
      <w:numFmt w:val="bullet"/>
      <w:lvlText w:val=""/>
      <w:lvlJc w:val="start"/>
      <w:pPr>
        <w:tabs>
          <w:tab w:val="num" w:pos="252pt"/>
        </w:tabs>
        <w:ind w:start="252pt" w:hanging="18pt"/>
      </w:pPr>
      <w:rPr>
        <w:rFonts w:ascii="Symbol" w:hAnsi="Symbol"/>
      </w:rPr>
    </w:lvl>
    <w:lvl w:ilvl="7" w:tplc="9CBEB904">
      <w:start w:val="1"/>
      <w:numFmt w:val="bullet"/>
      <w:lvlText w:val="o"/>
      <w:lvlJc w:val="start"/>
      <w:pPr>
        <w:tabs>
          <w:tab w:val="num" w:pos="288pt"/>
        </w:tabs>
        <w:ind w:start="288pt" w:hanging="18pt"/>
      </w:pPr>
      <w:rPr>
        <w:rFonts w:ascii="Courier New" w:hAnsi="Courier New"/>
      </w:rPr>
    </w:lvl>
    <w:lvl w:ilvl="8" w:tplc="3C1A15B2">
      <w:start w:val="1"/>
      <w:numFmt w:val="bullet"/>
      <w:lvlText w:val=""/>
      <w:lvlJc w:val="start"/>
      <w:pPr>
        <w:tabs>
          <w:tab w:val="num" w:pos="324pt"/>
        </w:tabs>
        <w:ind w:start="324pt" w:hanging="18pt"/>
      </w:pPr>
      <w:rPr>
        <w:rFonts w:ascii="Wingdings" w:hAnsi="Wingdings"/>
      </w:rPr>
    </w:lvl>
  </w:abstractNum>
  <w:abstractNum w:abstractNumId="19" w15:restartNumberingAfterBreak="0">
    <w:nsid w:val="00000014"/>
    <w:multiLevelType w:val="hybridMultilevel"/>
    <w:tmpl w:val="00000014"/>
    <w:lvl w:ilvl="0" w:tplc="22AC96D8">
      <w:start w:val="1"/>
      <w:numFmt w:val="bullet"/>
      <w:lvlText w:val=""/>
      <w:lvlJc w:val="start"/>
      <w:pPr>
        <w:ind w:start="36pt" w:hanging="18pt"/>
      </w:pPr>
      <w:rPr>
        <w:rFonts w:ascii="Symbol" w:hAnsi="Symbol"/>
      </w:rPr>
    </w:lvl>
    <w:lvl w:ilvl="1" w:tplc="73E829D8">
      <w:start w:val="1"/>
      <w:numFmt w:val="bullet"/>
      <w:lvlText w:val="o"/>
      <w:lvlJc w:val="start"/>
      <w:pPr>
        <w:tabs>
          <w:tab w:val="num" w:pos="72pt"/>
        </w:tabs>
        <w:ind w:start="72pt" w:hanging="18pt"/>
      </w:pPr>
      <w:rPr>
        <w:rFonts w:ascii="Courier New" w:hAnsi="Courier New"/>
      </w:rPr>
    </w:lvl>
    <w:lvl w:ilvl="2" w:tplc="C3623CBC">
      <w:start w:val="1"/>
      <w:numFmt w:val="bullet"/>
      <w:lvlText w:val=""/>
      <w:lvlJc w:val="start"/>
      <w:pPr>
        <w:tabs>
          <w:tab w:val="num" w:pos="108pt"/>
        </w:tabs>
        <w:ind w:start="108pt" w:hanging="18pt"/>
      </w:pPr>
      <w:rPr>
        <w:rFonts w:ascii="Wingdings" w:hAnsi="Wingdings"/>
      </w:rPr>
    </w:lvl>
    <w:lvl w:ilvl="3" w:tplc="86EC7C26">
      <w:start w:val="1"/>
      <w:numFmt w:val="bullet"/>
      <w:lvlText w:val=""/>
      <w:lvlJc w:val="start"/>
      <w:pPr>
        <w:tabs>
          <w:tab w:val="num" w:pos="144pt"/>
        </w:tabs>
        <w:ind w:start="144pt" w:hanging="18pt"/>
      </w:pPr>
      <w:rPr>
        <w:rFonts w:ascii="Symbol" w:hAnsi="Symbol"/>
      </w:rPr>
    </w:lvl>
    <w:lvl w:ilvl="4" w:tplc="6114B1E0">
      <w:start w:val="1"/>
      <w:numFmt w:val="bullet"/>
      <w:lvlText w:val="o"/>
      <w:lvlJc w:val="start"/>
      <w:pPr>
        <w:tabs>
          <w:tab w:val="num" w:pos="180pt"/>
        </w:tabs>
        <w:ind w:start="180pt" w:hanging="18pt"/>
      </w:pPr>
      <w:rPr>
        <w:rFonts w:ascii="Courier New" w:hAnsi="Courier New"/>
      </w:rPr>
    </w:lvl>
    <w:lvl w:ilvl="5" w:tplc="746A9020">
      <w:start w:val="1"/>
      <w:numFmt w:val="bullet"/>
      <w:lvlText w:val=""/>
      <w:lvlJc w:val="start"/>
      <w:pPr>
        <w:tabs>
          <w:tab w:val="num" w:pos="216pt"/>
        </w:tabs>
        <w:ind w:start="216pt" w:hanging="18pt"/>
      </w:pPr>
      <w:rPr>
        <w:rFonts w:ascii="Wingdings" w:hAnsi="Wingdings"/>
      </w:rPr>
    </w:lvl>
    <w:lvl w:ilvl="6" w:tplc="BC1880DC">
      <w:start w:val="1"/>
      <w:numFmt w:val="bullet"/>
      <w:lvlText w:val=""/>
      <w:lvlJc w:val="start"/>
      <w:pPr>
        <w:tabs>
          <w:tab w:val="num" w:pos="252pt"/>
        </w:tabs>
        <w:ind w:start="252pt" w:hanging="18pt"/>
      </w:pPr>
      <w:rPr>
        <w:rFonts w:ascii="Symbol" w:hAnsi="Symbol"/>
      </w:rPr>
    </w:lvl>
    <w:lvl w:ilvl="7" w:tplc="D59EA42E">
      <w:start w:val="1"/>
      <w:numFmt w:val="bullet"/>
      <w:lvlText w:val="o"/>
      <w:lvlJc w:val="start"/>
      <w:pPr>
        <w:tabs>
          <w:tab w:val="num" w:pos="288pt"/>
        </w:tabs>
        <w:ind w:start="288pt" w:hanging="18pt"/>
      </w:pPr>
      <w:rPr>
        <w:rFonts w:ascii="Courier New" w:hAnsi="Courier New"/>
      </w:rPr>
    </w:lvl>
    <w:lvl w:ilvl="8" w:tplc="21365FD2">
      <w:start w:val="1"/>
      <w:numFmt w:val="bullet"/>
      <w:lvlText w:val=""/>
      <w:lvlJc w:val="start"/>
      <w:pPr>
        <w:tabs>
          <w:tab w:val="num" w:pos="324pt"/>
        </w:tabs>
        <w:ind w:start="324pt" w:hanging="18pt"/>
      </w:pPr>
      <w:rPr>
        <w:rFonts w:ascii="Wingdings" w:hAnsi="Wingdings"/>
      </w:rPr>
    </w:lvl>
  </w:abstractNum>
  <w:abstractNum w:abstractNumId="20" w15:restartNumberingAfterBreak="0">
    <w:nsid w:val="00000015"/>
    <w:multiLevelType w:val="hybridMultilevel"/>
    <w:tmpl w:val="00000015"/>
    <w:lvl w:ilvl="0" w:tplc="3B301E2C">
      <w:start w:val="1"/>
      <w:numFmt w:val="bullet"/>
      <w:lvlText w:val=""/>
      <w:lvlJc w:val="start"/>
      <w:pPr>
        <w:ind w:start="36pt" w:hanging="18pt"/>
      </w:pPr>
      <w:rPr>
        <w:rFonts w:ascii="Symbol" w:hAnsi="Symbol"/>
      </w:rPr>
    </w:lvl>
    <w:lvl w:ilvl="1" w:tplc="C2B2D074">
      <w:start w:val="1"/>
      <w:numFmt w:val="bullet"/>
      <w:lvlText w:val="o"/>
      <w:lvlJc w:val="start"/>
      <w:pPr>
        <w:tabs>
          <w:tab w:val="num" w:pos="72pt"/>
        </w:tabs>
        <w:ind w:start="72pt" w:hanging="18pt"/>
      </w:pPr>
      <w:rPr>
        <w:rFonts w:ascii="Courier New" w:hAnsi="Courier New"/>
      </w:rPr>
    </w:lvl>
    <w:lvl w:ilvl="2" w:tplc="9392E0B2">
      <w:start w:val="1"/>
      <w:numFmt w:val="bullet"/>
      <w:lvlText w:val=""/>
      <w:lvlJc w:val="start"/>
      <w:pPr>
        <w:tabs>
          <w:tab w:val="num" w:pos="108pt"/>
        </w:tabs>
        <w:ind w:start="108pt" w:hanging="18pt"/>
      </w:pPr>
      <w:rPr>
        <w:rFonts w:ascii="Wingdings" w:hAnsi="Wingdings"/>
      </w:rPr>
    </w:lvl>
    <w:lvl w:ilvl="3" w:tplc="AFDC15A0">
      <w:start w:val="1"/>
      <w:numFmt w:val="bullet"/>
      <w:lvlText w:val=""/>
      <w:lvlJc w:val="start"/>
      <w:pPr>
        <w:tabs>
          <w:tab w:val="num" w:pos="144pt"/>
        </w:tabs>
        <w:ind w:start="144pt" w:hanging="18pt"/>
      </w:pPr>
      <w:rPr>
        <w:rFonts w:ascii="Symbol" w:hAnsi="Symbol"/>
      </w:rPr>
    </w:lvl>
    <w:lvl w:ilvl="4" w:tplc="F0C8B31E">
      <w:start w:val="1"/>
      <w:numFmt w:val="bullet"/>
      <w:lvlText w:val="o"/>
      <w:lvlJc w:val="start"/>
      <w:pPr>
        <w:tabs>
          <w:tab w:val="num" w:pos="180pt"/>
        </w:tabs>
        <w:ind w:start="180pt" w:hanging="18pt"/>
      </w:pPr>
      <w:rPr>
        <w:rFonts w:ascii="Courier New" w:hAnsi="Courier New"/>
      </w:rPr>
    </w:lvl>
    <w:lvl w:ilvl="5" w:tplc="0C2C3E34">
      <w:start w:val="1"/>
      <w:numFmt w:val="bullet"/>
      <w:lvlText w:val=""/>
      <w:lvlJc w:val="start"/>
      <w:pPr>
        <w:tabs>
          <w:tab w:val="num" w:pos="216pt"/>
        </w:tabs>
        <w:ind w:start="216pt" w:hanging="18pt"/>
      </w:pPr>
      <w:rPr>
        <w:rFonts w:ascii="Wingdings" w:hAnsi="Wingdings"/>
      </w:rPr>
    </w:lvl>
    <w:lvl w:ilvl="6" w:tplc="99E425DC">
      <w:start w:val="1"/>
      <w:numFmt w:val="bullet"/>
      <w:lvlText w:val=""/>
      <w:lvlJc w:val="start"/>
      <w:pPr>
        <w:tabs>
          <w:tab w:val="num" w:pos="252pt"/>
        </w:tabs>
        <w:ind w:start="252pt" w:hanging="18pt"/>
      </w:pPr>
      <w:rPr>
        <w:rFonts w:ascii="Symbol" w:hAnsi="Symbol"/>
      </w:rPr>
    </w:lvl>
    <w:lvl w:ilvl="7" w:tplc="BA04E014">
      <w:start w:val="1"/>
      <w:numFmt w:val="bullet"/>
      <w:lvlText w:val="o"/>
      <w:lvlJc w:val="start"/>
      <w:pPr>
        <w:tabs>
          <w:tab w:val="num" w:pos="288pt"/>
        </w:tabs>
        <w:ind w:start="288pt" w:hanging="18pt"/>
      </w:pPr>
      <w:rPr>
        <w:rFonts w:ascii="Courier New" w:hAnsi="Courier New"/>
      </w:rPr>
    </w:lvl>
    <w:lvl w:ilvl="8" w:tplc="F1A276BE">
      <w:start w:val="1"/>
      <w:numFmt w:val="bullet"/>
      <w:lvlText w:val=""/>
      <w:lvlJc w:val="start"/>
      <w:pPr>
        <w:tabs>
          <w:tab w:val="num" w:pos="324pt"/>
        </w:tabs>
        <w:ind w:start="324pt" w:hanging="18pt"/>
      </w:pPr>
      <w:rPr>
        <w:rFonts w:ascii="Wingdings" w:hAnsi="Wingdings"/>
      </w:rPr>
    </w:lvl>
  </w:abstractNum>
  <w:abstractNum w:abstractNumId="21" w15:restartNumberingAfterBreak="0">
    <w:nsid w:val="00000016"/>
    <w:multiLevelType w:val="hybridMultilevel"/>
    <w:tmpl w:val="00000016"/>
    <w:lvl w:ilvl="0" w:tplc="1AC8C32E">
      <w:start w:val="1"/>
      <w:numFmt w:val="bullet"/>
      <w:lvlText w:val=""/>
      <w:lvlJc w:val="start"/>
      <w:pPr>
        <w:ind w:start="36pt" w:hanging="18pt"/>
      </w:pPr>
      <w:rPr>
        <w:rFonts w:ascii="Symbol" w:hAnsi="Symbol"/>
      </w:rPr>
    </w:lvl>
    <w:lvl w:ilvl="1" w:tplc="375E859A">
      <w:start w:val="1"/>
      <w:numFmt w:val="bullet"/>
      <w:lvlText w:val="o"/>
      <w:lvlJc w:val="start"/>
      <w:pPr>
        <w:tabs>
          <w:tab w:val="num" w:pos="72pt"/>
        </w:tabs>
        <w:ind w:start="72pt" w:hanging="18pt"/>
      </w:pPr>
      <w:rPr>
        <w:rFonts w:ascii="Courier New" w:hAnsi="Courier New"/>
      </w:rPr>
    </w:lvl>
    <w:lvl w:ilvl="2" w:tplc="D854A98A">
      <w:start w:val="1"/>
      <w:numFmt w:val="bullet"/>
      <w:lvlText w:val=""/>
      <w:lvlJc w:val="start"/>
      <w:pPr>
        <w:tabs>
          <w:tab w:val="num" w:pos="108pt"/>
        </w:tabs>
        <w:ind w:start="108pt" w:hanging="18pt"/>
      </w:pPr>
      <w:rPr>
        <w:rFonts w:ascii="Wingdings" w:hAnsi="Wingdings"/>
      </w:rPr>
    </w:lvl>
    <w:lvl w:ilvl="3" w:tplc="BD16A5CA">
      <w:start w:val="1"/>
      <w:numFmt w:val="bullet"/>
      <w:lvlText w:val=""/>
      <w:lvlJc w:val="start"/>
      <w:pPr>
        <w:tabs>
          <w:tab w:val="num" w:pos="144pt"/>
        </w:tabs>
        <w:ind w:start="144pt" w:hanging="18pt"/>
      </w:pPr>
      <w:rPr>
        <w:rFonts w:ascii="Symbol" w:hAnsi="Symbol"/>
      </w:rPr>
    </w:lvl>
    <w:lvl w:ilvl="4" w:tplc="E4C86496">
      <w:start w:val="1"/>
      <w:numFmt w:val="bullet"/>
      <w:lvlText w:val="o"/>
      <w:lvlJc w:val="start"/>
      <w:pPr>
        <w:tabs>
          <w:tab w:val="num" w:pos="180pt"/>
        </w:tabs>
        <w:ind w:start="180pt" w:hanging="18pt"/>
      </w:pPr>
      <w:rPr>
        <w:rFonts w:ascii="Courier New" w:hAnsi="Courier New"/>
      </w:rPr>
    </w:lvl>
    <w:lvl w:ilvl="5" w:tplc="40E897CC">
      <w:start w:val="1"/>
      <w:numFmt w:val="bullet"/>
      <w:lvlText w:val=""/>
      <w:lvlJc w:val="start"/>
      <w:pPr>
        <w:tabs>
          <w:tab w:val="num" w:pos="216pt"/>
        </w:tabs>
        <w:ind w:start="216pt" w:hanging="18pt"/>
      </w:pPr>
      <w:rPr>
        <w:rFonts w:ascii="Wingdings" w:hAnsi="Wingdings"/>
      </w:rPr>
    </w:lvl>
    <w:lvl w:ilvl="6" w:tplc="E2B24FE6">
      <w:start w:val="1"/>
      <w:numFmt w:val="bullet"/>
      <w:lvlText w:val=""/>
      <w:lvlJc w:val="start"/>
      <w:pPr>
        <w:tabs>
          <w:tab w:val="num" w:pos="252pt"/>
        </w:tabs>
        <w:ind w:start="252pt" w:hanging="18pt"/>
      </w:pPr>
      <w:rPr>
        <w:rFonts w:ascii="Symbol" w:hAnsi="Symbol"/>
      </w:rPr>
    </w:lvl>
    <w:lvl w:ilvl="7" w:tplc="B192A574">
      <w:start w:val="1"/>
      <w:numFmt w:val="bullet"/>
      <w:lvlText w:val="o"/>
      <w:lvlJc w:val="start"/>
      <w:pPr>
        <w:tabs>
          <w:tab w:val="num" w:pos="288pt"/>
        </w:tabs>
        <w:ind w:start="288pt" w:hanging="18pt"/>
      </w:pPr>
      <w:rPr>
        <w:rFonts w:ascii="Courier New" w:hAnsi="Courier New"/>
      </w:rPr>
    </w:lvl>
    <w:lvl w:ilvl="8" w:tplc="FD14A94E">
      <w:start w:val="1"/>
      <w:numFmt w:val="bullet"/>
      <w:lvlText w:val=""/>
      <w:lvlJc w:val="start"/>
      <w:pPr>
        <w:tabs>
          <w:tab w:val="num" w:pos="324pt"/>
        </w:tabs>
        <w:ind w:start="324pt" w:hanging="18pt"/>
      </w:pPr>
      <w:rPr>
        <w:rFonts w:ascii="Wingdings" w:hAnsi="Wingdings"/>
      </w:rPr>
    </w:lvl>
  </w:abstractNum>
  <w:abstractNum w:abstractNumId="22" w15:restartNumberingAfterBreak="0">
    <w:nsid w:val="00000017"/>
    <w:multiLevelType w:val="hybridMultilevel"/>
    <w:tmpl w:val="00000017"/>
    <w:lvl w:ilvl="0" w:tplc="90602DCE">
      <w:start w:val="1"/>
      <w:numFmt w:val="bullet"/>
      <w:lvlText w:val=""/>
      <w:lvlJc w:val="start"/>
      <w:pPr>
        <w:ind w:start="36pt" w:hanging="18pt"/>
      </w:pPr>
      <w:rPr>
        <w:rFonts w:ascii="Symbol" w:hAnsi="Symbol"/>
      </w:rPr>
    </w:lvl>
    <w:lvl w:ilvl="1" w:tplc="B06A667A">
      <w:start w:val="1"/>
      <w:numFmt w:val="bullet"/>
      <w:lvlText w:val="o"/>
      <w:lvlJc w:val="start"/>
      <w:pPr>
        <w:tabs>
          <w:tab w:val="num" w:pos="72pt"/>
        </w:tabs>
        <w:ind w:start="72pt" w:hanging="18pt"/>
      </w:pPr>
      <w:rPr>
        <w:rFonts w:ascii="Courier New" w:hAnsi="Courier New"/>
      </w:rPr>
    </w:lvl>
    <w:lvl w:ilvl="2" w:tplc="ECDA0F36">
      <w:start w:val="1"/>
      <w:numFmt w:val="bullet"/>
      <w:lvlText w:val=""/>
      <w:lvlJc w:val="start"/>
      <w:pPr>
        <w:tabs>
          <w:tab w:val="num" w:pos="108pt"/>
        </w:tabs>
        <w:ind w:start="108pt" w:hanging="18pt"/>
      </w:pPr>
      <w:rPr>
        <w:rFonts w:ascii="Wingdings" w:hAnsi="Wingdings"/>
      </w:rPr>
    </w:lvl>
    <w:lvl w:ilvl="3" w:tplc="C7A0E26E">
      <w:start w:val="1"/>
      <w:numFmt w:val="bullet"/>
      <w:lvlText w:val=""/>
      <w:lvlJc w:val="start"/>
      <w:pPr>
        <w:tabs>
          <w:tab w:val="num" w:pos="144pt"/>
        </w:tabs>
        <w:ind w:start="144pt" w:hanging="18pt"/>
      </w:pPr>
      <w:rPr>
        <w:rFonts w:ascii="Symbol" w:hAnsi="Symbol"/>
      </w:rPr>
    </w:lvl>
    <w:lvl w:ilvl="4" w:tplc="19A65900">
      <w:start w:val="1"/>
      <w:numFmt w:val="bullet"/>
      <w:lvlText w:val="o"/>
      <w:lvlJc w:val="start"/>
      <w:pPr>
        <w:tabs>
          <w:tab w:val="num" w:pos="180pt"/>
        </w:tabs>
        <w:ind w:start="180pt" w:hanging="18pt"/>
      </w:pPr>
      <w:rPr>
        <w:rFonts w:ascii="Courier New" w:hAnsi="Courier New"/>
      </w:rPr>
    </w:lvl>
    <w:lvl w:ilvl="5" w:tplc="D61EFA84">
      <w:start w:val="1"/>
      <w:numFmt w:val="bullet"/>
      <w:lvlText w:val=""/>
      <w:lvlJc w:val="start"/>
      <w:pPr>
        <w:tabs>
          <w:tab w:val="num" w:pos="216pt"/>
        </w:tabs>
        <w:ind w:start="216pt" w:hanging="18pt"/>
      </w:pPr>
      <w:rPr>
        <w:rFonts w:ascii="Wingdings" w:hAnsi="Wingdings"/>
      </w:rPr>
    </w:lvl>
    <w:lvl w:ilvl="6" w:tplc="644AD3E6">
      <w:start w:val="1"/>
      <w:numFmt w:val="bullet"/>
      <w:lvlText w:val=""/>
      <w:lvlJc w:val="start"/>
      <w:pPr>
        <w:tabs>
          <w:tab w:val="num" w:pos="252pt"/>
        </w:tabs>
        <w:ind w:start="252pt" w:hanging="18pt"/>
      </w:pPr>
      <w:rPr>
        <w:rFonts w:ascii="Symbol" w:hAnsi="Symbol"/>
      </w:rPr>
    </w:lvl>
    <w:lvl w:ilvl="7" w:tplc="C28E5DA6">
      <w:start w:val="1"/>
      <w:numFmt w:val="bullet"/>
      <w:lvlText w:val="o"/>
      <w:lvlJc w:val="start"/>
      <w:pPr>
        <w:tabs>
          <w:tab w:val="num" w:pos="288pt"/>
        </w:tabs>
        <w:ind w:start="288pt" w:hanging="18pt"/>
      </w:pPr>
      <w:rPr>
        <w:rFonts w:ascii="Courier New" w:hAnsi="Courier New"/>
      </w:rPr>
    </w:lvl>
    <w:lvl w:ilvl="8" w:tplc="2200AEC6">
      <w:start w:val="1"/>
      <w:numFmt w:val="bullet"/>
      <w:lvlText w:val=""/>
      <w:lvlJc w:val="start"/>
      <w:pPr>
        <w:tabs>
          <w:tab w:val="num" w:pos="324pt"/>
        </w:tabs>
        <w:ind w:start="324pt" w:hanging="18pt"/>
      </w:pPr>
      <w:rPr>
        <w:rFonts w:ascii="Wingdings" w:hAnsi="Wingdings"/>
      </w:rPr>
    </w:lvl>
  </w:abstractNum>
  <w:abstractNum w:abstractNumId="23" w15:restartNumberingAfterBreak="0">
    <w:nsid w:val="00000018"/>
    <w:multiLevelType w:val="hybridMultilevel"/>
    <w:tmpl w:val="00000018"/>
    <w:lvl w:ilvl="0" w:tplc="A342B720">
      <w:start w:val="1"/>
      <w:numFmt w:val="bullet"/>
      <w:lvlText w:val=""/>
      <w:lvlJc w:val="start"/>
      <w:pPr>
        <w:ind w:start="36pt" w:hanging="18pt"/>
      </w:pPr>
      <w:rPr>
        <w:rFonts w:ascii="Symbol" w:hAnsi="Symbol"/>
      </w:rPr>
    </w:lvl>
    <w:lvl w:ilvl="1" w:tplc="B5483F0C">
      <w:start w:val="1"/>
      <w:numFmt w:val="bullet"/>
      <w:lvlText w:val="o"/>
      <w:lvlJc w:val="start"/>
      <w:pPr>
        <w:tabs>
          <w:tab w:val="num" w:pos="72pt"/>
        </w:tabs>
        <w:ind w:start="72pt" w:hanging="18pt"/>
      </w:pPr>
      <w:rPr>
        <w:rFonts w:ascii="Courier New" w:hAnsi="Courier New"/>
      </w:rPr>
    </w:lvl>
    <w:lvl w:ilvl="2" w:tplc="3FD6441A">
      <w:start w:val="1"/>
      <w:numFmt w:val="bullet"/>
      <w:lvlText w:val=""/>
      <w:lvlJc w:val="start"/>
      <w:pPr>
        <w:tabs>
          <w:tab w:val="num" w:pos="108pt"/>
        </w:tabs>
        <w:ind w:start="108pt" w:hanging="18pt"/>
      </w:pPr>
      <w:rPr>
        <w:rFonts w:ascii="Wingdings" w:hAnsi="Wingdings"/>
      </w:rPr>
    </w:lvl>
    <w:lvl w:ilvl="3" w:tplc="EAD6C50C">
      <w:start w:val="1"/>
      <w:numFmt w:val="bullet"/>
      <w:lvlText w:val=""/>
      <w:lvlJc w:val="start"/>
      <w:pPr>
        <w:tabs>
          <w:tab w:val="num" w:pos="144pt"/>
        </w:tabs>
        <w:ind w:start="144pt" w:hanging="18pt"/>
      </w:pPr>
      <w:rPr>
        <w:rFonts w:ascii="Symbol" w:hAnsi="Symbol"/>
      </w:rPr>
    </w:lvl>
    <w:lvl w:ilvl="4" w:tplc="F84E9012">
      <w:start w:val="1"/>
      <w:numFmt w:val="bullet"/>
      <w:lvlText w:val="o"/>
      <w:lvlJc w:val="start"/>
      <w:pPr>
        <w:tabs>
          <w:tab w:val="num" w:pos="180pt"/>
        </w:tabs>
        <w:ind w:start="180pt" w:hanging="18pt"/>
      </w:pPr>
      <w:rPr>
        <w:rFonts w:ascii="Courier New" w:hAnsi="Courier New"/>
      </w:rPr>
    </w:lvl>
    <w:lvl w:ilvl="5" w:tplc="93DE275E">
      <w:start w:val="1"/>
      <w:numFmt w:val="bullet"/>
      <w:lvlText w:val=""/>
      <w:lvlJc w:val="start"/>
      <w:pPr>
        <w:tabs>
          <w:tab w:val="num" w:pos="216pt"/>
        </w:tabs>
        <w:ind w:start="216pt" w:hanging="18pt"/>
      </w:pPr>
      <w:rPr>
        <w:rFonts w:ascii="Wingdings" w:hAnsi="Wingdings"/>
      </w:rPr>
    </w:lvl>
    <w:lvl w:ilvl="6" w:tplc="CB96E262">
      <w:start w:val="1"/>
      <w:numFmt w:val="bullet"/>
      <w:lvlText w:val=""/>
      <w:lvlJc w:val="start"/>
      <w:pPr>
        <w:tabs>
          <w:tab w:val="num" w:pos="252pt"/>
        </w:tabs>
        <w:ind w:start="252pt" w:hanging="18pt"/>
      </w:pPr>
      <w:rPr>
        <w:rFonts w:ascii="Symbol" w:hAnsi="Symbol"/>
      </w:rPr>
    </w:lvl>
    <w:lvl w:ilvl="7" w:tplc="58C8481C">
      <w:start w:val="1"/>
      <w:numFmt w:val="bullet"/>
      <w:lvlText w:val="o"/>
      <w:lvlJc w:val="start"/>
      <w:pPr>
        <w:tabs>
          <w:tab w:val="num" w:pos="288pt"/>
        </w:tabs>
        <w:ind w:start="288pt" w:hanging="18pt"/>
      </w:pPr>
      <w:rPr>
        <w:rFonts w:ascii="Courier New" w:hAnsi="Courier New"/>
      </w:rPr>
    </w:lvl>
    <w:lvl w:ilvl="8" w:tplc="E1EA5100">
      <w:start w:val="1"/>
      <w:numFmt w:val="bullet"/>
      <w:lvlText w:val=""/>
      <w:lvlJc w:val="start"/>
      <w:pPr>
        <w:tabs>
          <w:tab w:val="num" w:pos="324pt"/>
        </w:tabs>
        <w:ind w:start="324pt" w:hanging="18pt"/>
      </w:pPr>
      <w:rPr>
        <w:rFonts w:ascii="Wingdings" w:hAnsi="Wingdings"/>
      </w:rPr>
    </w:lvl>
  </w:abstractNum>
  <w:abstractNum w:abstractNumId="24" w15:restartNumberingAfterBreak="0">
    <w:nsid w:val="00000019"/>
    <w:multiLevelType w:val="multilevel"/>
    <w:tmpl w:val="00000019"/>
    <w:lvl w:ilvl="0">
      <w:start w:val="1"/>
      <w:numFmt w:val="decimal"/>
      <w:lvlText w:val="%1."/>
      <w:lvlJc w:val="start"/>
      <w:pPr>
        <w:ind w:start="36pt" w:hanging="18pt"/>
      </w:pPr>
    </w:lvl>
    <w:lvl w:ilvl="1">
      <w:start w:val="1"/>
      <w:numFmt w:val="bullet"/>
      <w:lvlText w:val="o"/>
      <w:lvlJc w:val="start"/>
      <w:pPr>
        <w:ind w:start="72pt" w:hanging="18pt"/>
      </w:pPr>
      <w:rPr>
        <w:rFonts w:ascii="Courier New" w:hAnsi="Courier New"/>
      </w:r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25" w15:restartNumberingAfterBreak="0">
    <w:nsid w:val="0000001A"/>
    <w:multiLevelType w:val="multilevel"/>
    <w:tmpl w:val="0000001A"/>
    <w:lvl w:ilvl="0">
      <w:start w:val="1"/>
      <w:numFmt w:val="decimal"/>
      <w:lvlText w:val="%1."/>
      <w:lvlJc w:val="start"/>
      <w:pPr>
        <w:ind w:start="36pt" w:hanging="18pt"/>
      </w:pPr>
    </w:lvl>
    <w:lvl w:ilvl="1">
      <w:start w:val="1"/>
      <w:numFmt w:val="bullet"/>
      <w:lvlText w:val="o"/>
      <w:lvlJc w:val="start"/>
      <w:pPr>
        <w:ind w:start="72pt" w:hanging="18pt"/>
      </w:pPr>
      <w:rPr>
        <w:rFonts w:ascii="Courier New" w:hAnsi="Courier New"/>
      </w:r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26" w15:restartNumberingAfterBreak="0">
    <w:nsid w:val="0000001B"/>
    <w:multiLevelType w:val="multilevel"/>
    <w:tmpl w:val="0000001B"/>
    <w:lvl w:ilvl="0">
      <w:start w:val="1"/>
      <w:numFmt w:val="decimal"/>
      <w:lvlText w:val="%1."/>
      <w:lvlJc w:val="start"/>
      <w:pPr>
        <w:ind w:start="36pt" w:hanging="18pt"/>
      </w:pPr>
    </w:lvl>
    <w:lvl w:ilvl="1">
      <w:start w:val="1"/>
      <w:numFmt w:val="bullet"/>
      <w:lvlText w:val="o"/>
      <w:lvlJc w:val="start"/>
      <w:pPr>
        <w:ind w:start="72pt" w:hanging="18pt"/>
      </w:pPr>
      <w:rPr>
        <w:rFonts w:ascii="Courier New" w:hAnsi="Courier New"/>
      </w:r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27" w15:restartNumberingAfterBreak="0">
    <w:nsid w:val="0000001C"/>
    <w:multiLevelType w:val="multilevel"/>
    <w:tmpl w:val="0000001C"/>
    <w:lvl w:ilvl="0">
      <w:start w:val="1"/>
      <w:numFmt w:val="decimal"/>
      <w:lvlText w:val="%1."/>
      <w:lvlJc w:val="start"/>
      <w:pPr>
        <w:ind w:start="36pt" w:hanging="18pt"/>
      </w:pPr>
    </w:lvl>
    <w:lvl w:ilvl="1">
      <w:start w:val="1"/>
      <w:numFmt w:val="bullet"/>
      <w:lvlText w:val="o"/>
      <w:lvlJc w:val="start"/>
      <w:pPr>
        <w:ind w:start="72pt" w:hanging="18pt"/>
      </w:pPr>
      <w:rPr>
        <w:rFonts w:ascii="Courier New" w:hAnsi="Courier New"/>
      </w:r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28" w15:restartNumberingAfterBreak="0">
    <w:nsid w:val="0000001D"/>
    <w:multiLevelType w:val="hybridMultilevel"/>
    <w:tmpl w:val="0000001D"/>
    <w:lvl w:ilvl="0" w:tplc="90EAD7B2">
      <w:start w:val="1"/>
      <w:numFmt w:val="bullet"/>
      <w:lvlText w:val=""/>
      <w:lvlJc w:val="start"/>
      <w:pPr>
        <w:ind w:start="36pt" w:hanging="18pt"/>
      </w:pPr>
      <w:rPr>
        <w:rFonts w:ascii="Symbol" w:hAnsi="Symbol"/>
      </w:rPr>
    </w:lvl>
    <w:lvl w:ilvl="1" w:tplc="5EDA5DA4">
      <w:start w:val="1"/>
      <w:numFmt w:val="bullet"/>
      <w:lvlText w:val="o"/>
      <w:lvlJc w:val="start"/>
      <w:pPr>
        <w:tabs>
          <w:tab w:val="num" w:pos="72pt"/>
        </w:tabs>
        <w:ind w:start="72pt" w:hanging="18pt"/>
      </w:pPr>
      <w:rPr>
        <w:rFonts w:ascii="Courier New" w:hAnsi="Courier New"/>
      </w:rPr>
    </w:lvl>
    <w:lvl w:ilvl="2" w:tplc="D40EC1CC">
      <w:start w:val="1"/>
      <w:numFmt w:val="bullet"/>
      <w:lvlText w:val=""/>
      <w:lvlJc w:val="start"/>
      <w:pPr>
        <w:tabs>
          <w:tab w:val="num" w:pos="108pt"/>
        </w:tabs>
        <w:ind w:start="108pt" w:hanging="18pt"/>
      </w:pPr>
      <w:rPr>
        <w:rFonts w:ascii="Wingdings" w:hAnsi="Wingdings"/>
      </w:rPr>
    </w:lvl>
    <w:lvl w:ilvl="3" w:tplc="618CB4DA">
      <w:start w:val="1"/>
      <w:numFmt w:val="bullet"/>
      <w:lvlText w:val=""/>
      <w:lvlJc w:val="start"/>
      <w:pPr>
        <w:tabs>
          <w:tab w:val="num" w:pos="144pt"/>
        </w:tabs>
        <w:ind w:start="144pt" w:hanging="18pt"/>
      </w:pPr>
      <w:rPr>
        <w:rFonts w:ascii="Symbol" w:hAnsi="Symbol"/>
      </w:rPr>
    </w:lvl>
    <w:lvl w:ilvl="4" w:tplc="9FA2AB48">
      <w:start w:val="1"/>
      <w:numFmt w:val="bullet"/>
      <w:lvlText w:val="o"/>
      <w:lvlJc w:val="start"/>
      <w:pPr>
        <w:tabs>
          <w:tab w:val="num" w:pos="180pt"/>
        </w:tabs>
        <w:ind w:start="180pt" w:hanging="18pt"/>
      </w:pPr>
      <w:rPr>
        <w:rFonts w:ascii="Courier New" w:hAnsi="Courier New"/>
      </w:rPr>
    </w:lvl>
    <w:lvl w:ilvl="5" w:tplc="9D08D67C">
      <w:start w:val="1"/>
      <w:numFmt w:val="bullet"/>
      <w:lvlText w:val=""/>
      <w:lvlJc w:val="start"/>
      <w:pPr>
        <w:tabs>
          <w:tab w:val="num" w:pos="216pt"/>
        </w:tabs>
        <w:ind w:start="216pt" w:hanging="18pt"/>
      </w:pPr>
      <w:rPr>
        <w:rFonts w:ascii="Wingdings" w:hAnsi="Wingdings"/>
      </w:rPr>
    </w:lvl>
    <w:lvl w:ilvl="6" w:tplc="F6C44950">
      <w:start w:val="1"/>
      <w:numFmt w:val="bullet"/>
      <w:lvlText w:val=""/>
      <w:lvlJc w:val="start"/>
      <w:pPr>
        <w:tabs>
          <w:tab w:val="num" w:pos="252pt"/>
        </w:tabs>
        <w:ind w:start="252pt" w:hanging="18pt"/>
      </w:pPr>
      <w:rPr>
        <w:rFonts w:ascii="Symbol" w:hAnsi="Symbol"/>
      </w:rPr>
    </w:lvl>
    <w:lvl w:ilvl="7" w:tplc="FA645BF4">
      <w:start w:val="1"/>
      <w:numFmt w:val="bullet"/>
      <w:lvlText w:val="o"/>
      <w:lvlJc w:val="start"/>
      <w:pPr>
        <w:tabs>
          <w:tab w:val="num" w:pos="288pt"/>
        </w:tabs>
        <w:ind w:start="288pt" w:hanging="18pt"/>
      </w:pPr>
      <w:rPr>
        <w:rFonts w:ascii="Courier New" w:hAnsi="Courier New"/>
      </w:rPr>
    </w:lvl>
    <w:lvl w:ilvl="8" w:tplc="F30476C8">
      <w:start w:val="1"/>
      <w:numFmt w:val="bullet"/>
      <w:lvlText w:val=""/>
      <w:lvlJc w:val="start"/>
      <w:pPr>
        <w:tabs>
          <w:tab w:val="num" w:pos="324pt"/>
        </w:tabs>
        <w:ind w:start="324pt" w:hanging="18pt"/>
      </w:pPr>
      <w:rPr>
        <w:rFonts w:ascii="Wingdings" w:hAnsi="Wingdings"/>
      </w:rPr>
    </w:lvl>
  </w:abstractNum>
  <w:abstractNum w:abstractNumId="29" w15:restartNumberingAfterBreak="0">
    <w:nsid w:val="0000001E"/>
    <w:multiLevelType w:val="multilevel"/>
    <w:tmpl w:val="0000001E"/>
    <w:lvl w:ilvl="0">
      <w:start w:val="1"/>
      <w:numFmt w:val="decimal"/>
      <w:lvlText w:val="%1."/>
      <w:lvlJc w:val="start"/>
      <w:pPr>
        <w:ind w:start="36pt" w:hanging="18pt"/>
      </w:pPr>
    </w:lvl>
    <w:lvl w:ilvl="1">
      <w:start w:val="1"/>
      <w:numFmt w:val="bullet"/>
      <w:lvlText w:val="o"/>
      <w:lvlJc w:val="start"/>
      <w:pPr>
        <w:ind w:start="72pt" w:hanging="18pt"/>
      </w:pPr>
      <w:rPr>
        <w:rFonts w:ascii="Courier New" w:hAnsi="Courier New"/>
      </w:r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30" w15:restartNumberingAfterBreak="0">
    <w:nsid w:val="0000001F"/>
    <w:multiLevelType w:val="multilevel"/>
    <w:tmpl w:val="0000001F"/>
    <w:lvl w:ilvl="0">
      <w:start w:val="1"/>
      <w:numFmt w:val="decimal"/>
      <w:lvlText w:val="%1."/>
      <w:lvlJc w:val="start"/>
      <w:pPr>
        <w:ind w:start="36pt" w:hanging="18pt"/>
      </w:pPr>
    </w:lvl>
    <w:lvl w:ilvl="1">
      <w:start w:val="1"/>
      <w:numFmt w:val="bullet"/>
      <w:lvlText w:val="o"/>
      <w:lvlJc w:val="start"/>
      <w:pPr>
        <w:ind w:start="72pt" w:hanging="18pt"/>
      </w:pPr>
      <w:rPr>
        <w:rFonts w:ascii="Courier New" w:hAnsi="Courier New"/>
      </w:r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31" w15:restartNumberingAfterBreak="0">
    <w:nsid w:val="00000020"/>
    <w:multiLevelType w:val="multilevel"/>
    <w:tmpl w:val="00000020"/>
    <w:lvl w:ilvl="0">
      <w:start w:val="1"/>
      <w:numFmt w:val="decimal"/>
      <w:lvlText w:val="%1."/>
      <w:lvlJc w:val="start"/>
      <w:pPr>
        <w:ind w:start="36pt" w:hanging="18pt"/>
      </w:pPr>
    </w:lvl>
    <w:lvl w:ilvl="1">
      <w:start w:val="1"/>
      <w:numFmt w:val="bullet"/>
      <w:lvlText w:val="o"/>
      <w:lvlJc w:val="start"/>
      <w:pPr>
        <w:ind w:start="72pt" w:hanging="18pt"/>
      </w:pPr>
      <w:rPr>
        <w:rFonts w:ascii="Courier New" w:hAnsi="Courier New"/>
      </w:r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32" w15:restartNumberingAfterBreak="0">
    <w:nsid w:val="00000021"/>
    <w:multiLevelType w:val="hybridMultilevel"/>
    <w:tmpl w:val="00000021"/>
    <w:lvl w:ilvl="0" w:tplc="41B8AB60">
      <w:start w:val="1"/>
      <w:numFmt w:val="bullet"/>
      <w:lvlText w:val=""/>
      <w:lvlJc w:val="start"/>
      <w:pPr>
        <w:ind w:start="36pt" w:hanging="18pt"/>
      </w:pPr>
      <w:rPr>
        <w:rFonts w:ascii="Symbol" w:hAnsi="Symbol"/>
      </w:rPr>
    </w:lvl>
    <w:lvl w:ilvl="1" w:tplc="2E76E02A">
      <w:start w:val="1"/>
      <w:numFmt w:val="bullet"/>
      <w:lvlText w:val="o"/>
      <w:lvlJc w:val="start"/>
      <w:pPr>
        <w:tabs>
          <w:tab w:val="num" w:pos="72pt"/>
        </w:tabs>
        <w:ind w:start="72pt" w:hanging="18pt"/>
      </w:pPr>
      <w:rPr>
        <w:rFonts w:ascii="Courier New" w:hAnsi="Courier New"/>
      </w:rPr>
    </w:lvl>
    <w:lvl w:ilvl="2" w:tplc="5CF6E47C">
      <w:start w:val="1"/>
      <w:numFmt w:val="bullet"/>
      <w:lvlText w:val=""/>
      <w:lvlJc w:val="start"/>
      <w:pPr>
        <w:tabs>
          <w:tab w:val="num" w:pos="108pt"/>
        </w:tabs>
        <w:ind w:start="108pt" w:hanging="18pt"/>
      </w:pPr>
      <w:rPr>
        <w:rFonts w:ascii="Wingdings" w:hAnsi="Wingdings"/>
      </w:rPr>
    </w:lvl>
    <w:lvl w:ilvl="3" w:tplc="F4F88F42">
      <w:start w:val="1"/>
      <w:numFmt w:val="bullet"/>
      <w:lvlText w:val=""/>
      <w:lvlJc w:val="start"/>
      <w:pPr>
        <w:tabs>
          <w:tab w:val="num" w:pos="144pt"/>
        </w:tabs>
        <w:ind w:start="144pt" w:hanging="18pt"/>
      </w:pPr>
      <w:rPr>
        <w:rFonts w:ascii="Symbol" w:hAnsi="Symbol"/>
      </w:rPr>
    </w:lvl>
    <w:lvl w:ilvl="4" w:tplc="70E2F62A">
      <w:start w:val="1"/>
      <w:numFmt w:val="bullet"/>
      <w:lvlText w:val="o"/>
      <w:lvlJc w:val="start"/>
      <w:pPr>
        <w:tabs>
          <w:tab w:val="num" w:pos="180pt"/>
        </w:tabs>
        <w:ind w:start="180pt" w:hanging="18pt"/>
      </w:pPr>
      <w:rPr>
        <w:rFonts w:ascii="Courier New" w:hAnsi="Courier New"/>
      </w:rPr>
    </w:lvl>
    <w:lvl w:ilvl="5" w:tplc="4AAABEA6">
      <w:start w:val="1"/>
      <w:numFmt w:val="bullet"/>
      <w:lvlText w:val=""/>
      <w:lvlJc w:val="start"/>
      <w:pPr>
        <w:tabs>
          <w:tab w:val="num" w:pos="216pt"/>
        </w:tabs>
        <w:ind w:start="216pt" w:hanging="18pt"/>
      </w:pPr>
      <w:rPr>
        <w:rFonts w:ascii="Wingdings" w:hAnsi="Wingdings"/>
      </w:rPr>
    </w:lvl>
    <w:lvl w:ilvl="6" w:tplc="80E42B70">
      <w:start w:val="1"/>
      <w:numFmt w:val="bullet"/>
      <w:lvlText w:val=""/>
      <w:lvlJc w:val="start"/>
      <w:pPr>
        <w:tabs>
          <w:tab w:val="num" w:pos="252pt"/>
        </w:tabs>
        <w:ind w:start="252pt" w:hanging="18pt"/>
      </w:pPr>
      <w:rPr>
        <w:rFonts w:ascii="Symbol" w:hAnsi="Symbol"/>
      </w:rPr>
    </w:lvl>
    <w:lvl w:ilvl="7" w:tplc="C8BEBD18">
      <w:start w:val="1"/>
      <w:numFmt w:val="bullet"/>
      <w:lvlText w:val="o"/>
      <w:lvlJc w:val="start"/>
      <w:pPr>
        <w:tabs>
          <w:tab w:val="num" w:pos="288pt"/>
        </w:tabs>
        <w:ind w:start="288pt" w:hanging="18pt"/>
      </w:pPr>
      <w:rPr>
        <w:rFonts w:ascii="Courier New" w:hAnsi="Courier New"/>
      </w:rPr>
    </w:lvl>
    <w:lvl w:ilvl="8" w:tplc="BE86CA18">
      <w:start w:val="1"/>
      <w:numFmt w:val="bullet"/>
      <w:lvlText w:val=""/>
      <w:lvlJc w:val="start"/>
      <w:pPr>
        <w:tabs>
          <w:tab w:val="num" w:pos="324pt"/>
        </w:tabs>
        <w:ind w:start="324pt" w:hanging="18pt"/>
      </w:pPr>
      <w:rPr>
        <w:rFonts w:ascii="Wingdings" w:hAnsi="Wingdings"/>
      </w:rPr>
    </w:lvl>
  </w:abstractNum>
  <w:abstractNum w:abstractNumId="33" w15:restartNumberingAfterBreak="0">
    <w:nsid w:val="00000022"/>
    <w:multiLevelType w:val="hybridMultilevel"/>
    <w:tmpl w:val="00000022"/>
    <w:lvl w:ilvl="0" w:tplc="20526A6A">
      <w:start w:val="1"/>
      <w:numFmt w:val="bullet"/>
      <w:lvlText w:val=""/>
      <w:lvlJc w:val="start"/>
      <w:pPr>
        <w:ind w:start="36pt" w:hanging="18pt"/>
      </w:pPr>
      <w:rPr>
        <w:rFonts w:ascii="Symbol" w:hAnsi="Symbol"/>
      </w:rPr>
    </w:lvl>
    <w:lvl w:ilvl="1" w:tplc="D7F42BA8">
      <w:start w:val="1"/>
      <w:numFmt w:val="bullet"/>
      <w:lvlText w:val="o"/>
      <w:lvlJc w:val="start"/>
      <w:pPr>
        <w:tabs>
          <w:tab w:val="num" w:pos="72pt"/>
        </w:tabs>
        <w:ind w:start="72pt" w:hanging="18pt"/>
      </w:pPr>
      <w:rPr>
        <w:rFonts w:ascii="Courier New" w:hAnsi="Courier New"/>
      </w:rPr>
    </w:lvl>
    <w:lvl w:ilvl="2" w:tplc="53706A40">
      <w:start w:val="1"/>
      <w:numFmt w:val="bullet"/>
      <w:lvlText w:val=""/>
      <w:lvlJc w:val="start"/>
      <w:pPr>
        <w:tabs>
          <w:tab w:val="num" w:pos="108pt"/>
        </w:tabs>
        <w:ind w:start="108pt" w:hanging="18pt"/>
      </w:pPr>
      <w:rPr>
        <w:rFonts w:ascii="Wingdings" w:hAnsi="Wingdings"/>
      </w:rPr>
    </w:lvl>
    <w:lvl w:ilvl="3" w:tplc="93966898">
      <w:start w:val="1"/>
      <w:numFmt w:val="bullet"/>
      <w:lvlText w:val=""/>
      <w:lvlJc w:val="start"/>
      <w:pPr>
        <w:tabs>
          <w:tab w:val="num" w:pos="144pt"/>
        </w:tabs>
        <w:ind w:start="144pt" w:hanging="18pt"/>
      </w:pPr>
      <w:rPr>
        <w:rFonts w:ascii="Symbol" w:hAnsi="Symbol"/>
      </w:rPr>
    </w:lvl>
    <w:lvl w:ilvl="4" w:tplc="0E040A9E">
      <w:start w:val="1"/>
      <w:numFmt w:val="bullet"/>
      <w:lvlText w:val="o"/>
      <w:lvlJc w:val="start"/>
      <w:pPr>
        <w:tabs>
          <w:tab w:val="num" w:pos="180pt"/>
        </w:tabs>
        <w:ind w:start="180pt" w:hanging="18pt"/>
      </w:pPr>
      <w:rPr>
        <w:rFonts w:ascii="Courier New" w:hAnsi="Courier New"/>
      </w:rPr>
    </w:lvl>
    <w:lvl w:ilvl="5" w:tplc="9072CB10">
      <w:start w:val="1"/>
      <w:numFmt w:val="bullet"/>
      <w:lvlText w:val=""/>
      <w:lvlJc w:val="start"/>
      <w:pPr>
        <w:tabs>
          <w:tab w:val="num" w:pos="216pt"/>
        </w:tabs>
        <w:ind w:start="216pt" w:hanging="18pt"/>
      </w:pPr>
      <w:rPr>
        <w:rFonts w:ascii="Wingdings" w:hAnsi="Wingdings"/>
      </w:rPr>
    </w:lvl>
    <w:lvl w:ilvl="6" w:tplc="A1C8E43A">
      <w:start w:val="1"/>
      <w:numFmt w:val="bullet"/>
      <w:lvlText w:val=""/>
      <w:lvlJc w:val="start"/>
      <w:pPr>
        <w:tabs>
          <w:tab w:val="num" w:pos="252pt"/>
        </w:tabs>
        <w:ind w:start="252pt" w:hanging="18pt"/>
      </w:pPr>
      <w:rPr>
        <w:rFonts w:ascii="Symbol" w:hAnsi="Symbol"/>
      </w:rPr>
    </w:lvl>
    <w:lvl w:ilvl="7" w:tplc="0EB8E7B4">
      <w:start w:val="1"/>
      <w:numFmt w:val="bullet"/>
      <w:lvlText w:val="o"/>
      <w:lvlJc w:val="start"/>
      <w:pPr>
        <w:tabs>
          <w:tab w:val="num" w:pos="288pt"/>
        </w:tabs>
        <w:ind w:start="288pt" w:hanging="18pt"/>
      </w:pPr>
      <w:rPr>
        <w:rFonts w:ascii="Courier New" w:hAnsi="Courier New"/>
      </w:rPr>
    </w:lvl>
    <w:lvl w:ilvl="8" w:tplc="96EECF8A">
      <w:start w:val="1"/>
      <w:numFmt w:val="bullet"/>
      <w:lvlText w:val=""/>
      <w:lvlJc w:val="start"/>
      <w:pPr>
        <w:tabs>
          <w:tab w:val="num" w:pos="324pt"/>
        </w:tabs>
        <w:ind w:start="324pt" w:hanging="18pt"/>
      </w:pPr>
      <w:rPr>
        <w:rFonts w:ascii="Wingdings" w:hAnsi="Wingdings"/>
      </w:rPr>
    </w:lvl>
  </w:abstractNum>
  <w:abstractNum w:abstractNumId="34" w15:restartNumberingAfterBreak="0">
    <w:nsid w:val="00000023"/>
    <w:multiLevelType w:val="hybridMultilevel"/>
    <w:tmpl w:val="00000023"/>
    <w:lvl w:ilvl="0" w:tplc="E8A8FD6E">
      <w:start w:val="1"/>
      <w:numFmt w:val="bullet"/>
      <w:lvlText w:val=""/>
      <w:lvlJc w:val="start"/>
      <w:pPr>
        <w:ind w:start="36pt" w:hanging="18pt"/>
      </w:pPr>
      <w:rPr>
        <w:rFonts w:ascii="Symbol" w:hAnsi="Symbol"/>
      </w:rPr>
    </w:lvl>
    <w:lvl w:ilvl="1" w:tplc="0470B49A">
      <w:start w:val="1"/>
      <w:numFmt w:val="bullet"/>
      <w:lvlText w:val="o"/>
      <w:lvlJc w:val="start"/>
      <w:pPr>
        <w:tabs>
          <w:tab w:val="num" w:pos="72pt"/>
        </w:tabs>
        <w:ind w:start="72pt" w:hanging="18pt"/>
      </w:pPr>
      <w:rPr>
        <w:rFonts w:ascii="Courier New" w:hAnsi="Courier New"/>
      </w:rPr>
    </w:lvl>
    <w:lvl w:ilvl="2" w:tplc="2D3A50D8">
      <w:start w:val="1"/>
      <w:numFmt w:val="bullet"/>
      <w:lvlText w:val=""/>
      <w:lvlJc w:val="start"/>
      <w:pPr>
        <w:tabs>
          <w:tab w:val="num" w:pos="108pt"/>
        </w:tabs>
        <w:ind w:start="108pt" w:hanging="18pt"/>
      </w:pPr>
      <w:rPr>
        <w:rFonts w:ascii="Wingdings" w:hAnsi="Wingdings"/>
      </w:rPr>
    </w:lvl>
    <w:lvl w:ilvl="3" w:tplc="DC2C3D80">
      <w:start w:val="1"/>
      <w:numFmt w:val="bullet"/>
      <w:lvlText w:val=""/>
      <w:lvlJc w:val="start"/>
      <w:pPr>
        <w:tabs>
          <w:tab w:val="num" w:pos="144pt"/>
        </w:tabs>
        <w:ind w:start="144pt" w:hanging="18pt"/>
      </w:pPr>
      <w:rPr>
        <w:rFonts w:ascii="Symbol" w:hAnsi="Symbol"/>
      </w:rPr>
    </w:lvl>
    <w:lvl w:ilvl="4" w:tplc="B3CC284E">
      <w:start w:val="1"/>
      <w:numFmt w:val="bullet"/>
      <w:lvlText w:val="o"/>
      <w:lvlJc w:val="start"/>
      <w:pPr>
        <w:tabs>
          <w:tab w:val="num" w:pos="180pt"/>
        </w:tabs>
        <w:ind w:start="180pt" w:hanging="18pt"/>
      </w:pPr>
      <w:rPr>
        <w:rFonts w:ascii="Courier New" w:hAnsi="Courier New"/>
      </w:rPr>
    </w:lvl>
    <w:lvl w:ilvl="5" w:tplc="A57ACF3E">
      <w:start w:val="1"/>
      <w:numFmt w:val="bullet"/>
      <w:lvlText w:val=""/>
      <w:lvlJc w:val="start"/>
      <w:pPr>
        <w:tabs>
          <w:tab w:val="num" w:pos="216pt"/>
        </w:tabs>
        <w:ind w:start="216pt" w:hanging="18pt"/>
      </w:pPr>
      <w:rPr>
        <w:rFonts w:ascii="Wingdings" w:hAnsi="Wingdings"/>
      </w:rPr>
    </w:lvl>
    <w:lvl w:ilvl="6" w:tplc="05BC4B0A">
      <w:start w:val="1"/>
      <w:numFmt w:val="bullet"/>
      <w:lvlText w:val=""/>
      <w:lvlJc w:val="start"/>
      <w:pPr>
        <w:tabs>
          <w:tab w:val="num" w:pos="252pt"/>
        </w:tabs>
        <w:ind w:start="252pt" w:hanging="18pt"/>
      </w:pPr>
      <w:rPr>
        <w:rFonts w:ascii="Symbol" w:hAnsi="Symbol"/>
      </w:rPr>
    </w:lvl>
    <w:lvl w:ilvl="7" w:tplc="377E55F0">
      <w:start w:val="1"/>
      <w:numFmt w:val="bullet"/>
      <w:lvlText w:val="o"/>
      <w:lvlJc w:val="start"/>
      <w:pPr>
        <w:tabs>
          <w:tab w:val="num" w:pos="288pt"/>
        </w:tabs>
        <w:ind w:start="288pt" w:hanging="18pt"/>
      </w:pPr>
      <w:rPr>
        <w:rFonts w:ascii="Courier New" w:hAnsi="Courier New"/>
      </w:rPr>
    </w:lvl>
    <w:lvl w:ilvl="8" w:tplc="73180154">
      <w:start w:val="1"/>
      <w:numFmt w:val="bullet"/>
      <w:lvlText w:val=""/>
      <w:lvlJc w:val="start"/>
      <w:pPr>
        <w:tabs>
          <w:tab w:val="num" w:pos="324pt"/>
        </w:tabs>
        <w:ind w:start="324pt" w:hanging="18pt"/>
      </w:pPr>
      <w:rPr>
        <w:rFonts w:ascii="Wingdings" w:hAnsi="Wingdings"/>
      </w:rPr>
    </w:lvl>
  </w:abstractNum>
  <w:abstractNum w:abstractNumId="35" w15:restartNumberingAfterBreak="0">
    <w:nsid w:val="00000024"/>
    <w:multiLevelType w:val="hybridMultilevel"/>
    <w:tmpl w:val="00000024"/>
    <w:lvl w:ilvl="0" w:tplc="78BEA068">
      <w:start w:val="1"/>
      <w:numFmt w:val="bullet"/>
      <w:lvlText w:val=""/>
      <w:lvlJc w:val="start"/>
      <w:pPr>
        <w:ind w:start="36pt" w:hanging="18pt"/>
      </w:pPr>
      <w:rPr>
        <w:rFonts w:ascii="Symbol" w:hAnsi="Symbol"/>
      </w:rPr>
    </w:lvl>
    <w:lvl w:ilvl="1" w:tplc="593A8C0C">
      <w:start w:val="1"/>
      <w:numFmt w:val="bullet"/>
      <w:lvlText w:val="o"/>
      <w:lvlJc w:val="start"/>
      <w:pPr>
        <w:tabs>
          <w:tab w:val="num" w:pos="72pt"/>
        </w:tabs>
        <w:ind w:start="72pt" w:hanging="18pt"/>
      </w:pPr>
      <w:rPr>
        <w:rFonts w:ascii="Courier New" w:hAnsi="Courier New"/>
      </w:rPr>
    </w:lvl>
    <w:lvl w:ilvl="2" w:tplc="377E3BD6">
      <w:start w:val="1"/>
      <w:numFmt w:val="bullet"/>
      <w:lvlText w:val=""/>
      <w:lvlJc w:val="start"/>
      <w:pPr>
        <w:tabs>
          <w:tab w:val="num" w:pos="108pt"/>
        </w:tabs>
        <w:ind w:start="108pt" w:hanging="18pt"/>
      </w:pPr>
      <w:rPr>
        <w:rFonts w:ascii="Wingdings" w:hAnsi="Wingdings"/>
      </w:rPr>
    </w:lvl>
    <w:lvl w:ilvl="3" w:tplc="D382E44A">
      <w:start w:val="1"/>
      <w:numFmt w:val="bullet"/>
      <w:lvlText w:val=""/>
      <w:lvlJc w:val="start"/>
      <w:pPr>
        <w:tabs>
          <w:tab w:val="num" w:pos="144pt"/>
        </w:tabs>
        <w:ind w:start="144pt" w:hanging="18pt"/>
      </w:pPr>
      <w:rPr>
        <w:rFonts w:ascii="Symbol" w:hAnsi="Symbol"/>
      </w:rPr>
    </w:lvl>
    <w:lvl w:ilvl="4" w:tplc="A0849406">
      <w:start w:val="1"/>
      <w:numFmt w:val="bullet"/>
      <w:lvlText w:val="o"/>
      <w:lvlJc w:val="start"/>
      <w:pPr>
        <w:tabs>
          <w:tab w:val="num" w:pos="180pt"/>
        </w:tabs>
        <w:ind w:start="180pt" w:hanging="18pt"/>
      </w:pPr>
      <w:rPr>
        <w:rFonts w:ascii="Courier New" w:hAnsi="Courier New"/>
      </w:rPr>
    </w:lvl>
    <w:lvl w:ilvl="5" w:tplc="4E86F570">
      <w:start w:val="1"/>
      <w:numFmt w:val="bullet"/>
      <w:lvlText w:val=""/>
      <w:lvlJc w:val="start"/>
      <w:pPr>
        <w:tabs>
          <w:tab w:val="num" w:pos="216pt"/>
        </w:tabs>
        <w:ind w:start="216pt" w:hanging="18pt"/>
      </w:pPr>
      <w:rPr>
        <w:rFonts w:ascii="Wingdings" w:hAnsi="Wingdings"/>
      </w:rPr>
    </w:lvl>
    <w:lvl w:ilvl="6" w:tplc="648E0838">
      <w:start w:val="1"/>
      <w:numFmt w:val="bullet"/>
      <w:lvlText w:val=""/>
      <w:lvlJc w:val="start"/>
      <w:pPr>
        <w:tabs>
          <w:tab w:val="num" w:pos="252pt"/>
        </w:tabs>
        <w:ind w:start="252pt" w:hanging="18pt"/>
      </w:pPr>
      <w:rPr>
        <w:rFonts w:ascii="Symbol" w:hAnsi="Symbol"/>
      </w:rPr>
    </w:lvl>
    <w:lvl w:ilvl="7" w:tplc="9F180682">
      <w:start w:val="1"/>
      <w:numFmt w:val="bullet"/>
      <w:lvlText w:val="o"/>
      <w:lvlJc w:val="start"/>
      <w:pPr>
        <w:tabs>
          <w:tab w:val="num" w:pos="288pt"/>
        </w:tabs>
        <w:ind w:start="288pt" w:hanging="18pt"/>
      </w:pPr>
      <w:rPr>
        <w:rFonts w:ascii="Courier New" w:hAnsi="Courier New"/>
      </w:rPr>
    </w:lvl>
    <w:lvl w:ilvl="8" w:tplc="FD1815F6">
      <w:start w:val="1"/>
      <w:numFmt w:val="bullet"/>
      <w:lvlText w:val=""/>
      <w:lvlJc w:val="start"/>
      <w:pPr>
        <w:tabs>
          <w:tab w:val="num" w:pos="324pt"/>
        </w:tabs>
        <w:ind w:start="324pt" w:hanging="18pt"/>
      </w:pPr>
      <w:rPr>
        <w:rFonts w:ascii="Wingdings" w:hAnsi="Wingdings"/>
      </w:rPr>
    </w:lvl>
  </w:abstractNum>
  <w:abstractNum w:abstractNumId="36" w15:restartNumberingAfterBreak="0">
    <w:nsid w:val="00000025"/>
    <w:multiLevelType w:val="hybridMultilevel"/>
    <w:tmpl w:val="00000025"/>
    <w:lvl w:ilvl="0" w:tplc="6F5EDB74">
      <w:start w:val="1"/>
      <w:numFmt w:val="bullet"/>
      <w:lvlText w:val=""/>
      <w:lvlJc w:val="start"/>
      <w:pPr>
        <w:ind w:start="36pt" w:hanging="18pt"/>
      </w:pPr>
      <w:rPr>
        <w:rFonts w:ascii="Symbol" w:hAnsi="Symbol"/>
      </w:rPr>
    </w:lvl>
    <w:lvl w:ilvl="1" w:tplc="7BBA0CF8">
      <w:start w:val="1"/>
      <w:numFmt w:val="bullet"/>
      <w:lvlText w:val="o"/>
      <w:lvlJc w:val="start"/>
      <w:pPr>
        <w:tabs>
          <w:tab w:val="num" w:pos="72pt"/>
        </w:tabs>
        <w:ind w:start="72pt" w:hanging="18pt"/>
      </w:pPr>
      <w:rPr>
        <w:rFonts w:ascii="Courier New" w:hAnsi="Courier New"/>
      </w:rPr>
    </w:lvl>
    <w:lvl w:ilvl="2" w:tplc="DE92083C">
      <w:start w:val="1"/>
      <w:numFmt w:val="bullet"/>
      <w:lvlText w:val=""/>
      <w:lvlJc w:val="start"/>
      <w:pPr>
        <w:tabs>
          <w:tab w:val="num" w:pos="108pt"/>
        </w:tabs>
        <w:ind w:start="108pt" w:hanging="18pt"/>
      </w:pPr>
      <w:rPr>
        <w:rFonts w:ascii="Wingdings" w:hAnsi="Wingdings"/>
      </w:rPr>
    </w:lvl>
    <w:lvl w:ilvl="3" w:tplc="4F3C08C2">
      <w:start w:val="1"/>
      <w:numFmt w:val="bullet"/>
      <w:lvlText w:val=""/>
      <w:lvlJc w:val="start"/>
      <w:pPr>
        <w:tabs>
          <w:tab w:val="num" w:pos="144pt"/>
        </w:tabs>
        <w:ind w:start="144pt" w:hanging="18pt"/>
      </w:pPr>
      <w:rPr>
        <w:rFonts w:ascii="Symbol" w:hAnsi="Symbol"/>
      </w:rPr>
    </w:lvl>
    <w:lvl w:ilvl="4" w:tplc="372CE5E8">
      <w:start w:val="1"/>
      <w:numFmt w:val="bullet"/>
      <w:lvlText w:val="o"/>
      <w:lvlJc w:val="start"/>
      <w:pPr>
        <w:tabs>
          <w:tab w:val="num" w:pos="180pt"/>
        </w:tabs>
        <w:ind w:start="180pt" w:hanging="18pt"/>
      </w:pPr>
      <w:rPr>
        <w:rFonts w:ascii="Courier New" w:hAnsi="Courier New"/>
      </w:rPr>
    </w:lvl>
    <w:lvl w:ilvl="5" w:tplc="AFAABAF0">
      <w:start w:val="1"/>
      <w:numFmt w:val="bullet"/>
      <w:lvlText w:val=""/>
      <w:lvlJc w:val="start"/>
      <w:pPr>
        <w:tabs>
          <w:tab w:val="num" w:pos="216pt"/>
        </w:tabs>
        <w:ind w:start="216pt" w:hanging="18pt"/>
      </w:pPr>
      <w:rPr>
        <w:rFonts w:ascii="Wingdings" w:hAnsi="Wingdings"/>
      </w:rPr>
    </w:lvl>
    <w:lvl w:ilvl="6" w:tplc="3ABCC402">
      <w:start w:val="1"/>
      <w:numFmt w:val="bullet"/>
      <w:lvlText w:val=""/>
      <w:lvlJc w:val="start"/>
      <w:pPr>
        <w:tabs>
          <w:tab w:val="num" w:pos="252pt"/>
        </w:tabs>
        <w:ind w:start="252pt" w:hanging="18pt"/>
      </w:pPr>
      <w:rPr>
        <w:rFonts w:ascii="Symbol" w:hAnsi="Symbol"/>
      </w:rPr>
    </w:lvl>
    <w:lvl w:ilvl="7" w:tplc="3CB0BECE">
      <w:start w:val="1"/>
      <w:numFmt w:val="bullet"/>
      <w:lvlText w:val="o"/>
      <w:lvlJc w:val="start"/>
      <w:pPr>
        <w:tabs>
          <w:tab w:val="num" w:pos="288pt"/>
        </w:tabs>
        <w:ind w:start="288pt" w:hanging="18pt"/>
      </w:pPr>
      <w:rPr>
        <w:rFonts w:ascii="Courier New" w:hAnsi="Courier New"/>
      </w:rPr>
    </w:lvl>
    <w:lvl w:ilvl="8" w:tplc="89F61D46">
      <w:start w:val="1"/>
      <w:numFmt w:val="bullet"/>
      <w:lvlText w:val=""/>
      <w:lvlJc w:val="start"/>
      <w:pPr>
        <w:tabs>
          <w:tab w:val="num" w:pos="324pt"/>
        </w:tabs>
        <w:ind w:start="324pt" w:hanging="18pt"/>
      </w:pPr>
      <w:rPr>
        <w:rFonts w:ascii="Wingdings" w:hAnsi="Wingdings"/>
      </w:rPr>
    </w:lvl>
  </w:abstractNum>
  <w:abstractNum w:abstractNumId="37" w15:restartNumberingAfterBreak="0">
    <w:nsid w:val="00000026"/>
    <w:multiLevelType w:val="hybridMultilevel"/>
    <w:tmpl w:val="00000026"/>
    <w:lvl w:ilvl="0" w:tplc="9CF29498">
      <w:start w:val="1"/>
      <w:numFmt w:val="bullet"/>
      <w:lvlText w:val=""/>
      <w:lvlJc w:val="start"/>
      <w:pPr>
        <w:ind w:start="36pt" w:hanging="18pt"/>
      </w:pPr>
      <w:rPr>
        <w:rFonts w:ascii="Symbol" w:hAnsi="Symbol"/>
      </w:rPr>
    </w:lvl>
    <w:lvl w:ilvl="1" w:tplc="EFF06FA2">
      <w:start w:val="1"/>
      <w:numFmt w:val="bullet"/>
      <w:lvlText w:val="o"/>
      <w:lvlJc w:val="start"/>
      <w:pPr>
        <w:tabs>
          <w:tab w:val="num" w:pos="72pt"/>
        </w:tabs>
        <w:ind w:start="72pt" w:hanging="18pt"/>
      </w:pPr>
      <w:rPr>
        <w:rFonts w:ascii="Courier New" w:hAnsi="Courier New"/>
      </w:rPr>
    </w:lvl>
    <w:lvl w:ilvl="2" w:tplc="10B4310C">
      <w:start w:val="1"/>
      <w:numFmt w:val="bullet"/>
      <w:lvlText w:val=""/>
      <w:lvlJc w:val="start"/>
      <w:pPr>
        <w:tabs>
          <w:tab w:val="num" w:pos="108pt"/>
        </w:tabs>
        <w:ind w:start="108pt" w:hanging="18pt"/>
      </w:pPr>
      <w:rPr>
        <w:rFonts w:ascii="Wingdings" w:hAnsi="Wingdings"/>
      </w:rPr>
    </w:lvl>
    <w:lvl w:ilvl="3" w:tplc="1842DAA8">
      <w:start w:val="1"/>
      <w:numFmt w:val="bullet"/>
      <w:lvlText w:val=""/>
      <w:lvlJc w:val="start"/>
      <w:pPr>
        <w:tabs>
          <w:tab w:val="num" w:pos="144pt"/>
        </w:tabs>
        <w:ind w:start="144pt" w:hanging="18pt"/>
      </w:pPr>
      <w:rPr>
        <w:rFonts w:ascii="Symbol" w:hAnsi="Symbol"/>
      </w:rPr>
    </w:lvl>
    <w:lvl w:ilvl="4" w:tplc="22B6E27E">
      <w:start w:val="1"/>
      <w:numFmt w:val="bullet"/>
      <w:lvlText w:val="o"/>
      <w:lvlJc w:val="start"/>
      <w:pPr>
        <w:tabs>
          <w:tab w:val="num" w:pos="180pt"/>
        </w:tabs>
        <w:ind w:start="180pt" w:hanging="18pt"/>
      </w:pPr>
      <w:rPr>
        <w:rFonts w:ascii="Courier New" w:hAnsi="Courier New"/>
      </w:rPr>
    </w:lvl>
    <w:lvl w:ilvl="5" w:tplc="BFC8FBC4">
      <w:start w:val="1"/>
      <w:numFmt w:val="bullet"/>
      <w:lvlText w:val=""/>
      <w:lvlJc w:val="start"/>
      <w:pPr>
        <w:tabs>
          <w:tab w:val="num" w:pos="216pt"/>
        </w:tabs>
        <w:ind w:start="216pt" w:hanging="18pt"/>
      </w:pPr>
      <w:rPr>
        <w:rFonts w:ascii="Wingdings" w:hAnsi="Wingdings"/>
      </w:rPr>
    </w:lvl>
    <w:lvl w:ilvl="6" w:tplc="2DC64B20">
      <w:start w:val="1"/>
      <w:numFmt w:val="bullet"/>
      <w:lvlText w:val=""/>
      <w:lvlJc w:val="start"/>
      <w:pPr>
        <w:tabs>
          <w:tab w:val="num" w:pos="252pt"/>
        </w:tabs>
        <w:ind w:start="252pt" w:hanging="18pt"/>
      </w:pPr>
      <w:rPr>
        <w:rFonts w:ascii="Symbol" w:hAnsi="Symbol"/>
      </w:rPr>
    </w:lvl>
    <w:lvl w:ilvl="7" w:tplc="88CEC520">
      <w:start w:val="1"/>
      <w:numFmt w:val="bullet"/>
      <w:lvlText w:val="o"/>
      <w:lvlJc w:val="start"/>
      <w:pPr>
        <w:tabs>
          <w:tab w:val="num" w:pos="288pt"/>
        </w:tabs>
        <w:ind w:start="288pt" w:hanging="18pt"/>
      </w:pPr>
      <w:rPr>
        <w:rFonts w:ascii="Courier New" w:hAnsi="Courier New"/>
      </w:rPr>
    </w:lvl>
    <w:lvl w:ilvl="8" w:tplc="E5A81E42">
      <w:start w:val="1"/>
      <w:numFmt w:val="bullet"/>
      <w:lvlText w:val=""/>
      <w:lvlJc w:val="start"/>
      <w:pPr>
        <w:tabs>
          <w:tab w:val="num" w:pos="324pt"/>
        </w:tabs>
        <w:ind w:start="324pt" w:hanging="18pt"/>
      </w:pPr>
      <w:rPr>
        <w:rFonts w:ascii="Wingdings" w:hAnsi="Wingdings"/>
      </w:rPr>
    </w:lvl>
  </w:abstractNum>
  <w:abstractNum w:abstractNumId="38" w15:restartNumberingAfterBreak="0">
    <w:nsid w:val="00000027"/>
    <w:multiLevelType w:val="multilevel"/>
    <w:tmpl w:val="00000027"/>
    <w:lvl w:ilvl="0">
      <w:start w:val="1"/>
      <w:numFmt w:val="decimal"/>
      <w:lvlText w:val="%1."/>
      <w:lvlJc w:val="start"/>
      <w:pPr>
        <w:ind w:start="36pt" w:hanging="18pt"/>
      </w:pPr>
    </w:lvl>
    <w:lvl w:ilvl="1">
      <w:start w:val="1"/>
      <w:numFmt w:val="lowerLetter"/>
      <w:lvlText w:val="%2."/>
      <w:lvlJc w:val="start"/>
      <w:pPr>
        <w:tabs>
          <w:tab w:val="num" w:pos="72pt"/>
        </w:tabs>
        <w:ind w:start="72pt" w:hanging="18pt"/>
      </w:p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39" w15:restartNumberingAfterBreak="0">
    <w:nsid w:val="00000028"/>
    <w:multiLevelType w:val="multilevel"/>
    <w:tmpl w:val="00000028"/>
    <w:lvl w:ilvl="0">
      <w:start w:val="1"/>
      <w:numFmt w:val="decimal"/>
      <w:lvlText w:val="%1."/>
      <w:lvlJc w:val="start"/>
      <w:pPr>
        <w:ind w:start="36pt" w:hanging="18pt"/>
      </w:pPr>
    </w:lvl>
    <w:lvl w:ilvl="1">
      <w:start w:val="1"/>
      <w:numFmt w:val="lowerLetter"/>
      <w:lvlText w:val="%2."/>
      <w:lvlJc w:val="start"/>
      <w:pPr>
        <w:tabs>
          <w:tab w:val="num" w:pos="72pt"/>
        </w:tabs>
        <w:ind w:start="72pt" w:hanging="18pt"/>
      </w:p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40" w15:restartNumberingAfterBreak="0">
    <w:nsid w:val="00000029"/>
    <w:multiLevelType w:val="hybridMultilevel"/>
    <w:tmpl w:val="00000029"/>
    <w:lvl w:ilvl="0" w:tplc="C7F6A1E6">
      <w:start w:val="1"/>
      <w:numFmt w:val="bullet"/>
      <w:lvlText w:val=""/>
      <w:lvlJc w:val="start"/>
      <w:pPr>
        <w:ind w:start="36pt" w:hanging="18pt"/>
      </w:pPr>
      <w:rPr>
        <w:rFonts w:ascii="Symbol" w:hAnsi="Symbol"/>
      </w:rPr>
    </w:lvl>
    <w:lvl w:ilvl="1" w:tplc="A328A236">
      <w:start w:val="1"/>
      <w:numFmt w:val="bullet"/>
      <w:lvlText w:val="o"/>
      <w:lvlJc w:val="start"/>
      <w:pPr>
        <w:tabs>
          <w:tab w:val="num" w:pos="72pt"/>
        </w:tabs>
        <w:ind w:start="72pt" w:hanging="18pt"/>
      </w:pPr>
      <w:rPr>
        <w:rFonts w:ascii="Courier New" w:hAnsi="Courier New"/>
      </w:rPr>
    </w:lvl>
    <w:lvl w:ilvl="2" w:tplc="A502EFCC">
      <w:start w:val="1"/>
      <w:numFmt w:val="bullet"/>
      <w:lvlText w:val=""/>
      <w:lvlJc w:val="start"/>
      <w:pPr>
        <w:tabs>
          <w:tab w:val="num" w:pos="108pt"/>
        </w:tabs>
        <w:ind w:start="108pt" w:hanging="18pt"/>
      </w:pPr>
      <w:rPr>
        <w:rFonts w:ascii="Wingdings" w:hAnsi="Wingdings"/>
      </w:rPr>
    </w:lvl>
    <w:lvl w:ilvl="3" w:tplc="2450854C">
      <w:start w:val="1"/>
      <w:numFmt w:val="bullet"/>
      <w:lvlText w:val=""/>
      <w:lvlJc w:val="start"/>
      <w:pPr>
        <w:tabs>
          <w:tab w:val="num" w:pos="144pt"/>
        </w:tabs>
        <w:ind w:start="144pt" w:hanging="18pt"/>
      </w:pPr>
      <w:rPr>
        <w:rFonts w:ascii="Symbol" w:hAnsi="Symbol"/>
      </w:rPr>
    </w:lvl>
    <w:lvl w:ilvl="4" w:tplc="4894BE88">
      <w:start w:val="1"/>
      <w:numFmt w:val="bullet"/>
      <w:lvlText w:val="o"/>
      <w:lvlJc w:val="start"/>
      <w:pPr>
        <w:tabs>
          <w:tab w:val="num" w:pos="180pt"/>
        </w:tabs>
        <w:ind w:start="180pt" w:hanging="18pt"/>
      </w:pPr>
      <w:rPr>
        <w:rFonts w:ascii="Courier New" w:hAnsi="Courier New"/>
      </w:rPr>
    </w:lvl>
    <w:lvl w:ilvl="5" w:tplc="FE80FF14">
      <w:start w:val="1"/>
      <w:numFmt w:val="bullet"/>
      <w:lvlText w:val=""/>
      <w:lvlJc w:val="start"/>
      <w:pPr>
        <w:tabs>
          <w:tab w:val="num" w:pos="216pt"/>
        </w:tabs>
        <w:ind w:start="216pt" w:hanging="18pt"/>
      </w:pPr>
      <w:rPr>
        <w:rFonts w:ascii="Wingdings" w:hAnsi="Wingdings"/>
      </w:rPr>
    </w:lvl>
    <w:lvl w:ilvl="6" w:tplc="66B80E72">
      <w:start w:val="1"/>
      <w:numFmt w:val="bullet"/>
      <w:lvlText w:val=""/>
      <w:lvlJc w:val="start"/>
      <w:pPr>
        <w:tabs>
          <w:tab w:val="num" w:pos="252pt"/>
        </w:tabs>
        <w:ind w:start="252pt" w:hanging="18pt"/>
      </w:pPr>
      <w:rPr>
        <w:rFonts w:ascii="Symbol" w:hAnsi="Symbol"/>
      </w:rPr>
    </w:lvl>
    <w:lvl w:ilvl="7" w:tplc="AE88134A">
      <w:start w:val="1"/>
      <w:numFmt w:val="bullet"/>
      <w:lvlText w:val="o"/>
      <w:lvlJc w:val="start"/>
      <w:pPr>
        <w:tabs>
          <w:tab w:val="num" w:pos="288pt"/>
        </w:tabs>
        <w:ind w:start="288pt" w:hanging="18pt"/>
      </w:pPr>
      <w:rPr>
        <w:rFonts w:ascii="Courier New" w:hAnsi="Courier New"/>
      </w:rPr>
    </w:lvl>
    <w:lvl w:ilvl="8" w:tplc="4B7AF682">
      <w:start w:val="1"/>
      <w:numFmt w:val="bullet"/>
      <w:lvlText w:val=""/>
      <w:lvlJc w:val="start"/>
      <w:pPr>
        <w:tabs>
          <w:tab w:val="num" w:pos="324pt"/>
        </w:tabs>
        <w:ind w:start="324pt" w:hanging="18pt"/>
      </w:pPr>
      <w:rPr>
        <w:rFonts w:ascii="Wingdings" w:hAnsi="Wingdings"/>
      </w:rPr>
    </w:lvl>
  </w:abstractNum>
  <w:abstractNum w:abstractNumId="41" w15:restartNumberingAfterBreak="0">
    <w:nsid w:val="0000002A"/>
    <w:multiLevelType w:val="hybridMultilevel"/>
    <w:tmpl w:val="0000002A"/>
    <w:lvl w:ilvl="0" w:tplc="8AE4AFF4">
      <w:start w:val="1"/>
      <w:numFmt w:val="bullet"/>
      <w:lvlText w:val=""/>
      <w:lvlJc w:val="start"/>
      <w:pPr>
        <w:ind w:start="36pt" w:hanging="18pt"/>
      </w:pPr>
      <w:rPr>
        <w:rFonts w:ascii="Symbol" w:hAnsi="Symbol"/>
      </w:rPr>
    </w:lvl>
    <w:lvl w:ilvl="1" w:tplc="96A8341A">
      <w:start w:val="1"/>
      <w:numFmt w:val="bullet"/>
      <w:lvlText w:val="o"/>
      <w:lvlJc w:val="start"/>
      <w:pPr>
        <w:tabs>
          <w:tab w:val="num" w:pos="72pt"/>
        </w:tabs>
        <w:ind w:start="72pt" w:hanging="18pt"/>
      </w:pPr>
      <w:rPr>
        <w:rFonts w:ascii="Courier New" w:hAnsi="Courier New"/>
      </w:rPr>
    </w:lvl>
    <w:lvl w:ilvl="2" w:tplc="28A840E2">
      <w:start w:val="1"/>
      <w:numFmt w:val="bullet"/>
      <w:lvlText w:val=""/>
      <w:lvlJc w:val="start"/>
      <w:pPr>
        <w:tabs>
          <w:tab w:val="num" w:pos="108pt"/>
        </w:tabs>
        <w:ind w:start="108pt" w:hanging="18pt"/>
      </w:pPr>
      <w:rPr>
        <w:rFonts w:ascii="Wingdings" w:hAnsi="Wingdings"/>
      </w:rPr>
    </w:lvl>
    <w:lvl w:ilvl="3" w:tplc="83E0BF94">
      <w:start w:val="1"/>
      <w:numFmt w:val="bullet"/>
      <w:lvlText w:val=""/>
      <w:lvlJc w:val="start"/>
      <w:pPr>
        <w:tabs>
          <w:tab w:val="num" w:pos="144pt"/>
        </w:tabs>
        <w:ind w:start="144pt" w:hanging="18pt"/>
      </w:pPr>
      <w:rPr>
        <w:rFonts w:ascii="Symbol" w:hAnsi="Symbol"/>
      </w:rPr>
    </w:lvl>
    <w:lvl w:ilvl="4" w:tplc="2910CE3E">
      <w:start w:val="1"/>
      <w:numFmt w:val="bullet"/>
      <w:lvlText w:val="o"/>
      <w:lvlJc w:val="start"/>
      <w:pPr>
        <w:tabs>
          <w:tab w:val="num" w:pos="180pt"/>
        </w:tabs>
        <w:ind w:start="180pt" w:hanging="18pt"/>
      </w:pPr>
      <w:rPr>
        <w:rFonts w:ascii="Courier New" w:hAnsi="Courier New"/>
      </w:rPr>
    </w:lvl>
    <w:lvl w:ilvl="5" w:tplc="C6DEB092">
      <w:start w:val="1"/>
      <w:numFmt w:val="bullet"/>
      <w:lvlText w:val=""/>
      <w:lvlJc w:val="start"/>
      <w:pPr>
        <w:tabs>
          <w:tab w:val="num" w:pos="216pt"/>
        </w:tabs>
        <w:ind w:start="216pt" w:hanging="18pt"/>
      </w:pPr>
      <w:rPr>
        <w:rFonts w:ascii="Wingdings" w:hAnsi="Wingdings"/>
      </w:rPr>
    </w:lvl>
    <w:lvl w:ilvl="6" w:tplc="53A8EF22">
      <w:start w:val="1"/>
      <w:numFmt w:val="bullet"/>
      <w:lvlText w:val=""/>
      <w:lvlJc w:val="start"/>
      <w:pPr>
        <w:tabs>
          <w:tab w:val="num" w:pos="252pt"/>
        </w:tabs>
        <w:ind w:start="252pt" w:hanging="18pt"/>
      </w:pPr>
      <w:rPr>
        <w:rFonts w:ascii="Symbol" w:hAnsi="Symbol"/>
      </w:rPr>
    </w:lvl>
    <w:lvl w:ilvl="7" w:tplc="735AE196">
      <w:start w:val="1"/>
      <w:numFmt w:val="bullet"/>
      <w:lvlText w:val="o"/>
      <w:lvlJc w:val="start"/>
      <w:pPr>
        <w:tabs>
          <w:tab w:val="num" w:pos="288pt"/>
        </w:tabs>
        <w:ind w:start="288pt" w:hanging="18pt"/>
      </w:pPr>
      <w:rPr>
        <w:rFonts w:ascii="Courier New" w:hAnsi="Courier New"/>
      </w:rPr>
    </w:lvl>
    <w:lvl w:ilvl="8" w:tplc="E40C2AE0">
      <w:start w:val="1"/>
      <w:numFmt w:val="bullet"/>
      <w:lvlText w:val=""/>
      <w:lvlJc w:val="start"/>
      <w:pPr>
        <w:tabs>
          <w:tab w:val="num" w:pos="324pt"/>
        </w:tabs>
        <w:ind w:start="324pt" w:hanging="18pt"/>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hyphenationZone w:val="21.25pt"/>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1D0AD2"/>
    <w:rsid w:val="00274036"/>
    <w:rsid w:val="007955D1"/>
    <w:rsid w:val="007C66E4"/>
    <w:rsid w:val="00823317"/>
    <w:rsid w:val="00A77B3E"/>
    <w:rsid w:val="00B16CCF"/>
    <w:rsid w:val="00CA2A55"/>
    <w:rsid w:val="00EB2379"/>
    <w:rsid w:val="00FC107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04C7E38"/>
  <w15:docId w15:val="{564A4D45-BA6D-438D-A01F-97A404CF063E}"/>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noProof/>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sz w:val="24"/>
      <w:szCs w:val="24"/>
    </w:rPr>
  </w:style>
  <w:style w:type="paragraph" w:styleId="Naslov1">
    <w:name w:val="heading 1"/>
    <w:basedOn w:val="Navaden"/>
    <w:next w:val="Navaden"/>
    <w:link w:val="Naslov1Znak"/>
    <w:qFormat/>
    <w:rsid w:val="00EF7B96"/>
    <w:pPr>
      <w:keepNext/>
      <w:spacing w:before="12pt" w:after="3pt"/>
      <w:outlineLvl w:val="0"/>
    </w:pPr>
    <w:rPr>
      <w:rFonts w:ascii="Arial" w:hAnsi="Arial" w:cs="Arial"/>
      <w:b/>
      <w:bCs/>
      <w:kern w:val="32"/>
      <w:sz w:val="32"/>
      <w:szCs w:val="32"/>
    </w:rPr>
  </w:style>
  <w:style w:type="paragraph" w:styleId="Naslov2">
    <w:name w:val="heading 2"/>
    <w:basedOn w:val="Navaden"/>
    <w:next w:val="Navaden"/>
    <w:link w:val="Naslov2Znak"/>
    <w:qFormat/>
    <w:rsid w:val="00EF7B96"/>
    <w:pPr>
      <w:keepNext/>
      <w:spacing w:before="12pt" w:after="3pt"/>
      <w:outlineLvl w:val="1"/>
    </w:pPr>
    <w:rPr>
      <w:rFonts w:ascii="Arial" w:hAnsi="Arial" w:cs="Arial"/>
      <w:b/>
      <w:bCs/>
      <w:i/>
      <w:iCs/>
      <w:sz w:val="28"/>
      <w:szCs w:val="28"/>
    </w:rPr>
  </w:style>
  <w:style w:type="paragraph" w:styleId="Naslov3">
    <w:name w:val="heading 3"/>
    <w:basedOn w:val="Navaden"/>
    <w:next w:val="Navaden"/>
    <w:link w:val="Naslov3Znak"/>
    <w:qFormat/>
    <w:rsid w:val="00EF7B96"/>
    <w:pPr>
      <w:keepNext/>
      <w:spacing w:before="12pt" w:after="3pt"/>
      <w:outlineLvl w:val="2"/>
    </w:pPr>
    <w:rPr>
      <w:rFonts w:ascii="Arial" w:hAnsi="Arial" w:cs="Arial"/>
      <w:b/>
      <w:bCs/>
      <w:sz w:val="26"/>
      <w:szCs w:val="26"/>
    </w:rPr>
  </w:style>
  <w:style w:type="paragraph" w:styleId="Naslov4">
    <w:name w:val="heading 4"/>
    <w:basedOn w:val="Navaden"/>
    <w:next w:val="Navaden"/>
    <w:qFormat/>
    <w:rsid w:val="00EF7B96"/>
    <w:pPr>
      <w:keepNext/>
      <w:spacing w:before="12pt" w:after="3pt"/>
      <w:outlineLvl w:val="3"/>
    </w:pPr>
    <w:rPr>
      <w:b/>
      <w:bCs/>
      <w:sz w:val="28"/>
      <w:szCs w:val="28"/>
    </w:rPr>
  </w:style>
  <w:style w:type="paragraph" w:styleId="Naslov5">
    <w:name w:val="heading 5"/>
    <w:basedOn w:val="Navaden"/>
    <w:next w:val="Navaden"/>
    <w:qFormat/>
    <w:rsid w:val="00EF7B96"/>
    <w:pPr>
      <w:spacing w:before="12pt" w:after="3pt"/>
      <w:outlineLvl w:val="4"/>
    </w:pPr>
    <w:rPr>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pt" w:type="dxa"/>
      <w:tblCellMar>
        <w:top w:w="0pt" w:type="dxa"/>
        <w:start w:w="5.40pt" w:type="dxa"/>
        <w:bottom w:w="0pt" w:type="dxa"/>
        <w:end w:w="5.40pt" w:type="dxa"/>
      </w:tblCellMar>
    </w:tblPr>
  </w:style>
  <w:style w:type="numbering" w:default="1" w:styleId="Brezseznama">
    <w:name w:val="No List"/>
    <w:uiPriority w:val="99"/>
    <w:semiHidden/>
    <w:unhideWhenUsed/>
  </w:style>
  <w:style w:type="paragraph" w:styleId="Kazalovsebine1">
    <w:name w:val="toc 1"/>
    <w:basedOn w:val="Navaden"/>
    <w:next w:val="Navaden"/>
    <w:autoRedefine/>
    <w:rsid w:val="00805BCE"/>
  </w:style>
  <w:style w:type="character" w:styleId="Hiperpovezava">
    <w:name w:val="Hyperlink"/>
    <w:basedOn w:val="Privzetapisavaodstavka"/>
    <w:rsid w:val="00EF7B96"/>
    <w:rPr>
      <w:color w:val="0000FF"/>
      <w:u w:val="single"/>
    </w:rPr>
  </w:style>
  <w:style w:type="paragraph" w:styleId="Kazalovsebine2">
    <w:name w:val="toc 2"/>
    <w:basedOn w:val="Navaden"/>
    <w:next w:val="Navaden"/>
    <w:autoRedefine/>
    <w:rsid w:val="00805BCE"/>
    <w:pPr>
      <w:ind w:start="12pt"/>
    </w:pPr>
  </w:style>
  <w:style w:type="paragraph" w:styleId="Kazalovsebine3">
    <w:name w:val="toc 3"/>
    <w:basedOn w:val="Navaden"/>
    <w:next w:val="Navaden"/>
    <w:autoRedefine/>
    <w:rsid w:val="00805BCE"/>
    <w:pPr>
      <w:ind w:start="24pt"/>
    </w:pPr>
  </w:style>
  <w:style w:type="paragraph" w:styleId="Kazalovsebine4">
    <w:name w:val="toc 4"/>
    <w:basedOn w:val="Navaden"/>
    <w:next w:val="Navaden"/>
    <w:autoRedefine/>
    <w:rsid w:val="00805BCE"/>
    <w:pPr>
      <w:ind w:start="36pt"/>
    </w:pPr>
  </w:style>
  <w:style w:type="paragraph" w:styleId="Kazalovsebine5">
    <w:name w:val="toc 5"/>
    <w:basedOn w:val="Navaden"/>
    <w:next w:val="Navaden"/>
    <w:autoRedefine/>
    <w:rsid w:val="00805BCE"/>
    <w:pPr>
      <w:ind w:start="48pt"/>
    </w:pPr>
  </w:style>
  <w:style w:type="character" w:customStyle="1" w:styleId="Naslov1Znak">
    <w:name w:val="Naslov 1 Znak"/>
    <w:basedOn w:val="Privzetapisavaodstavka"/>
    <w:link w:val="Naslov1"/>
    <w:rsid w:val="00EB2379"/>
    <w:rPr>
      <w:rFonts w:ascii="Arial" w:hAnsi="Arial" w:cs="Arial"/>
      <w:b/>
      <w:bCs/>
      <w:kern w:val="32"/>
      <w:sz w:val="32"/>
      <w:szCs w:val="32"/>
    </w:rPr>
  </w:style>
  <w:style w:type="character" w:customStyle="1" w:styleId="Naslov2Znak">
    <w:name w:val="Naslov 2 Znak"/>
    <w:basedOn w:val="Privzetapisavaodstavka"/>
    <w:link w:val="Naslov2"/>
    <w:rsid w:val="00EB2379"/>
    <w:rPr>
      <w:rFonts w:ascii="Arial" w:hAnsi="Arial" w:cs="Arial"/>
      <w:b/>
      <w:bCs/>
      <w:i/>
      <w:iCs/>
      <w:sz w:val="28"/>
      <w:szCs w:val="28"/>
    </w:rPr>
  </w:style>
  <w:style w:type="character" w:customStyle="1" w:styleId="Naslov3Znak">
    <w:name w:val="Naslov 3 Znak"/>
    <w:basedOn w:val="Privzetapisavaodstavka"/>
    <w:link w:val="Naslov3"/>
    <w:rsid w:val="00EB2379"/>
    <w:rPr>
      <w:rFonts w:ascii="Arial" w:hAnsi="Arial" w:cs="Arial"/>
      <w:b/>
      <w:bCs/>
      <w:sz w:val="26"/>
      <w:szCs w:val="26"/>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purl.oclc.org/ooxml/officeDocument/relationships/header" Target="header11.xml"/><Relationship Id="rId21" Type="http://purl.oclc.org/ooxml/officeDocument/relationships/footer" Target="footer7.xml"/><Relationship Id="rId34" Type="http://purl.oclc.org/ooxml/officeDocument/relationships/footer" Target="footer14.xml"/><Relationship Id="rId42" Type="http://purl.oclc.org/ooxml/officeDocument/relationships/footer" Target="footer18.xml"/><Relationship Id="rId47" Type="http://purl.oclc.org/ooxml/officeDocument/relationships/header" Target="header21.xml"/><Relationship Id="rId50" Type="http://purl.oclc.org/ooxml/officeDocument/relationships/header" Target="header23.xml"/><Relationship Id="rId55" Type="http://purl.oclc.org/ooxml/officeDocument/relationships/header" Target="header25.xml"/><Relationship Id="rId63" Type="http://purl.oclc.org/ooxml/officeDocument/relationships/footer" Target="footer28.xml"/><Relationship Id="rId68" Type="http://purl.oclc.org/ooxml/officeDocument/relationships/header" Target="header32.xml"/><Relationship Id="rId76" Type="http://purl.oclc.org/ooxml/officeDocument/relationships/footer" Target="footer35.xml"/><Relationship Id="rId84" Type="http://purl.oclc.org/ooxml/officeDocument/relationships/footer" Target="footer39.xml"/><Relationship Id="rId89" Type="http://purl.oclc.org/ooxml/officeDocument/relationships/header" Target="header42.xml"/><Relationship Id="rId97" Type="http://purl.oclc.org/ooxml/officeDocument/relationships/fontTable" Target="fontTable.xml"/><Relationship Id="rId7" Type="http://purl.oclc.org/ooxml/officeDocument/relationships/header" Target="header1.xml"/><Relationship Id="rId71" Type="http://purl.oclc.org/ooxml/officeDocument/relationships/header" Target="header33.xml"/><Relationship Id="rId92" Type="http://purl.oclc.org/ooxml/officeDocument/relationships/header" Target="header44.xml"/><Relationship Id="rId2" Type="http://purl.oclc.org/ooxml/officeDocument/relationships/styles" Target="styles.xml"/><Relationship Id="rId16" Type="http://purl.oclc.org/ooxml/officeDocument/relationships/footer" Target="footer5.xml"/><Relationship Id="rId29" Type="http://purl.oclc.org/ooxml/officeDocument/relationships/header" Target="header12.xml"/><Relationship Id="rId11" Type="http://purl.oclc.org/ooxml/officeDocument/relationships/header" Target="header3.xml"/><Relationship Id="rId24" Type="http://purl.oclc.org/ooxml/officeDocument/relationships/footer" Target="footer9.xml"/><Relationship Id="rId32" Type="http://purl.oclc.org/ooxml/officeDocument/relationships/header" Target="header14.xml"/><Relationship Id="rId37" Type="http://purl.oclc.org/ooxml/officeDocument/relationships/header" Target="header16.xml"/><Relationship Id="rId40" Type="http://purl.oclc.org/ooxml/officeDocument/relationships/footer" Target="footer17.xml"/><Relationship Id="rId45" Type="http://purl.oclc.org/ooxml/officeDocument/relationships/footer" Target="footer19.xml"/><Relationship Id="rId53" Type="http://purl.oclc.org/ooxml/officeDocument/relationships/header" Target="header24.xml"/><Relationship Id="rId58" Type="http://purl.oclc.org/ooxml/officeDocument/relationships/footer" Target="footer26.xml"/><Relationship Id="rId66" Type="http://purl.oclc.org/ooxml/officeDocument/relationships/footer" Target="footer30.xml"/><Relationship Id="rId74" Type="http://purl.oclc.org/ooxml/officeDocument/relationships/header" Target="header35.xml"/><Relationship Id="rId79" Type="http://purl.oclc.org/ooxml/officeDocument/relationships/header" Target="header37.xml"/><Relationship Id="rId87" Type="http://purl.oclc.org/ooxml/officeDocument/relationships/footer" Target="footer40.xml"/><Relationship Id="rId5" Type="http://purl.oclc.org/ooxml/officeDocument/relationships/footnotes" Target="footnotes.xml"/><Relationship Id="rId61" Type="http://purl.oclc.org/ooxml/officeDocument/relationships/header" Target="header28.xml"/><Relationship Id="rId82" Type="http://purl.oclc.org/ooxml/officeDocument/relationships/footer" Target="footer38.xml"/><Relationship Id="rId90" Type="http://purl.oclc.org/ooxml/officeDocument/relationships/footer" Target="footer42.xml"/><Relationship Id="rId95" Type="http://purl.oclc.org/ooxml/officeDocument/relationships/header" Target="header45.xml"/><Relationship Id="rId19" Type="http://purl.oclc.org/ooxml/officeDocument/relationships/header" Target="header7.xml"/><Relationship Id="rId14" Type="http://purl.oclc.org/ooxml/officeDocument/relationships/header" Target="header5.xml"/><Relationship Id="rId22" Type="http://purl.oclc.org/ooxml/officeDocument/relationships/footer" Target="footer8.xml"/><Relationship Id="rId27" Type="http://purl.oclc.org/ooxml/officeDocument/relationships/footer" Target="footer10.xml"/><Relationship Id="rId30" Type="http://purl.oclc.org/ooxml/officeDocument/relationships/footer" Target="footer12.xml"/><Relationship Id="rId35" Type="http://purl.oclc.org/ooxml/officeDocument/relationships/header" Target="header15.xml"/><Relationship Id="rId43" Type="http://purl.oclc.org/ooxml/officeDocument/relationships/header" Target="header19.xml"/><Relationship Id="rId48" Type="http://purl.oclc.org/ooxml/officeDocument/relationships/footer" Target="footer21.xml"/><Relationship Id="rId56" Type="http://purl.oclc.org/ooxml/officeDocument/relationships/header" Target="header26.xml"/><Relationship Id="rId64" Type="http://purl.oclc.org/ooxml/officeDocument/relationships/footer" Target="footer29.xml"/><Relationship Id="rId69" Type="http://purl.oclc.org/ooxml/officeDocument/relationships/footer" Target="footer31.xml"/><Relationship Id="rId77" Type="http://purl.oclc.org/ooxml/officeDocument/relationships/header" Target="header36.xml"/><Relationship Id="rId8" Type="http://purl.oclc.org/ooxml/officeDocument/relationships/header" Target="header2.xml"/><Relationship Id="rId51" Type="http://purl.oclc.org/ooxml/officeDocument/relationships/footer" Target="footer22.xml"/><Relationship Id="rId72" Type="http://purl.oclc.org/ooxml/officeDocument/relationships/footer" Target="footer33.xml"/><Relationship Id="rId80" Type="http://purl.oclc.org/ooxml/officeDocument/relationships/header" Target="header38.xml"/><Relationship Id="rId85" Type="http://purl.oclc.org/ooxml/officeDocument/relationships/header" Target="header40.xml"/><Relationship Id="rId93" Type="http://purl.oclc.org/ooxml/officeDocument/relationships/footer" Target="footer43.xml"/><Relationship Id="rId98" Type="http://purl.oclc.org/ooxml/officeDocument/relationships/theme" Target="theme/theme1.xml"/><Relationship Id="rId3" Type="http://purl.oclc.org/ooxml/officeDocument/relationships/settings" Target="settings.xml"/><Relationship Id="rId12" Type="http://purl.oclc.org/ooxml/officeDocument/relationships/footer" Target="footer3.xml"/><Relationship Id="rId17" Type="http://purl.oclc.org/ooxml/officeDocument/relationships/header" Target="header6.xml"/><Relationship Id="rId25" Type="http://purl.oclc.org/ooxml/officeDocument/relationships/header" Target="header10.xml"/><Relationship Id="rId33" Type="http://purl.oclc.org/ooxml/officeDocument/relationships/footer" Target="footer13.xml"/><Relationship Id="rId38" Type="http://purl.oclc.org/ooxml/officeDocument/relationships/header" Target="header17.xml"/><Relationship Id="rId46" Type="http://purl.oclc.org/ooxml/officeDocument/relationships/footer" Target="footer20.xml"/><Relationship Id="rId59" Type="http://purl.oclc.org/ooxml/officeDocument/relationships/header" Target="header27.xml"/><Relationship Id="rId67" Type="http://purl.oclc.org/ooxml/officeDocument/relationships/header" Target="header31.xml"/><Relationship Id="rId20" Type="http://purl.oclc.org/ooxml/officeDocument/relationships/header" Target="header8.xml"/><Relationship Id="rId41" Type="http://purl.oclc.org/ooxml/officeDocument/relationships/header" Target="header18.xml"/><Relationship Id="rId54" Type="http://purl.oclc.org/ooxml/officeDocument/relationships/footer" Target="footer24.xml"/><Relationship Id="rId62" Type="http://purl.oclc.org/ooxml/officeDocument/relationships/header" Target="header29.xml"/><Relationship Id="rId70" Type="http://purl.oclc.org/ooxml/officeDocument/relationships/footer" Target="footer32.xml"/><Relationship Id="rId75" Type="http://purl.oclc.org/ooxml/officeDocument/relationships/footer" Target="footer34.xml"/><Relationship Id="rId83" Type="http://purl.oclc.org/ooxml/officeDocument/relationships/header" Target="header39.xml"/><Relationship Id="rId88" Type="http://purl.oclc.org/ooxml/officeDocument/relationships/footer" Target="footer41.xml"/><Relationship Id="rId91" Type="http://purl.oclc.org/ooxml/officeDocument/relationships/header" Target="header43.xml"/><Relationship Id="rId96" Type="http://purl.oclc.org/ooxml/officeDocument/relationships/footer" Target="footer45.xml"/><Relationship Id="rId1" Type="http://purl.oclc.org/ooxml/officeDocument/relationships/numbering" Target="numbering.xml"/><Relationship Id="rId6" Type="http://purl.oclc.org/ooxml/officeDocument/relationships/endnotes" Target="endnotes.xml"/><Relationship Id="rId15" Type="http://purl.oclc.org/ooxml/officeDocument/relationships/footer" Target="footer4.xml"/><Relationship Id="rId23" Type="http://purl.oclc.org/ooxml/officeDocument/relationships/header" Target="header9.xml"/><Relationship Id="rId28" Type="http://purl.oclc.org/ooxml/officeDocument/relationships/footer" Target="footer11.xml"/><Relationship Id="rId36" Type="http://purl.oclc.org/ooxml/officeDocument/relationships/footer" Target="footer15.xml"/><Relationship Id="rId49" Type="http://purl.oclc.org/ooxml/officeDocument/relationships/header" Target="header22.xml"/><Relationship Id="rId57" Type="http://purl.oclc.org/ooxml/officeDocument/relationships/footer" Target="footer25.xml"/><Relationship Id="rId10" Type="http://purl.oclc.org/ooxml/officeDocument/relationships/footer" Target="footer2.xml"/><Relationship Id="rId31" Type="http://purl.oclc.org/ooxml/officeDocument/relationships/header" Target="header13.xml"/><Relationship Id="rId44" Type="http://purl.oclc.org/ooxml/officeDocument/relationships/header" Target="header20.xml"/><Relationship Id="rId52" Type="http://purl.oclc.org/ooxml/officeDocument/relationships/footer" Target="footer23.xml"/><Relationship Id="rId60" Type="http://purl.oclc.org/ooxml/officeDocument/relationships/footer" Target="footer27.xml"/><Relationship Id="rId65" Type="http://purl.oclc.org/ooxml/officeDocument/relationships/header" Target="header30.xml"/><Relationship Id="rId73" Type="http://purl.oclc.org/ooxml/officeDocument/relationships/header" Target="header34.xml"/><Relationship Id="rId78" Type="http://purl.oclc.org/ooxml/officeDocument/relationships/footer" Target="footer36.xml"/><Relationship Id="rId81" Type="http://purl.oclc.org/ooxml/officeDocument/relationships/footer" Target="footer37.xml"/><Relationship Id="rId86" Type="http://purl.oclc.org/ooxml/officeDocument/relationships/header" Target="header41.xml"/><Relationship Id="rId94" Type="http://purl.oclc.org/ooxml/officeDocument/relationships/footer" Target="footer44.xml"/><Relationship Id="rId4" Type="http://purl.oclc.org/ooxml/officeDocument/relationships/webSettings" Target="webSettings.xml"/><Relationship Id="rId9" Type="http://purl.oclc.org/ooxml/officeDocument/relationships/footer" Target="footer1.xml"/><Relationship Id="rId13" Type="http://purl.oclc.org/ooxml/officeDocument/relationships/header" Target="header4.xml"/><Relationship Id="rId18" Type="http://purl.oclc.org/ooxml/officeDocument/relationships/footer" Target="footer6.xml"/><Relationship Id="rId39" Type="http://purl.oclc.org/ooxml/officeDocument/relationships/footer" Target="footer16.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Tibt" typeface="Microsoft Himalaya"/>
        <a:font script="Khmr" typeface="MoolBoran"/>
        <a:font script="Beng" typeface="Vrinda"/>
        <a:font script="Taml" typeface="Latha"/>
        <a:font script="Hebr" typeface="Times New Roman"/>
        <a:font script="Syrc" typeface="Estrangelo Edessa"/>
        <a:font script="Laoo" typeface="DokChampa"/>
        <a:font script="Cher" typeface="Plantagenet Cherokee"/>
        <a:font script="Thaa" typeface="MV Boli"/>
        <a:font script="Sinh" typeface="Iskoola Pota"/>
        <a:font script="Thai" typeface="Angsana New"/>
        <a:font script="Cans" typeface="Euphemia"/>
        <a:font script="Mong" typeface="Mongolian Baiti"/>
        <a:font script="Knda" typeface="Tunga"/>
        <a:font script="Viet" typeface="Times New Roman"/>
        <a:font script="Deva" typeface="Mangal"/>
        <a:font script="Arab" typeface="Times New Roman"/>
        <a:font script="Orya" typeface="Kalinga"/>
        <a:font script="Jpan" typeface="ＭＳ ゴシック"/>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ajorFont>
      <a:minorFont>
        <a:latin typeface="Calibri"/>
        <a:ea typeface=""/>
        <a:cs typeface=""/>
        <a:font script="Tibt" typeface="Microsoft Himalaya"/>
        <a:font script="Khmr" typeface="DaunPenh"/>
        <a:font script="Beng" typeface="Vrinda"/>
        <a:font script="Taml" typeface="Latha"/>
        <a:font script="Hebr" typeface="Arial"/>
        <a:font script="Syrc" typeface="Estrangelo Edessa"/>
        <a:font script="Laoo" typeface="DokChampa"/>
        <a:font script="Cher" typeface="Plantagenet Cherokee"/>
        <a:font script="Thaa" typeface="MV Boli"/>
        <a:font script="Sinh" typeface="Iskoola Pota"/>
        <a:font script="Thai" typeface="Cordia New"/>
        <a:font script="Cans" typeface="Euphemia"/>
        <a:font script="Mong" typeface="Mongolian Baiti"/>
        <a:font script="Knda" typeface="Tunga"/>
        <a:font script="Viet" typeface="Arial"/>
        <a:font script="Deva" typeface="Mangal"/>
        <a:font script="Arab" typeface="Arial"/>
        <a:font script="Orya" typeface="Kalinga"/>
        <a:font script="Jpan" typeface="ＭＳ 明朝"/>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a:solidFill>
            <a:schemeClr val="phClr">
              <a:shade val="95%"/>
              <a:satMod val="105%"/>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docProps/app.xml><?xml version="1.0" encoding="utf-8"?>
<Properties xmlns="http://purl.oclc.org/ooxml/officeDocument/extendedProperties" xmlns:vt="http://purl.oclc.org/ooxml/officeDocument/docPropsVTypes">
  <Template>Normal</Template>
  <TotalTime>1</TotalTime>
  <Pages>457</Pages>
  <Words>162546</Words>
  <Characters>926513</Characters>
  <Application>Microsoft Office Word</Application>
  <DocSecurity>0</DocSecurity>
  <Lines>7720</Lines>
  <Paragraphs>2173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 Močnik</dc:creator>
  <cp:lastModifiedBy>AM</cp:lastModifiedBy>
  <cp:revision>3</cp:revision>
  <dcterms:created xsi:type="dcterms:W3CDTF">2025-11-21T13:29:00Z</dcterms:created>
  <dcterms:modified xsi:type="dcterms:W3CDTF">2025-11-21T13:34:00Z</dcterms:modified>
</cp:coreProperties>
</file>