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ZAHTEVEK ZA IZPLAČILO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5143"/>
        <w:gridCol w:w="5307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Zadevni sklad: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IUMV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2021SI65BVPR001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Ime programa: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BMVI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1.0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Številka sklepa Komisije: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C(2024)8206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Datum sklepa Komisije: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19. nov. 2024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Številka zahtevka za plačilo: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2.0.130164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Nacionalna referenca: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V 1/2025/2026 BMVI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09" w:history="1">
        <w:r w:rsidR="00A77B3E">
          <w:rPr>
            <w:rStyle w:val="Hyperlink"/>
            <w:rFonts w:ascii="Times New Roman" w:hAnsi="Times New Roman" w:cs="Times New Roman"/>
          </w:rPr>
          <w:t>Obračunsko leto</w:t>
        </w:r>
        <w:r>
          <w:tab/>
        </w:r>
        <w:r>
          <w:fldChar w:fldCharType="begin"/>
        </w:r>
        <w:r>
          <w:instrText xml:space="preserve"> PAGEREF _Toc256000009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0" w:history="1">
        <w:r w:rsidR="00A77B3E">
          <w:rPr>
            <w:rStyle w:val="Hyperlink"/>
            <w:rFonts w:ascii="Times New Roman" w:hAnsi="Times New Roman" w:cs="Times New Roman"/>
          </w:rPr>
          <w:t>Izdatki</w:t>
        </w:r>
        <w:r>
          <w:tab/>
        </w:r>
        <w:r>
          <w:fldChar w:fldCharType="begin"/>
        </w:r>
        <w:r>
          <w:instrText xml:space="preserve"> PAGEREF _Toc256000010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1" w:history="1">
        <w:r w:rsidR="00A77B3E">
          <w:rPr>
            <w:rStyle w:val="Hyperlink"/>
            <w:rFonts w:ascii="Times New Roman" w:hAnsi="Times New Roman" w:cs="Times New Roman"/>
          </w:rPr>
          <w:t>Izjava</w:t>
        </w:r>
        <w:r>
          <w:tab/>
        </w:r>
        <w:r>
          <w:fldChar w:fldCharType="begin"/>
        </w:r>
        <w:r>
          <w:instrText xml:space="preserve"> PAGEREF _Toc256000011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2" w:history="1">
        <w:r w:rsidR="00A77B3E">
          <w:rPr>
            <w:rStyle w:val="Hyperlink"/>
            <w:rFonts w:ascii="Times New Roman" w:hAnsi="Times New Roman" w:cs="Times New Roman"/>
          </w:rPr>
          <w:t>Opombe</w:t>
        </w:r>
        <w:r>
          <w:tab/>
        </w:r>
        <w:r>
          <w:fldChar w:fldCharType="begin"/>
        </w:r>
        <w:r>
          <w:instrText xml:space="preserve"> PAGEREF _Toc256000012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3" w:history="1">
        <w:r w:rsidR="00A77B3E">
          <w:rPr>
            <w:rStyle w:val="Hyperlink"/>
            <w:rFonts w:ascii="Times New Roman" w:hAnsi="Times New Roman" w:cs="Times New Roman"/>
          </w:rPr>
          <w:t>Bančni račun</w:t>
        </w:r>
        <w:r>
          <w:tab/>
        </w:r>
        <w:r>
          <w:fldChar w:fldCharType="begin"/>
        </w:r>
        <w:r>
          <w:instrText xml:space="preserve"> PAGEREF _Toc256000013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4" w:history="1">
        <w:r w:rsidR="00A77B3E">
          <w:rPr>
            <w:rStyle w:val="Hyperlink"/>
            <w:rFonts w:ascii="Times New Roman" w:hAnsi="Times New Roman" w:cs="Times New Roman"/>
          </w:rPr>
          <w:t>Dodatek 1</w:t>
        </w:r>
        <w:r>
          <w:tab/>
        </w:r>
        <w:r>
          <w:fldChar w:fldCharType="begin"/>
        </w:r>
        <w:r>
          <w:instrText xml:space="preserve"> PAGEREF _Toc256000014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5" w:history="1">
        <w:r w:rsidR="00A77B3E">
          <w:rPr>
            <w:rStyle w:val="Hyperlink"/>
            <w:rFonts w:ascii="Times New Roman" w:hAnsi="Times New Roman" w:cs="Times New Roman"/>
          </w:rPr>
          <w:t>Dodatek 3</w:t>
        </w:r>
        <w:r>
          <w:tab/>
        </w:r>
        <w:r>
          <w:fldChar w:fldCharType="begin"/>
        </w:r>
        <w:r>
          <w:instrText xml:space="preserve"> PAGEREF _Toc256000015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6" w:history="1">
        <w:r w:rsidR="00A77B3E">
          <w:rPr>
            <w:rStyle w:val="Hyperlink"/>
            <w:rFonts w:ascii="Times New Roman" w:hAnsi="Times New Roman" w:cs="Times New Roman"/>
          </w:rPr>
          <w:t>Dodatek 4</w:t>
        </w:r>
        <w:r>
          <w:tab/>
        </w:r>
        <w:r>
          <w:fldChar w:fldCharType="begin"/>
        </w:r>
        <w:r>
          <w:instrText xml:space="preserve"> PAGEREF _Toc256000016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7" w:history="1">
        <w:r w:rsidR="00A77B3E">
          <w:rPr>
            <w:rStyle w:val="Hyperlink"/>
            <w:rFonts w:ascii="Times New Roman" w:hAnsi="Times New Roman" w:cs="Times New Roman"/>
          </w:rPr>
          <w:t>DOKUMENTI</w:t>
        </w:r>
        <w:r>
          <w:tab/>
        </w:r>
        <w:r>
          <w:fldChar w:fldCharType="begin"/>
        </w:r>
        <w:r>
          <w:instrText xml:space="preserve"> PAGEREF _Toc256000017 \h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A77B3E">
      <w:pPr>
        <w:pStyle w:val="Heading1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bookmarkStart w:id="0" w:name="_Toc256000009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Obračunsko leto</w:t>
      </w:r>
      <w:bookmarkEnd w:id="0"/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V skladu s členom 91 se ta zahtevek za plačilo nanaša na obračunsko leto:</w:t>
      </w: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1536"/>
        <w:gridCol w:w="1536"/>
        <w:gridCol w:w="1536"/>
        <w:gridCol w:w="1536"/>
        <w:gridCol w:w="4096"/>
      </w:tblGrid>
      <w:tr>
        <w:tblPrEx>
          <w:tblW w:w="100%" w:type="pct"/>
          <w:tblLayout w:type="fixed"/>
        </w:tblPrEx>
        <w:trPr>
          <w:trHeight w:val="240"/>
        </w:trPr>
        <w:tc>
          <w:tcPr>
            <w:tcW w:w="15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 xml:space="preserve">Iz: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superscript"/>
              </w:rPr>
              <w:t>1</w:t>
            </w:r>
          </w:p>
        </w:tc>
        <w:tc>
          <w:tcPr>
            <w:tcW w:w="15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1. jul. 2025</w:t>
            </w:r>
          </w:p>
        </w:tc>
        <w:tc>
          <w:tcPr>
            <w:tcW w:w="15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 xml:space="preserve">do: </w:t>
            </w:r>
          </w:p>
        </w:tc>
        <w:tc>
          <w:tcPr>
            <w:tcW w:w="15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30. jun. 2026</w:t>
            </w:r>
          </w:p>
        </w:tc>
        <w:tc>
          <w:tcPr>
            <w:tcW w:w="4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</w:tbl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08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Prvi dan obračunskega leta samodejno vkodira elektronski sistem.</w:t>
      </w:r>
    </w:p>
    <w:p w:rsidR="00A77B3E">
      <w:pPr>
        <w:pStyle w:val="Heading1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1" w:name="_Toc256000010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Izdatki</w:t>
      </w:r>
      <w:bookmarkEnd w:id="1"/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Izdatki, razčlenjeni po specifičnih ciljih, kakor so vneseni v obračune organa upravljanja</w:t>
      </w: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Ta tabela ne vključuje izdatkov, povezanih s specifičnimi cilji, za katere omogočitveni pogoji niso izpolnjeni, razen operacij, ki prispevajo k izpolnjevanju omogočitvenih pogojev</w:t>
      </w: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465"/>
        <w:gridCol w:w="2464"/>
        <w:gridCol w:w="1481"/>
        <w:gridCol w:w="1491"/>
        <w:gridCol w:w="2467"/>
        <w:gridCol w:w="2467"/>
        <w:gridCol w:w="2467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2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tcW w:w="12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Osnova za izračun</w:t>
            </w:r>
          </w:p>
        </w:tc>
        <w:tc>
          <w:tcPr>
            <w:tcW w:w="7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Stopnja sofinanciranja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upravičenih izdatkov, ki so jih imeli upravičenci ter so bili izplačani pri izvajanju operacij v skladu s členom 91(3), točka (a), in členom 91(4), točka (c).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prispevka Unije v skladu s členom 91(4), točki (a) in (b)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javnega prispevka, ki je bil ali bo izveden v skladu s členom 91(3), točka (c)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2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W w:w="7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(D)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Evropsko integrirano upravljanje meja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74,9999999965%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488.346,95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488.346,95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Evropsko integrirano upravljanje meja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89,9999999811%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163.551,63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163.551,63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Evropsko integrirano upravljanje meja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1.435.025,83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1.435.025,83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Evropsko integrirano upravljanje meja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Uredba ETIAS, člen 85(2)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Evropsko integrirano upravljanje meja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Uredba ETIAS, člen 85(3)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Skupna vizumska politika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75,0000000000%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535.873,66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535.873,66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Skupna vizumska politika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Skupna vizumska politika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361.760,98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361.760,98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TA.36(5). Tehnična pomoč – pavšalna stopnja (člen 36(5) uredbe o skupnih določbah)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162.728,92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2.984.559,05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162.728,92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2.984.559,05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  <w:vertAlign w:val="baseline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8" w:h="11906" w:orient="landscape"/>
          <w:pgMar w:top="720" w:right="720" w:bottom="864" w:left="936" w:header="288" w:footer="72" w:gutter="0"/>
          <w:cols w:space="708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2" w:name="_Toc25600001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Izjava</w:t>
      </w:r>
      <w:bookmarkEnd w:id="2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Z validacijo tega zahtevka za plačilo organ, ki izvaja računovodsko funkcijo, zahteva plačilo zneskov, kot je navedeno spodaj.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Zastopnik organa, ki opravlja računovodsko funkcijo: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 xml:space="preserve"> mag. Evelyn Filip</w:t>
      </w:r>
    </w:p>
    <w:p w:rsidR="00A77B3E">
      <w:pPr>
        <w:spacing w:before="100" w:after="0"/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Zahtevek za plačilo</w:t>
      </w:r>
    </w:p>
    <w:p w:rsidR="00A77B3E">
      <w:pPr>
        <w:spacing w:before="100" w:after="0"/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3817"/>
        <w:gridCol w:w="6633"/>
      </w:tblGrid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Sklad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Znesek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IUMV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2.874.877,66</w:t>
            </w:r>
          </w:p>
        </w:tc>
      </w:tr>
    </w:tbl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br w:type="page"/>
      </w:r>
      <w:bookmarkStart w:id="3" w:name="_Toc256000012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Opombe</w:t>
      </w:r>
      <w:bookmarkEnd w:id="3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10240"/>
      </w:tblGrid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10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0"/>
                <w:vertAlign w:val="baseline"/>
              </w:rPr>
            </w:pPr>
          </w:p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</w:tbl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br w:type="page"/>
      </w:r>
      <w:bookmarkStart w:id="4" w:name="_Toc256000013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Bančni račun</w:t>
      </w:r>
      <w:bookmarkEnd w:id="4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Plačilo se izvrši na naslednji bančni račun: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6144"/>
        <w:gridCol w:w="4096"/>
      </w:tblGrid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Opredeljeni organ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MINISTRY OF FINANCE</w:t>
            </w: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Banka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BANK OF SLOVENIA</w:t>
            </w: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BIC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BSLJSI2X</w:t>
            </w: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IBAN bančnega računa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SI56011006000075489</w:t>
            </w: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Imetnik računa (če je drug kot opredeljeni organ)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  <w:tc>
          <w:tcPr>
            <w:tcW w:w="4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 w:orient="portrait"/>
          <w:pgMar w:top="720" w:right="936" w:bottom="864" w:left="720" w:header="0" w:footer="72" w:gutter="0"/>
          <w:cols w:space="708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5" w:name="_Toc256000014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Dodatek 1</w:t>
      </w:r>
      <w:bookmarkEnd w:id="5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Informacije o prispevkih iz programa, vplačanih v finančne instrumente v skladu s členom 92 in vključenih v zahtevke za plačilo (kumulativno od začetka programa)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000"/>
        <w:gridCol w:w="3000"/>
        <w:gridCol w:w="2540"/>
        <w:gridCol w:w="2540"/>
        <w:gridCol w:w="2540"/>
        <w:gridCol w:w="2540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tcW w:w="15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W w:w="254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Znesek, vključen v prvi zahtevek za plačilo in plačan finančnemu instrumentu v skladu s členom 92 (največ 30 % celotnega zneska prispevkov iz programa, odobrenih finančnim instrumentom v skladu z ustreznim sporazumom o financiranju)</w:t>
            </w:r>
          </w:p>
        </w:tc>
        <w:tc>
          <w:tcPr>
            <w:tcW w:w="254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Ustrezni obračunani znesek iz člena 92(3)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superscript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(D)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prispevkov iz programa, vplačanih v finančne instrumente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ustreznega javnega prispevka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prispevkov iz programa v skladu s členom 92(2)(b)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ustreznega javnega prispevka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Uredba ETIAS, člen 85(2)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Uredba ETIAS, člen 85(3)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Skupna vizumska politika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Skupna vizumska politika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Skupna vizumska politika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  <w:t>Ta znesek se ne vključi v zahtevek za plačilo.</w:t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br w:type="page"/>
      </w:r>
      <w:bookmarkStart w:id="6" w:name="_Toc256000015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Dodatek 3</w:t>
      </w:r>
      <w:bookmarkEnd w:id="6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 xml:space="preserve">Informacije o izdatkih, povezanih s specifičnimi cilji, za katere omogočitveni pogoji niso izpolnjeni, razen operacij, ki prispevajo k izpolnjevanju omogočitvenih pogojev (kumulativno od začetka programskega obdobja) 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000"/>
        <w:gridCol w:w="2000"/>
        <w:gridCol w:w="1500"/>
        <w:gridCol w:w="2400"/>
        <w:gridCol w:w="2400"/>
        <w:gridCol w:w="2400"/>
        <w:gridCol w:w="2400"/>
      </w:tblGrid>
      <w:tr>
        <w:tblPrEx>
          <w:tblW w:w="100%" w:type="pct"/>
        </w:tblPrEx>
        <w:trPr>
          <w:cantSplit w:val="0"/>
          <w:trHeight w:hRule="auto" w:val="0"/>
          <w:tblHeader/>
        </w:trPr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Osnova za izračun</w:t>
            </w:r>
          </w:p>
        </w:tc>
        <w:tc>
          <w:tcPr>
            <w:tcW w:w="2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 upravičenih izdatkov, ki so jih imeli upravičenci in so bili plačani pri izvajanju operacij, v smislu člena 91(3), točka (a) ali (c), ali prispevek Unije v skladu s členom 91(4) v povezavi z neizpolnjenimi omogočitvenimi pogoji v smislu člena 15(5) ali (6), razen operacij, ki prispevajo k izpolnjevanju omogočitvenih pogojev</w:t>
            </w:r>
          </w:p>
        </w:tc>
        <w:tc>
          <w:tcPr>
            <w:tcW w:w="2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 upravičenih izdatkov, ki so jih imeli upravičenci in so bili plačani pri izvajanju operacij, v smislu člena 91(3), točka (a) ali (c), ali prispevek Unije v skladu s členom 91(4) v povezavi z izpolnjenimi omogočitvenimi pogoji v smislu člena 15(5) ali (6) ali kot prispevek k izpolnjevanju omogočitvenih pogojev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superscript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Javno</w:t>
            </w:r>
          </w:p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(D)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Javno</w:t>
            </w:r>
          </w:p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(E)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809.484,37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809.484,37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197.644,66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197.644,66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3.606.430,36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3.606.430,36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Uredba ETIAS, člen 85(2)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Uredba ETIAS, člen 85(3)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Skupna vizumska politika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2.093.749,81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2.093.749,81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Skupna vizumska politika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Skupna vizumska politika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1.472.909,80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1.472.909,80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Tehnična pomoč – pavšalna stopnja (člen 36(5) uredbe o skupnih določbah)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446.078,75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8.626.297,75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8.180.219,00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  <w:t>Zneski v tem stolpcu se morajo ujemati z zneski iz prve tabele Priloge XXIII.</w:t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br w:type="page"/>
      </w:r>
      <w:bookmarkStart w:id="7" w:name="_Toc256000016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Dodatek 4</w:t>
      </w:r>
      <w:bookmarkEnd w:id="7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Vnaprejšnja plačila, plačana v okviru državne pomoči (člen 91(5)) in vključena v zahtevke za plačilo (kumulativno od začetka programa)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198"/>
        <w:gridCol w:w="3296"/>
        <w:gridCol w:w="3296"/>
        <w:gridCol w:w="3296"/>
        <w:gridCol w:w="3296"/>
      </w:tblGrid>
      <w:tr>
        <w:tblPrEx>
          <w:tblW w:w="100%" w:type="pct"/>
        </w:tblPrEx>
        <w:trPr>
          <w:cantSplit w:val="0"/>
          <w:trHeight w:hRule="auto" w:val="0"/>
          <w:tblHeader/>
        </w:trPr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tcW w:w="15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znesek, izplačan v obliki predujmov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superscript"/>
              </w:rPr>
              <w:t>1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Znesek, ki je bil zajet v izdatke, ki so jih upravičenci plačali v treh letih po letu prejema vnaprejšnjega plačila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Znesek, ki ni bil zajet v izdatke, ki so jih plačali upravičenci, in za katerega triletni rok še ni potekel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Uredba ETIAS, člen 85(2)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Uredba ETIAS, člen 85(3)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Skupna vizumska politika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Skupna vizumska politika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Skupna vizumska politika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6838" w:h="11906" w:orient="landscape"/>
          <w:pgMar w:top="720" w:right="720" w:bottom="864" w:left="936" w:header="288" w:footer="72" w:gutter="0"/>
          <w:cols w:space="708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  <w:t>Ta znesek je vključen v skupni znesek upravičenih izdatkov, ki so jih imeli upravičenci in so bili plačani pri izvajanju operacij, kakor je navedeno v zahtevku za plačilo. Ker je državna pomoč po naravi javni izdatek, je ta skupni znesek enak javnemu izdatku.</w:t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8" w:name="_Toc256000017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DOKUMENTI</w:t>
      </w:r>
      <w:bookmarkEnd w:id="8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617"/>
        <w:gridCol w:w="1618"/>
        <w:gridCol w:w="1011"/>
        <w:gridCol w:w="1618"/>
        <w:gridCol w:w="1618"/>
        <w:gridCol w:w="5191"/>
        <w:gridCol w:w="1011"/>
        <w:gridCol w:w="1618"/>
      </w:tblGrid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Naslov dokumenta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Vrsta dokumenta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Datum dokumenta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Lokalna referenca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Referenčna oznaka Komisije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Datoteke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Datum pošiljanja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Poslal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Payment application snapshot 2021SI65BVPR001 BMVI 1.0 2025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Posnetek podatkov pred pošiljanjem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19. dec. 2025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Ares(2025)11420685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Payment_application_snapshot_2021SI65BVPR001_BMVI_1.0_2025_sl.pdf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Payment_application_snapshot_2021SI65BVPR001_BMVI_1.0_2025_en.pdf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Payment application snapshot 2021SI65BVPR001 BMVI 1.0 2025 - Machine Translated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19. dec. 2025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Filip, Evelyn</w:t>
            </w:r>
          </w:p>
        </w:tc>
      </w:tr>
    </w:tbl>
    <w:p w:rsidR="00A77B3E">
      <w:pPr>
        <w:spacing w:before="100" w:after="0"/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sectPr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nextPage"/>
      <w:pgSz w:w="16838" w:h="11906" w:orient="landscape"/>
      <w:pgMar w:top="720" w:right="720" w:bottom="864" w:left="936" w:header="288" w:footer="72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5607"/>
      <w:gridCol w:w="4168"/>
      <w:gridCol w:w="5607"/>
    </w:tblGrid>
    <w:tr>
      <w:tblPrEx>
        <w:tblW w:w="100%" w:type="pct"/>
      </w:tblPrEx>
      <w:trPr>
        <w:cantSplit w:val="0"/>
        <w:trHeight w:val="240"/>
        <w:tblHeader w:val="0"/>
      </w:trPr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10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5607"/>
      <w:gridCol w:w="4168"/>
      <w:gridCol w:w="5607"/>
    </w:tblGrid>
    <w:tr>
      <w:tblPrEx>
        <w:tblW w:w="100%" w:type="pct"/>
      </w:tblPrEx>
      <w:trPr>
        <w:cantSplit w:val="0"/>
        <w:trHeight w:hRule="auto" w:val="0"/>
        <w:tblHeader w:val="0"/>
      </w:trPr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11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3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054"/>
      <w:gridCol w:w="3273"/>
      <w:gridCol w:w="6055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4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cantSplit w:val="0"/>
        <w:trHeight w:val="160"/>
        <w:tblHeader w:val="0"/>
      </w:trPr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7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header" Target="header4.xml" /><Relationship Id="rId11" Type="http://purl.oclc.org/ooxml/officeDocument/relationships/header" Target="header5.xml" /><Relationship Id="rId12" Type="http://purl.oclc.org/ooxml/officeDocument/relationships/footer" Target="footer4.xml" /><Relationship Id="rId13" Type="http://purl.oclc.org/ooxml/officeDocument/relationships/footer" Target="footer5.xml" /><Relationship Id="rId14" Type="http://purl.oclc.org/ooxml/officeDocument/relationships/header" Target="header6.xml" /><Relationship Id="rId15" Type="http://purl.oclc.org/ooxml/officeDocument/relationships/footer" Target="footer6.xml" /><Relationship Id="rId16" Type="http://purl.oclc.org/ooxml/officeDocument/relationships/header" Target="header7.xml" /><Relationship Id="rId17" Type="http://purl.oclc.org/ooxml/officeDocument/relationships/header" Target="header8.xml" /><Relationship Id="rId18" Type="http://purl.oclc.org/ooxml/officeDocument/relationships/footer" Target="footer7.xml" /><Relationship Id="rId19" Type="http://purl.oclc.org/ooxml/officeDocument/relationships/footer" Target="footer8.xml" /><Relationship Id="rId2" Type="http://purl.oclc.org/ooxml/officeDocument/relationships/webSettings" Target="webSettings.xml" /><Relationship Id="rId20" Type="http://purl.oclc.org/ooxml/officeDocument/relationships/header" Target="header9.xml" /><Relationship Id="rId21" Type="http://purl.oclc.org/ooxml/officeDocument/relationships/footer" Target="footer9.xml" /><Relationship Id="rId22" Type="http://purl.oclc.org/ooxml/officeDocument/relationships/header" Target="header10.xml" /><Relationship Id="rId23" Type="http://purl.oclc.org/ooxml/officeDocument/relationships/header" Target="header11.xml" /><Relationship Id="rId24" Type="http://purl.oclc.org/ooxml/officeDocument/relationships/footer" Target="footer10.xml" /><Relationship Id="rId25" Type="http://purl.oclc.org/ooxml/officeDocument/relationships/footer" Target="footer11.xml" /><Relationship Id="rId26" Type="http://purl.oclc.org/ooxml/officeDocument/relationships/header" Target="header12.xml" /><Relationship Id="rId27" Type="http://purl.oclc.org/ooxml/officeDocument/relationships/footer" Target="footer12.xml" /><Relationship Id="rId28" Type="http://purl.oclc.org/ooxml/officeDocument/relationships/header" Target="header13.xml" /><Relationship Id="rId29" Type="http://purl.oclc.org/ooxml/officeDocument/relationships/header" Target="header14.xml" /><Relationship Id="rId3" Type="http://purl.oclc.org/ooxml/officeDocument/relationships/fontTable" Target="fontTable.xml" /><Relationship Id="rId30" Type="http://purl.oclc.org/ooxml/officeDocument/relationships/footer" Target="footer13.xml" /><Relationship Id="rId31" Type="http://purl.oclc.org/ooxml/officeDocument/relationships/footer" Target="footer14.xml" /><Relationship Id="rId32" Type="http://purl.oclc.org/ooxml/officeDocument/relationships/header" Target="header15.xml" /><Relationship Id="rId33" Type="http://purl.oclc.org/ooxml/officeDocument/relationships/footer" Target="footer15.xml" /><Relationship Id="rId34" Type="http://purl.oclc.org/ooxml/officeDocument/relationships/theme" Target="theme/theme1.xml" /><Relationship Id="rId35" Type="http://purl.oclc.org/ooxml/officeDocument/relationships/styles" Target="styles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11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