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purl.oclc.org/ooxml/officeDocument/relationships/officeDocument" Target="word/document.xml" /><Relationship Id="rId2" Type="http://purl.oclc.org/ooxml/officeDocument/relationships/extended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 w:conformance="strict">
  <!-- Generated by Aspose.Words for Java 24.10.0 -->
  <w:body>
    <w:p w:rsidR="00A77B3E">
      <w:pPr>
        <w:jc w:val="start"/>
      </w:pP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  <w:r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  <w:t>ZAHTEVEK ZA IZPLAČILO</w:t>
      </w:r>
    </w:p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32"/>
        </w:rPr>
      </w:pPr>
    </w:p>
    <w:p w:rsidR="00A77B3E">
      <w:pPr>
        <w:jc w:val="start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5395"/>
        <w:gridCol w:w="5055"/>
      </w:tblGrid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Zadevni sklad: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SNV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CCI: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2021SI65ISPR001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Ime programa: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Programme Slovenia - ISF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Različica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1.0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C(2024)8205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Datum sklepa Komisije: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19. nov. 2024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Številka zahtevka za plačilo: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2.0.130164</w:t>
            </w:r>
          </w:p>
        </w:tc>
      </w:tr>
      <w:tr>
        <w:tblPrEx>
          <w:tblW w:w="100%" w:type="pct"/>
        </w:tblPrEx>
        <w:trPr>
          <w:trHeight w:val="240"/>
        </w:trPr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Nacionalna referenca:</w:t>
            </w:r>
          </w:p>
        </w:tc>
        <w:tc>
          <w:tcPr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>V 1/2025/2026 SNV</w:t>
            </w:r>
          </w:p>
        </w:tc>
      </w:tr>
    </w:tbl>
    <w:p w:rsidR="00A77B3E">
      <w:pPr>
        <w:jc w:val="center"/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r>
        <w:rPr>
          <w:rFonts w:ascii="Times New Roman" w:eastAsia="Times New Roman" w:hAnsi="Times New Roman" w:cs="Times New Roman"/>
          <w:b/>
          <w:vanish w:val="0"/>
          <w:color w:val="000000"/>
          <w:sz w:val="24"/>
        </w:rPr>
        <w:t>Kazalo</w:t>
      </w:r>
    </w:p>
    <w:p w:rsidR="00A77B3E">
      <w:pPr>
        <w:jc w:val="center"/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</w:pPr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begin"/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instrText>TOC \o "1-9" \z \u \h</w:instrText>
      </w:r>
      <w:r w:rsidR="00A77B3E"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separate"/>
      </w:r>
      <w:hyperlink w:anchor="_Toc256000009" w:history="1">
        <w:r w:rsidR="00A77B3E">
          <w:rPr>
            <w:rStyle w:val="Hyperlink"/>
            <w:rFonts w:ascii="Times New Roman" w:hAnsi="Times New Roman" w:cs="Times New Roman"/>
          </w:rPr>
          <w:t>Obračunsko leto</w:t>
        </w:r>
        <w:r>
          <w:tab/>
        </w:r>
        <w:r>
          <w:fldChar w:fldCharType="begin"/>
        </w:r>
        <w:r>
          <w:instrText xml:space="preserve"> PAGEREF _Toc256000009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0" w:history="1">
        <w:r w:rsidR="00A77B3E">
          <w:rPr>
            <w:rStyle w:val="Hyperlink"/>
            <w:rFonts w:ascii="Times New Roman" w:hAnsi="Times New Roman" w:cs="Times New Roman"/>
          </w:rPr>
          <w:t>Izdatki</w:t>
        </w:r>
        <w:r>
          <w:tab/>
        </w:r>
        <w:r>
          <w:fldChar w:fldCharType="begin"/>
        </w:r>
        <w:r>
          <w:instrText xml:space="preserve"> PAGEREF _Toc256000010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1" w:history="1">
        <w:r w:rsidR="00A77B3E">
          <w:rPr>
            <w:rStyle w:val="Hyperlink"/>
            <w:rFonts w:ascii="Times New Roman" w:hAnsi="Times New Roman" w:cs="Times New Roman"/>
          </w:rPr>
          <w:t>Izjava</w:t>
        </w:r>
        <w:r>
          <w:tab/>
        </w:r>
        <w:r>
          <w:fldChar w:fldCharType="begin"/>
        </w:r>
        <w:r>
          <w:instrText xml:space="preserve"> PAGEREF _Toc256000011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2" w:history="1">
        <w:r w:rsidR="00A77B3E">
          <w:rPr>
            <w:rStyle w:val="Hyperlink"/>
            <w:rFonts w:ascii="Times New Roman" w:hAnsi="Times New Roman" w:cs="Times New Roman"/>
          </w:rPr>
          <w:t>Opombe</w:t>
        </w:r>
        <w:r>
          <w:tab/>
        </w:r>
        <w:r>
          <w:fldChar w:fldCharType="begin"/>
        </w:r>
        <w:r>
          <w:instrText xml:space="preserve"> PAGEREF _Toc256000012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3" w:history="1">
        <w:r w:rsidR="00A77B3E">
          <w:rPr>
            <w:rStyle w:val="Hyperlink"/>
            <w:rFonts w:ascii="Times New Roman" w:hAnsi="Times New Roman" w:cs="Times New Roman"/>
          </w:rPr>
          <w:t>Bančni račun</w:t>
        </w:r>
        <w:r>
          <w:tab/>
        </w:r>
        <w:r>
          <w:fldChar w:fldCharType="begin"/>
        </w:r>
        <w:r>
          <w:instrText xml:space="preserve"> PAGEREF _Toc256000013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4" w:history="1">
        <w:r w:rsidR="00A77B3E">
          <w:rPr>
            <w:rStyle w:val="Hyperlink"/>
            <w:rFonts w:ascii="Times New Roman" w:hAnsi="Times New Roman" w:cs="Times New Roman"/>
          </w:rPr>
          <w:t>Dodatek 1</w:t>
        </w:r>
        <w:r>
          <w:tab/>
        </w:r>
        <w:r>
          <w:fldChar w:fldCharType="begin"/>
        </w:r>
        <w:r>
          <w:instrText xml:space="preserve"> PAGEREF _Toc256000014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5" w:history="1">
        <w:r w:rsidR="00A77B3E">
          <w:rPr>
            <w:rStyle w:val="Hyperlink"/>
            <w:rFonts w:ascii="Times New Roman" w:hAnsi="Times New Roman" w:cs="Times New Roman"/>
          </w:rPr>
          <w:t>Dodatek 3</w:t>
        </w:r>
        <w:r>
          <w:tab/>
        </w:r>
        <w:r>
          <w:fldChar w:fldCharType="begin"/>
        </w:r>
        <w:r>
          <w:instrText xml:space="preserve"> PAGEREF _Toc256000015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6" w:history="1">
        <w:r w:rsidR="00A77B3E">
          <w:rPr>
            <w:rStyle w:val="Hyperlink"/>
            <w:rFonts w:ascii="Times New Roman" w:hAnsi="Times New Roman" w:cs="Times New Roman"/>
          </w:rPr>
          <w:t>Dodatek 4</w:t>
        </w:r>
        <w:r>
          <w:tab/>
        </w:r>
        <w:r>
          <w:fldChar w:fldCharType="begin"/>
        </w:r>
        <w:r>
          <w:instrText xml:space="preserve"> PAGEREF _Toc256000016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1"/>
        <w:tabs>
          <w:tab w:val="end" w:leader="dot" w:pos="10240"/>
        </w:tabs>
        <w:rPr>
          <w:rFonts w:ascii="Calibri" w:hAnsi="Calibri"/>
          <w:noProof/>
          <w:sz w:val="22"/>
        </w:rPr>
      </w:pPr>
      <w:hyperlink w:anchor="_Toc256000017" w:history="1">
        <w:r w:rsidR="00A77B3E">
          <w:rPr>
            <w:rStyle w:val="Hyperlink"/>
            <w:rFonts w:ascii="Times New Roman" w:hAnsi="Times New Roman" w:cs="Times New Roman"/>
          </w:rPr>
          <w:t>DOKUMENTI</w:t>
        </w:r>
        <w:r>
          <w:tab/>
        </w:r>
        <w:r>
          <w:fldChar w:fldCharType="begin"/>
        </w:r>
        <w:r>
          <w:instrText xml:space="preserve"> PAGEREF _Toc256000017 \h </w:instrText>
        </w:r>
        <w:r>
          <w:fldChar w:fldCharType="separate"/>
        </w:r>
        <w:r>
          <w:t>11</w:t>
        </w:r>
        <w:r>
          <w:fldChar w:fldCharType="end"/>
        </w:r>
      </w:hyperlink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fldChar w:fldCharType="end"/>
      </w:r>
      <w:r>
        <w:rPr>
          <w:rFonts w:ascii="Times New Roman" w:eastAsia="Times New Roman" w:hAnsi="Times New Roman" w:cs="Times New Roman"/>
          <w:b w:val="0"/>
          <w:vanish w:val="0"/>
          <w:color w:val="000000"/>
          <w:sz w:val="24"/>
        </w:rPr>
        <w:br w:type="page"/>
      </w:r>
      <w:bookmarkStart w:id="0" w:name="_Toc256000009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Obračunsko leto</w:t>
      </w:r>
      <w:bookmarkEnd w:id="0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  <w:t>V skladu s členom 91 se ta zahtevek za plačilo nanaša na obračunsko leto: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536"/>
        <w:gridCol w:w="1536"/>
        <w:gridCol w:w="1536"/>
        <w:gridCol w:w="1536"/>
        <w:gridCol w:w="4096"/>
      </w:tblGrid>
      <w:tr>
        <w:tblPrEx>
          <w:tblW w:w="100%" w:type="pct"/>
          <w:tblLayout w:type="fixed"/>
        </w:tblPrEx>
        <w:trPr>
          <w:trHeight w:val="240"/>
        </w:trPr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</w:rPr>
              <w:t xml:space="preserve">Iz: 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superscript"/>
              </w:rPr>
              <w:t>1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1. jul. 2025</w:t>
            </w:r>
          </w:p>
        </w:tc>
        <w:tc>
          <w:tcPr>
            <w:tcW w:w="15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 xml:space="preserve">do: </w:t>
            </w:r>
          </w:p>
        </w:tc>
        <w:tc>
          <w:tcPr>
            <w:tcW w:w="15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30. jun. 2026</w:t>
            </w: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start w:w="5pt" w:type="dxa"/>
              <w:end w:w="5pt" w:type="dxa"/>
            </w:tcMar>
            <w:vAlign w:val="top"/>
          </w:tcPr>
          <w:p w:rsidR="00A77B3E">
            <w:pPr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4"/>
          <w:headerReference w:type="default" r:id="rId5"/>
          <w:footerReference w:type="even" r:id="rId6"/>
          <w:footerReference w:type="default" r:id="rId7"/>
          <w:headerReference w:type="first" r:id="rId8"/>
          <w:footerReference w:type="first" r:id="rId9"/>
          <w:pgSz w:w="11906" w:h="16838"/>
          <w:pgMar w:top="720" w:right="936" w:bottom="864" w:left="720" w:header="0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Prvi dan obračunskega leta samodejno vkodira elektronski sistem.</w:t>
      </w:r>
    </w:p>
    <w:p w:rsidR="00A77B3E">
      <w:pPr>
        <w:pStyle w:val="Heading1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1" w:name="_Toc256000010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</w:t>
      </w:r>
      <w:bookmarkEnd w:id="1"/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Izdatki, razčlenjeni po specifičnih ciljih, kakor so vneseni v obračune organa upravljanja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Ta tabela ne vključuje izdatkov, povezanih s specifičnimi cilji, za katere omogočitveni pogoji niso izpolnjeni, razen operacij, ki prispevajo k izpolnjevanju omogočitvenih pogojev</w:t>
      </w:r>
    </w:p>
    <w:p w:rsidR="00A77B3E">
      <w:pPr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466"/>
        <w:gridCol w:w="2464"/>
        <w:gridCol w:w="1480"/>
        <w:gridCol w:w="1491"/>
        <w:gridCol w:w="2467"/>
        <w:gridCol w:w="2467"/>
        <w:gridCol w:w="2467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2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75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Stopnja sofinanciranja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upravičenih izdatkov, ki so jih imeli upravičenci ter so bili izplačani pri izvajanju operacij v skladu s členom 91(3), točka (a), in členom 91(4), točka (c).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prispevka Unije v skladu s členom 91(4), točki (a) in 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javnega prispevka, ki je bil ali bo izveden v skladu s členom 91(3), točka (c)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75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75,0000000000%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702.249,08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702.249,08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89,9999990526%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22.747,26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22.747,26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 Izmenjava informacij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74,9999999534%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1.438.986,25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1.438.986,25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 Čezmejno sodelovanje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74,9999999828%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429.440,11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429.440,11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 Preprečevanje kriminala in boj proti njemu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89,9999998307%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TA.36(5). Tehnična pomoč – pavšalna stopnja (člen 36(5) uredbe o skupnih določbah)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100,0000000000%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116.908,74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2.593.422,70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116.908,74</w:t>
            </w:r>
          </w:p>
        </w:tc>
        <w:tc>
          <w:tcPr>
            <w:tcW w:w="12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2.593.422,70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/>
          <w:i w:val="0"/>
          <w:vanish w:val="0"/>
          <w:color w:val="000000"/>
          <w:sz w:val="24"/>
          <w:vertAlign w:val="baseline"/>
        </w:rPr>
        <w:sectPr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2" w:name="_Toc256000011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Izjava</w:t>
      </w:r>
      <w:bookmarkEnd w:id="2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 validacijo tega zahtevka za plačilo organ, ki izvaja računovodsko funkcijo, zahteva plačilo zneskov, kot je navedeno spodaj.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Zastopnik organa, ki opravlja računovodsko funkcijo: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 mag. Evelyn Filip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Zahtevek za plačilo</w:t>
      </w:r>
    </w:p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3537"/>
        <w:gridCol w:w="6913"/>
      </w:tblGrid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Sklad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Znesek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SNV</w:t>
            </w:r>
          </w:p>
        </w:tc>
        <w:tc>
          <w:tcPr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2.065.387,85</w:t>
            </w: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3" w:name="_Toc256000012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Opombe</w:t>
      </w:r>
      <w:bookmarkEnd w:id="3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10240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10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0"/>
                <w:vertAlign w:val="baseline"/>
              </w:rPr>
            </w:pPr>
          </w:p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4" w:name="_Toc256000013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Bančni račun</w:t>
      </w:r>
      <w:bookmarkEnd w:id="4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Plačilo se izvrši na naslednji bančni račun: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start w:w="5.4pt" w:type="dxa"/>
          <w:end w:w="5.4pt" w:type="dxa"/>
        </w:tblCellMar>
      </w:tblPr>
      <w:tblGrid>
        <w:gridCol w:w="6144"/>
        <w:gridCol w:w="4096"/>
      </w:tblGrid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Opredeljeni organ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MINISTRY OF FINANCE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BANK OF SLOVENIA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BIC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BSLJSI2X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IBAN bančnega računa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SI56011006000075392</w:t>
            </w: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  <w:t>Imetnik računa (če je drug kot opredeljeni organ)</w:t>
            </w:r>
          </w:p>
        </w:tc>
        <w:tc>
          <w:tcPr>
            <w:tcW w:w="40%" w:type="pc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  <w:tr>
        <w:tblPrEx>
          <w:tblW w:w="100%" w:type="pct"/>
          <w:tblLayout w:type="fixed"/>
        </w:tblPrEx>
        <w:trPr>
          <w:cantSplit w:val="0"/>
          <w:trHeight w:val="240"/>
          <w:tblHeader w:val="0"/>
        </w:trPr>
        <w:tc>
          <w:tcPr>
            <w:tcW w:w="6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  <w:tc>
          <w:tcPr>
            <w:tcW w:w="40%" w:type="pct"/>
            <w:tcBorders>
              <w:top w:val="single" w:sz="4" w:space="0" w:color="FFFFFF"/>
              <w:start w:val="single" w:sz="4" w:space="0" w:color="FFFFFF"/>
              <w:bottom w:val="single" w:sz="4" w:space="0" w:color="FFFFFF"/>
              <w:end w:val="single" w:sz="4" w:space="0" w:color="FFFFFF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24"/>
                <w:vertAlign w:val="baseline"/>
              </w:rPr>
            </w:pP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sectPr>
          <w:headerReference w:type="even" r:id="rId16"/>
          <w:headerReference w:type="default" r:id="rId17"/>
          <w:footerReference w:type="even" r:id="rId18"/>
          <w:footerReference w:type="default" r:id="rId19"/>
          <w:headerReference w:type="first" r:id="rId20"/>
          <w:footerReference w:type="first" r:id="rId21"/>
          <w:type w:val="nextPage"/>
          <w:pgSz w:w="11906" w:h="16838" w:orient="portrait"/>
          <w:pgMar w:top="720" w:right="936" w:bottom="864" w:left="720" w:header="0" w:footer="72" w:gutter="0"/>
          <w:cols w:space="708"/>
          <w:noEndnote/>
          <w:docGrid w:linePitch="360"/>
        </w:sectPr>
      </w:pP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5" w:name="_Toc256000014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1</w:t>
      </w:r>
      <w:bookmarkEnd w:id="5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Informacije o prispevkih iz programa, vplačanih v finančne instrumente v skladu s členom 92 in vključenih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3000"/>
        <w:gridCol w:w="2540"/>
        <w:gridCol w:w="2540"/>
        <w:gridCol w:w="2540"/>
        <w:gridCol w:w="2540"/>
      </w:tblGrid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vključen v prvi zahtevek za plačilo in plačan finančnemu instrumentu v skladu s členom 92 (največ 30 % celotnega zneska prispevkov iz programa, odobrenih finančnim instrumentom v skladu z ustreznim sporazumom o financiranju)</w:t>
            </w:r>
          </w:p>
        </w:tc>
        <w:tc>
          <w:tcPr>
            <w:tcW w:w="254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Ustrezni obračunani znesek iz člena 92(3)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programa, vplačanih v finančne instrumente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prispevkov iz programa v skladu s členom 92(2)(b)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 ustreznega javnega prispevka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val="16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7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4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se ne vključi v zahtevek za plačilo.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6" w:name="_Toc256000015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3</w:t>
      </w:r>
      <w:bookmarkEnd w:id="6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 xml:space="preserve">Informacije o izdatkih, povezanih s specifičnimi cilji, za katere omogočitveni pogoji niso izpolnjeni, razen operacij, ki prispevajo k izpolnjevanju omogočitvenih pogojev (kumulativno od začetka programskega obdobja) 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000"/>
        <w:gridCol w:w="2000"/>
        <w:gridCol w:w="1500"/>
        <w:gridCol w:w="2400"/>
        <w:gridCol w:w="2400"/>
        <w:gridCol w:w="2400"/>
        <w:gridCol w:w="2400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Osnova za izračun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neizpolnjenimi omogočitvenimi pogoji v smislu člena 15(5) ali (6), razen operacij, ki prispevajo k izpolnjevanju omogočitvenih pogojev</w:t>
            </w:r>
          </w:p>
        </w:tc>
        <w:tc>
          <w:tcPr>
            <w:tcW w:w="240pt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 upravičenih izdatkov, ki so jih imeli upravičenci in so bili plačani pri izvajanju operacij, v smislu člena 91(3), točka (a) ali (c), ali prispevek Unije v skladu s členom 91(4) v povezavi z izpolnjenimi omogočitvenimi pogoji v smislu člena 15(5) ali (6) ali kot prispevek k izpolnjevanju omogočitvenih pogojev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(D)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Javno</w:t>
            </w:r>
          </w:p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(E)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1.643.763,31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1.643.763,31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158.727,20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158.727,20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3.485.739,95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3.485.739,95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34.892,22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2.229.853,48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2.229.853,48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929.860,89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Tehnična pomoč – pavšalna stopnja (člen 36(5) uredbe o skupnih določbah)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391.838,98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75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8.874.676,03</w:t>
            </w:r>
          </w:p>
        </w:tc>
        <w:tc>
          <w:tcPr>
            <w:tcW w:w="12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8.482.837,05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Zneski v tem stolpcu se morajo ujemati z zneski iz prve tabele Priloge XXIII.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br w:type="page"/>
      </w:r>
      <w:bookmarkStart w:id="7" w:name="_Toc256000016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Dodatek 4</w:t>
      </w:r>
      <w:bookmarkEnd w:id="7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Vnaprejšnja plačila, plačana v okviru državne pomoči (člen 91(5)) in vključena v zahtevke za plačilo (kumulativno od začetka programa)</w:t>
      </w: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2198"/>
        <w:gridCol w:w="3296"/>
        <w:gridCol w:w="3296"/>
        <w:gridCol w:w="3296"/>
        <w:gridCol w:w="3296"/>
      </w:tblGrid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Specifični cilj</w:t>
            </w:r>
          </w:p>
        </w:tc>
        <w:tc>
          <w:tcPr>
            <w:tcW w:w="150pt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Vrsta ukrepa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Skupni znesek, izplačan v obliki predujmov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superscript"/>
              </w:rPr>
              <w:t>1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je bil zajet v izdatke, ki so jih upravičenci plačali v treh letih po letu prejema vnaprejšnjega plačila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Znesek, ki ni bil zajet v izdatke, ki so jih plačali upravičenci, in za katerega triletni rok še ni potekel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/>
        </w:trPr>
        <w:tc>
          <w:tcPr>
            <w:tcW w:w="10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vMerge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(A)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(B)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center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(C)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Izmenjava informacij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Operativna podpora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Posebni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Čezmejno sodelovanje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Redni ukrepi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Preprečevanje kriminala in boj proti njemu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Ukrepi iz Priloge IV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  <w:tr>
        <w:tblPrEx>
          <w:tblW w:w="100%" w:type="pct"/>
        </w:tblPrEx>
        <w:trPr>
          <w:cantSplit w:val="0"/>
          <w:trHeight w:hRule="auto" w:val="0"/>
          <w:tblHeader w:val="0"/>
        </w:trPr>
        <w:tc>
          <w:tcPr>
            <w:tcW w:w="10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Skupaj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</w:pP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  <w:tc>
          <w:tcPr>
            <w:tcW w:w="1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5pt" w:type="dxa"/>
              <w:bottom w:w="4pt" w:type="dxa"/>
              <w:end w:w="5pt" w:type="dxa"/>
            </w:tcMar>
            <w:vAlign w:val="top"/>
          </w:tcPr>
          <w:p w:rsidR="00A77B3E">
            <w:pPr>
              <w:spacing w:before="100" w:after="0"/>
              <w:jc w:val="end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2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/>
                <w:i w:val="0"/>
                <w:vanish w:val="0"/>
                <w:color w:val="000000"/>
                <w:sz w:val="12"/>
                <w:vertAlign w:val="baseline"/>
              </w:rPr>
              <w:t>0,00</w:t>
            </w:r>
          </w:p>
        </w:tc>
      </w:tr>
    </w:tbl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0"/>
          <w:vertAlign w:val="baseline"/>
        </w:rPr>
      </w:pPr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sectPr>
          <w:headerReference w:type="even" r:id="rId22"/>
          <w:headerReference w:type="default" r:id="rId23"/>
          <w:footerReference w:type="even" r:id="rId24"/>
          <w:footerReference w:type="default" r:id="rId25"/>
          <w:headerReference w:type="first" r:id="rId26"/>
          <w:footerReference w:type="first" r:id="rId27"/>
          <w:type w:val="nextPage"/>
          <w:pgSz w:w="16838" w:h="11906" w:orient="landscape"/>
          <w:pgMar w:top="720" w:right="720" w:bottom="864" w:left="936" w:header="288" w:footer="72" w:gutter="0"/>
          <w:cols w:space="708"/>
          <w:noEndnote/>
          <w:docGrid w:linePitch="360"/>
        </w:sectPr>
      </w:pP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superscript"/>
        </w:rPr>
        <w:t>1</w:t>
      </w:r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  <w:t>Ta znesek je vključen v skupni znesek upravičenih izdatkov, ki so jih imeli upravičenci in so bili plačani pri izvajanju operacij, kakor je navedeno v zahtevku za plačilo. Ker je državna pomoč po naravi javni izdatek, je ta skupni znesek enak javnemu izdatku.</w:t>
      </w:r>
    </w:p>
    <w:p w:rsidR="00A77B3E">
      <w:pPr>
        <w:pStyle w:val="Heading1"/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</w:pPr>
      <w:bookmarkStart w:id="8" w:name="_Toc256000017"/>
      <w:r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24"/>
          <w:vertAlign w:val="baseline"/>
        </w:rPr>
        <w:t>DOKUMENTI</w:t>
      </w:r>
      <w:bookmarkEnd w:id="8"/>
    </w:p>
    <w:p w:rsidR="00A77B3E">
      <w:pPr>
        <w:spacing w:before="100" w:after="0"/>
        <w:jc w:val="start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2"/>
          <w:vertAlign w:val="baseline"/>
        </w:rPr>
      </w:pPr>
    </w:p>
    <w:tbl>
      <w:tblPr>
        <w:tblW w:w="100%" w:type="pct"/>
        <w:tblBorders>
          <w:top w:val="single" w:sz="4" w:space="0" w:color="auto"/>
          <w:start w:val="single" w:sz="4" w:space="0" w:color="auto"/>
          <w:bottom w:val="single" w:sz="4" w:space="0" w:color="auto"/>
          <w:end w:val="single" w:sz="4" w:space="0" w:color="auto"/>
          <w:insideH w:val="single" w:sz="4" w:space="0" w:color="auto"/>
          <w:insideV w:val="single" w:sz="4" w:space="0" w:color="auto"/>
        </w:tblBorders>
        <w:tblCellMar>
          <w:start w:w="5.4pt" w:type="dxa"/>
          <w:end w:w="5.4pt" w:type="dxa"/>
        </w:tblCellMar>
      </w:tblPr>
      <w:tblGrid>
        <w:gridCol w:w="1627"/>
        <w:gridCol w:w="1627"/>
        <w:gridCol w:w="1017"/>
        <w:gridCol w:w="1626"/>
        <w:gridCol w:w="1626"/>
        <w:gridCol w:w="5137"/>
        <w:gridCol w:w="1016"/>
        <w:gridCol w:w="1626"/>
      </w:tblGrid>
      <w:tr>
        <w:tblPrEx>
          <w:tblW w:w="100%" w:type="pct"/>
        </w:tblPrEx>
        <w:trPr>
          <w:cantSplit w:val="0"/>
          <w:trHeight w:val="240"/>
          <w:tblHeader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Naslov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Vrsta dokumenta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dokumenta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Lokalna referenca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Referenčna oznaka Komisije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Datoteke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Datum pošiljanja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center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Poslal</w:t>
            </w:r>
          </w:p>
        </w:tc>
      </w:tr>
      <w:tr>
        <w:tblPrEx>
          <w:tblW w:w="100%" w:type="pct"/>
        </w:tblPrEx>
        <w:trPr>
          <w:cantSplit w:val="0"/>
          <w:trHeight w:val="240"/>
          <w:tblHeader w:val="0"/>
        </w:trPr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 application snapshot 2021SI65ISPR001 ISF 1.0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Posnetek podatkov pred pošiljanjem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Ares(2025)11420806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Payment_application_snapshot_2021SI65ISPR001_ISF_1.0_2025_sl_en.pdf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Payment_application_snapshot_2021SI65ISPR001_ISF_1.0_2025_en.pdf</w:t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br/>
            </w: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Payment_application_snapshot_2021SI65ISPR001_ISF_1.0_2025_sl.pdf</w:t>
            </w:r>
          </w:p>
        </w:tc>
        <w:tc>
          <w:tcPr>
            <w:tcW w:w="5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19. dec. 2025</w:t>
            </w:r>
          </w:p>
        </w:tc>
        <w:tc>
          <w:tcPr>
            <w:tcW w:w="80pt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tcMar>
              <w:top w:w="0pt" w:type="dxa"/>
              <w:start w:w="3pt" w:type="dxa"/>
              <w:bottom w:w="5pt" w:type="dxa"/>
              <w:end w:w="3pt" w:type="dxa"/>
            </w:tcMar>
            <w:vAlign w:val="top"/>
          </w:tcPr>
          <w:p w:rsidR="00A77B3E">
            <w:pPr>
              <w:spacing w:before="100" w:after="0"/>
              <w:jc w:val="start"/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</w:pPr>
            <w:r>
              <w:rPr>
                <w:rFonts w:ascii="Times New Roman" w:eastAsia="Times New Roman" w:hAnsi="Times New Roman" w:cs="Times New Roman"/>
                <w:b w:val="0"/>
                <w:i w:val="0"/>
                <w:vanish w:val="0"/>
                <w:color w:val="000000"/>
                <w:sz w:val="16"/>
                <w:vertAlign w:val="baseline"/>
              </w:rPr>
              <w:t>Filip, Evelyn</w:t>
            </w:r>
          </w:p>
        </w:tc>
      </w:tr>
    </w:tbl>
    <w:p w:rsidR="00A77B3E">
      <w:pPr>
        <w:spacing w:before="100" w:after="0"/>
        <w:jc w:val="center"/>
        <w:rPr>
          <w:rFonts w:ascii="Times New Roman" w:eastAsia="Times New Roman" w:hAnsi="Times New Roman" w:cs="Times New Roman"/>
          <w:b w:val="0"/>
          <w:i w:val="0"/>
          <w:vanish w:val="0"/>
          <w:color w:val="000000"/>
          <w:sz w:val="16"/>
          <w:vertAlign w:val="baseline"/>
        </w:rPr>
      </w:pPr>
    </w:p>
    <w:sectPr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type w:val="nextPage"/>
      <w:pgSz w:w="16838" w:h="11906" w:orient="landscape"/>
      <w:pgMar w:top="720" w:right="720" w:bottom="864" w:left="936" w:header="288" w:footer="72" w:gutter="0"/>
      <w:cols w:space="708"/>
      <w:noEndnote/>
      <w:docGrid w:linePitch="360"/>
    </w:sectPr>
  </w:body>
</w:document>
</file>

<file path=word/fontTable.xml><?xml version="1.0" encoding="utf-8"?>
<w:font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font w:name="Times New Roman">
    <w:panose1 w:val="02020603050405020304"/>
    <w:charset w:characterSet="windows-1251"/>
    <w:family w:val="roman"/>
    <w:pitch w:val="variable"/>
    <w:sig w:usb0="20007A87" w:usb1="80000000" w:usb2="00000008" w:usb3="00000000" w:csb0="000001FF" w:csb1="00000000"/>
  </w:font>
  <w:font w:name="Symbol">
    <w:panose1 w:val="05050102010706020507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characterSet="windows-1251"/>
    <w:family w:val="swiss"/>
    <w:pitch w:val="variable"/>
    <w:sig w:usb0="20007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val="24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10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1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5607"/>
      <w:gridCol w:w="4168"/>
      <w:gridCol w:w="5607"/>
    </w:tblGrid>
    <w:tr>
      <w:tblPrEx>
        <w:tblW w:w="100%" w:type="pct"/>
      </w:tblPrEx>
      <w:trPr>
        <w:cantSplit w:val="0"/>
        <w:trHeight w:hRule="auto" w:val="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11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1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3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6054"/>
      <w:gridCol w:w="3273"/>
      <w:gridCol w:w="6055"/>
    </w:tblGrid>
    <w:tr>
      <w:tblPrEx>
        <w:tblW w:w="100%" w:type="pct"/>
      </w:tblPrEx>
      <w:trPr>
        <w:trHeight w:val="240"/>
      </w:trPr>
      <w:tc>
        <w:tcPr>
          <w:tcMar>
            <w:start w:w="5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4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start w:w="5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tbl>
    <w:tblPr>
      <w:tblW w:w="100%" w:type="pct"/>
      <w:tblCellMar>
        <w:start w:w="5.4pt" w:type="dxa"/>
        <w:end w:w="5.4pt" w:type="dxa"/>
      </w:tblCellMar>
    </w:tblPr>
    <w:tblGrid>
      <w:gridCol w:w="4114"/>
      <w:gridCol w:w="2223"/>
      <w:gridCol w:w="4113"/>
    </w:tblGrid>
    <w:tr>
      <w:tblPrEx>
        <w:tblW w:w="100%" w:type="pct"/>
      </w:tblPrEx>
      <w:trPr>
        <w:cantSplit w:val="0"/>
        <w:trHeight w:val="160"/>
        <w:tblHeader w:val="0"/>
      </w:trPr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start"/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center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separate"/>
          </w:r>
          <w:r>
            <w:rPr>
              <w:rFonts w:ascii="Times New Roman" w:eastAsia="Times New Roman" w:hAnsi="Times New Roman" w:cs="Times New Roman"/>
              <w:b/>
              <w:noProof/>
              <w:vanish w:val="0"/>
              <w:color w:val="000000"/>
              <w:sz w:val="24"/>
              <w:szCs w:val="24"/>
              <w:lang w:val="en-US" w:eastAsia="en-US" w:bidi="ar-SA"/>
            </w:rPr>
            <w:t>7</w:t>
          </w: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24"/>
            </w:rPr>
            <w:fldChar w:fldCharType="end"/>
          </w:r>
        </w:p>
      </w:tc>
      <w:tc>
        <w:tcPr>
          <w:tcMar>
            <w:top w:w="0pt" w:type="dxa"/>
            <w:start w:w="5pt" w:type="dxa"/>
            <w:bottom w:w="4pt" w:type="dxa"/>
            <w:end w:w="5pt" w:type="dxa"/>
          </w:tcMar>
          <w:vAlign w:val="top"/>
        </w:tcPr>
        <w:p>
          <w:pPr>
            <w:jc w:val="end"/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</w:pPr>
          <w:r>
            <w:rPr>
              <w:rFonts w:ascii="Times New Roman" w:eastAsia="Times New Roman" w:hAnsi="Times New Roman" w:cs="Times New Roman"/>
              <w:b/>
              <w:vanish w:val="0"/>
              <w:color w:val="000000"/>
              <w:sz w:val="32"/>
            </w:rPr>
            <w:t>SL</w:t>
          </w:r>
        </w:p>
      </w:tc>
    </w:tr>
  </w:tbl>
  <w:p>
    <w:pPr>
      <w:rPr>
        <w:rFonts w:ascii="Times New Roman" w:eastAsia="Times New Roman" w:hAnsi="Times New Roman" w:cs="Times New Roman"/>
        <w:b/>
        <w:color w:val="000000"/>
      </w:rPr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p14="http://schemas.microsoft.com/office/word/2010/wordprocessingDrawing" xmlns:wp="http://purl.oclc.org/ooxml/drawingml/wordprocessingDrawing" xmlns:w10="urn:schemas-microsoft-com:office:word" xmlns:w="http://purl.oclc.org/ooxml/wordprocessingml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/>
</w:hdr>
</file>

<file path=word/settings.xml><?xml version="1.0" encoding="utf-8"?>
<w:settings xmlns:mc="http://schemas.openxmlformats.org/markup-compatibility/2006" xmlns:o="urn:schemas-microsoft-com:office:office" xmlns:r="http://purl.oclc.org/ooxml/officeDocument/relationships" xmlns:m="http://purl.oclc.org/ooxml/officeDocument/math" xmlns:v="urn:schemas-microsoft-com:vml" xmlns:w10="urn:schemas-microsoft-com:office:word" xmlns:w="http://purl.oclc.org/ooxml/wordprocessingml/main" xmlns:w14="http://schemas.microsoft.com/office/word/2010/wordml" xmlns:w15="http://schemas.microsoft.com/office/word/2012/wordml" xmlns:sl="http://schemas.openxmlformats.org/schemaLibrary/2006/main" mc:Ignorable="w14 w15">
  <w:zoom w:percent="100%"/>
  <w:proofState w:grammar="clean"/>
  <w:stylePaneFormatFilter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B3E"/>
    <w:rsid w:val="00A77B3E"/>
    <w:rsid w:val="00CA2A55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noProof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pt" w:type="dxa"/>
      <w:tblCellMar>
        <w:top w:w="0pt" w:type="dxa"/>
        <w:start w:w="5.4pt" w:type="dxa"/>
        <w:bottom w:w="0pt" w:type="dxa"/>
        <w:end w:w="5.4pt" w:type="dxa"/>
      </w:tblCellMar>
    </w:tblPr>
  </w:style>
  <w:style w:type="numbering" w:default="1" w:styleId="NoList">
    <w:name w:val="No List"/>
    <w:semiHidden/>
  </w:style>
  <w:style w:type="paragraph" w:styleId="TOC1">
    <w:name w:val="toc 1"/>
    <w:basedOn w:val="Normal"/>
    <w:next w:val="Normal"/>
    <w:autoRedefine/>
    <w:rsid w:val="00805BCE"/>
    <w:rPr>
      <w:b w:val="0"/>
      <w:caps w:val="0"/>
    </w:rPr>
  </w:style>
  <w:style w:type="character" w:styleId="Hyperlink">
    <w:name w:val="Hyperlink"/>
    <w:basedOn w:val="DefaultParagraphFont"/>
    <w:rsid w:val="00EF7B96"/>
    <w:rPr>
      <w:color w:val="0000FF"/>
      <w:u w:val="single"/>
    </w:rPr>
  </w:style>
  <w:style w:type="paragraph" w:styleId="TOC3">
    <w:name w:val="toc 3"/>
    <w:basedOn w:val="Normal"/>
    <w:next w:val="Normal"/>
    <w:autoRedefine/>
    <w:rsid w:val="00805BCE"/>
    <w:pPr>
      <w:ind w:start="480"/>
    </w:pPr>
    <w:rPr>
      <w:i w:val="0"/>
    </w:rPr>
  </w:style>
  <w:style w:type="paragraph" w:styleId="TOC4">
    <w:name w:val="toc 4"/>
    <w:basedOn w:val="Normal"/>
    <w:next w:val="Normal"/>
    <w:autoRedefine/>
    <w:rsid w:val="00805BCE"/>
    <w:pPr>
      <w:ind w:start="720"/>
    </w:pPr>
    <w:rPr>
      <w:i w:val="0"/>
    </w:rPr>
  </w:style>
</w:styles>
</file>

<file path=word/webSettings.xml><?xml version="1.0" encoding="utf-8"?>
<w:webSettings xmlns:mc="http://schemas.openxmlformats.org/markup-compatibility/2006" xmlns:r="http://purl.oclc.org/ooxml/officeDocument/relationships" xmlns:w="http://purl.oclc.org/ooxml/wordprocessingml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purl.oclc.org/ooxml/officeDocument/relationships/settings" Target="settings.xml" /><Relationship Id="rId10" Type="http://purl.oclc.org/ooxml/officeDocument/relationships/header" Target="header4.xml" /><Relationship Id="rId11" Type="http://purl.oclc.org/ooxml/officeDocument/relationships/header" Target="header5.xml" /><Relationship Id="rId12" Type="http://purl.oclc.org/ooxml/officeDocument/relationships/footer" Target="footer4.xml" /><Relationship Id="rId13" Type="http://purl.oclc.org/ooxml/officeDocument/relationships/footer" Target="footer5.xml" /><Relationship Id="rId14" Type="http://purl.oclc.org/ooxml/officeDocument/relationships/header" Target="header6.xml" /><Relationship Id="rId15" Type="http://purl.oclc.org/ooxml/officeDocument/relationships/footer" Target="footer6.xml" /><Relationship Id="rId16" Type="http://purl.oclc.org/ooxml/officeDocument/relationships/header" Target="header7.xml" /><Relationship Id="rId17" Type="http://purl.oclc.org/ooxml/officeDocument/relationships/header" Target="header8.xml" /><Relationship Id="rId18" Type="http://purl.oclc.org/ooxml/officeDocument/relationships/footer" Target="footer7.xml" /><Relationship Id="rId19" Type="http://purl.oclc.org/ooxml/officeDocument/relationships/footer" Target="footer8.xml" /><Relationship Id="rId2" Type="http://purl.oclc.org/ooxml/officeDocument/relationships/webSettings" Target="webSettings.xml" /><Relationship Id="rId20" Type="http://purl.oclc.org/ooxml/officeDocument/relationships/header" Target="header9.xml" /><Relationship Id="rId21" Type="http://purl.oclc.org/ooxml/officeDocument/relationships/footer" Target="footer9.xml" /><Relationship Id="rId22" Type="http://purl.oclc.org/ooxml/officeDocument/relationships/header" Target="header10.xml" /><Relationship Id="rId23" Type="http://purl.oclc.org/ooxml/officeDocument/relationships/header" Target="header11.xml" /><Relationship Id="rId24" Type="http://purl.oclc.org/ooxml/officeDocument/relationships/footer" Target="footer10.xml" /><Relationship Id="rId25" Type="http://purl.oclc.org/ooxml/officeDocument/relationships/footer" Target="footer11.xml" /><Relationship Id="rId26" Type="http://purl.oclc.org/ooxml/officeDocument/relationships/header" Target="header12.xml" /><Relationship Id="rId27" Type="http://purl.oclc.org/ooxml/officeDocument/relationships/footer" Target="footer12.xml" /><Relationship Id="rId28" Type="http://purl.oclc.org/ooxml/officeDocument/relationships/header" Target="header13.xml" /><Relationship Id="rId29" Type="http://purl.oclc.org/ooxml/officeDocument/relationships/header" Target="header14.xml" /><Relationship Id="rId3" Type="http://purl.oclc.org/ooxml/officeDocument/relationships/fontTable" Target="fontTable.xml" /><Relationship Id="rId30" Type="http://purl.oclc.org/ooxml/officeDocument/relationships/footer" Target="footer13.xml" /><Relationship Id="rId31" Type="http://purl.oclc.org/ooxml/officeDocument/relationships/footer" Target="footer14.xml" /><Relationship Id="rId32" Type="http://purl.oclc.org/ooxml/officeDocument/relationships/header" Target="header15.xml" /><Relationship Id="rId33" Type="http://purl.oclc.org/ooxml/officeDocument/relationships/footer" Target="footer15.xml" /><Relationship Id="rId34" Type="http://purl.oclc.org/ooxml/officeDocument/relationships/theme" Target="theme/theme1.xml" /><Relationship Id="rId35" Type="http://purl.oclc.org/ooxml/officeDocument/relationships/styles" Target="styles.xml" /><Relationship Id="rId4" Type="http://purl.oclc.org/ooxml/officeDocument/relationships/header" Target="header1.xml" /><Relationship Id="rId5" Type="http://purl.oclc.org/ooxml/officeDocument/relationships/header" Target="header2.xml" /><Relationship Id="rId6" Type="http://purl.oclc.org/ooxml/officeDocument/relationships/footer" Target="footer1.xml" /><Relationship Id="rId7" Type="http://purl.oclc.org/ooxml/officeDocument/relationships/footer" Target="footer2.xml" /><Relationship Id="rId8" Type="http://purl.oclc.org/ooxml/officeDocument/relationships/header" Target="header3.xml" /><Relationship Id="rId9" Type="http://purl.oclc.org/ooxml/officeDocument/relationships/footer" Target="footer3.xml" /></Relationships>
</file>

<file path=word/theme/theme1.xml><?xml version="1.0" encoding="utf-8"?>
<a:theme xmlns:a="http://purl.oclc.org/ooxml/drawingml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Tibt" typeface="Microsoft Himalaya"/>
        <a:font script="Khmr" typeface="MoolBoran"/>
        <a:font script="Beng" typeface="Vrinda"/>
        <a:font script="Taml" typeface="Latha"/>
        <a:font script="Hebr" typeface="Times New Roman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Angsana New"/>
        <a:font script="Cans" typeface="Euphemia"/>
        <a:font script="Mong" typeface="Mongolian Baiti"/>
        <a:font script="Knda" typeface="Tunga"/>
        <a:font script="Viet" typeface="Times New Roman"/>
        <a:font script="Deva" typeface="Mangal"/>
        <a:font script="Arab" typeface="Times New Roman"/>
        <a:font script="Orya" typeface="Kalinga"/>
        <a:font script="Jpan" typeface="ＭＳ ゴシック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ajorFont>
      <a:minorFont>
        <a:latin typeface="Calibri"/>
        <a:ea typeface=""/>
        <a:cs typeface=""/>
        <a:font script="Tibt" typeface="Microsoft Himalaya"/>
        <a:font script="Khmr" typeface="DaunPenh"/>
        <a:font script="Beng" typeface="Vrinda"/>
        <a:font script="Taml" typeface="Latha"/>
        <a:font script="Hebr" typeface="Arial"/>
        <a:font script="Syrc" typeface="Estrangelo Edessa"/>
        <a:font script="Laoo" typeface="DokChampa"/>
        <a:font script="Cher" typeface="Plantagenet Cherokee"/>
        <a:font script="Thaa" typeface="MV Boli"/>
        <a:font script="Sinh" typeface="Iskoola Pota"/>
        <a:font script="Thai" typeface="Cordia New"/>
        <a:font script="Cans" typeface="Euphemia"/>
        <a:font script="Mong" typeface="Mongolian Baiti"/>
        <a:font script="Knda" typeface="Tunga"/>
        <a:font script="Viet" typeface="Arial"/>
        <a:font script="Deva" typeface="Mangal"/>
        <a:font script="Arab" typeface="Arial"/>
        <a:font script="Orya" typeface="Kalinga"/>
        <a:font script="Jpan" typeface="ＭＳ 明朝"/>
        <a:font script="Hang" typeface="맑은 고딕"/>
        <a:font script="Ethi" typeface="Nyala"/>
        <a:font script="Guru" typeface="Raavi"/>
        <a:font script="Gujr" typeface="Shruti"/>
        <a:font script="Mlym" typeface="Kartika"/>
        <a:font script="Yiii" typeface="Microsoft Yi Baiti"/>
        <a:font script="Hans" typeface="宋体"/>
        <a:font script="Hant" typeface="新細明體"/>
        <a:font script="Telu" typeface="Gautami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%">
              <a:schemeClr val="phClr">
                <a:tint val="50%"/>
                <a:satMod val="300%"/>
              </a:schemeClr>
            </a:gs>
            <a:gs pos="35%">
              <a:schemeClr val="phClr">
                <a:tint val="37%"/>
                <a:satMod val="300%"/>
              </a:schemeClr>
            </a:gs>
            <a:gs pos="100%">
              <a:schemeClr val="phClr">
                <a:tint val="15%"/>
                <a:satMod val="350%"/>
              </a:schemeClr>
            </a:gs>
          </a:gsLst>
          <a:lin ang="16200000" scaled="1"/>
        </a:gradFill>
        <a:gradFill rotWithShape="1">
          <a:gsLst>
            <a:gs pos="0%">
              <a:schemeClr val="phClr">
                <a:shade val="51%"/>
                <a:satMod val="130%"/>
              </a:schemeClr>
            </a:gs>
            <a:gs pos="80%">
              <a:schemeClr val="phClr">
                <a:shade val="93%"/>
                <a:satMod val="130%"/>
              </a:schemeClr>
            </a:gs>
            <a:gs pos="100%">
              <a:schemeClr val="phClr">
                <a:shade val="94%"/>
                <a:satMod val="135%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%"/>
              <a:satMod val="105%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sx="100%" sy="100%" kx="0" ky="0" algn="b" rotWithShape="0">
              <a:srgbClr val="000000">
                <a:alpha val="38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</a:effectStyle>
        <a:effectStyle>
          <a:effectLst>
            <a:outerShdw blurRad="40000" dist="23000" dir="5400000" sx="100%" sy="100%" kx="0" ky="0" algn="b" rotWithShape="0">
              <a:srgbClr val="000000">
                <a:alpha val="35%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 prst="circle"/>
          </a:sp3d>
        </a:effectStyle>
      </a:effectStyleLst>
      <a:bgFillStyleLst>
        <a:solidFill>
          <a:schemeClr val="phClr"/>
        </a:solidFill>
        <a:gradFill rotWithShape="1">
          <a:gsLst>
            <a:gs pos="0%">
              <a:schemeClr val="phClr">
                <a:tint val="40%"/>
                <a:satMod val="350%"/>
              </a:schemeClr>
            </a:gs>
            <a:gs pos="40%">
              <a:schemeClr val="phClr">
                <a:tint val="45%"/>
                <a:shade val="99%"/>
                <a:satMod val="350%"/>
              </a:schemeClr>
            </a:gs>
            <a:gs pos="100%">
              <a:schemeClr val="phClr">
                <a:shade val="20%"/>
                <a:satMod val="255%"/>
              </a:schemeClr>
            </a:gs>
          </a:gsLst>
          <a:path path="circle">
            <a:fillToRect l="50%" t="-80%" r="50%" b="180%"/>
          </a:path>
        </a:gradFill>
        <a:gradFill rotWithShape="1">
          <a:gsLst>
            <a:gs pos="0%">
              <a:schemeClr val="phClr">
                <a:tint val="80%"/>
                <a:satMod val="300%"/>
              </a:schemeClr>
            </a:gs>
            <a:gs pos="100%">
              <a:schemeClr val="phClr">
                <a:shade val="30%"/>
                <a:satMod val="200%"/>
              </a:schemeClr>
            </a:gs>
          </a:gsLst>
          <a:path path="circle">
            <a:fillToRect l="50%" t="50%" r="50%" b="50%"/>
          </a:path>
        </a:gradFill>
      </a:bgFillStyleLst>
    </a:fmtScheme>
  </a:themeElements>
  <a:objectDefaults/>
  <a:extraClrSchemeLst xmlns:a="http://purl.oclc.org/ooxml/drawingml/main"/>
</a:theme>
</file>

<file path=docProps/app.xml><?xml version="1.0" encoding="utf-8"?>
<Properties xmlns="http://purl.oclc.org/ooxml/officeDocument/extendedProperties" xmlns:vt="http://purl.oclc.org/ooxml/officeDocument/docPropsVTypes">
  <Template>Normal.dot</Template>
  <TotalTime>0</TotalTime>
  <Pages>11</Pages>
  <Words>0</Words>
  <Characters>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</cp:coreProperties>
</file>