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purl.oclc.org/ooxml/officeDocument/relationships/officeDocument" Target="word/document.xml" /><Relationship Id="rId2" Type="http://purl.oclc.org/ooxml/officeDocument/relationships/extended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 w:conformance="strict">
  <!-- Generated by Aspose.Words for Java 25.10.0 -->
  <w:body>
    <w:p w:rsidR="00A77B3E">
      <w:pPr>
        <w:jc w:val="start"/>
      </w:pP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  <w:t>OBRAČUN ZA OBRAČUNSKO LETO</w:t>
      </w: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  <w:t>1. julij 2024–30. junij 2025</w:t>
      </w:r>
    </w:p>
    <w:p w:rsidR="00A77B3E">
      <w:pPr>
        <w:jc w:val="start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6644"/>
        <w:gridCol w:w="3806"/>
      </w:tblGrid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Zadevni sklad (skladi)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IUMV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Sklad(-i) iz obračunov sprejet(-i) z delnim sprejetjem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CCI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2021SI65BVPR001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Naslov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Programme Slovenia - BMVI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Številka sklepa Komisije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C(2024)8206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Datum sklepa Komisije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19. nov. 2024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Različica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2024.0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Datum predložitve obračunov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11. feb. 2026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Nacionalna referenca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RI 1/2024/2025 IUMV</w:t>
            </w:r>
          </w:p>
        </w:tc>
      </w:tr>
    </w:tbl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br w:type="page"/>
      </w:r>
      <w:r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  <w:t>Kazalo</w:t>
      </w:r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</w:pPr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begin"/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instrText>TOC \o "1-9" \z \u \h</w:instrText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separate"/>
      </w:r>
      <w:hyperlink w:anchor="_Toc256000019" w:history="1">
        <w:r w:rsidR="00A77B3E">
          <w:rPr>
            <w:rStyle w:val="Hyperlink"/>
            <w:rFonts w:ascii="Times New Roman" w:hAnsi="Times New Roman" w:cs="Times New Roman"/>
          </w:rPr>
          <w:t>OBRAČUNI</w:t>
        </w:r>
        <w:r>
          <w:tab/>
        </w:r>
        <w:r>
          <w:fldChar w:fldCharType="begin"/>
        </w:r>
        <w:r>
          <w:instrText xml:space="preserve"> PAGEREF _Toc256000019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20" w:history="1">
        <w:r w:rsidR="00A77B3E">
          <w:rPr>
            <w:rStyle w:val="Hyperlink"/>
            <w:rFonts w:ascii="TimesNewRoman" w:eastAsia="TimesNewRoman" w:hAnsi="TimesNewRoman" w:cs="TimesNewRoman"/>
          </w:rPr>
          <w:t>IZJAVE</w:t>
        </w:r>
        <w:r>
          <w:tab/>
        </w:r>
        <w:r>
          <w:fldChar w:fldCharType="begin"/>
        </w:r>
        <w:r>
          <w:instrText xml:space="preserve"> PAGEREF _Toc256000020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21" w:history="1">
        <w:r w:rsidR="00A77B3E">
          <w:rPr>
            <w:rStyle w:val="Hyperlink"/>
            <w:rFonts w:ascii="TimesNewRoman" w:eastAsia="TimesNewRoman" w:hAnsi="TimesNewRoman" w:cs="TimesNewRoman"/>
          </w:rPr>
          <w:t>Dodatek 1</w:t>
        </w:r>
        <w:r>
          <w:tab/>
        </w:r>
        <w:r>
          <w:fldChar w:fldCharType="begin"/>
        </w:r>
        <w:r>
          <w:instrText xml:space="preserve"> PAGEREF _Toc256000021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22" w:history="1">
        <w:r w:rsidR="00A77B3E">
          <w:rPr>
            <w:rStyle w:val="Hyperlink"/>
            <w:rFonts w:ascii="TimesNewRoman" w:eastAsia="TimesNewRoman" w:hAnsi="TimesNewRoman" w:cs="TimesNewRoman"/>
          </w:rPr>
          <w:t>Dodatek 2</w:t>
        </w:r>
        <w:r>
          <w:tab/>
        </w:r>
        <w:r>
          <w:fldChar w:fldCharType="begin"/>
        </w:r>
        <w:r>
          <w:instrText xml:space="preserve"> PAGEREF _Toc256000022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23" w:history="1">
        <w:r w:rsidR="00A77B3E">
          <w:rPr>
            <w:rStyle w:val="Hyperlink"/>
            <w:rFonts w:ascii="TimesNewRoman" w:eastAsia="TimesNewRoman" w:hAnsi="TimesNewRoman" w:cs="TimesNewRoman"/>
          </w:rPr>
          <w:t>Dodatek 3</w:t>
        </w:r>
        <w:r>
          <w:tab/>
        </w:r>
        <w:r>
          <w:fldChar w:fldCharType="begin"/>
        </w:r>
        <w:r>
          <w:instrText xml:space="preserve"> PAGEREF _Toc256000023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24" w:history="1">
        <w:r w:rsidR="00A77B3E">
          <w:rPr>
            <w:rStyle w:val="Hyperlink"/>
            <w:rFonts w:ascii="TimesNewRoman" w:eastAsia="TimesNewRoman" w:hAnsi="TimesNewRoman" w:cs="TimesNewRoman"/>
          </w:rPr>
          <w:t>Dodatek 4</w:t>
        </w:r>
        <w:r>
          <w:tab/>
        </w:r>
        <w:r>
          <w:fldChar w:fldCharType="begin"/>
        </w:r>
        <w:r>
          <w:instrText xml:space="preserve"> PAGEREF _Toc256000024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25" w:history="1">
        <w:r w:rsidR="00A77B3E">
          <w:rPr>
            <w:rStyle w:val="Hyperlink"/>
            <w:rFonts w:ascii="TimesNewRoman" w:eastAsia="TimesNewRoman" w:hAnsi="TimesNewRoman" w:cs="TimesNewRoman"/>
          </w:rPr>
          <w:t>Dodatek 6</w:t>
        </w:r>
        <w:r>
          <w:tab/>
        </w:r>
        <w:r>
          <w:fldChar w:fldCharType="begin"/>
        </w:r>
        <w:r>
          <w:instrText xml:space="preserve"> PAGEREF _Toc256000025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26" w:history="1">
        <w:r w:rsidR="00A77B3E">
          <w:rPr>
            <w:rStyle w:val="Hyperlink"/>
            <w:rFonts w:ascii="TimesNewRoman" w:eastAsia="TimesNewRoman" w:hAnsi="TimesNewRoman" w:cs="TimesNewRoman"/>
          </w:rPr>
          <w:t>Dodatek 7</w:t>
        </w:r>
        <w:r>
          <w:tab/>
        </w:r>
        <w:r>
          <w:fldChar w:fldCharType="begin"/>
        </w:r>
        <w:r>
          <w:instrText xml:space="preserve"> PAGEREF _Toc256000026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27" w:history="1">
        <w:r w:rsidR="00A77B3E">
          <w:rPr>
            <w:rStyle w:val="Hyperlink"/>
            <w:rFonts w:ascii="Times New Roman" w:hAnsi="Times New Roman" w:cs="Times New Roman"/>
          </w:rPr>
          <w:t>LETNO POROČILO O NADZORU</w:t>
        </w:r>
        <w:r>
          <w:tab/>
        </w:r>
        <w:r>
          <w:fldChar w:fldCharType="begin"/>
        </w:r>
        <w:r>
          <w:instrText xml:space="preserve"> PAGEREF _Toc256000027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28" w:history="1">
        <w:r w:rsidR="00A77B3E">
          <w:rPr>
            <w:rStyle w:val="Hyperlink"/>
            <w:rFonts w:ascii="Times New Roman" w:hAnsi="Times New Roman" w:cs="Times New Roman"/>
          </w:rPr>
          <w:t>IZJAVA O UPRAVLJANJU</w:t>
        </w:r>
        <w:r>
          <w:tab/>
        </w:r>
        <w:r>
          <w:fldChar w:fldCharType="begin"/>
        </w:r>
        <w:r>
          <w:instrText xml:space="preserve"> PAGEREF _Toc256000028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29" w:history="1">
        <w:r w:rsidR="00A77B3E">
          <w:rPr>
            <w:rStyle w:val="Hyperlink"/>
            <w:rFonts w:ascii="Times New Roman" w:hAnsi="Times New Roman" w:cs="Times New Roman"/>
          </w:rPr>
          <w:t>REVIZIJSKO MNENJE</w:t>
        </w:r>
        <w:r>
          <w:tab/>
        </w:r>
        <w:r>
          <w:fldChar w:fldCharType="begin"/>
        </w:r>
        <w:r>
          <w:instrText xml:space="preserve"> PAGEREF _Toc256000029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30" w:history="1">
        <w:r w:rsidR="00A77B3E">
          <w:rPr>
            <w:rStyle w:val="Hyperlink"/>
            <w:rFonts w:ascii="TimesNewRoman" w:eastAsia="TimesNewRoman" w:hAnsi="TimesNewRoman" w:cs="TimesNewRoman"/>
          </w:rPr>
          <w:t>1. UVOD</w:t>
        </w:r>
        <w:r>
          <w:tab/>
        </w:r>
        <w:r>
          <w:fldChar w:fldCharType="begin"/>
        </w:r>
        <w:r>
          <w:instrText xml:space="preserve"> PAGEREF _Toc256000030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31" w:history="1">
        <w:r w:rsidR="00A77B3E">
          <w:rPr>
            <w:rStyle w:val="Hyperlink"/>
            <w:rFonts w:ascii="TimesNewRoman" w:eastAsia="TimesNewRoman" w:hAnsi="TimesNewRoman" w:cs="TimesNewRoman"/>
          </w:rPr>
          <w:t>2. ODGOVORNOSTI ORGANA UPRAVLJANJA</w:t>
        </w:r>
        <w:r>
          <w:tab/>
        </w:r>
        <w:r>
          <w:fldChar w:fldCharType="begin"/>
        </w:r>
        <w:r>
          <w:instrText xml:space="preserve"> PAGEREF _Toc256000031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32" w:history="1">
        <w:r w:rsidR="00A77B3E">
          <w:rPr>
            <w:rStyle w:val="Hyperlink"/>
            <w:rFonts w:ascii="TimesNewRoman" w:eastAsia="TimesNewRoman" w:hAnsi="TimesNewRoman" w:cs="TimesNewRoman"/>
          </w:rPr>
          <w:t>3. ODGOVORNOSTI REVIZIJSKEGA ORGANA</w:t>
        </w:r>
        <w:r>
          <w:tab/>
        </w:r>
        <w:r>
          <w:fldChar w:fldCharType="begin"/>
        </w:r>
        <w:r>
          <w:instrText xml:space="preserve"> PAGEREF _Toc256000032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33" w:history="1">
        <w:r w:rsidR="00A77B3E">
          <w:rPr>
            <w:rStyle w:val="Hyperlink"/>
            <w:rFonts w:ascii="TimesNewRoman" w:eastAsia="TimesNewRoman" w:hAnsi="TimesNewRoman" w:cs="TimesNewRoman"/>
          </w:rPr>
          <w:t>4. OMEJITEV OBSEGA</w:t>
        </w:r>
        <w:r>
          <w:tab/>
        </w:r>
        <w:r>
          <w:fldChar w:fldCharType="begin"/>
        </w:r>
        <w:r>
          <w:instrText xml:space="preserve"> PAGEREF _Toc256000033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34" w:history="1">
        <w:r w:rsidR="00A77B3E">
          <w:rPr>
            <w:rStyle w:val="Hyperlink"/>
            <w:rFonts w:ascii="TimesNewRoman" w:eastAsia="TimesNewRoman" w:hAnsi="TimesNewRoman" w:cs="TimesNewRoman"/>
          </w:rPr>
          <w:t>5. MNENJE</w:t>
        </w:r>
        <w:r>
          <w:tab/>
        </w:r>
        <w:r>
          <w:fldChar w:fldCharType="begin"/>
        </w:r>
        <w:r>
          <w:instrText xml:space="preserve"> PAGEREF _Toc256000034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3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35" w:history="1">
        <w:r w:rsidR="00A77B3E">
          <w:rPr>
            <w:rStyle w:val="Hyperlink"/>
            <w:rFonts w:ascii="TimesNewRoman" w:eastAsia="TimesNewRoman" w:hAnsi="TimesNewRoman" w:cs="TimesNewRoman"/>
          </w:rPr>
          <w:t>Mnenje brez pridržka</w:t>
        </w:r>
        <w:r>
          <w:tab/>
        </w:r>
        <w:r>
          <w:fldChar w:fldCharType="begin"/>
        </w:r>
        <w:r>
          <w:instrText xml:space="preserve"> PAGEREF _Toc256000035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36" w:history="1">
        <w:r w:rsidR="00A77B3E">
          <w:rPr>
            <w:rStyle w:val="Hyperlink"/>
            <w:rFonts w:ascii="TimesNewRoman" w:eastAsia="TimesNewRoman" w:hAnsi="TimesNewRoman" w:cs="TimesNewRoman"/>
          </w:rPr>
          <w:t>POUDARJENA ZADEVA</w:t>
        </w:r>
        <w:r>
          <w:tab/>
        </w:r>
        <w:r>
          <w:fldChar w:fldCharType="begin"/>
        </w:r>
        <w:r>
          <w:instrText xml:space="preserve"> PAGEREF _Toc256000036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37" w:history="1">
        <w:r w:rsidR="00A77B3E">
          <w:rPr>
            <w:rStyle w:val="Hyperlink"/>
            <w:rFonts w:ascii="TimesNewRoman" w:eastAsia="TimesNewRoman" w:hAnsi="TimesNewRoman" w:cs="TimesNewRoman"/>
          </w:rPr>
          <w:t>DOKUMENTI</w:t>
        </w:r>
        <w:r>
          <w:tab/>
        </w:r>
        <w:r>
          <w:fldChar w:fldCharType="begin"/>
        </w:r>
        <w:r>
          <w:instrText xml:space="preserve"> PAGEREF _Toc256000037 \h </w:instrText>
        </w:r>
        <w:r>
          <w:fldChar w:fldCharType="separate"/>
        </w:r>
        <w:r>
          <w:t>19</w:t>
        </w:r>
        <w:r>
          <w:fldChar w:fldCharType="end"/>
        </w:r>
      </w:hyperlink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720" w:right="936" w:bottom="864" w:left="720" w:header="0" w:footer="72" w:gutter="0"/>
          <w:cols w:space="708"/>
          <w:noEndnote/>
          <w:docGrid w:linePitch="360"/>
        </w:sect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end"/>
      </w: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0" w:name="_Toc256000019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OBRAČUNI</w:t>
      </w:r>
      <w:bookmarkEnd w:id="0"/>
    </w:p>
    <w:p w:rsidR="00A77B3E">
      <w:pPr>
        <w:pStyle w:val="Heading2"/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</w:pPr>
      <w:bookmarkStart w:id="1" w:name="_Toc256000020"/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>IZJAVE</w:t>
      </w:r>
      <w:bookmarkEnd w:id="1"/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12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>Organ upravljanja/telo, ki opravlja računovodsko funkcijo, pristojno za program, potrjuje, da: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12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>(1) so obračuni popolni, natančni in verodostojni;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12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>(2) so določbe točk (b) in (c) člena 76(1) upoštevane.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>Zastopnik organa upravljanja/telesa, ki opravlja računovodsko funkcijo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12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10370"/>
      </w:tblGrid>
      <w:tr>
        <w:tblPrEx>
          <w:tblW w:w="100%" w:type="pct"/>
        </w:tblPrEx>
        <w:trPr>
          <w:cantSplit w:val="0"/>
          <w:trHeight w:val="240"/>
        </w:trPr>
        <w:tc>
          <w:tcPr>
            <w:tcW w:w="33.34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mag. Evelyn Filip</w:t>
            </w:r>
          </w:p>
        </w:tc>
      </w:tr>
    </w:tbl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0"/>
        </w:rPr>
      </w:pP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>Organ upravljanja, pristojen za zadevni program, potrjuje, da: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>(1) so izdatki, vneseni v obračune, skladni z veljavnim pravom ter so zakoniti in pravilni;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>(2) so upoštevane določbe uredb za posamezne sklade, člena 63(5) finančne uredbe ter točk (a) do (e) člena 74(1) te uredbe;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>(3) so upoštevane določbe člena 82 glede dostopnosti dokumentov.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>Zastopnik organa upravljanja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12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10370"/>
      </w:tblGrid>
      <w:tr>
        <w:tblPrEx>
          <w:tblW w:w="100%" w:type="pct"/>
        </w:tblPrEx>
        <w:trPr>
          <w:cantSplit w:val="0"/>
          <w:trHeight w:val="240"/>
        </w:trPr>
        <w:tc>
          <w:tcPr>
            <w:tcW w:w="33.34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Tina Heferle</w:t>
            </w:r>
          </w:p>
        </w:tc>
      </w:tr>
    </w:tbl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12"/>
        </w:rPr>
      </w:pP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0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>Organ upravljanja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12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 xml:space="preserve">Datum: </w:t>
      </w: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>14. jan. 2026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720" w:right="936" w:bottom="864" w:left="720" w:header="0" w:footer="72" w:gutter="0"/>
          <w:cols w:space="708"/>
          <w:noEndnote/>
          <w:docGrid w:linePitch="360"/>
        </w:sect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 xml:space="preserve">Elektronski podpis: </w:t>
      </w: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>Filip, Evelyn</w:t>
      </w:r>
    </w:p>
    <w:p w:rsidR="00A77B3E">
      <w:pPr>
        <w:pStyle w:val="Heading2"/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</w:pPr>
      <w:bookmarkStart w:id="2" w:name="_Toc256000021"/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>Dodatek 1</w:t>
      </w:r>
      <w:bookmarkEnd w:id="2"/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12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>Zneski, vneseni v računovodske sisteme računovodske funkcije – točka (a) člena 98(3)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>Ta tabela ne vključuje odhodkov, povezanih s specifičnimi cilji, za katere omogočitveni pogoji niso izpolnjeni, razen operacij, ki prispevajo k izpolnjevanju omogočitvenih pogojev.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12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2202"/>
        <w:gridCol w:w="1425"/>
        <w:gridCol w:w="4205"/>
        <w:gridCol w:w="2538"/>
      </w:tblGrid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Specifični cilj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Vrsta ukrepa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Skupni znesek upravičenih odhodkov, ki so bili vneseni v računovodske sisteme telesa, ki opravlja računovodsko funkcijo, in vključeni v zahtevke za plačilo za obračunsko leto, v skladu s točko (a) člena 98(3)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Skupni znesek ustreznega javnega prispevka, ki je bil ali bo izveden v skladu s točko (a) člena 98(3)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(A)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(B)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1. Evropsko integrirano upravljanje meja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1. Redni ukrepi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321.137,42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321.137,42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1. Evropsko integrirano upravljanje meja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3. Ukrepi iz Priloge IV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34.093,03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34.093,03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1. Evropsko integrirano upravljanje meja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4. Operativna podpora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2.171.404,53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2.171.404,53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1. Evropsko integrirano upravljanje meja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7. Uredba ETIAS, člen 85(2)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1. Evropsko integrirano upravljanje meja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8. Uredba ETIAS, člen 85(3)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2. Skupna vizumska politika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1. Redni ukrepi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1.557.476,19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1.557.476,19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2. Skupna vizumska politika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3. Ukrepi iz Priloge IV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2. Skupna vizumska politika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4. Operativna podpora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1.110.861,48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1.110.861,48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TA.36(5). Tehnična pomoč – pavšalna stopnja (člen 36(5) uredbe o skupnih določbah)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283.314,59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24"/>
              </w:rPr>
              <w:t>Skupaj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24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24"/>
              </w:rPr>
              <w:t>5.478.287,24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24"/>
              </w:rPr>
              <w:t>5.194.972,65</w:t>
            </w: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720" w:right="936" w:bottom="864" w:left="720" w:header="0" w:footer="72" w:gutter="0"/>
          <w:cols w:space="708"/>
          <w:noEndnote/>
          <w:docGrid w:linePitch="360"/>
        </w:sectPr>
      </w:pPr>
    </w:p>
    <w:p w:rsidR="00A77B3E">
      <w:pPr>
        <w:pStyle w:val="Heading2"/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</w:pPr>
      <w:bookmarkStart w:id="3" w:name="_Toc256000022"/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>Dodatek 2</w:t>
      </w:r>
      <w:bookmarkEnd w:id="3"/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>Zneski, ki so bili med obračunskim letom umaknjeni – točka (b) člena 98(3) in člen 98(7)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12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3997"/>
        <w:gridCol w:w="1852"/>
        <w:gridCol w:w="2921"/>
        <w:gridCol w:w="1600"/>
      </w:tblGrid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Specifični cilj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Vrsta ukrepa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Umaknjeni zneski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Skupni znesek odhodkov, vključenih v zahtevke za plačilo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Ustrezni javni prispevek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(A)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(B)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1. Evropsko integrirano upravljanje meja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1. Redni ukrepi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1. Evropsko integrirano upravljanje meja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3. Ukrepi iz Priloge IV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1. Evropsko integrirano upravljanje meja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4. Operativna podpora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1. Evropsko integrirano upravljanje meja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7. Uredba ETIAS, člen 85(2)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1. Evropsko integrirano upravljanje meja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8. Uredba ETIAS, člen 85(3)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2. Skupna vizumska politika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1. Redni ukrepi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2. Skupna vizumska politika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3. Ukrepi iz Priloge IV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2. Skupna vizumska politika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4. Operativna podpora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TA.36(5). Tehnična pomoč – pavšalna stopnja (člen 36(5) uredbe o skupnih določbah)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24"/>
              </w:rPr>
              <w:t>Skupaj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24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24"/>
              </w:rPr>
              <w:t>0,00</w:t>
            </w:r>
          </w:p>
        </w:tc>
      </w:tr>
    </w:tbl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1906" w:h="16838"/>
          <w:pgMar w:top="720" w:right="936" w:bottom="864" w:left="720" w:header="0" w:footer="72" w:gutter="0"/>
          <w:cols w:space="708"/>
          <w:noEndnote/>
          <w:docGrid w:linePitch="360"/>
        </w:sectPr>
      </w:pP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>Razčlenitev zneskov, ki so bili med obračunskim letom umaknjeni, po obračunskem letu izjave o ustreznih odhodkih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12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5862"/>
        <w:gridCol w:w="2911"/>
        <w:gridCol w:w="1597"/>
      </w:tblGrid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Umaknjeni zneski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Skupni znesek odhodkov, vključenih v zahtevke za plačilo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Ustrezni javni prispevek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(A)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(B)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V zvezi z obračunskim letom, ki se zaključi 30. junija  2025 (Skupaj)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 xml:space="preserve">Od tega zneski, ki so bili popravljeni na podlagi revizij revizijskega organa 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Od tega zneski, ki so bili popravljeni na podlagi revizij Evropske komisije in Evropskega računskega sodišča ter preiskav urada OLAF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V zvezi z obračunskim letom, ki se zaključi 30. junija  2024 (Skupaj)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 xml:space="preserve">Od tega zneski, ki so bili popravljeni na podlagi revizij revizijskega organa 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Od tega zneski, ki so bili popravljeni na podlagi revizij Evropske komisije in Evropskega računskega sodišča ter preiskav urada OLAF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V zvezi z obračunskim letom, ki se zaključi 30. junija  2023 (Skupaj)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 xml:space="preserve">Od tega zneski, ki so bili popravljeni na podlagi revizij revizijskega organa 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Od tega zneski, ki so bili popravljeni na podlagi revizij Evropske komisije in Evropskega računskega sodišča ter preiskav urada OLAF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V zvezi z obračunskim letom, ki se zaključi 30. junija  2022 (Skupaj)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 xml:space="preserve">Od tega zneski, ki so bili popravljeni na podlagi revizij revizijskega organa 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Od tega zneski, ki so bili popravljeni na podlagi revizij Evropske komisije in Evropskega računskega sodišča ter preiskav urada OLAF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sectPr>
          <w:type w:val="nextPage"/>
          <w:pgSz w:w="11906" w:h="16838"/>
          <w:pgMar w:top="720" w:right="936" w:bottom="864" w:left="720" w:header="0" w:footer="72" w:gutter="0"/>
          <w:cols w:space="708"/>
          <w:noEndnote/>
          <w:docGrid w:linePitch="360"/>
        </w:sectPr>
      </w:pPr>
    </w:p>
    <w:p w:rsidR="00A77B3E">
      <w:pPr>
        <w:pStyle w:val="Heading2"/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</w:pPr>
      <w:bookmarkStart w:id="4" w:name="_Toc256000023"/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>Dodatek 3</w:t>
      </w:r>
      <w:bookmarkEnd w:id="4"/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>Zneski prispevkov iz programa, plačanih finančnim instrumentom (kumulativno od začetka programa) – točka (c) člena 98(3)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12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1573"/>
        <w:gridCol w:w="1411"/>
        <w:gridCol w:w="911"/>
        <w:gridCol w:w="4364"/>
        <w:gridCol w:w="540"/>
        <w:gridCol w:w="1571"/>
      </w:tblGrid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Specifični cilj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Vrsta ukrepa</w:t>
            </w:r>
          </w:p>
        </w:tc>
        <w:tc>
          <w:tcPr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Znesek, vključen v prvi zahtevek za plačilo in plačan finančnemu instrumentu v skladu s členom 92 (znaša lahko največ 30 % skupnega zneska prispevkov iz programa, ki so v skladu z ustreznim sporazumom o financiranju odobreni za finančni instrument/finančne instrumente)</w:t>
            </w:r>
          </w:p>
        </w:tc>
        <w:tc>
          <w:tcPr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Ustrezni obračunani znesek iz člena 92(3)</w:t>
            </w: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superscript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Skupni znesek prispevkov iz programa, plačanih finančnim instrumentom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Skupni znesek ustreznega javnega prispevka</w:t>
            </w: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Skupni znesek prispevkov iz programa v skladu s točko (b) člena 92(2)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Skupni znesek ustreznega javnega prispevka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(A)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(B)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(C)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(D)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1. Evropsko integrirano upravljanje meja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1. Redni ukrepi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1. Evropsko integrirano upravljanje meja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3. Ukrepi iz Priloge IV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1. Evropsko integrirano upravljanje meja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4. Operativna podpora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1. Evropsko integrirano upravljanje meja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7. Uredba ETIAS, člen 85(2)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1. Evropsko integrirano upravljanje meja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8. Uredba ETIAS, člen 85(3)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2. Skupna vizumska politika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1. Redni ukrepi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2. Skupna vizumska politika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3. Ukrepi iz Priloge IV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2. Skupna vizumska politika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4. Operativna podpora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24"/>
                <w:vertAlign w:val="baseline"/>
              </w:rPr>
              <w:t>Skupaj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24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</w:tr>
    </w:tbl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12"/>
        </w:rPr>
      </w:pP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superscript"/>
        </w:rPr>
        <w:t>1</w:t>
      </w: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Ta znesek se ne vključi v zahtevke za plačilo.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sectPr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type w:val="nextPage"/>
          <w:pgSz w:w="11906" w:h="16838"/>
          <w:pgMar w:top="720" w:right="936" w:bottom="864" w:left="720" w:header="0" w:footer="72" w:gutter="0"/>
          <w:cols w:space="708"/>
          <w:noEndnote/>
          <w:docGrid w:linePitch="360"/>
        </w:sectPr>
      </w:pPr>
    </w:p>
    <w:p w:rsidR="00A77B3E">
      <w:pPr>
        <w:pStyle w:val="Heading2"/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bookmarkStart w:id="5" w:name="_Toc256000024"/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Dodatek 4</w:t>
      </w:r>
      <w:bookmarkEnd w:id="5"/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Uskladitev izdatkov – točka (d) člena 98(3) in člen 98(7)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12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1070"/>
        <w:gridCol w:w="751"/>
        <w:gridCol w:w="2491"/>
        <w:gridCol w:w="2361"/>
        <w:gridCol w:w="2450"/>
        <w:gridCol w:w="2068"/>
        <w:gridCol w:w="555"/>
        <w:gridCol w:w="543"/>
        <w:gridCol w:w="895"/>
        <w:gridCol w:w="872"/>
        <w:gridCol w:w="496"/>
        <w:gridCol w:w="750"/>
      </w:tblGrid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Specifični cilj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Vrsta ukrepa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upravičenih izdatkov, vključenih v zahtevke za plačilo, ki so bili predloženi Komisiji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Izdatki, prijavljeni v skladu s členom 98 Uredbe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Razlika</w:t>
            </w:r>
          </w:p>
        </w:tc>
        <w:tc>
          <w:tcPr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Opombe (obvezno v primeru razlik za vsako vrsto odbitka v skladu s členom 98(6))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upravičenih izdatkov, ki so jih imeli upravičenci in so bili plačani pri izvajanju operacij, povezanih s specifičnimi cilji, za katere so omogočitveni pogoji izpolnjeni, ali operacij, ki prispevajo k izpolnjevanju omogočitvenih pogojev, kakor so vneseni v sistem telesa, ki opravlja računovodsko funkcijo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javnega prispevka, ki je bil ali bo izveden pri izvajanju operacij, povezanih s specifičnimi cilji, za katere so omogočitveni pogoji izpolnjeni, ali operacij, ki prispevajo k izpolnjevanju omogočitvenih pogojev, kakor so vneseni v sistem telesa, ki opravlja računovodsko funkcijo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upravičenih izdatkov, ki so bili vneseni v računovodske sisteme računovodske funkcije in vključeni v zahtevke za plačilo, predložene Komisiji, povezanih s specifičnimi cilji, za katere so omogočitveni pogoji izpolnjeni, ali operacijami, ki prispevajo k izpolnjevanju omogočitvenih pogojev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ustreznega javnega prispevka, ki je bil ali bo izveden pri izvajanju operacij, povezanih s specifičnimi cilji, za katere so omogočitveni pogoji izpolnjeni, ali operacijami, ki prispevajo k izpolnjevanju omogočitvenih pogojev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(E = A – C)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(F = B – 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Izdatki, katerih zakonitost in pravilnost se trenutno ocenjujeta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Nepravilni izdatki, ki so predmet finančnih popravkov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Drugi odbitki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Opombe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(A)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(B)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(C)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(E)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(F)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(G1)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(G2)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(G3)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(G4)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Evropsko integrirano upravljanje meja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Redni ukrepi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321.137,42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321.137,42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321.137,42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321.137,42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Evropsko integrirano upravljanje meja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3. Ukrepi iz Priloge IV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34.093,03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34.093,03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34.093,03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34.093,03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Evropsko integrirano upravljanje meja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4. Operativna podpora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2.171.404,53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2.171.404,53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2.171.404,53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2.171.404,53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Evropsko integrirano upravljanje meja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7. Uredba ETIAS, člen 85(2)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Evropsko integrirano upravljanje meja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8. Uredba ETIAS, člen 85(3)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 Skupna vizumska politika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Redni ukrepi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1.557.876,15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1.557.876,15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1.557.476,19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1.557.476,19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399,96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399,96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399,96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Končno poročilo OU 060-5/2025/15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 Skupna vizumska politika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3. Ukrepi iz Priloge IV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 Skupna vizumska politika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4. Operativna podpora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1.111.148,82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1.111.148,82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1.110.861,48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1.110.861,48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287,34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287,34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287,34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Končno poročilo UNP RO25-03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TA.36(5). Tehnična pomoč – pavšalna stopnja (člen 36(5) uredbe o skupnih določbah)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283.349,83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283.314,59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35,24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  <w:t>5.479.009,78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  <w:t>5.195.659,95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  <w:t>5.478.287,24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  <w:t>5.194.972,65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  <w:t>722,54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  <w:t>687,30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  <w:t>687,30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Od tega zneski, ki so bili v tekočem obračunu popravljeni na podlagi revizij revizijskega organa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287,34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287,34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Od tega zneski, ki so bili v tekočem obračunu popravljeni na podlagi revizij Evropske komisije in Evropskega računskega sodišča ter preiskav urada OLAF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sectPr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type w:val="nextPage"/>
          <w:pgSz w:w="16838" w:h="11906" w:orient="landscape"/>
          <w:pgMar w:top="720" w:right="720" w:bottom="864" w:left="936" w:header="288" w:footer="72" w:gutter="0"/>
          <w:cols w:space="708"/>
          <w:noEndnote/>
          <w:docGrid w:linePitch="360"/>
        </w:sectPr>
      </w:pPr>
    </w:p>
    <w:p w:rsidR="00A77B3E">
      <w:pPr>
        <w:pStyle w:val="Heading2"/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bookmarkStart w:id="6" w:name="_Toc256000025"/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Dodatek 6</w:t>
      </w:r>
      <w:bookmarkEnd w:id="6"/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Informacije o izdatkih, povezanih s specifičnimi cilji, za katere omogočitveni pogoji niso izpolnjeni (kumulativno od začetka programskega obdobja)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12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1809"/>
        <w:gridCol w:w="927"/>
        <w:gridCol w:w="920"/>
        <w:gridCol w:w="3046"/>
        <w:gridCol w:w="2686"/>
        <w:gridCol w:w="2957"/>
        <w:gridCol w:w="2957"/>
      </w:tblGrid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Specifični cilj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Vrsta ukrepa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Osnova za izračun (javni ali skupaj)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Znesek upravičenih izdatkov, ki so jih imeli upravičenci in so bili plačani pri izvajanju operacij, v skladu s členom 91(3), točka (a) ali (c), ali prispevek Unije v skladu s členom 91(4) v povezavi z neizpolnjenimi omogočitvenimi pogoji v smislu člena 15(5) ali (6), razen operacij, ki prispevajo k izpolnjevanju omogočitvenih pogojev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Znesek upravičenih izdatkov, ki so jih imeli upravičenci in so bili plačani pri izvajanju operacij, v skladu s členom 91(3), točka (a) ali (c), ali prispevek Unije v skladu s členom 91(4) v povezavi z izpolnjenimi omogočitvenimi pogoji v smislu člena 15(5) ali (6) ali kot prispevek k izpolnjevanju omogočitvenih pogojev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Javno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Javno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(A)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(B)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(C)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(E)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Evropsko integrirano upravljanje meja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Redni ukrepi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321.137,42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321.137,42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Evropsko integrirano upravljanje meja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3. Ukrepi iz Priloge IV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34.093,03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34.093,03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Evropsko integrirano upravljanje meja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4. Operativna podpora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2.171.404,53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2.171.404,53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Evropsko integrirano upravljanje meja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7. Uredba ETIAS, člen 85(2)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Evropsko integrirano upravljanje meja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8. Uredba ETIAS, člen 85(3)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 Skupna vizumska politika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Redni ukrepi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1.557.476,19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1.557.476,19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 Skupna vizumska politika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3. Ukrepi iz Priloge IV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 Skupna vizumska politika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4. Operativna podpora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1.110.861,48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1.110.861,48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TA.36(5). Tehnična pomoč – pavšalna stopnja (člen 36(5) uredbe o skupnih določbah)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283.314,59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  <w:t>5.478.287,24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  <w:t>5.194.972,65</w:t>
            </w: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sectPr>
          <w:headerReference w:type="even" r:id="rId40"/>
          <w:headerReference w:type="default" r:id="rId41"/>
          <w:footerReference w:type="even" r:id="rId42"/>
          <w:footerReference w:type="default" r:id="rId43"/>
          <w:headerReference w:type="first" r:id="rId44"/>
          <w:footerReference w:type="first" r:id="rId45"/>
          <w:type w:val="nextPage"/>
          <w:pgSz w:w="16838" w:h="11906" w:orient="landscape"/>
          <w:pgMar w:top="720" w:right="720" w:bottom="864" w:left="936" w:header="288" w:footer="72" w:gutter="0"/>
          <w:cols w:space="708"/>
          <w:noEndnote/>
          <w:docGrid w:linePitch="360"/>
        </w:sectPr>
      </w:pPr>
    </w:p>
    <w:p w:rsidR="00A77B3E">
      <w:pPr>
        <w:pStyle w:val="Heading2"/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bookmarkStart w:id="7" w:name="_Toc256000026"/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Dodatek 7</w:t>
      </w:r>
      <w:bookmarkEnd w:id="7"/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Predplačila, izplačana v okviru državne pomoči na podlagi člena 91(5) (kumulativno od začetka programa)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12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2070"/>
        <w:gridCol w:w="1500"/>
        <w:gridCol w:w="2118"/>
        <w:gridCol w:w="4764"/>
        <w:gridCol w:w="4850"/>
      </w:tblGrid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Specifični cilj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Vrsta ukrepa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znesek, plačan v obliki predplačil</w:t>
            </w: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superscript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Znesek, ki je bil zajet v izdatke, ki so jih upravičenci plačali v treh letih po letu plačila predplačila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Znesek, ki ni bil zajet v izdatke, ki so jih plačali upravičenci, in za katerega triletni rok še ni potekel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(A)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(B)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(C)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Evropsko integrirano upravljanje meja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Redni ukrepi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Evropsko integrirano upravljanje meja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3. Ukrepi iz Priloge IV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Evropsko integrirano upravljanje meja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4. Operativna podpora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Evropsko integrirano upravljanje meja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7. Uredba ETIAS, člen 85(2)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Evropsko integrirano upravljanje meja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8. Uredba ETIAS, člen 85(3)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 Skupna vizumska politika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Redni ukrepi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 Skupna vizumska politika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3. Ukrepi iz Priloge IV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 Skupna vizumska politika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4. Operativna podpora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sectPr>
          <w:headerReference w:type="even" r:id="rId46"/>
          <w:headerReference w:type="default" r:id="rId47"/>
          <w:footerReference w:type="even" r:id="rId48"/>
          <w:footerReference w:type="default" r:id="rId49"/>
          <w:headerReference w:type="first" r:id="rId50"/>
          <w:footerReference w:type="first" r:id="rId51"/>
          <w:type w:val="nextPage"/>
          <w:pgSz w:w="16838" w:h="11906" w:orient="landscape"/>
          <w:pgMar w:top="720" w:right="720" w:bottom="864" w:left="936" w:header="288" w:footer="72" w:gutter="0"/>
          <w:cols w:space="708"/>
          <w:noEndnote/>
          <w:docGrid w:linePitch="360"/>
        </w:sect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12"/>
          <w:vertAlign w:val="superscript"/>
        </w:rPr>
        <w:t>1</w:t>
      </w: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12"/>
          <w:vertAlign w:val="baseline"/>
        </w:rPr>
        <w:t xml:space="preserve"> Ta znesek je vključen v skupni znesek upravičenih izdatkov, ki so jih imeli upravičenci in so bili plačani pri izvajanju operacij, kot je navedeno v zahtevku za plačilo. Ker je državna pomoč po naravi javni izdatek, je ta skupni znesek enak javnemu izdatku.</w:t>
      </w: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bookmarkStart w:id="8" w:name="_Toc256000027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LETNO POROČILO O NADZORU</w:t>
      </w:r>
      <w:bookmarkEnd w:id="8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Letno poročilo o nadzoru, ki vključuje ta program, povezano s to različico obračunov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sectPr>
          <w:headerReference w:type="even" r:id="rId52"/>
          <w:headerReference w:type="default" r:id="rId53"/>
          <w:footerReference w:type="even" r:id="rId54"/>
          <w:footerReference w:type="default" r:id="rId55"/>
          <w:headerReference w:type="first" r:id="rId56"/>
          <w:footerReference w:type="first" r:id="rId57"/>
          <w:type w:val="nextPage"/>
          <w:pgSz w:w="11906" w:h="16838" w:orient="portrait"/>
          <w:pgMar w:top="720" w:right="936" w:bottom="864" w:left="720" w:header="0" w:footer="72" w:gutter="0"/>
          <w:cols w:space="708"/>
          <w:noEndnote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Letno poročilo o nadzoru za program IUMV - 2024.0</w:t>
      </w: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bookmarkStart w:id="9" w:name="_Toc256000028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IZJAVA O UPRAVLJANJU</w:t>
      </w:r>
      <w:bookmarkEnd w:id="9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Izjava o upravljanju – točka (f) člena 74(1)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Spodaj podpisani/-a Tina Heferle, državna sekretarka, vodja organa upravljanja za program 2021SI65BVPR001 "Programme Slovenia - BMVI"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na podlagi izvajanja "Programme Slovenia - BMVI" v obračunskem letu, ki se je končalo 30. junija 2025, na podlagi lastne presoje in vseh meni/nam/-a razpoložljivih informacij na datum predložitve obračunov Komisiji, vključno z rezultati upravljalnih preverjanj, izvedenih v skladu s členom 74 Uredbe (EU) 2021/1060 Evropskega parlamenta in Sveta,</w:t>
      </w: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superscript"/>
        </w:rPr>
        <w:t>1</w:t>
      </w: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 xml:space="preserve"> ter revizij v zvezi z izdatki, vključenimi v zahtevke za plačilo, predložene Komisiji za obračunsko leto, ki se je končalo 30. junija 2025,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ter ob upoštevanju svojih obveznosti iz Uredbe (EU) 2021/1060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izjavljam/-va/-o, da: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(a) so informacije v obračunih ustrezno predstavljene, popolne in natančne v skladu s členom 98 Uredbe (EU) 2021/1060;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(b) so izdatki, vneseni v obračune, skladni z veljavnim pravom in so bili porabljeni za predvidene namene.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  <w:vertAlign w:val="baseline"/>
        </w:rPr>
      </w:pP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Potrjujem/-va/-mo, da so bile nepravilnosti, ugotovljene v končnem revizijskem poročilu in poročilu o nadzoru v zvezi z obračunskim letom, ustrezno obravnavane v obračunih, zlasti za uskladitev s členom 98, za predložitev obračunov. Potrjujem/-va/-mo tudi, da so bili izdatki, v zvezi s katerimi trenutno poteka ocenjevanje zakonitosti in pravilnosti, izključeni iz obračunov do zaključka ocene, lahko pa bodo vključeni v zahtevek za plačilo v naslednjem obračunskem letu.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  <w:vertAlign w:val="baseline"/>
        </w:rPr>
      </w:pP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Poleg tega potrjujem/-va/-mo zanesljivost podatkov, povezanih s kazalniki, mejniki in napredkom programa.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  <w:vertAlign w:val="baseline"/>
        </w:rPr>
      </w:pP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Potrjujem/-va/-mo tudi, da so vzpostavljeni učinkoviti in sorazmerni ukrepi za preprečevanje goljufij ter da ti upoštevajo ugotovljena tveganja v zvezi s tem.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  <w:vertAlign w:val="baseline"/>
        </w:rPr>
      </w:pP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Nazadnje potrjujem/-va/-o, da nisem/-va/-mo seznanjen/-a/-i z nobenimi nerazkritimi informacijami o vprašljivem ugledu v zvezi z izvajanjem programa.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0"/>
          <w:vertAlign w:val="baseline"/>
        </w:rPr>
      </w:pP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 xml:space="preserve">Datum: </w:t>
      </w: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9. feb. 2026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 xml:space="preserve">V imenu: </w:t>
      </w: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Tina Heferle, državna sekretarka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 xml:space="preserve">Elektronski podpis: </w:t>
      </w: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Heferle, Tina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sectPr>
          <w:type w:val="nextPage"/>
          <w:pgSz w:w="11906" w:h="16838" w:orient="portrait"/>
          <w:pgMar w:top="720" w:right="936" w:bottom="864" w:left="720" w:header="0" w:footer="72" w:gutter="0"/>
          <w:cols w:space="708"/>
          <w:noEndnote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superscript"/>
        </w:rPr>
        <w:t>1</w:t>
      </w: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 xml:space="preserve"> Uredba (EU) 2021/1060 Evropskega parlamenta in Sveta z dne 24. junija 2021 o določitvi skupnih določb o Evropskem skladu za regionalni razvoj, Evropskem socialnem skladu plus, Kohezijskem skladu, Skladu za pravični prehod in Evropskem skladu za pomorstvo, ribištvo in akvakulturo ter o finančnih pravilih zanje in za Sklad za azil, migracije in vključevanje, Sklad za notranjo varnost in Instrument za finančno podporo za upravljanje meja in vizumsko politiko (UL L 231, 30.6.2021, str. 159).</w:t>
      </w: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bookmarkStart w:id="10" w:name="_Toc256000029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REVIZIJSKO MNENJE</w:t>
      </w:r>
      <w:bookmarkEnd w:id="10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7033"/>
        <w:gridCol w:w="3337"/>
      </w:tblGrid>
      <w:tr>
        <w:tblPrEx>
          <w:tblW w:w="100%" w:type="pct"/>
        </w:tblPrEx>
        <w:trPr>
          <w:cantSplit w:val="0"/>
          <w:trHeight w:val="24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Obračun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Brez pridržka</w:t>
            </w:r>
          </w:p>
        </w:tc>
      </w:tr>
      <w:tr>
        <w:tblPrEx>
          <w:tblW w:w="100%" w:type="pct"/>
        </w:tblPrEx>
        <w:trPr>
          <w:cantSplit w:val="0"/>
          <w:trHeight w:val="24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Zakonitost in pravilnost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Brez pridržka</w:t>
            </w:r>
          </w:p>
        </w:tc>
      </w:tr>
      <w:tr>
        <w:tblPrEx>
          <w:tblW w:w="100%" w:type="pct"/>
        </w:tblPrEx>
        <w:trPr>
          <w:cantSplit w:val="0"/>
          <w:trHeight w:val="24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Sistem upravljanja in kontrole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Brez pridržka</w:t>
            </w:r>
          </w:p>
        </w:tc>
      </w:tr>
      <w:tr>
        <w:tblPrEx>
          <w:tblW w:w="100%" w:type="pct"/>
        </w:tblPrEx>
        <w:trPr>
          <w:cantSplit w:val="0"/>
          <w:trHeight w:val="24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Revizijsko mnenje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Brez pridržka</w:t>
            </w: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  <w:vertAlign w:val="baseline"/>
        </w:rPr>
      </w:pPr>
    </w:p>
    <w:p w:rsidR="00A77B3E">
      <w:pPr>
        <w:pStyle w:val="Heading2"/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bookmarkStart w:id="11" w:name="_Toc256000030"/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1. UVOD</w:t>
      </w:r>
      <w:bookmarkEnd w:id="11"/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Spodaj podpisani/-a, predstavnik/-ica Ministrstvo za finance, Urad za nadzor proračuna, ki je neodvisen v smislu člena 71(2) Uredbe (EU) 2021/1060 Evropskega parlamenta in Sveta,</w:t>
      </w: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 xml:space="preserve"> </w:t>
      </w: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superscript"/>
        </w:rPr>
        <w:t>1</w:t>
      </w: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, sem revidiral/-a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(i) obračune za obračunsko leto, ki se je začelo 1. julija 2024 in končalo 30. junija 2025, z dne 11. feb. 2026 (v nadaljnjem besedilu: obračuni),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(ii) zakonitost in pravilnost izdatkov za obračunsko leto, v zvezi s katerimi se je Komisiji predložil zahtevek za povračilo (in so bili vključeni v obračune), ter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(iii) delovanje upravljavskega in kontrolnega sistema, hkrati pa preveril/-a izjavo o upravljanju za program 2021SI65BVPR001, "Programme Slovenia - BMVI" (v nadaljnjem besedilu: program),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da bi izdal/-a revizijsko mnenje v skladu s točko (a) člena 77(3).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0"/>
          <w:vertAlign w:val="baseline"/>
        </w:rPr>
      </w:pP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Datum: 11. feb. 2026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Elektronski podpis: Pergar, Patricija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0"/>
          <w:vertAlign w:val="baseline"/>
        </w:rPr>
      </w:pP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sectPr>
          <w:type w:val="nextPage"/>
          <w:pgSz w:w="11906" w:h="16838" w:orient="portrait"/>
          <w:pgMar w:top="720" w:right="936" w:bottom="864" w:left="720" w:header="0" w:footer="72" w:gutter="0"/>
          <w:cols w:space="708"/>
          <w:noEndnote/>
          <w:docGrid w:linePitch="360"/>
        </w:sect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superscript"/>
        </w:rPr>
        <w:t>1</w:t>
      </w: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 xml:space="preserve"> Uredba (EU) 2021/1060 Evropskega parlamenta in Sveta z dne 24. junija 2021 o določitvi skupnih določb o Evropskem skladu za regionalni razvoj, Evropskem socialnem skladu plus, Kohezijskem skladu, Skladu za pravični prehod in Evropskem skladu za pomorstvo, ribištvo in akvakulturo ter o finančnih pravilih zanje in za Sklad za azil, migracije in vključevanje, Sklad za notranjo varnost in Instrument za finančno podporo za upravljanje meja in vizumsko politiko (UL L 231, 30.6.2021, str. 159).</w:t>
      </w:r>
    </w:p>
    <w:p w:rsidR="00A77B3E">
      <w:pPr>
        <w:pStyle w:val="Heading2"/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bookmarkStart w:id="12" w:name="_Toc256000031"/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2. ODGOVORNOSTI ORGANA UPRAVLJANJA</w:t>
      </w:r>
      <w:bookmarkEnd w:id="12"/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Ministrstvo za notranje zadeve , opredeljen kot organ upravljanja programa, je odgovoren za zagotavljanje pravilnega delovanja upravljavskega in kontrolnega sistema v zvezi s funkcijami in nalogami iz členov 72 do 75.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Poleg tega je Ministrstvo za notranje zadeve odgovoren za potrditev, da so obračuni popolni, natančni in verodostojni, kot zahteva člen 76 Uredbe (EU) 2021/1060 (in člen 46 Uredbe (EU) 2021/1059 Evropskega parlamenta in Sveta).</w:t>
      </w: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 xml:space="preserve"> </w:t>
      </w: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superscript"/>
        </w:rPr>
        <w:t>1</w:t>
      </w: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 xml:space="preserve"> </w:t>
      </w: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superscript"/>
        </w:rPr>
        <w:t>2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0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Organi upravljanja so v skladu s členom 74 Uredbe (EU) 2021/1060 odgovorni tudi za potrditev, da so izdatki, vneseni v obračune, zakoniti in pravilni ter skladni z veljavnim pravom.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0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superscript"/>
        </w:rPr>
        <w:t>1</w:t>
      </w: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 xml:space="preserve"> Uredba (EU) 2021/1059 dne 24. junija 2021 o posebnih določbah za cilj „evropsko teritorialno sodelovanje“ (Interreg), ki ga podpirajo Evropski sklad za regionalni razvoj in instrumenti za zunanje financiranje ( UL L 231, 30.6.2021, str. 94).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superscript"/>
        </w:rPr>
        <w:t>2</w:t>
      </w: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 xml:space="preserve"> Vključiti v primeru programov Interreg.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12"/>
          <w:vertAlign w:val="baseline"/>
        </w:rPr>
      </w:pPr>
    </w:p>
    <w:p w:rsidR="00A77B3E">
      <w:pPr>
        <w:pStyle w:val="Heading2"/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bookmarkStart w:id="13" w:name="_Toc256000032"/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3. ODGOVORNOSTI REVIZIJSKEGA ORGANA</w:t>
      </w:r>
      <w:bookmarkEnd w:id="13"/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0"/>
          <w:vertAlign w:val="baseline"/>
        </w:rPr>
      </w:pP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Kot je določeno v členu 77 Uredbe (EU) 2021/1060, sem odgovoren/-na za neodvisno mnenje o popolnosti, natančnosti in verodostojnosti obračunov, o tem, ali so izdatki, v zvezi s katerimi je bil Komisiji predložen zahtevek za povračilo in ki so vključeni v obračune, zakoniti in pravilni ter ali vzpostavljeni upravljavski in kontrolni sistem deluje pravilno.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0"/>
          <w:vertAlign w:val="baseline"/>
        </w:rPr>
      </w:pP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V mnenje moram poleg tega vključiti izjavo, ali se z revizijo zmanjšuje zanesljivost trditev iz izjave o upravljanju.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0"/>
          <w:vertAlign w:val="baseline"/>
        </w:rPr>
      </w:pP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Revizije v zvezi s programom so bile izvedene v skladu z revizijsko strategijo in so skladne z mednarodno priznanimi revizijskimi standardi. V skladu s temi standardi mora revizijski organ izpolnjevati etične zahteve ter načrtovati in izvesti revizijo, da pridobi zadostna zagotovila za namene revizijskega mnenja.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0"/>
          <w:vertAlign w:val="baseline"/>
        </w:rPr>
      </w:pP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Revizija vključuje izvajanje postopkov za pridobitev zadostnih in ustreznih dokazov v podporo spodaj navedenemu mnenju. Izvedeni postopki, vključno z oceno tveganja pomembne neskladnosti zaradi goljufije ali napake, so odvisni od strokovne presoje revizorja.  Izvedeni revizijski postopki so tisti, ki so po mojem mnenju ustrezni glede na okoliščine in v skladu z zahtevami iz Uredbe (EU) 2021/1060.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0"/>
          <w:vertAlign w:val="baseline"/>
        </w:rPr>
      </w:pP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Menim, da so zbrani revizijski dokazi zadostna in ustrezna osnova za moje mnenje,.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0"/>
          <w:vertAlign w:val="baseline"/>
        </w:rPr>
      </w:pP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Povzetek glavnih ugotovitev na podlagi revizij v zvezi s programom je naveden v priloženem letnem poročilu o nadzoru v skladu s točko (b) člena 77(3) Uredbe (EU) 2021/1060.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sectPr>
          <w:type w:val="nextPage"/>
          <w:pgSz w:w="11906" w:h="16838" w:orient="portrait"/>
          <w:pgMar w:top="720" w:right="936" w:bottom="864" w:left="720" w:header="0" w:footer="72" w:gutter="0"/>
          <w:cols w:space="708"/>
          <w:noEndnote/>
          <w:docGrid w:linePitch="360"/>
        </w:sectPr>
      </w:pPr>
    </w:p>
    <w:p w:rsidR="00A77B3E">
      <w:pPr>
        <w:pStyle w:val="Heading2"/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bookmarkStart w:id="14" w:name="_Toc256000033"/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4. OMEJITEV OBSEGA</w:t>
      </w:r>
      <w:bookmarkEnd w:id="14"/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0"/>
          <w:vertAlign w:val="baseline"/>
        </w:rPr>
      </w:pP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Obseg revizije ni bil omejen.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12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10370"/>
      </w:tblGrid>
      <w:tr>
        <w:tblPrEx>
          <w:tblW w:w="100%" w:type="pct"/>
        </w:tblPrEx>
        <w:trPr>
          <w:cantSplit w:val="0"/>
          <w:trHeight w:val="24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</w:p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sectPr>
          <w:type w:val="nextPage"/>
          <w:pgSz w:w="11906" w:h="16838" w:orient="portrait"/>
          <w:pgMar w:top="720" w:right="936" w:bottom="864" w:left="720" w:header="0" w:footer="72" w:gutter="0"/>
          <w:cols w:space="708"/>
          <w:noEndnote/>
          <w:docGrid w:linePitch="360"/>
        </w:sectPr>
      </w:pPr>
    </w:p>
    <w:p w:rsidR="00A77B3E">
      <w:pPr>
        <w:pStyle w:val="Heading2"/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bookmarkStart w:id="15" w:name="_Toc256000034"/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5. MNENJE</w:t>
      </w:r>
      <w:bookmarkEnd w:id="15"/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0"/>
          <w:vertAlign w:val="baseline"/>
        </w:rPr>
      </w:pPr>
    </w:p>
    <w:p w:rsidR="00A77B3E">
      <w:pPr>
        <w:pStyle w:val="Heading3"/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bookmarkStart w:id="16" w:name="_Toc256000035"/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Mnenje brez pridržka</w:t>
      </w:r>
      <w:bookmarkEnd w:id="16"/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Na podlagi izvedene revizije menim, da: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(1) Obračuni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– obračuni prikazujejo verodostojno in pošteno sliko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(2) Zakonitost in pravilnost izdatkov, vključenih v obračune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– izdatki, vključeni v obračune, so zakoniti in pravilni,</w:t>
      </w: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 xml:space="preserve"> </w:t>
      </w: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superscript"/>
        </w:rPr>
        <w:t>1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(3) Upravljavski in kontrolni sistem, vzpostavljen na datum tega revizijskega mnenja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– upravljavski in kontrolni sistem deluje pravilno.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Izvedena revizija ne zmanjšuje zanesljivosti trditev iz izjave o upravljanju.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superscript"/>
        </w:rPr>
        <w:t>1</w:t>
      </w: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 xml:space="preserve"> Razen za programe Interreg, ki spadajo v okvir letnega vzorca za revizije operacij, ki ga sestavi Komisija, kot je predvideno v členu 48 uredbe o Interreg.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sectPr>
          <w:type w:val="nextPage"/>
          <w:pgSz w:w="11906" w:h="16838" w:orient="portrait"/>
          <w:pgMar w:top="720" w:right="936" w:bottom="864" w:left="720" w:header="0" w:footer="72" w:gutter="0"/>
          <w:cols w:space="708"/>
          <w:noEndnote/>
          <w:docGrid w:linePitch="360"/>
        </w:sectPr>
      </w:pPr>
    </w:p>
    <w:p w:rsidR="00A77B3E">
      <w:pPr>
        <w:pStyle w:val="Heading2"/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bookmarkStart w:id="17" w:name="_Toc256000036"/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POUDARJENA ZADEVA</w:t>
      </w:r>
      <w:bookmarkEnd w:id="17"/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12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10370"/>
      </w:tblGrid>
      <w:tr>
        <w:tblPrEx>
          <w:tblW w:w="100%" w:type="pct"/>
        </w:tblPrEx>
        <w:trPr>
          <w:cantSplit w:val="0"/>
          <w:trHeight w:val="24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</w:p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</w:p>
        </w:tc>
      </w:tr>
    </w:tbl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sectPr>
          <w:type w:val="nextPage"/>
          <w:pgSz w:w="11906" w:h="16838" w:orient="portrait"/>
          <w:pgMar w:top="720" w:right="936" w:bottom="864" w:left="720" w:header="0" w:footer="72" w:gutter="0"/>
          <w:cols w:space="708"/>
          <w:noEndnote/>
          <w:docGrid w:linePitch="360"/>
        </w:sectPr>
      </w:pPr>
    </w:p>
    <w:p w:rsidR="00A77B3E">
      <w:pPr>
        <w:pStyle w:val="Heading1"/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bookmarkStart w:id="18" w:name="_Toc256000037"/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DOKUMENTI</w:t>
      </w:r>
      <w:bookmarkEnd w:id="18"/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12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1820"/>
        <w:gridCol w:w="1820"/>
        <w:gridCol w:w="1137"/>
        <w:gridCol w:w="1820"/>
        <w:gridCol w:w="1820"/>
        <w:gridCol w:w="3928"/>
        <w:gridCol w:w="1137"/>
        <w:gridCol w:w="1820"/>
      </w:tblGrid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Naslov dokumenta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Vrsta dokumenta</w:t>
            </w:r>
          </w:p>
        </w:tc>
        <w:tc>
          <w:tcPr>
            <w:tcW w:w="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Datum dokumenta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Lokalna referenca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Referenčna oznaka Komisije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Datoteke</w:t>
            </w:r>
          </w:p>
        </w:tc>
        <w:tc>
          <w:tcPr>
            <w:tcW w:w="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Datum pošiljanja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Poslal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ACC snapshot 2021SI65BVPR001 2024.0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Posnetek podatkov pred pošiljanjem</w:t>
            </w:r>
          </w:p>
        </w:tc>
        <w:tc>
          <w:tcPr>
            <w:tcW w:w="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11. feb. 2026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Ares(2026)1543028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ACC snapshot 2021SI65BVPR001 2024.0 - Machine Translated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ACC_snapshot_2021SI65BVPR001_2024.0_sl.pdf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ACC_snapshot_2021SI65BVPR001_2024.0_en.pdf</w:t>
            </w:r>
          </w:p>
        </w:tc>
        <w:tc>
          <w:tcPr>
            <w:tcW w:w="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11. feb. 2026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Novakovič, Mirjam</w:t>
            </w:r>
          </w:p>
        </w:tc>
      </w:tr>
    </w:tbl>
    <w:p w:rsidR="00A77B3E">
      <w:pPr>
        <w:spacing w:before="100" w:after="0"/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</w:pPr>
    </w:p>
    <w:sectPr>
      <w:headerReference w:type="even" r:id="rId58"/>
      <w:headerReference w:type="default" r:id="rId59"/>
      <w:footerReference w:type="even" r:id="rId60"/>
      <w:footerReference w:type="default" r:id="rId61"/>
      <w:headerReference w:type="first" r:id="rId62"/>
      <w:footerReference w:type="first" r:id="rId63"/>
      <w:type w:val="nextPage"/>
      <w:pgSz w:w="16838" w:h="11906" w:orient="landscape"/>
      <w:pgMar w:top="720" w:right="720" w:bottom="864" w:left="936" w:header="288" w:footer="72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20007A87" w:usb1="80000000" w:usb2="00000008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1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4200"/>
      <w:gridCol w:w="1969"/>
      <w:gridCol w:w="4201"/>
    </w:tblGrid>
    <w:tr>
      <w:tblPrEx>
        <w:tblW w:w="100%" w:type="pct"/>
      </w:tblPrEx>
      <w:trPr>
        <w:cantSplit w:val="0"/>
        <w:trHeight w:val="240"/>
        <w:tblHeader w:val="0"/>
      </w:trPr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6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4200"/>
      <w:gridCol w:w="1969"/>
      <w:gridCol w:w="4201"/>
    </w:tblGrid>
    <w:tr>
      <w:tblPrEx>
        <w:tblW w:w="100%" w:type="pct"/>
      </w:tblPrEx>
      <w:trPr>
        <w:cantSplit w:val="0"/>
        <w:trHeight w:val="240"/>
        <w:tblHeader w:val="0"/>
      </w:trPr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8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6199"/>
      <w:gridCol w:w="2905"/>
      <w:gridCol w:w="6198"/>
    </w:tblGrid>
    <w:tr>
      <w:tblPrEx>
        <w:tblW w:w="100%" w:type="pct"/>
      </w:tblPrEx>
      <w:trPr>
        <w:cantSplit w:val="0"/>
        <w:trHeight w:val="240"/>
        <w:tblHeader w:val="0"/>
      </w:trPr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9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4114"/>
      <w:gridCol w:w="2223"/>
      <w:gridCol w:w="4113"/>
    </w:tblGrid>
    <w:tr>
      <w:tblPrEx>
        <w:tblW w:w="100%" w:type="pct"/>
      </w:tblPrEx>
      <w:trPr>
        <w:trHeight w:val="240"/>
      </w:trPr>
      <w:tc>
        <w:tcPr>
          <w:tcMar>
            <w:start w:w="5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2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5661"/>
      <w:gridCol w:w="3980"/>
      <w:gridCol w:w="5661"/>
    </w:tblGrid>
    <w:tr>
      <w:tblPrEx>
        <w:tblW w:w="100%" w:type="pct"/>
      </w:tblPrEx>
      <w:trPr>
        <w:cantSplit w:val="0"/>
        <w:trHeight w:val="240"/>
        <w:tblHeader w:val="0"/>
      </w:trPr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10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5661"/>
      <w:gridCol w:w="3980"/>
      <w:gridCol w:w="5661"/>
    </w:tblGrid>
    <w:tr>
      <w:tblPrEx>
        <w:tblW w:w="100%" w:type="pct"/>
      </w:tblPrEx>
      <w:trPr>
        <w:cantSplit w:val="0"/>
        <w:trHeight w:val="240"/>
        <w:tblHeader w:val="0"/>
      </w:trPr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11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3837"/>
      <w:gridCol w:w="2697"/>
      <w:gridCol w:w="3836"/>
    </w:tblGrid>
    <w:tr>
      <w:tblPrEx>
        <w:tblW w:w="100%" w:type="pct"/>
      </w:tblPrEx>
      <w:trPr>
        <w:cantSplit w:val="0"/>
        <w:trHeight w:val="240"/>
        <w:tblHeader w:val="0"/>
      </w:trPr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18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5661"/>
      <w:gridCol w:w="3980"/>
      <w:gridCol w:w="5661"/>
    </w:tblGrid>
    <w:tr>
      <w:tblPrEx>
        <w:tblW w:w="100%" w:type="pct"/>
      </w:tblPrEx>
      <w:trPr>
        <w:cantSplit w:val="0"/>
        <w:trHeight w:val="240"/>
      </w:trPr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19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4114"/>
      <w:gridCol w:w="2223"/>
      <w:gridCol w:w="4113"/>
    </w:tblGrid>
    <w:tr>
      <w:tblPrEx>
        <w:tblW w:w="100%" w:type="pct"/>
      </w:tblPrEx>
      <w:trPr>
        <w:trHeight w:val="240"/>
      </w:trPr>
      <w:tc>
        <w:tcPr>
          <w:tcMar>
            <w:start w:w="5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3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4200"/>
      <w:gridCol w:w="1969"/>
      <w:gridCol w:w="4201"/>
    </w:tblGrid>
    <w:tr>
      <w:tblPrEx>
        <w:tblW w:w="100%" w:type="pct"/>
      </w:tblPrEx>
      <w:trPr>
        <w:cantSplit w:val="0"/>
        <w:trHeight w:val="240"/>
      </w:trPr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4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grammar="clean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pt" w:type="dxa"/>
      <w:tblCellMar>
        <w:top w:w="0pt" w:type="dxa"/>
        <w:start w:w="5.4pt" w:type="dxa"/>
        <w:bottom w:w="0pt" w:type="dxa"/>
        <w:end w:w="5.4pt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rsid w:val="00805BCE"/>
    <w:rPr>
      <w:b w:val="0"/>
      <w:caps w:val="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  <w:style w:type="paragraph" w:styleId="TOC2">
    <w:name w:val="toc 2"/>
    <w:basedOn w:val="Normal"/>
    <w:next w:val="Normal"/>
    <w:autoRedefine/>
    <w:rsid w:val="00805BCE"/>
    <w:pPr>
      <w:ind w:start="240"/>
    </w:pPr>
  </w:style>
  <w:style w:type="paragraph" w:styleId="TOC3">
    <w:name w:val="toc 3"/>
    <w:basedOn w:val="Normal"/>
    <w:next w:val="Normal"/>
    <w:autoRedefine/>
    <w:rsid w:val="00805BCE"/>
    <w:pPr>
      <w:ind w:start="480"/>
    </w:pPr>
    <w:rPr>
      <w:i w:val="0"/>
    </w:rPr>
  </w:style>
  <w:style w:type="paragraph" w:styleId="TOC4">
    <w:name w:val="toc 4"/>
    <w:basedOn w:val="Normal"/>
    <w:next w:val="Normal"/>
    <w:autoRedefine/>
    <w:rsid w:val="00805BCE"/>
    <w:pPr>
      <w:ind w:start="720"/>
    </w:pPr>
    <w:rPr>
      <w:i w:val="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purl.oclc.org/ooxml/officeDocument/relationships/settings" Target="settings.xml" /><Relationship Id="rId10" Type="http://purl.oclc.org/ooxml/officeDocument/relationships/header" Target="header4.xml" /><Relationship Id="rId11" Type="http://purl.oclc.org/ooxml/officeDocument/relationships/header" Target="header5.xml" /><Relationship Id="rId12" Type="http://purl.oclc.org/ooxml/officeDocument/relationships/footer" Target="footer4.xml" /><Relationship Id="rId13" Type="http://purl.oclc.org/ooxml/officeDocument/relationships/footer" Target="footer5.xml" /><Relationship Id="rId14" Type="http://purl.oclc.org/ooxml/officeDocument/relationships/header" Target="header6.xml" /><Relationship Id="rId15" Type="http://purl.oclc.org/ooxml/officeDocument/relationships/footer" Target="footer6.xml" /><Relationship Id="rId16" Type="http://purl.oclc.org/ooxml/officeDocument/relationships/header" Target="header7.xml" /><Relationship Id="rId17" Type="http://purl.oclc.org/ooxml/officeDocument/relationships/header" Target="header8.xml" /><Relationship Id="rId18" Type="http://purl.oclc.org/ooxml/officeDocument/relationships/footer" Target="footer7.xml" /><Relationship Id="rId19" Type="http://purl.oclc.org/ooxml/officeDocument/relationships/footer" Target="footer8.xml" /><Relationship Id="rId2" Type="http://purl.oclc.org/ooxml/officeDocument/relationships/webSettings" Target="webSettings.xml" /><Relationship Id="rId20" Type="http://purl.oclc.org/ooxml/officeDocument/relationships/header" Target="header9.xml" /><Relationship Id="rId21" Type="http://purl.oclc.org/ooxml/officeDocument/relationships/footer" Target="footer9.xml" /><Relationship Id="rId22" Type="http://purl.oclc.org/ooxml/officeDocument/relationships/header" Target="header10.xml" /><Relationship Id="rId23" Type="http://purl.oclc.org/ooxml/officeDocument/relationships/header" Target="header11.xml" /><Relationship Id="rId24" Type="http://purl.oclc.org/ooxml/officeDocument/relationships/footer" Target="footer10.xml" /><Relationship Id="rId25" Type="http://purl.oclc.org/ooxml/officeDocument/relationships/footer" Target="footer11.xml" /><Relationship Id="rId26" Type="http://purl.oclc.org/ooxml/officeDocument/relationships/header" Target="header12.xml" /><Relationship Id="rId27" Type="http://purl.oclc.org/ooxml/officeDocument/relationships/footer" Target="footer12.xml" /><Relationship Id="rId28" Type="http://purl.oclc.org/ooxml/officeDocument/relationships/header" Target="header13.xml" /><Relationship Id="rId29" Type="http://purl.oclc.org/ooxml/officeDocument/relationships/header" Target="header14.xml" /><Relationship Id="rId3" Type="http://purl.oclc.org/ooxml/officeDocument/relationships/fontTable" Target="fontTable.xml" /><Relationship Id="rId30" Type="http://purl.oclc.org/ooxml/officeDocument/relationships/footer" Target="footer13.xml" /><Relationship Id="rId31" Type="http://purl.oclc.org/ooxml/officeDocument/relationships/footer" Target="footer14.xml" /><Relationship Id="rId32" Type="http://purl.oclc.org/ooxml/officeDocument/relationships/header" Target="header15.xml" /><Relationship Id="rId33" Type="http://purl.oclc.org/ooxml/officeDocument/relationships/footer" Target="footer15.xml" /><Relationship Id="rId34" Type="http://purl.oclc.org/ooxml/officeDocument/relationships/header" Target="header16.xml" /><Relationship Id="rId35" Type="http://purl.oclc.org/ooxml/officeDocument/relationships/header" Target="header17.xml" /><Relationship Id="rId36" Type="http://purl.oclc.org/ooxml/officeDocument/relationships/footer" Target="footer16.xml" /><Relationship Id="rId37" Type="http://purl.oclc.org/ooxml/officeDocument/relationships/footer" Target="footer17.xml" /><Relationship Id="rId38" Type="http://purl.oclc.org/ooxml/officeDocument/relationships/header" Target="header18.xml" /><Relationship Id="rId39" Type="http://purl.oclc.org/ooxml/officeDocument/relationships/footer" Target="footer18.xml" /><Relationship Id="rId4" Type="http://purl.oclc.org/ooxml/officeDocument/relationships/header" Target="header1.xml" /><Relationship Id="rId40" Type="http://purl.oclc.org/ooxml/officeDocument/relationships/header" Target="header19.xml" /><Relationship Id="rId41" Type="http://purl.oclc.org/ooxml/officeDocument/relationships/header" Target="header20.xml" /><Relationship Id="rId42" Type="http://purl.oclc.org/ooxml/officeDocument/relationships/footer" Target="footer19.xml" /><Relationship Id="rId43" Type="http://purl.oclc.org/ooxml/officeDocument/relationships/footer" Target="footer20.xml" /><Relationship Id="rId44" Type="http://purl.oclc.org/ooxml/officeDocument/relationships/header" Target="header21.xml" /><Relationship Id="rId45" Type="http://purl.oclc.org/ooxml/officeDocument/relationships/footer" Target="footer21.xml" /><Relationship Id="rId46" Type="http://purl.oclc.org/ooxml/officeDocument/relationships/header" Target="header22.xml" /><Relationship Id="rId47" Type="http://purl.oclc.org/ooxml/officeDocument/relationships/header" Target="header23.xml" /><Relationship Id="rId48" Type="http://purl.oclc.org/ooxml/officeDocument/relationships/footer" Target="footer22.xml" /><Relationship Id="rId49" Type="http://purl.oclc.org/ooxml/officeDocument/relationships/footer" Target="footer23.xml" /><Relationship Id="rId5" Type="http://purl.oclc.org/ooxml/officeDocument/relationships/header" Target="header2.xml" /><Relationship Id="rId50" Type="http://purl.oclc.org/ooxml/officeDocument/relationships/header" Target="header24.xml" /><Relationship Id="rId51" Type="http://purl.oclc.org/ooxml/officeDocument/relationships/footer" Target="footer24.xml" /><Relationship Id="rId52" Type="http://purl.oclc.org/ooxml/officeDocument/relationships/header" Target="header25.xml" /><Relationship Id="rId53" Type="http://purl.oclc.org/ooxml/officeDocument/relationships/header" Target="header26.xml" /><Relationship Id="rId54" Type="http://purl.oclc.org/ooxml/officeDocument/relationships/footer" Target="footer25.xml" /><Relationship Id="rId55" Type="http://purl.oclc.org/ooxml/officeDocument/relationships/footer" Target="footer26.xml" /><Relationship Id="rId56" Type="http://purl.oclc.org/ooxml/officeDocument/relationships/header" Target="header27.xml" /><Relationship Id="rId57" Type="http://purl.oclc.org/ooxml/officeDocument/relationships/footer" Target="footer27.xml" /><Relationship Id="rId58" Type="http://purl.oclc.org/ooxml/officeDocument/relationships/header" Target="header28.xml" /><Relationship Id="rId59" Type="http://purl.oclc.org/ooxml/officeDocument/relationships/header" Target="header29.xml" /><Relationship Id="rId6" Type="http://purl.oclc.org/ooxml/officeDocument/relationships/footer" Target="footer1.xml" /><Relationship Id="rId60" Type="http://purl.oclc.org/ooxml/officeDocument/relationships/footer" Target="footer28.xml" /><Relationship Id="rId61" Type="http://purl.oclc.org/ooxml/officeDocument/relationships/footer" Target="footer29.xml" /><Relationship Id="rId62" Type="http://purl.oclc.org/ooxml/officeDocument/relationships/header" Target="header30.xml" /><Relationship Id="rId63" Type="http://purl.oclc.org/ooxml/officeDocument/relationships/footer" Target="footer30.xml" /><Relationship Id="rId64" Type="http://purl.oclc.org/ooxml/officeDocument/relationships/theme" Target="theme/theme1.xml" /><Relationship Id="rId65" Type="http://purl.oclc.org/ooxml/officeDocument/relationships/styles" Target="styles.xml" /><Relationship Id="rId7" Type="http://purl.oclc.org/ooxml/officeDocument/relationships/footer" Target="footer2.xml" /><Relationship Id="rId8" Type="http://purl.oclc.org/ooxml/officeDocument/relationships/header" Target="header3.xml" /><Relationship Id="rId9" Type="http://purl.oclc.org/ooxml/officeDocument/relationships/footer" Target="footer3.xml" 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Tibt" typeface="Microsoft Himalaya"/>
        <a:font script="Khmr" typeface="MoolBoran"/>
        <a:font script="Beng" typeface="Vrinda"/>
        <a:font script="Taml" typeface="Latha"/>
        <a:font script="Hebr" typeface="Times New Roman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Angsana New"/>
        <a:font script="Cans" typeface="Euphemia"/>
        <a:font script="Mong" typeface="Mongolian Baiti"/>
        <a:font script="Knda" typeface="Tunga"/>
        <a:font script="Viet" typeface="Times New Roman"/>
        <a:font script="Deva" typeface="Mangal"/>
        <a:font script="Arab" typeface="Times New Roman"/>
        <a:font script="Orya" typeface="Kalinga"/>
        <a:font script="Jpan" typeface="ＭＳ ゴシック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ajorFont>
      <a:minorFont>
        <a:latin typeface="Calibri"/>
        <a:ea typeface=""/>
        <a:cs typeface=""/>
        <a:font script="Tibt" typeface="Microsoft Himalaya"/>
        <a:font script="Khmr" typeface="DaunPenh"/>
        <a:font script="Beng" typeface="Vrinda"/>
        <a:font script="Taml" typeface="Latha"/>
        <a:font script="Hebr" typeface="Arial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Cordia New"/>
        <a:font script="Cans" typeface="Euphemia"/>
        <a:font script="Mong" typeface="Mongolian Baiti"/>
        <a:font script="Knda" typeface="Tunga"/>
        <a:font script="Viet" typeface="Arial"/>
        <a:font script="Deva" typeface="Mangal"/>
        <a:font script="Arab" typeface="Arial"/>
        <a:font script="Orya" typeface="Kalinga"/>
        <a:font script="Jpan" typeface="ＭＳ 明朝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%" sy="100%" kx="0" ky="0" algn="b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 xmlns:a="http://purl.oclc.org/ooxml/drawingml/main"/>
</a:theme>
</file>

<file path=docProps/app.xml><?xml version="1.0" encoding="utf-8"?>
<Properties xmlns="http://purl.oclc.org/ooxml/officeDocument/extendedProperties" xmlns:vt="http://purl.oclc.org/ooxml/officeDocument/docPropsVTypes">
  <Template>Normal.dot</Template>
  <TotalTime>0</TotalTime>
  <Pages>19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