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5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OBRAČUN ZA OBRAČUNSKO LETO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1. julij 2024–30. junij 2025</w:t>
      </w: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6874"/>
        <w:gridCol w:w="3576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Zadevni sklad (skladi)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SNV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Sklad(-i) iz obračunov sprejet(-i) z delnim sprejetjem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2021SI65ISPR001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ISF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Številka sklepa Komisije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C(2024)8205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Datum sklepa Komisije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19. nov. 2024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2024.0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Datum predložitve obračunov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11. feb. 2026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Nacionalna referenca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RI 1/2024/2025 ISF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19" w:history="1">
        <w:r w:rsidR="00A77B3E">
          <w:rPr>
            <w:rStyle w:val="Hyperlink"/>
            <w:rFonts w:ascii="Times New Roman" w:hAnsi="Times New Roman" w:cs="Times New Roman"/>
          </w:rPr>
          <w:t>OBRAČUNI</w:t>
        </w:r>
        <w:r>
          <w:tab/>
        </w:r>
        <w:r>
          <w:fldChar w:fldCharType="begin"/>
        </w:r>
        <w:r>
          <w:instrText xml:space="preserve"> PAGEREF _Toc256000019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0" w:history="1">
        <w:r w:rsidR="00A77B3E">
          <w:rPr>
            <w:rStyle w:val="Hyperlink"/>
            <w:rFonts w:ascii="TimesNewRoman" w:eastAsia="TimesNewRoman" w:hAnsi="TimesNewRoman" w:cs="TimesNewRoman"/>
          </w:rPr>
          <w:t>IZJAVE</w:t>
        </w:r>
        <w:r>
          <w:tab/>
        </w:r>
        <w:r>
          <w:fldChar w:fldCharType="begin"/>
        </w:r>
        <w:r>
          <w:instrText xml:space="preserve"> PAGEREF _Toc256000020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1" w:history="1">
        <w:r w:rsidR="00A77B3E">
          <w:rPr>
            <w:rStyle w:val="Hyperlink"/>
            <w:rFonts w:ascii="TimesNewRoman" w:eastAsia="TimesNewRoman" w:hAnsi="TimesNewRoman" w:cs="TimesNewRoman"/>
          </w:rPr>
          <w:t>Dodatek 1</w:t>
        </w:r>
        <w:r>
          <w:tab/>
        </w:r>
        <w:r>
          <w:fldChar w:fldCharType="begin"/>
        </w:r>
        <w:r>
          <w:instrText xml:space="preserve"> PAGEREF _Toc256000021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2" w:history="1">
        <w:r w:rsidR="00A77B3E">
          <w:rPr>
            <w:rStyle w:val="Hyperlink"/>
            <w:rFonts w:ascii="TimesNewRoman" w:eastAsia="TimesNewRoman" w:hAnsi="TimesNewRoman" w:cs="TimesNewRoman"/>
          </w:rPr>
          <w:t>Dodatek 2</w:t>
        </w:r>
        <w:r>
          <w:tab/>
        </w:r>
        <w:r>
          <w:fldChar w:fldCharType="begin"/>
        </w:r>
        <w:r>
          <w:instrText xml:space="preserve"> PAGEREF _Toc256000022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3" w:history="1">
        <w:r w:rsidR="00A77B3E">
          <w:rPr>
            <w:rStyle w:val="Hyperlink"/>
            <w:rFonts w:ascii="TimesNewRoman" w:eastAsia="TimesNewRoman" w:hAnsi="TimesNewRoman" w:cs="TimesNewRoman"/>
          </w:rPr>
          <w:t>Dodatek 3</w:t>
        </w:r>
        <w:r>
          <w:tab/>
        </w:r>
        <w:r>
          <w:fldChar w:fldCharType="begin"/>
        </w:r>
        <w:r>
          <w:instrText xml:space="preserve"> PAGEREF _Toc256000023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4" w:history="1">
        <w:r w:rsidR="00A77B3E">
          <w:rPr>
            <w:rStyle w:val="Hyperlink"/>
            <w:rFonts w:ascii="TimesNewRoman" w:eastAsia="TimesNewRoman" w:hAnsi="TimesNewRoman" w:cs="TimesNewRoman"/>
          </w:rPr>
          <w:t>Dodatek 4</w:t>
        </w:r>
        <w:r>
          <w:tab/>
        </w:r>
        <w:r>
          <w:fldChar w:fldCharType="begin"/>
        </w:r>
        <w:r>
          <w:instrText xml:space="preserve"> PAGEREF _Toc256000024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5" w:history="1">
        <w:r w:rsidR="00A77B3E">
          <w:rPr>
            <w:rStyle w:val="Hyperlink"/>
            <w:rFonts w:ascii="TimesNewRoman" w:eastAsia="TimesNewRoman" w:hAnsi="TimesNewRoman" w:cs="TimesNewRoman"/>
          </w:rPr>
          <w:t>Dodatek 6</w:t>
        </w:r>
        <w:r>
          <w:tab/>
        </w:r>
        <w:r>
          <w:fldChar w:fldCharType="begin"/>
        </w:r>
        <w:r>
          <w:instrText xml:space="preserve"> PAGEREF _Toc256000025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6" w:history="1">
        <w:r w:rsidR="00A77B3E">
          <w:rPr>
            <w:rStyle w:val="Hyperlink"/>
            <w:rFonts w:ascii="TimesNewRoman" w:eastAsia="TimesNewRoman" w:hAnsi="TimesNewRoman" w:cs="TimesNewRoman"/>
          </w:rPr>
          <w:t>Dodatek 7</w:t>
        </w:r>
        <w:r>
          <w:tab/>
        </w:r>
        <w:r>
          <w:fldChar w:fldCharType="begin"/>
        </w:r>
        <w:r>
          <w:instrText xml:space="preserve"> PAGEREF _Toc256000026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7" w:history="1">
        <w:r w:rsidR="00A77B3E">
          <w:rPr>
            <w:rStyle w:val="Hyperlink"/>
            <w:rFonts w:ascii="Times New Roman" w:hAnsi="Times New Roman" w:cs="Times New Roman"/>
          </w:rPr>
          <w:t>LETNO POROČILO O NADZORU</w:t>
        </w:r>
        <w:r>
          <w:tab/>
        </w:r>
        <w:r>
          <w:fldChar w:fldCharType="begin"/>
        </w:r>
        <w:r>
          <w:instrText xml:space="preserve"> PAGEREF _Toc256000027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8" w:history="1">
        <w:r w:rsidR="00A77B3E">
          <w:rPr>
            <w:rStyle w:val="Hyperlink"/>
            <w:rFonts w:ascii="Times New Roman" w:hAnsi="Times New Roman" w:cs="Times New Roman"/>
          </w:rPr>
          <w:t>IZJAVA O UPRAVLJANJU</w:t>
        </w:r>
        <w:r>
          <w:tab/>
        </w:r>
        <w:r>
          <w:fldChar w:fldCharType="begin"/>
        </w:r>
        <w:r>
          <w:instrText xml:space="preserve"> PAGEREF _Toc256000028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29" w:history="1">
        <w:r w:rsidR="00A77B3E">
          <w:rPr>
            <w:rStyle w:val="Hyperlink"/>
            <w:rFonts w:ascii="Times New Roman" w:hAnsi="Times New Roman" w:cs="Times New Roman"/>
          </w:rPr>
          <w:t>REVIZIJSKO MNENJE</w:t>
        </w:r>
        <w:r>
          <w:tab/>
        </w:r>
        <w:r>
          <w:fldChar w:fldCharType="begin"/>
        </w:r>
        <w:r>
          <w:instrText xml:space="preserve"> PAGEREF _Toc256000029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30" w:history="1">
        <w:r w:rsidR="00A77B3E">
          <w:rPr>
            <w:rStyle w:val="Hyperlink"/>
            <w:rFonts w:ascii="TimesNewRoman" w:eastAsia="TimesNewRoman" w:hAnsi="TimesNewRoman" w:cs="TimesNewRoman"/>
          </w:rPr>
          <w:t>1. UVOD</w:t>
        </w:r>
        <w:r>
          <w:tab/>
        </w:r>
        <w:r>
          <w:fldChar w:fldCharType="begin"/>
        </w:r>
        <w:r>
          <w:instrText xml:space="preserve"> PAGEREF _Toc256000030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31" w:history="1">
        <w:r w:rsidR="00A77B3E">
          <w:rPr>
            <w:rStyle w:val="Hyperlink"/>
            <w:rFonts w:ascii="TimesNewRoman" w:eastAsia="TimesNewRoman" w:hAnsi="TimesNewRoman" w:cs="TimesNewRoman"/>
          </w:rPr>
          <w:t>2. ODGOVORNOSTI ORGANA UPRAVLJANJA</w:t>
        </w:r>
        <w:r>
          <w:tab/>
        </w:r>
        <w:r>
          <w:fldChar w:fldCharType="begin"/>
        </w:r>
        <w:r>
          <w:instrText xml:space="preserve"> PAGEREF _Toc256000031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32" w:history="1">
        <w:r w:rsidR="00A77B3E">
          <w:rPr>
            <w:rStyle w:val="Hyperlink"/>
            <w:rFonts w:ascii="TimesNewRoman" w:eastAsia="TimesNewRoman" w:hAnsi="TimesNewRoman" w:cs="TimesNewRoman"/>
          </w:rPr>
          <w:t>3. ODGOVORNOSTI REVIZIJSKEGA ORGANA</w:t>
        </w:r>
        <w:r>
          <w:tab/>
        </w:r>
        <w:r>
          <w:fldChar w:fldCharType="begin"/>
        </w:r>
        <w:r>
          <w:instrText xml:space="preserve"> PAGEREF _Toc256000032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33" w:history="1">
        <w:r w:rsidR="00A77B3E">
          <w:rPr>
            <w:rStyle w:val="Hyperlink"/>
            <w:rFonts w:ascii="TimesNewRoman" w:eastAsia="TimesNewRoman" w:hAnsi="TimesNewRoman" w:cs="TimesNewRoman"/>
          </w:rPr>
          <w:t>4. OMEJITEV OBSEGA</w:t>
        </w:r>
        <w:r>
          <w:tab/>
        </w:r>
        <w:r>
          <w:fldChar w:fldCharType="begin"/>
        </w:r>
        <w:r>
          <w:instrText xml:space="preserve"> PAGEREF _Toc256000033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34" w:history="1">
        <w:r w:rsidR="00A77B3E">
          <w:rPr>
            <w:rStyle w:val="Hyperlink"/>
            <w:rFonts w:ascii="TimesNewRoman" w:eastAsia="TimesNewRoman" w:hAnsi="TimesNewRoman" w:cs="TimesNewRoman"/>
          </w:rPr>
          <w:t>5. MNENJE</w:t>
        </w:r>
        <w:r>
          <w:tab/>
        </w:r>
        <w:r>
          <w:fldChar w:fldCharType="begin"/>
        </w:r>
        <w:r>
          <w:instrText xml:space="preserve"> PAGEREF _Toc256000034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3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35" w:history="1">
        <w:r w:rsidR="00A77B3E">
          <w:rPr>
            <w:rStyle w:val="Hyperlink"/>
            <w:rFonts w:ascii="TimesNewRoman" w:eastAsia="TimesNewRoman" w:hAnsi="TimesNewRoman" w:cs="TimesNewRoman"/>
          </w:rPr>
          <w:t>Mnenje brez pridržka</w:t>
        </w:r>
        <w:r>
          <w:tab/>
        </w:r>
        <w:r>
          <w:fldChar w:fldCharType="begin"/>
        </w:r>
        <w:r>
          <w:instrText xml:space="preserve"> PAGEREF _Toc256000035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36" w:history="1">
        <w:r w:rsidR="00A77B3E">
          <w:rPr>
            <w:rStyle w:val="Hyperlink"/>
            <w:rFonts w:ascii="TimesNewRoman" w:eastAsia="TimesNewRoman" w:hAnsi="TimesNewRoman" w:cs="TimesNewRoman"/>
          </w:rPr>
          <w:t>POUDARJENA ZADEVA</w:t>
        </w:r>
        <w:r>
          <w:tab/>
        </w:r>
        <w:r>
          <w:fldChar w:fldCharType="begin"/>
        </w:r>
        <w:r>
          <w:instrText xml:space="preserve"> PAGEREF _Toc256000036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37" w:history="1">
        <w:r w:rsidR="00A77B3E">
          <w:rPr>
            <w:rStyle w:val="Hyperlink"/>
            <w:rFonts w:ascii="TimesNewRoman" w:eastAsia="TimesNewRoman" w:hAnsi="TimesNewRoman" w:cs="TimesNewRoman"/>
          </w:rPr>
          <w:t>DOKUMENTI</w:t>
        </w:r>
        <w:r>
          <w:tab/>
        </w:r>
        <w:r>
          <w:fldChar w:fldCharType="begin"/>
        </w:r>
        <w:r>
          <w:instrText xml:space="preserve"> PAGEREF _Toc256000037 \h </w:instrText>
        </w:r>
        <w:r>
          <w:fldChar w:fldCharType="separate"/>
        </w:r>
        <w:r>
          <w:t>19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08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19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OBRAČUNI</w:t>
      </w:r>
      <w:bookmarkEnd w:id="0"/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bookmarkStart w:id="1" w:name="_Toc256000020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IZJAVE</w:t>
      </w:r>
      <w:bookmarkEnd w:id="1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Organ upravljanja/telo, ki opravlja računovodsko funkcijo, pristojno za program, potrjuje, da: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(1) so obračuni popolni, natančni in verodostojni;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(2) so določbe točk (b) in (c) člena 76(1) upoštevane.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Zastopnik organa upravljanja/telesa, ki opravlja računovodsko funkcijo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0370"/>
      </w:tblGrid>
      <w:tr>
        <w:tblPrEx>
          <w:tblW w:w="100%" w:type="pct"/>
        </w:tblPrEx>
        <w:trPr>
          <w:cantSplit w:val="0"/>
          <w:trHeight w:val="240"/>
        </w:trPr>
        <w:tc>
          <w:tcPr>
            <w:tcW w:w="33.34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mag. Evelyn Filip</w:t>
            </w:r>
          </w:p>
        </w:tc>
      </w:tr>
    </w:tbl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Organ upravljanja, pristojen za zadevni program, potrjuje, da: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(1) so izdatki, vneseni v obračune, skladni z veljavnim pravom ter so zakoniti in pravilni;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(2) so upoštevane določbe uredb za posamezne sklade, člena 63(5) finančne uredbe ter točk (a) do (e) člena 74(1) te uredbe;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(3) so upoštevane določbe člena 82 glede dostopnosti dokumentov.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Zastopnik organa upravljanja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0370"/>
      </w:tblGrid>
      <w:tr>
        <w:tblPrEx>
          <w:tblW w:w="100%" w:type="pct"/>
        </w:tblPrEx>
        <w:trPr>
          <w:cantSplit w:val="0"/>
          <w:trHeight w:val="240"/>
        </w:trPr>
        <w:tc>
          <w:tcPr>
            <w:tcW w:w="33.34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Tina Heferle</w:t>
            </w:r>
          </w:p>
        </w:tc>
      </w:tr>
    </w:tbl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Organ upravljanja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 xml:space="preserve">Datum: 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14. jan. 2026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720" w:right="936" w:bottom="864" w:left="720" w:header="0" w:footer="72" w:gutter="0"/>
          <w:cols w:space="708"/>
          <w:noEndnote/>
          <w:docGrid w:linePitch="360"/>
        </w:sect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 xml:space="preserve">Elektronski podpis: 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Filip, Evelyn</w:t>
      </w: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bookmarkStart w:id="2" w:name="_Toc256000021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Dodatek 1</w:t>
      </w:r>
      <w:bookmarkEnd w:id="2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Zneski, vneseni v računovodske sisteme računovodske funkcije – točka (a) člena 98(3)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Ta tabela ne vključuje odhodkov, povezanih s specifičnimi cilji, za katere omogočitveni pogoji niso izpolnjeni, razen operacij, ki prispevajo k izpolnjevanju omogočitvenih pogojev.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410"/>
        <w:gridCol w:w="1340"/>
        <w:gridCol w:w="4120"/>
        <w:gridCol w:w="2500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Specifični cilj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Vrsta ukrepa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Skupni znesek upravičenih odhodkov, ki so bili vneseni v računovodske sisteme telesa, ki opravlja računovodsko funkcijo, in vključeni v zahtevke za plačilo za obračunsko leto, v skladu s točko (a) člena 98(3)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Skupni znesek ustreznega javnega prispevka, ki je bil ali bo izveden v skladu s točko (a) člena 98(3)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(A)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(B)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Izmenjava informacij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937.791,51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937.791,51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Izmenjava informacij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135.979,94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135.979,94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Izmenjava informacij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2. Čezmejno sodelovanje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2.046.753,70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2.046.753,70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2. Čezmejno sodelovanje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2. Posebni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34.892,22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34.892,22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2. Čezmejno sodelovanje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3. Preprečevanje kriminala in boj proti njemu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1.797.480,39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1.797.480,39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3. Preprečevanje kriminala in boj proti njemu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929.860,89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929.860,89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TA.36(5). Tehnična pomoč – pavšalna stopnja (člen 36(5) uredbe o skupnih določbah)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274.630,73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  <w:t>6.157.389,38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  <w:t>5.882.758,65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bookmarkStart w:id="3" w:name="_Toc256000022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Dodatek 2</w:t>
      </w:r>
      <w:bookmarkEnd w:id="3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Zneski, ki so bili med obračunskim letom umaknjeni – točka (b) člena 98(3) in člen 98(7)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4195"/>
        <w:gridCol w:w="1632"/>
        <w:gridCol w:w="2938"/>
        <w:gridCol w:w="1605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Specifični cilj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Vrsta ukrepa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Umaknjeni zneski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Skupni znesek odhodkov, vključenih v zahtevke za plačilo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Ustrezni javni prispevek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(A)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(B)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Izmenjava informacij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Izmenjava informacij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Izmenjava informacij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2. Čezmejno sodelovanje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2. Čezmejno sodelovanje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2. Posebni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2. Čezmejno sodelovanje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3. Preprečevanje kriminala in boj proti njemu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3. Preprečevanje kriminala in boj proti njemu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TA.36(5). Tehnična pomoč – pavšalna stopnja (člen 36(5) uredbe o skupnih določbah)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Razčlenitev zneskov, ki so bili med obračunskim letom umaknjeni, po obračunskem letu izjave o ustreznih odhodkih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5862"/>
        <w:gridCol w:w="2911"/>
        <w:gridCol w:w="1597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Umaknjeni zneski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Skupni znesek odhodkov, vključenih v zahtevke za plačilo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Ustrezni javni prispevek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(A)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(B)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V zvezi z obračunskim letom, ki se zaključi 30. junija  2025 (Skupaj)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 xml:space="preserve">Od tega zneski, ki so bili popravljeni na podlagi revizij revizijskega organa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Od tega zneski, ki so bili popravljeni na podlagi revizij Evropske komisije in Evropskega računskega sodišča ter preiskav urada OLAF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V zvezi z obračunskim letom, ki se zaključi 30. junija  2024 (Skupaj)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 xml:space="preserve">Od tega zneski, ki so bili popravljeni na podlagi revizij revizijskega organa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Od tega zneski, ki so bili popravljeni na podlagi revizij Evropske komisije in Evropskega računskega sodišča ter preiskav urada OLAF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V zvezi z obračunskim letom, ki se zaključi 30. junija  2023 (Skupaj)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 xml:space="preserve">Od tega zneski, ki so bili popravljeni na podlagi revizij revizijskega organa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Od tega zneski, ki so bili popravljeni na podlagi revizij Evropske komisije in Evropskega računskega sodišča ter preiskav urada OLAF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V zvezi z obračunskim letom, ki se zaključi 30. junija  2022 (Skupaj)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 xml:space="preserve">Od tega zneski, ki so bili popravljeni na podlagi revizij revizijskega organa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Od tega zneski, ki so bili popravljeni na podlagi revizij Evropske komisije in Evropskega računskega sodišča ter preiskav urada OLAF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sectPr>
          <w:type w:val="nextPage"/>
          <w:pgSz w:w="11906" w:h="16838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bookmarkStart w:id="4" w:name="_Toc256000023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Dodatek 3</w:t>
      </w:r>
      <w:bookmarkEnd w:id="4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</w:rPr>
        <w:t>Zneski prispevkov iz programa, plačanih finančnim instrumentom (kumulativno od začetka programa) – točka (c) člena 98(3)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851"/>
        <w:gridCol w:w="1328"/>
        <w:gridCol w:w="893"/>
        <w:gridCol w:w="4209"/>
        <w:gridCol w:w="540"/>
        <w:gridCol w:w="1549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Specifični cilj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Vrsta ukrepa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Znesek, vključen v prvi zahtevek za plačilo in plačan finančnemu instrumentu v skladu s členom 92 (znaša lahko največ 30 % skupnega zneska prispevkov iz programa, ki so v skladu z ustreznim sporazumom o financiranju odobreni za finančni instrument/finančne instrumente)</w:t>
            </w:r>
          </w:p>
        </w:tc>
        <w:tc>
          <w:tcPr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</w:rPr>
              <w:t>Ustrezni obračunani znesek iz člena 92(3)</w:t>
            </w: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superscript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Skupni znesek prispevkov iz programa, plačanih finančnim instrumentom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Skupni znesek ustreznega javnega prispevka</w:t>
            </w: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Skupni znesek prispevkov iz programa v skladu s točko (b) člena 92(2)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Skupni znesek ustreznega javnega prispevka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(A)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(B)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(C)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(D)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Izmenjava informacij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Izmenjava informacij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Izmenjava informacij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2. Čezmejno sodelovanje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2. Čezmejno sodelovanje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2. Posebni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2. Čezmejno sodelovanje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3. Preprečevanje kriminala in boj proti njemu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3. Preprečevanje kriminala in boj proti njemu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24"/>
                <w:vertAlign w:val="baseline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Ta znesek se ne vključi v zahtevke za plačilo.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nextPage"/>
          <w:pgSz w:w="11906" w:h="16838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5" w:name="_Toc256000024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Dodatek 4</w:t>
      </w:r>
      <w:bookmarkEnd w:id="5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Uskladitev izdatkov – točka (d) člena 98(3) in člen 98(7)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180"/>
        <w:gridCol w:w="716"/>
        <w:gridCol w:w="2434"/>
        <w:gridCol w:w="2308"/>
        <w:gridCol w:w="2395"/>
        <w:gridCol w:w="2025"/>
        <w:gridCol w:w="556"/>
        <w:gridCol w:w="556"/>
        <w:gridCol w:w="885"/>
        <w:gridCol w:w="864"/>
        <w:gridCol w:w="495"/>
        <w:gridCol w:w="888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upravičenih izdatkov, vključenih v zahtevke za plačilo, ki so bili predloženi Komisiji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Izdatki, prijavljeni v skladu s členom 98 Uredbe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Razlika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Opombe (obvezno v primeru razlik za vsako vrsto odbitka v skladu s členom 98(6))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upravičenih izdatkov, ki so jih imeli upravičenci in so bili plačani pri izvajanju operacij, povezanih s specifičnimi cilji, za katere so omogočitveni pogoji izpolnjeni, ali operacij, ki prispevajo k izpolnjevanju omogočitvenih pogojev, kakor so vneseni v sistem telesa, ki opravlja računovodsko funkcijo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javnega prispevka, ki je bil ali bo izveden pri izvajanju operacij, povezanih s specifičnimi cilji, za katere so omogočitveni pogoji izpolnjeni, ali operacij, ki prispevajo k izpolnjevanju omogočitvenih pogojev, kakor so vneseni v sistem telesa, ki opravlja računovodsko funkcijo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upravičenih izdatkov, ki so bili vneseni v računovodske sisteme računovodske funkcije in vključeni v zahtevke za plačilo, predložene Komisiji, povezanih s specifičnimi cilji, za katere so omogočitveni pogoji izpolnjeni, ali operacijami, ki prispevajo k izpolnjevanju omogočitvenih pogojev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ustreznega javnega prispevka, ki je bil ali bo izveden pri izvajanju operacij, povezanih s specifičnimi cilji, za katere so omogočitveni pogoji izpolnjeni, ali operacijami, ki prispevajo k izpolnjevanju omogočitvenih pogojev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(E = A – C)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(F = B – 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Izdatki, katerih zakonitost in pravilnost se trenutno ocenjujeta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Nepravilni izdatki, ki so predmet finančnih popravkov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Drugi odbitki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Opombe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(E)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(F)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(G1)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(G2)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(G3)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(G4)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Izmenjava informacij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941.514,23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941.514,23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937.791,51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937.791,51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3.722,72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3.722,72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3.722,72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PKS OU 060-5/2025/22</w:t>
            </w:r>
          </w:p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Izmenjava informacij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135.979,94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135.979,94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135.979,94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135.979,94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Izmenjava informacij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Čezmejno sodelovanje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2.046.753,70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2.046.753,70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2.046.753,70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2.046.753,70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Čezmejno sodelovanje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Posebni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34.892,22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34.892,22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34.892,22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34.892,22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Čezmejno sodelovanje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Preprečevanje kriminala in boj proti njemu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1.800.413,37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1.800.413,37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1.797.480,39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1.797.480,39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2.932,98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2.932,98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2.932,98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Končno poročilo UNP RO25-6, Končno poročilo UNP RO25-7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Preprečevanje kriminala in boj proti njemu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929.860,89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929.860,89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929.860,89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929.860,89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TA.36(5). Tehnična pomoč – pavšalna stopnja (člen 36(5) uredbe o skupnih določbah)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274.930,24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274.630,73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299,51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6.164.344,59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5.889.414,35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6.157.389,38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5.882.758,65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6.955,21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6.655,70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6.655,70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Od tega zneski, ki so bili v tekočem obračunu popravljeni na podlagi revizij revizijskega organa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2.932,98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2.932,98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Od tega zneski, ki so bili v tekočem obračunu popravljeni na podlagi revizij Evropske komisije in Evropskega računskega sodišča ter preiskav urada OLAF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34"/>
          <w:headerReference w:type="default" r:id="rId35"/>
          <w:footerReference w:type="even" r:id="rId36"/>
          <w:footerReference w:type="default" r:id="rId37"/>
          <w:headerReference w:type="first" r:id="rId38"/>
          <w:footerReference w:type="first" r:id="rId39"/>
          <w:type w:val="nextPage"/>
          <w:pgSz w:w="16838" w:h="11906" w:orient="landscape"/>
          <w:pgMar w:top="720" w:right="720" w:bottom="864" w:left="936" w:header="288" w:footer="72" w:gutter="0"/>
          <w:cols w:space="708"/>
          <w:noEndnote/>
          <w:docGrid w:linePitch="360"/>
        </w:sect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6" w:name="_Toc256000025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Dodatek 6</w:t>
      </w:r>
      <w:bookmarkEnd w:id="6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Informacije o izdatkih, povezanih s specifičnimi cilji, za katere omogočitveni pogoji niso izpolnjeni (kumulativno od začetka programskega obdobja)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905"/>
        <w:gridCol w:w="835"/>
        <w:gridCol w:w="920"/>
        <w:gridCol w:w="3045"/>
        <w:gridCol w:w="2685"/>
        <w:gridCol w:w="2956"/>
        <w:gridCol w:w="2956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Osnova za izračun (javni ali skupaj)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 upravičenih izdatkov, ki so jih imeli upravičenci in so bili plačani pri izvajanju operacij, v skladu s členom 91(3), točka (a) ali (c), ali prispevek Unije v skladu s členom 91(4) v povezavi z neizpolnjenimi omogočitvenimi pogoji v smislu člena 15(5) ali (6), razen operacij, ki prispevajo k izpolnjevanju omogočitvenih pogojev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 upravičenih izdatkov, ki so jih imeli upravičenci in so bili plačani pri izvajanju operacij, v skladu s členom 91(3), točka (a) ali (c), ali prispevek Unije v skladu s členom 91(4) v povezavi z izpolnjenimi omogočitvenimi pogoji v smislu člena 15(5) ali (6) ali kot prispevek k izpolnjevanju omogočitvenih pogojev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Javno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Javno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(E)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Izmenjava informacij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937.791,51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937.791,51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Izmenjava informacij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135.979,94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135.979,94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Izmenjava informacij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Čezmejno sodelovanje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2.046.753,70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2.046.753,70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Čezmejno sodelovanje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Posebni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34.892,22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34.892,22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Čezmejno sodelovanje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Preprečevanje kriminala in boj proti njemu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1.797.480,39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1.797.480,39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Preprečevanje kriminala in boj proti njemu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929.860,89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929.860,89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TA.36(5). Tehnična pomoč – pavšalna stopnja (člen 36(5) uredbe o skupnih določbah)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274.630,73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6.157.389,38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5.882.758,65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40"/>
          <w:headerReference w:type="default" r:id="rId41"/>
          <w:footerReference w:type="even" r:id="rId42"/>
          <w:footerReference w:type="default" r:id="rId43"/>
          <w:headerReference w:type="first" r:id="rId44"/>
          <w:footerReference w:type="first" r:id="rId45"/>
          <w:type w:val="nextPage"/>
          <w:pgSz w:w="16838" w:h="11906" w:orient="landscape"/>
          <w:pgMar w:top="720" w:right="720" w:bottom="864" w:left="936" w:header="288" w:footer="72" w:gutter="0"/>
          <w:cols w:space="708"/>
          <w:noEndnote/>
          <w:docGrid w:linePitch="360"/>
        </w:sect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7" w:name="_Toc256000026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Dodatek 7</w:t>
      </w:r>
      <w:bookmarkEnd w:id="7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Predplačila, izplačana v okviru državne pomoči na podlagi člena 91(5) (kumulativno od začetka programa)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290"/>
        <w:gridCol w:w="1219"/>
        <w:gridCol w:w="2127"/>
        <w:gridCol w:w="4790"/>
        <w:gridCol w:w="4876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znesek, plačan v obliki predplačil</w:t>
            </w: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superscript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ki je bil zajet v izdatke, ki so jih upravičenci plačali v treh letih po letu plačila predplačila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ki ni bil zajet v izdatke, ki so jih plačali upravičenci, in za katerega triletni rok še ni potekel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Izmenjava informacij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Izmenjava informacij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Izmenjava informacij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4. Operativna podpora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Čezmejno sodelovanje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Čezmejno sodelovanje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Posebni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Čezmejno sodelovanje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Preprečevanje kriminala in boj proti njemu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Redni ukrepi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Preprečevanje kriminala in boj proti njemu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Ukrepi iz Priloge IV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NewRoman" w:eastAsia="TimesNewRoman" w:hAnsi="TimesNewRoman" w:cs="TimesNew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46"/>
          <w:headerReference w:type="default" r:id="rId47"/>
          <w:footerReference w:type="even" r:id="rId48"/>
          <w:footerReference w:type="default" r:id="rId49"/>
          <w:headerReference w:type="first" r:id="rId50"/>
          <w:footerReference w:type="first" r:id="rId51"/>
          <w:type w:val="nextPage"/>
          <w:pgSz w:w="16838" w:h="11906" w:orient="landscape"/>
          <w:pgMar w:top="720" w:right="720" w:bottom="864" w:left="936" w:header="288" w:footer="72" w:gutter="0"/>
          <w:cols w:space="708"/>
          <w:noEndnote/>
          <w:docGrid w:linePitch="360"/>
        </w:sect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  <w:vertAlign w:val="superscript"/>
        </w:rPr>
        <w:t>1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  <w:vertAlign w:val="baseline"/>
        </w:rPr>
        <w:t xml:space="preserve"> Ta znesek je vključen v skupni znesek upravičenih izdatkov, ki so jih imeli upravičenci in so bili plačani pri izvajanju operacij, kot je navedeno v zahtevku za plačilo. Ker je državna pomoč po naravi javni izdatek, je ta skupni znesek enak javnemu izdatku.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8" w:name="_Toc256000027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LETNO POROČILO O NADZORU</w:t>
      </w:r>
      <w:bookmarkEnd w:id="8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Letno poročilo o nadzoru, ki vključuje ta program, povezano s to različico obračunov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52"/>
          <w:headerReference w:type="default" r:id="rId53"/>
          <w:footerReference w:type="even" r:id="rId54"/>
          <w:footerReference w:type="default" r:id="rId55"/>
          <w:headerReference w:type="first" r:id="rId56"/>
          <w:footerReference w:type="first" r:id="rId57"/>
          <w:type w:val="nextPage"/>
          <w:pgSz w:w="11906" w:h="16838" w:orient="portrait"/>
          <w:pgMar w:top="720" w:right="936" w:bottom="864" w:left="720" w:header="0" w:footer="72" w:gutter="0"/>
          <w:cols w:space="708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Letno poročilo o nadzoru za program SNV - 2024.0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9" w:name="_Toc256000028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IZJAVA O UPRAVLJANJU</w:t>
      </w:r>
      <w:bookmarkEnd w:id="9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Izjava o upravljanju – točka (f) člena 74(1)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Spodaj podpisani/-a Tina Heferle, državna sekretarka, vodja organa upravljanja za program 2021SI65ISPR001 "Programme Slovenia - ISF"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na podlagi izvajanja "Programme Slovenia - ISF" v obračunskem letu, ki se je končalo 30. junija 2025, na podlagi lastne presoje in vseh meni/nam/-a razpoložljivih informacij na datum predložitve obračunov Komisiji, vključno z rezultati upravljalnih preverjanj, izvedenih v skladu s členom 74 Uredbe (EU) 2021/1060 Evropskega parlamenta in Sveta,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 ter revizij v zvezi z izdatki, vključenimi v zahtevke za plačilo, predložene Komisiji za obračunsko leto, ki se je končalo 30. junija 2025,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ter ob upoštevanju svojih obveznosti iz Uredbe (EU) 2021/1060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izjavljam/-va/-o, da: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(a) so informacije v obračunih ustrezno predstavljene, popolne in natančne v skladu s členom 98 Uredbe (EU) 2021/1060;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(b) so izdatki, vneseni v obračune, skladni z veljavnim pravom in so bili porabljeni za predvidene namene.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Potrjujem/-va/-mo, da so bile nepravilnosti, ugotovljene v končnem revizijskem poročilu in poročilu o nadzoru v zvezi z obračunskim letom, ustrezno obravnavane v obračunih, zlasti za uskladitev s členom 98, za predložitev obračunov. Potrjujem/-va/-mo tudi, da so bili izdatki, v zvezi s katerimi trenutno poteka ocenjevanje zakonitosti in pravilnosti, izključeni iz obračunov do zaključka ocene, lahko pa bodo vključeni v zahtevek za plačilo v naslednjem obračunskem letu.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Poleg tega potrjujem/-va/-mo zanesljivost podatkov, povezanih s kazalniki, mejniki in napredkom programa.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Potrjujem/-va/-mo tudi, da so vzpostavljeni učinkoviti in sorazmerni ukrepi za preprečevanje goljufij ter da ti upoštevajo ugotovljena tveganja v zvezi s tem.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Nazadnje potrjujem/-va/-o, da nisem/-va/-mo seznanjen/-a/-i z nobenimi nerazkritimi informacijami o vprašljivem ugledu v zvezi z izvajanjem programa.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Datum: 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9. feb. 2026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V imenu: 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Tina Heferle, državna sekretarka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Elektronski podpis: 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Heferle, Tina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type w:val="nextPage"/>
          <w:pgSz w:w="11906" w:h="16838" w:orient="portrait"/>
          <w:pgMar w:top="720" w:right="936" w:bottom="864" w:left="720" w:header="0" w:footer="72" w:gutter="0"/>
          <w:cols w:space="708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 Uredba (EU) 2021/1060 Evropskega parlamenta in Sveta z dne 24. junija 2021 o določitvi skupnih določb o Evropskem skladu za regionalni razvoj, Evropskem socialnem skladu plus, Kohezijskem skladu, Skladu za pravični prehod in Evropskem skladu za pomorstvo, ribištvo in akvakulturo ter o finančnih pravilih zanje in za Sklad za azil, migracije in vključevanje, Sklad za notranjo varnost in Instrument za finančno podporo za upravljanje meja in vizumsko politiko (UL L 231, 30.6.2021, str. 159).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10" w:name="_Toc256000029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REVIZIJSKO MNENJE</w:t>
      </w:r>
      <w:bookmarkEnd w:id="10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7033"/>
        <w:gridCol w:w="3337"/>
      </w:tblGrid>
      <w:tr>
        <w:tblPrEx>
          <w:tblW w:w="100%" w:type="pct"/>
        </w:tblPrEx>
        <w:trPr>
          <w:cantSplit w:val="0"/>
          <w:trHeight w:val="24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Obračun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Brez pridržka</w:t>
            </w:r>
          </w:p>
        </w:tc>
      </w:tr>
      <w:tr>
        <w:tblPrEx>
          <w:tblW w:w="100%" w:type="pct"/>
        </w:tblPrEx>
        <w:trPr>
          <w:cantSplit w:val="0"/>
          <w:trHeight w:val="24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Zakonitost in pravilnost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Brez pridržka</w:t>
            </w:r>
          </w:p>
        </w:tc>
      </w:tr>
      <w:tr>
        <w:tblPrEx>
          <w:tblW w:w="100%" w:type="pct"/>
        </w:tblPrEx>
        <w:trPr>
          <w:cantSplit w:val="0"/>
          <w:trHeight w:val="24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Sistem upravljanja in kontrole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Brez pridržka</w:t>
            </w:r>
          </w:p>
        </w:tc>
      </w:tr>
      <w:tr>
        <w:tblPrEx>
          <w:tblW w:w="100%" w:type="pct"/>
        </w:tblPrEx>
        <w:trPr>
          <w:cantSplit w:val="0"/>
          <w:trHeight w:val="24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Revizijsko mnenje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Brez pridržka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11" w:name="_Toc256000030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1. UVOD</w:t>
      </w:r>
      <w:bookmarkEnd w:id="11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Spodaj podpisani/-a, predstavnik/-ica Ministrstvo za finance, Urad za nadzor proračuna, ki je neodvisen v smislu člena 71(2) Uredbe (EU) 2021/1060 Evropskega parlamenta in Sveta,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 xml:space="preserve"> 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, sem revidiral/-a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(i) obračune za obračunsko leto, ki se je začelo 1. julija 2024 in končalo 30. junija 2025, z dne 11. feb. 2026 (v nadaljnjem besedilu: obračuni),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(ii) zakonitost in pravilnost izdatkov za obračunsko leto, v zvezi s katerimi se je Komisiji predložil zahtevek za povračilo (in so bili vključeni v obračune), ter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(iii) delovanje upravljavskega in kontrolnega sistema, hkrati pa preveril/-a izjavo o upravljanju za program 2021SI65ISPR001, "Programme Slovenia - ISF" (v nadaljnjem besedilu: program),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da bi izdal/-a revizijsko mnenje v skladu s točko (a) člena 77(3).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Datum: 11. feb. 2026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Elektronski podpis: Pergar, Patricija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type w:val="nextPage"/>
          <w:pgSz w:w="11906" w:h="16838" w:orient="portrait"/>
          <w:pgMar w:top="720" w:right="936" w:bottom="864" w:left="720" w:header="0" w:footer="72" w:gutter="0"/>
          <w:cols w:space="708"/>
          <w:noEndnote/>
          <w:docGrid w:linePitch="360"/>
        </w:sect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 xml:space="preserve"> Uredba (EU) 2021/1060 Evropskega parlamenta in Sveta z dne 24. junija 2021 o določitvi skupnih določb o Evropskem skladu za regionalni razvoj, Evropskem socialnem skladu plus, Kohezijskem skladu, Skladu za pravični prehod in Evropskem skladu za pomorstvo, ribištvo in akvakulturo ter o finančnih pravilih zanje in za Sklad za azil, migracije in vključevanje, Sklad za notranjo varnost in Instrument za finančno podporo za upravljanje meja in vizumsko politiko (UL L 231, 30.6.2021, str. 159).</w:t>
      </w: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12" w:name="_Toc256000031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2. ODGOVORNOSTI ORGANA UPRAVLJANJA</w:t>
      </w:r>
      <w:bookmarkEnd w:id="12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Ministrstvo za notranje zadeve, Sekretariat  , opredeljen kot organ upravljanja programa, je odgovoren za zagotavljanje pravilnega delovanja upravljavskega in kontrolnega sistema v zvezi s funkcijami in nalogami iz členov 72 do 75.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Poleg tega je Ministrstvo za notranje zadeve, Sekretariat  odgovoren za potrditev, da so obračuni popolni, natančni in verodostojni, kot zahteva člen 76 Uredbe (EU) 2021/1060 (in člen 46 Uredbe (EU) 2021/1059 Evropskega parlamenta in Sveta).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 xml:space="preserve"> 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 xml:space="preserve"> 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superscript"/>
        </w:rPr>
        <w:t>2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Organi upravljanja so v skladu s členom 74 Uredbe (EU) 2021/1060 odgovorni tudi za potrditev, da so izdatki, vneseni v obračune, zakoniti in pravilni ter skladni z veljavnim pravom.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 xml:space="preserve"> Uredba (EU) 2021/1059 dne 24. junija 2021 o posebnih določbah za cilj „evropsko teritorialno sodelovanje“ (Interreg), ki ga podpirajo Evropski sklad za regionalni razvoj in instrumenti za zunanje financiranje ( UL L 231, 30.6.2021, str. 94).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superscript"/>
        </w:rPr>
        <w:t>2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 xml:space="preserve"> Vključiti v primeru programov Interreg.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  <w:vertAlign w:val="baseline"/>
        </w:r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13" w:name="_Toc256000032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3. ODGOVORNOSTI REVIZIJSKEGA ORGANA</w:t>
      </w:r>
      <w:bookmarkEnd w:id="13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Kot je določeno v členu 77 Uredbe (EU) 2021/1060, sem odgovoren/-na za neodvisno mnenje o popolnosti, natančnosti in verodostojnosti obračunov, o tem, ali so izdatki, v zvezi s katerimi je bil Komisiji predložen zahtevek za povračilo in ki so vključeni v obračune, zakoniti in pravilni ter ali vzpostavljeni upravljavski in kontrolni sistem deluje pravilno.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V mnenje moram poleg tega vključiti izjavo, ali se z revizijo zmanjšuje zanesljivost trditev iz izjave o upravljanju.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Revizije v zvezi s programom so bile izvedene v skladu z revizijsko strategijo in so skladne z mednarodno priznanimi revizijskimi standardi. V skladu s temi standardi mora revizijski organ izpolnjevati etične zahteve ter načrtovati in izvesti revizijo, da pridobi zadostna zagotovila za namene revizijskega mnenja.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Revizija vključuje izvajanje postopkov za pridobitev zadostnih in ustreznih dokazov v podporo spodaj navedenemu mnenju. Izvedeni postopki, vključno z oceno tveganja pomembne neskladnosti zaradi goljufije ali napake, so odvisni od strokovne presoje revizorja.  Izvedeni revizijski postopki so tisti, ki so po mojem mnenju ustrezni glede na okoliščine in v skladu z zahtevami iz Uredbe (EU) 2021/1060.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Menim, da so zbrani revizijski dokazi zadostna in ustrezna osnova za moje mnenje,.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Povzetek glavnih ugotovitev na podlagi revizij v zvezi s programom je naveden v priloženem letnem poročilu o nadzoru v skladu s točko (b) člena 77(3) Uredbe (EU) 2021/1060.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type w:val="nextPage"/>
          <w:pgSz w:w="11906" w:h="16838" w:orient="portrait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14" w:name="_Toc256000033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4. OMEJITEV OBSEGA</w:t>
      </w:r>
      <w:bookmarkEnd w:id="14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Obseg revizije ni bil omejen.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0370"/>
      </w:tblGrid>
      <w:tr>
        <w:tblPrEx>
          <w:tblW w:w="100%" w:type="pct"/>
        </w:tblPrEx>
        <w:trPr>
          <w:cantSplit w:val="0"/>
          <w:trHeight w:val="24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type w:val="nextPage"/>
          <w:pgSz w:w="11906" w:h="16838" w:orient="portrait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15" w:name="_Toc256000034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5. MNENJE</w:t>
      </w:r>
      <w:bookmarkEnd w:id="15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pStyle w:val="Heading3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16" w:name="_Toc256000035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Mnenje brez pridržka</w:t>
      </w:r>
      <w:bookmarkEnd w:id="16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Na podlagi izvedene revizije menim, da: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(1) Obračuni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– obračuni prikazujejo verodostojno in pošteno sliko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(2) Zakonitost in pravilnost izdatkov, vključenih v obračune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– izdatki, vključeni v obračune, so zakoniti in pravilni,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 xml:space="preserve"> 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superscript"/>
        </w:rPr>
        <w:t>1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(3) Upravljavski in kontrolni sistem, vzpostavljen na datum tega revizijskega mnenja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– upravljavski in kontrolni sistem deluje pravilno.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Izvedena revizija ne zmanjšuje zanesljivosti trditev iz izjave o upravljanju.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 xml:space="preserve"> Razen za programe Interreg, ki spadajo v okvir letnega vzorca za revizije operacij, ki ga sestavi Komisija, kot je predvideno v členu 48 uredbe o Interreg.</w:t>
      </w:r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sectPr>
          <w:type w:val="nextPage"/>
          <w:pgSz w:w="11906" w:h="16838" w:orient="portrait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pStyle w:val="Heading2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17" w:name="_Toc256000036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POUDARJENA ZADEVA</w:t>
      </w:r>
      <w:bookmarkEnd w:id="17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0370"/>
      </w:tblGrid>
      <w:tr>
        <w:tblPrEx>
          <w:tblW w:w="100%" w:type="pct"/>
        </w:tblPrEx>
        <w:trPr>
          <w:cantSplit w:val="0"/>
          <w:trHeight w:val="24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NewRoman" w:eastAsia="TimesNewRoman" w:hAnsi="TimesNewRoman" w:cs="TimesNew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sectPr>
          <w:type w:val="nextPage"/>
          <w:pgSz w:w="11906" w:h="16838" w:orient="portrait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</w:pPr>
      <w:bookmarkStart w:id="18" w:name="_Toc256000037"/>
      <w:r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24"/>
          <w:vertAlign w:val="baseline"/>
        </w:rPr>
        <w:t>DOKUMENTI</w:t>
      </w:r>
      <w:bookmarkEnd w:id="18"/>
    </w:p>
    <w:p w:rsidR="00A77B3E">
      <w:pPr>
        <w:spacing w:before="100" w:after="0"/>
        <w:jc w:val="start"/>
        <w:rPr>
          <w:rFonts w:ascii="TimesNewRoman" w:eastAsia="TimesNewRoman" w:hAnsi="TimesNewRoman" w:cs="TimesNew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806"/>
        <w:gridCol w:w="1806"/>
        <w:gridCol w:w="1129"/>
        <w:gridCol w:w="1805"/>
        <w:gridCol w:w="1805"/>
        <w:gridCol w:w="4018"/>
        <w:gridCol w:w="1128"/>
        <w:gridCol w:w="1805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Naslov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Vrsta dokumenta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Datum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Lokalna referenca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Referenčna oznaka Komisije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Datoteke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Datum pošiljanja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Poslal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ACC snapshot 2021SI65ISPR001 2024.0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Posnetek podatkov pred pošiljanjem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11. feb. 2026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Ares(2026)1543320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ACC_snapshot_2021SI65ISPR001_2024.0_sl_en.pdf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ACC_snapshot_2021SI65ISPR001_2024.0_sl.pdf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ACC_snapshot_2021SI65ISPR001_2024.0_en.pdf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11. feb. 2026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Novakovič, Mirjam</w:t>
            </w:r>
          </w:p>
        </w:tc>
      </w:tr>
    </w:tbl>
    <w:p w:rsidR="00A77B3E">
      <w:pPr>
        <w:spacing w:before="100" w:after="0"/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sectPr>
      <w:headerReference w:type="even" r:id="rId58"/>
      <w:headerReference w:type="default" r:id="rId59"/>
      <w:footerReference w:type="even" r:id="rId60"/>
      <w:footerReference w:type="default" r:id="rId61"/>
      <w:headerReference w:type="first" r:id="rId62"/>
      <w:footerReference w:type="first" r:id="rId63"/>
      <w:type w:val="nextPage"/>
      <w:pgSz w:w="16838" w:h="11906" w:orient="landscape"/>
      <w:pgMar w:top="720" w:right="720" w:bottom="864" w:left="936" w:header="288" w:footer="72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200"/>
      <w:gridCol w:w="1969"/>
      <w:gridCol w:w="4201"/>
    </w:tblGrid>
    <w:tr>
      <w:tblPrEx>
        <w:tblW w:w="100%" w:type="pct"/>
      </w:tblPrEx>
      <w:trPr>
        <w:cantSplit w:val="0"/>
        <w:trHeight w:val="24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6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200"/>
      <w:gridCol w:w="1969"/>
      <w:gridCol w:w="4201"/>
    </w:tblGrid>
    <w:tr>
      <w:tblPrEx>
        <w:tblW w:w="100%" w:type="pct"/>
      </w:tblPrEx>
      <w:trPr>
        <w:cantSplit w:val="0"/>
        <w:trHeight w:val="24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8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199"/>
      <w:gridCol w:w="2905"/>
      <w:gridCol w:w="6198"/>
    </w:tblGrid>
    <w:tr>
      <w:tblPrEx>
        <w:tblW w:w="100%" w:type="pct"/>
      </w:tblPrEx>
      <w:trPr>
        <w:cantSplit w:val="0"/>
        <w:trHeight w:val="24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9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5661"/>
      <w:gridCol w:w="3980"/>
      <w:gridCol w:w="5661"/>
    </w:tblGrid>
    <w:tr>
      <w:tblPrEx>
        <w:tblW w:w="100%" w:type="pct"/>
      </w:tblPrEx>
      <w:trPr>
        <w:cantSplit w:val="0"/>
        <w:trHeight w:val="24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10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5661"/>
      <w:gridCol w:w="3980"/>
      <w:gridCol w:w="5661"/>
    </w:tblGrid>
    <w:tr>
      <w:tblPrEx>
        <w:tblW w:w="100%" w:type="pct"/>
      </w:tblPrEx>
      <w:trPr>
        <w:cantSplit w:val="0"/>
        <w:trHeight w:val="24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11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3837"/>
      <w:gridCol w:w="2697"/>
      <w:gridCol w:w="3836"/>
    </w:tblGrid>
    <w:tr>
      <w:tblPrEx>
        <w:tblW w:w="100%" w:type="pct"/>
      </w:tblPrEx>
      <w:trPr>
        <w:cantSplit w:val="0"/>
        <w:trHeight w:val="24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18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5661"/>
      <w:gridCol w:w="3980"/>
      <w:gridCol w:w="5661"/>
    </w:tblGrid>
    <w:tr>
      <w:tblPrEx>
        <w:tblW w:w="100%" w:type="pct"/>
      </w:tblPrEx>
      <w:trPr>
        <w:cantSplit w:val="0"/>
        <w:trHeight w:val="24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19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200"/>
      <w:gridCol w:w="1969"/>
      <w:gridCol w:w="4201"/>
    </w:tblGrid>
    <w:tr>
      <w:tblPrEx>
        <w:tblW w:w="100%" w:type="pct"/>
      </w:tblPrEx>
      <w:trPr>
        <w:cantSplit w:val="0"/>
        <w:trHeight w:val="24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2">
    <w:name w:val="toc 2"/>
    <w:basedOn w:val="Normal"/>
    <w:next w:val="Normal"/>
    <w:autoRedefine/>
    <w:rsid w:val="00805BCE"/>
    <w:pPr>
      <w:ind w:start="240"/>
    </w:p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header" Target="header7.xml" /><Relationship Id="rId17" Type="http://purl.oclc.org/ooxml/officeDocument/relationships/header" Target="header8.xml" /><Relationship Id="rId18" Type="http://purl.oclc.org/ooxml/officeDocument/relationships/footer" Target="footer7.xml" /><Relationship Id="rId19" Type="http://purl.oclc.org/ooxml/officeDocument/relationships/footer" Target="footer8.xml" /><Relationship Id="rId2" Type="http://purl.oclc.org/ooxml/officeDocument/relationships/webSettings" Target="webSettings.xml" /><Relationship Id="rId20" Type="http://purl.oclc.org/ooxml/officeDocument/relationships/header" Target="header9.xml" /><Relationship Id="rId21" Type="http://purl.oclc.org/ooxml/officeDocument/relationships/footer" Target="footer9.xml" /><Relationship Id="rId22" Type="http://purl.oclc.org/ooxml/officeDocument/relationships/header" Target="header10.xml" /><Relationship Id="rId23" Type="http://purl.oclc.org/ooxml/officeDocument/relationships/header" Target="header11.xml" /><Relationship Id="rId24" Type="http://purl.oclc.org/ooxml/officeDocument/relationships/footer" Target="footer10.xml" /><Relationship Id="rId25" Type="http://purl.oclc.org/ooxml/officeDocument/relationships/footer" Target="footer11.xml" /><Relationship Id="rId26" Type="http://purl.oclc.org/ooxml/officeDocument/relationships/header" Target="header12.xml" /><Relationship Id="rId27" Type="http://purl.oclc.org/ooxml/officeDocument/relationships/footer" Target="footer12.xml" /><Relationship Id="rId28" Type="http://purl.oclc.org/ooxml/officeDocument/relationships/header" Target="header13.xml" /><Relationship Id="rId29" Type="http://purl.oclc.org/ooxml/officeDocument/relationships/header" Target="header14.xml" /><Relationship Id="rId3" Type="http://purl.oclc.org/ooxml/officeDocument/relationships/fontTable" Target="fontTable.xml" /><Relationship Id="rId30" Type="http://purl.oclc.org/ooxml/officeDocument/relationships/footer" Target="footer13.xml" /><Relationship Id="rId31" Type="http://purl.oclc.org/ooxml/officeDocument/relationships/footer" Target="footer14.xml" /><Relationship Id="rId32" Type="http://purl.oclc.org/ooxml/officeDocument/relationships/header" Target="header15.xml" /><Relationship Id="rId33" Type="http://purl.oclc.org/ooxml/officeDocument/relationships/footer" Target="footer15.xml" /><Relationship Id="rId34" Type="http://purl.oclc.org/ooxml/officeDocument/relationships/header" Target="header16.xml" /><Relationship Id="rId35" Type="http://purl.oclc.org/ooxml/officeDocument/relationships/header" Target="header17.xml" /><Relationship Id="rId36" Type="http://purl.oclc.org/ooxml/officeDocument/relationships/footer" Target="footer16.xml" /><Relationship Id="rId37" Type="http://purl.oclc.org/ooxml/officeDocument/relationships/footer" Target="footer17.xml" /><Relationship Id="rId38" Type="http://purl.oclc.org/ooxml/officeDocument/relationships/header" Target="header18.xml" /><Relationship Id="rId39" Type="http://purl.oclc.org/ooxml/officeDocument/relationships/footer" Target="footer18.xml" /><Relationship Id="rId4" Type="http://purl.oclc.org/ooxml/officeDocument/relationships/header" Target="header1.xml" /><Relationship Id="rId40" Type="http://purl.oclc.org/ooxml/officeDocument/relationships/header" Target="header19.xml" /><Relationship Id="rId41" Type="http://purl.oclc.org/ooxml/officeDocument/relationships/header" Target="header20.xml" /><Relationship Id="rId42" Type="http://purl.oclc.org/ooxml/officeDocument/relationships/footer" Target="footer19.xml" /><Relationship Id="rId43" Type="http://purl.oclc.org/ooxml/officeDocument/relationships/footer" Target="footer20.xml" /><Relationship Id="rId44" Type="http://purl.oclc.org/ooxml/officeDocument/relationships/header" Target="header21.xml" /><Relationship Id="rId45" Type="http://purl.oclc.org/ooxml/officeDocument/relationships/footer" Target="footer21.xml" /><Relationship Id="rId46" Type="http://purl.oclc.org/ooxml/officeDocument/relationships/header" Target="header22.xml" /><Relationship Id="rId47" Type="http://purl.oclc.org/ooxml/officeDocument/relationships/header" Target="header23.xml" /><Relationship Id="rId48" Type="http://purl.oclc.org/ooxml/officeDocument/relationships/footer" Target="footer22.xml" /><Relationship Id="rId49" Type="http://purl.oclc.org/ooxml/officeDocument/relationships/footer" Target="footer23.xml" /><Relationship Id="rId5" Type="http://purl.oclc.org/ooxml/officeDocument/relationships/header" Target="header2.xml" /><Relationship Id="rId50" Type="http://purl.oclc.org/ooxml/officeDocument/relationships/header" Target="header24.xml" /><Relationship Id="rId51" Type="http://purl.oclc.org/ooxml/officeDocument/relationships/footer" Target="footer24.xml" /><Relationship Id="rId52" Type="http://purl.oclc.org/ooxml/officeDocument/relationships/header" Target="header25.xml" /><Relationship Id="rId53" Type="http://purl.oclc.org/ooxml/officeDocument/relationships/header" Target="header26.xml" /><Relationship Id="rId54" Type="http://purl.oclc.org/ooxml/officeDocument/relationships/footer" Target="footer25.xml" /><Relationship Id="rId55" Type="http://purl.oclc.org/ooxml/officeDocument/relationships/footer" Target="footer26.xml" /><Relationship Id="rId56" Type="http://purl.oclc.org/ooxml/officeDocument/relationships/header" Target="header27.xml" /><Relationship Id="rId57" Type="http://purl.oclc.org/ooxml/officeDocument/relationships/footer" Target="footer27.xml" /><Relationship Id="rId58" Type="http://purl.oclc.org/ooxml/officeDocument/relationships/header" Target="header28.xml" /><Relationship Id="rId59" Type="http://purl.oclc.org/ooxml/officeDocument/relationships/header" Target="header29.xml" /><Relationship Id="rId6" Type="http://purl.oclc.org/ooxml/officeDocument/relationships/footer" Target="footer1.xml" /><Relationship Id="rId60" Type="http://purl.oclc.org/ooxml/officeDocument/relationships/footer" Target="footer28.xml" /><Relationship Id="rId61" Type="http://purl.oclc.org/ooxml/officeDocument/relationships/footer" Target="footer29.xml" /><Relationship Id="rId62" Type="http://purl.oclc.org/ooxml/officeDocument/relationships/header" Target="header30.xml" /><Relationship Id="rId63" Type="http://purl.oclc.org/ooxml/officeDocument/relationships/footer" Target="footer30.xml" /><Relationship Id="rId64" Type="http://purl.oclc.org/ooxml/officeDocument/relationships/theme" Target="theme/theme1.xml" /><Relationship Id="rId65" Type="http://purl.oclc.org/ooxml/officeDocument/relationships/styles" Target="styles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19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