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nformance="strict">
  <!-- Generated by Aspose.Words for Java 24.10.0 -->
  <w:body>
    <w:p w:rsidR="00A77B3E">
      <w:pPr>
        <w:jc w:val="start"/>
      </w:pPr>
    </w:p>
    <w:p w:rsidR="00A77B3E">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Prenos podatkov – člen 42</w:t>
      </w:r>
    </w:p>
    <w:p w:rsidR="00A77B3E">
      <w:pPr>
        <w:jc w:val="center"/>
        <w:rPr>
          <w:rFonts w:ascii="Times New Roman" w:eastAsia="Times New Roman" w:hAnsi="Times New Roman" w:cs="Times New Roman"/>
          <w:b/>
          <w:vanish w:val="0"/>
          <w:color w:val="000000"/>
          <w:sz w:val="32"/>
        </w:rPr>
      </w:pPr>
    </w:p>
    <w:p w:rsidR="00A77B3E">
      <w:pPr>
        <w:jc w:val="start"/>
        <w:rPr>
          <w:rFonts w:ascii="Times New Roman" w:eastAsia="Times New Roman" w:hAnsi="Times New Roman" w:cs="Times New Roman"/>
          <w:b/>
          <w:vanish w:val="0"/>
          <w:color w:val="000000"/>
          <w:sz w:val="24"/>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777"/>
        <w:gridCol w:w="7673"/>
      </w:tblGrid>
      <w:tr>
        <w:tblPrEx>
          <w:tblW w:w="100%" w:type="pct"/>
        </w:tblPrEx>
        <w:trPr>
          <w:trHeight w:val="240"/>
        </w:trPr>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CCI</w:t>
            </w:r>
          </w:p>
        </w:tc>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2021SI65AMPR001</w:t>
            </w:r>
          </w:p>
        </w:tc>
      </w:tr>
      <w:tr>
        <w:tblPrEx>
          <w:tblW w:w="100%" w:type="pct"/>
        </w:tblPrEx>
        <w:trPr>
          <w:trHeight w:val="240"/>
        </w:trPr>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Naslov</w:t>
            </w:r>
          </w:p>
        </w:tc>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Programme Slovenia - AMIF</w:t>
            </w:r>
          </w:p>
        </w:tc>
      </w:tr>
      <w:tr>
        <w:tblPrEx>
          <w:tblW w:w="100%" w:type="pct"/>
        </w:tblPrEx>
        <w:trPr>
          <w:trHeight w:val="240"/>
        </w:trPr>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Različica</w:t>
            </w:r>
          </w:p>
        </w:tc>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202512.0</w:t>
            </w:r>
          </w:p>
        </w:tc>
      </w:tr>
    </w:tbl>
    <w:p w:rsidR="00A77B3E">
      <w:pPr>
        <w:jc w:val="center"/>
        <w:rPr>
          <w:rFonts w:ascii="Times New Roman" w:eastAsia="Times New Roman" w:hAnsi="Times New Roman" w:cs="Times New Roman"/>
          <w:b/>
          <w:vanish w:val="0"/>
          <w:color w:val="000000"/>
          <w:sz w:val="24"/>
        </w:rPr>
      </w:pPr>
      <w:r>
        <w:rPr>
          <w:rFonts w:ascii="Times New Roman" w:eastAsia="Times New Roman" w:hAnsi="Times New Roman" w:cs="Times New Roman"/>
          <w:b w:val="0"/>
          <w:vanish w:val="0"/>
          <w:color w:val="000000"/>
          <w:sz w:val="24"/>
        </w:rPr>
        <w:br w:type="page"/>
      </w:r>
      <w:r>
        <w:rPr>
          <w:rFonts w:ascii="Times New Roman" w:eastAsia="Times New Roman" w:hAnsi="Times New Roman" w:cs="Times New Roman"/>
          <w:b/>
          <w:vanish w:val="0"/>
          <w:color w:val="000000"/>
          <w:sz w:val="24"/>
        </w:rPr>
        <w:t>Kazalo</w:t>
      </w:r>
    </w:p>
    <w:p w:rsidR="00A77B3E">
      <w:pPr>
        <w:jc w:val="center"/>
        <w:rPr>
          <w:rFonts w:ascii="Times New Roman" w:eastAsia="Times New Roman" w:hAnsi="Times New Roman" w:cs="Times New Roman"/>
          <w:b w:val="0"/>
          <w:vanish w:val="0"/>
          <w:color w:val="000000"/>
          <w:sz w:val="24"/>
        </w:rPr>
      </w:pPr>
    </w:p>
    <w:p>
      <w:pPr>
        <w:pStyle w:val="TOC1"/>
        <w:tabs>
          <w:tab w:val="end" w:leader="dot" w:pos="10240"/>
        </w:tabs>
        <w:rPr>
          <w:rFonts w:ascii="Calibri" w:hAnsi="Calibri"/>
          <w:noProof/>
          <w:sz w:val="22"/>
        </w:rPr>
      </w:pPr>
      <w:r w:rsidR="00A77B3E">
        <w:rPr>
          <w:rFonts w:ascii="Times New Roman" w:eastAsia="Times New Roman" w:hAnsi="Times New Roman" w:cs="Times New Roman"/>
          <w:b w:val="0"/>
          <w:vanish w:val="0"/>
          <w:color w:val="000000"/>
          <w:sz w:val="24"/>
        </w:rPr>
        <w:fldChar w:fldCharType="begin"/>
      </w:r>
      <w:r w:rsidR="00A77B3E">
        <w:rPr>
          <w:rFonts w:ascii="Times New Roman" w:eastAsia="Times New Roman" w:hAnsi="Times New Roman" w:cs="Times New Roman"/>
          <w:b w:val="0"/>
          <w:vanish w:val="0"/>
          <w:color w:val="000000"/>
          <w:sz w:val="24"/>
        </w:rPr>
        <w:instrText>TOC \o "1-9" \z \u \h</w:instrText>
      </w:r>
      <w:r w:rsidR="00A77B3E">
        <w:rPr>
          <w:rFonts w:ascii="Times New Roman" w:eastAsia="Times New Roman" w:hAnsi="Times New Roman" w:cs="Times New Roman"/>
          <w:b w:val="0"/>
          <w:vanish w:val="0"/>
          <w:color w:val="000000"/>
          <w:sz w:val="24"/>
        </w:rPr>
        <w:fldChar w:fldCharType="separate"/>
      </w:r>
      <w:hyperlink w:anchor="_Toc256000004" w:history="1">
        <w:r w:rsidR="00A77B3E">
          <w:rPr>
            <w:rStyle w:val="Hyperlink"/>
            <w:rFonts w:ascii="Times New Roman" w:hAnsi="Times New Roman" w:cs="Times New Roman"/>
          </w:rPr>
          <w:t>Tabela 3: Finančne informacije in njihova razčlenitev glede na vrsto intervencije za Sklad za azil, migracije in vključevanje; SNV; Instrument za finančno podporo za upravljanje meja in vizumsko politiko (točka (a) člena 42(2))</w:t>
        </w:r>
        <w:r>
          <w:tab/>
        </w:r>
        <w:r>
          <w:fldChar w:fldCharType="begin"/>
        </w:r>
        <w:r>
          <w:instrText xml:space="preserve"> PAGEREF _Toc256000004 \h </w:instrText>
        </w:r>
        <w:r>
          <w:fldChar w:fldCharType="separate"/>
        </w:r>
        <w:r>
          <w:t>3</w:t>
        </w:r>
        <w:r>
          <w:fldChar w:fldCharType="end"/>
        </w:r>
      </w:hyperlink>
    </w:p>
    <w:p>
      <w:pPr>
        <w:pStyle w:val="TOC1"/>
        <w:tabs>
          <w:tab w:val="end" w:leader="dot" w:pos="10240"/>
        </w:tabs>
        <w:rPr>
          <w:rFonts w:ascii="Calibri" w:hAnsi="Calibri"/>
          <w:noProof/>
          <w:sz w:val="22"/>
        </w:rPr>
      </w:pPr>
      <w:hyperlink w:anchor="_Toc256000005" w:history="1">
        <w:r w:rsidR="00A77B3E">
          <w:rPr>
            <w:rStyle w:val="Hyperlink"/>
            <w:rFonts w:ascii="Times New Roman" w:hAnsi="Times New Roman" w:cs="Times New Roman"/>
          </w:rPr>
          <w:t>Tabela 7: Skupni kazalniki učinka za Sklad za azil, migracije in vključevanje; SNV; Instrument za finančno podporo za upravljanje meja in vizumsko politiko (točka (b) člena 42(2))</w:t>
        </w:r>
        <w:r>
          <w:tab/>
        </w:r>
        <w:r>
          <w:fldChar w:fldCharType="begin"/>
        </w:r>
        <w:r>
          <w:instrText xml:space="preserve"> PAGEREF _Toc256000005 \h </w:instrText>
        </w:r>
        <w:r>
          <w:fldChar w:fldCharType="separate"/>
        </w:r>
        <w:r>
          <w:t>5</w:t>
        </w:r>
        <w:r>
          <w:fldChar w:fldCharType="end"/>
        </w:r>
      </w:hyperlink>
    </w:p>
    <w:p>
      <w:pPr>
        <w:pStyle w:val="TOC1"/>
        <w:tabs>
          <w:tab w:val="end" w:leader="dot" w:pos="10240"/>
        </w:tabs>
        <w:rPr>
          <w:rFonts w:ascii="Calibri" w:hAnsi="Calibri"/>
          <w:noProof/>
          <w:sz w:val="22"/>
        </w:rPr>
      </w:pPr>
      <w:hyperlink w:anchor="_Toc256000006" w:history="1">
        <w:r w:rsidR="00A77B3E">
          <w:rPr>
            <w:rStyle w:val="Hyperlink"/>
            <w:rFonts w:ascii="Times New Roman" w:hAnsi="Times New Roman" w:cs="Times New Roman"/>
          </w:rPr>
          <w:t>Tabela 11: Skupni kazalniki rezultatov za Sklad za azil, migracije in vključevanje; SNV; Instrument za finančno podporo za upravljanje meja in vizumsko politiko (točka (a) člena 42(2))</w:t>
        </w:r>
        <w:r>
          <w:tab/>
        </w:r>
        <w:r>
          <w:fldChar w:fldCharType="begin"/>
        </w:r>
        <w:r>
          <w:instrText xml:space="preserve"> PAGEREF _Toc256000006 \h </w:instrText>
        </w:r>
        <w:r>
          <w:fldChar w:fldCharType="separate"/>
        </w:r>
        <w:r>
          <w:t>12</w:t>
        </w:r>
        <w:r>
          <w:fldChar w:fldCharType="end"/>
        </w:r>
      </w:hyperlink>
    </w:p>
    <w:p>
      <w:pPr>
        <w:pStyle w:val="TOC1"/>
        <w:tabs>
          <w:tab w:val="end" w:leader="dot" w:pos="10240"/>
        </w:tabs>
        <w:rPr>
          <w:rFonts w:ascii="Calibri" w:hAnsi="Calibri"/>
          <w:noProof/>
          <w:sz w:val="22"/>
        </w:rPr>
      </w:pPr>
      <w:hyperlink w:anchor="_Toc256000007" w:history="1">
        <w:r w:rsidR="00A77B3E">
          <w:rPr>
            <w:rStyle w:val="Hyperlink"/>
            <w:rFonts w:ascii="Times New Roman" w:hAnsi="Times New Roman" w:cs="Times New Roman"/>
          </w:rPr>
          <w:t>Tabela 12: Podatki o finančnih instrumentih za sklade (člen 42(3))</w:t>
        </w:r>
        <w:r>
          <w:tab/>
        </w:r>
        <w:r>
          <w:fldChar w:fldCharType="begin"/>
        </w:r>
        <w:r>
          <w:instrText xml:space="preserve"> PAGEREF _Toc256000007 \h </w:instrText>
        </w:r>
        <w:r>
          <w:fldChar w:fldCharType="separate"/>
        </w:r>
        <w:r>
          <w:t>18</w:t>
        </w:r>
        <w:r>
          <w:fldChar w:fldCharType="end"/>
        </w:r>
      </w:hyperlink>
    </w:p>
    <w:p w:rsidR="00A77B3E">
      <w:pPr>
        <w:jc w:val="center"/>
        <w:rPr>
          <w:rFonts w:ascii="Times New Roman" w:eastAsia="Times New Roman" w:hAnsi="Times New Roman" w:cs="Times New Roman"/>
          <w:b w:val="0"/>
          <w:vanish w:val="0"/>
          <w:color w:val="000000"/>
          <w:sz w:val="24"/>
        </w:rPr>
        <w:sectPr>
          <w:headerReference w:type="even" r:id="rId4"/>
          <w:headerReference w:type="default" r:id="rId5"/>
          <w:footerReference w:type="even" r:id="rId6"/>
          <w:footerReference w:type="default" r:id="rId7"/>
          <w:headerReference w:type="first" r:id="rId8"/>
          <w:footerReference w:type="first" r:id="rId9"/>
          <w:pgSz w:w="11906" w:h="16838"/>
          <w:pgMar w:top="720" w:right="936" w:bottom="864" w:left="720" w:header="0" w:footer="72" w:gutter="0"/>
          <w:cols w:space="708"/>
          <w:noEndnote/>
          <w:docGrid w:linePitch="360"/>
        </w:sectPr>
      </w:pPr>
      <w:r>
        <w:rPr>
          <w:rFonts w:ascii="Times New Roman" w:eastAsia="Times New Roman" w:hAnsi="Times New Roman" w:cs="Times New Roman"/>
          <w:b w:val="0"/>
          <w:vanish w:val="0"/>
          <w:color w:val="000000"/>
          <w:sz w:val="24"/>
        </w:rPr>
        <w:fldChar w:fldCharType="end"/>
      </w: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0" w:name="_Toc256000004"/>
      <w:r>
        <w:rPr>
          <w:rFonts w:ascii="Times New Roman" w:eastAsia="Times New Roman" w:hAnsi="Times New Roman" w:cs="Times New Roman"/>
          <w:b w:val="0"/>
          <w:i w:val="0"/>
          <w:vanish w:val="0"/>
          <w:color w:val="000000"/>
          <w:sz w:val="24"/>
        </w:rPr>
        <w:t>Tabela 3: Finančne informacije in njihova razčlenitev glede na vrsto intervencije za Sklad za azil, migracije in vključevanje; SNV; Instrument za finančno podporo za upravljanje meja in vizumsko politiko (točka (a) člena 42(2))</w:t>
      </w:r>
      <w:bookmarkEnd w:id="0"/>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498"/>
        <w:gridCol w:w="937"/>
        <w:gridCol w:w="1282"/>
        <w:gridCol w:w="1282"/>
        <w:gridCol w:w="1282"/>
        <w:gridCol w:w="1282"/>
        <w:gridCol w:w="1479"/>
        <w:gridCol w:w="1104"/>
        <w:gridCol w:w="1080"/>
        <w:gridCol w:w="1410"/>
        <w:gridCol w:w="1223"/>
        <w:gridCol w:w="1833"/>
        <w:gridCol w:w="610"/>
      </w:tblGrid>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Stopnja sofinanciranja (Priloga VI)</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 xml:space="preserve">Razsežnost kategorizacije </w:t>
            </w:r>
          </w:p>
        </w:tc>
        <w:tc>
          <w:tcPr>
            <w:gridSpan w:val="7"/>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Finančni podatki</w:t>
            </w:r>
          </w:p>
        </w:tc>
      </w:tr>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w:t>
            </w:r>
          </w:p>
        </w:tc>
      </w:tr>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1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2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3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4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Skupna dodelitev finančnih sredstev (v EUR) iz Sklada in nacionalni prispevek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stroški izbranih operacij (v EUR)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Prispevek iz skladov za izbrane operacije (v EUR)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izbranimi operacijami (v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izdatki, ki jih prijavijo upravičenci (EUR)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upravičenimi izdatki, ki jih prijavijo upravičenci (v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Število izbranih operacij</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17.246.464,33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151.289,06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113.466,80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0,88%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25.455,24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17.246.464,33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310.862,02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233.146,52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134.611,32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0,78%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17.246.464,33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17.500,01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17.246.464,33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3.179.819,96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2.384.864,97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1.584.684,23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9,19%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17.246.464,33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3.644.706,67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2.733.530,00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21,13%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983.643,82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5,70%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17.246.464,33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35.000,00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0,27%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11.499,89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17.246.464,33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764.881,94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573.661,46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333.741,94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1,94%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8.633.333,34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328.305,10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295.474,59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3,80%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187.654,86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2,17%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8.633.333,34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7.434.436,45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6.690.992,81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2.616.560,44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30,31%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3.006.775,00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29,93%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3.006.775,00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630.000,00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630.000,00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20,95%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10.446,40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0,35%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28.886.572,67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17.414.301,21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14.607.637,16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60,29%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5.888.298,14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20,38%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22.517.755,76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0,83%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22.517.755,76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62.400,00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46.800,00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0,28%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11.427,60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22.517.755,76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1.600.815,60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1.200.611,70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128.657,62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0,57%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22.517.755,76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13.259.015,68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9.944.261,76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58,88%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8.883.504,37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39,45%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22.517.755,76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979.152,33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734.364,25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4,35%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243.209,13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22.517.755,76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2.084.260,06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1.563.195,05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9,26%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951.708,70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4,23%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23.217.755,76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18.872.310,34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14.329.232,76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81,28%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10.218.507,42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44,01%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10.985.061,92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5.626.666,67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4.220.000,00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51,22%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858.188,86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7,81%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10.985.061,92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3.115.061,90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2.336.296,43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28,36%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9.870,80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10.985.061,92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18,21%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16.289,84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10.985.061,92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525.000,00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6,37%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86.134,94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0,78%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10.985.061,92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48.953,92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36.715,44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518.600,00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68.600,00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61.740,00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13,23%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7.902,26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11.503.661,92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11.559.282,49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8.679.751,87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100,48%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978.386,70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8,51%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Preselitev in humanitarni sprejem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Mednarodna zaščita (Premestitev 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280.000,00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93,33%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bl>
    <w:p w:rsidR="00A77B3E">
      <w:pPr>
        <w:spacing w:before="100" w:after="0"/>
        <w:jc w:val="start"/>
        <w:rPr>
          <w:rFonts w:ascii="Times New Roman" w:eastAsia="Times New Roman" w:hAnsi="Times New Roman" w:cs="Times New Roman"/>
          <w:b w:val="0"/>
          <w:i w:val="0"/>
          <w:vanish w:val="0"/>
          <w:color w:val="000000"/>
          <w:sz w:val="8"/>
        </w:rPr>
        <w:sectPr>
          <w:headerReference w:type="even" r:id="rId10"/>
          <w:headerReference w:type="default" r:id="rId11"/>
          <w:footerReference w:type="even" r:id="rId12"/>
          <w:footerReference w:type="default" r:id="rId13"/>
          <w:headerReference w:type="first" r:id="rId14"/>
          <w:footerReference w:type="first" r:id="rId15"/>
          <w:type w:val="nextPage"/>
          <w:pgSz w:w="16838" w:h="11906" w:orient="landscape"/>
          <w:pgMar w:top="720" w:right="720" w:bottom="864" w:left="936" w:header="288" w:footer="72" w:gutter="0"/>
          <w:cols w:space="708"/>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1" w:name="_Toc256000005"/>
      <w:r>
        <w:rPr>
          <w:rFonts w:ascii="Times New Roman" w:eastAsia="Times New Roman" w:hAnsi="Times New Roman" w:cs="Times New Roman"/>
          <w:b w:val="0"/>
          <w:i w:val="0"/>
          <w:vanish w:val="0"/>
          <w:color w:val="000000"/>
          <w:sz w:val="24"/>
        </w:rPr>
        <w:t>Tabela 7: Skupni kazalniki učinka za Sklad za azil, migracije in vključevanje; SNV; Instrument za finančno podporo za upravljanje meja in vizumsko politiko (točka (b) člena 42(2))</w:t>
      </w:r>
      <w:bookmarkEnd w:id="1"/>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546"/>
        <w:gridCol w:w="1489"/>
        <w:gridCol w:w="1986"/>
        <w:gridCol w:w="1986"/>
        <w:gridCol w:w="1454"/>
        <w:gridCol w:w="1586"/>
        <w:gridCol w:w="1778"/>
        <w:gridCol w:w="1768"/>
        <w:gridCol w:w="1175"/>
        <w:gridCol w:w="534"/>
      </w:tblGrid>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r>
      <w:tr>
        <w:tblPrEx>
          <w:tblW w:w="100%" w:type="pct"/>
        </w:tblPrEx>
        <w:trPr>
          <w:cantSplit w:val="0"/>
          <w:trHeight w:val="160"/>
          <w:tblHeader/>
        </w:trPr>
        <w:tc>
          <w:tcPr>
            <w:gridSpan w:val="7"/>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učinka, navedenih v Prilogi VIII k uredbi o Skladu za azil, migracije in vključevanje/SNV/Instrumentu za finančno podporo za upravljanje meja in vizumsko politiko za vsak posamezni cilj [pridobljeno iz tabele 1 točke 2.1.2 Priloge VI] </w:t>
            </w:r>
          </w:p>
        </w:tc>
        <w:tc>
          <w:tcPr>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učinka</w:t>
            </w:r>
          </w:p>
        </w:tc>
      </w:tr>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Mejnik (2024)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31/12/2025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31/12/2025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185.490,00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68.930,00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123.939,00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15.808,00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95.271,00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3.631,00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8.912,00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pravno pomoč</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529,00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495,00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prejemajo druge vrste podpore, vključno z informacijami in pomočjo v celotnem azilnem postopku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167.750,00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51.390,00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123.410,00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15.803,00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94.776,00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3.630,00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8.887,00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ranljivih udeležencev, ki so prejeli pomoč</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30.290,00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20.830,00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8.953,00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6.450,00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1.857,00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292,00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341,00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dejavnosti usposabljanja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novo ustvarjenih mest v sprejemni infrastrukturi v skladu s pravnim redom Unije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novoustvarjenih mest za mladoletnike brez spremstva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prenovljenih/obnovljenih mest v sprejemni infrastrukturi v skladu s pravnim redom Unije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prenovljenih/obnovljenih mest za mladoletnike brez spremstva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v ukrepih pred odhodom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lokalnih in regionalnih organov, ki so prejeli podporo za izvajanje ukrepov za vključevanje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28.565,00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29.605,00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17.395,00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5.882,00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10.988,00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jezikovnega tečaja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4.800,00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17.350,00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13.350,00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16.134,00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5.277,00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10.435,00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169,00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tečaja državljanske vzgoje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11.350,00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osebno poklicno svetovanje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143,00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O.2.4</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informacijskih svežnjev in kampanj za ozaveščanje o zakonitih migracijskih poteh v Unijo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informacije in/ali pomoč pri vložitvi prošnje za združitev družine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upravičeni do programov mobilnosti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O.2.7</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projektov vključevanja, v okviru katerih so upravičenci lokalni in regionalni organi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dejavnosti usposabljanja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kupljene opreme, vključno s številom kupljenih/posodobljenih sistemov IKT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421,00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prejeli pomoč pri ponovnem vključevanju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215,00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O.3.4</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ustvarjenih mest v centrih za pridržanje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O.3.5</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mest v prenovljenih/obnovljenih centrih za pridržanje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usposobljenega osebja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 pred odhodom</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bl>
    <w:p w:rsidR="00A77B3E">
      <w:pPr>
        <w:spacing w:before="100" w:after="0"/>
        <w:jc w:val="start"/>
        <w:rPr>
          <w:rFonts w:ascii="Times New Roman" w:eastAsia="Times New Roman" w:hAnsi="Times New Roman" w:cs="Times New Roman"/>
          <w:b w:val="0"/>
          <w:i w:val="0"/>
          <w:vanish w:val="0"/>
          <w:color w:val="000000"/>
          <w:sz w:val="12"/>
        </w:rPr>
        <w:sectPr>
          <w:headerReference w:type="even" r:id="rId16"/>
          <w:headerReference w:type="default" r:id="rId17"/>
          <w:footerReference w:type="even" r:id="rId18"/>
          <w:footerReference w:type="default" r:id="rId19"/>
          <w:headerReference w:type="first" r:id="rId20"/>
          <w:footerReference w:type="first" r:id="rId21"/>
          <w:type w:val="nextPage"/>
          <w:pgSz w:w="16838" w:h="11906" w:orient="landscape"/>
          <w:pgMar w:top="720" w:right="720" w:bottom="864" w:left="936" w:header="288" w:footer="72" w:gutter="0"/>
          <w:cols w:space="708"/>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2" w:name="_Toc256000006"/>
      <w:r>
        <w:rPr>
          <w:rFonts w:ascii="Times New Roman" w:eastAsia="Times New Roman" w:hAnsi="Times New Roman" w:cs="Times New Roman"/>
          <w:b w:val="0"/>
          <w:i w:val="0"/>
          <w:vanish w:val="0"/>
          <w:color w:val="000000"/>
          <w:sz w:val="24"/>
        </w:rPr>
        <w:t>Tabela 11: Skupni kazalniki rezultatov za Sklad za azil, migracije in vključevanje; SNV; Instrument za finančno podporo za upravljanje meja in vizumsko politiko (točka (a) člena 42(2))</w:t>
      </w:r>
      <w:bookmarkEnd w:id="2"/>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701"/>
        <w:gridCol w:w="720"/>
        <w:gridCol w:w="6113"/>
        <w:gridCol w:w="945"/>
        <w:gridCol w:w="733"/>
        <w:gridCol w:w="992"/>
        <w:gridCol w:w="860"/>
        <w:gridCol w:w="792"/>
        <w:gridCol w:w="1747"/>
        <w:gridCol w:w="1165"/>
        <w:gridCol w:w="534"/>
      </w:tblGrid>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w:t>
            </w:r>
          </w:p>
        </w:tc>
      </w:tr>
      <w:tr>
        <w:tblPrEx>
          <w:tblW w:w="100%" w:type="pct"/>
        </w:tblPrEx>
        <w:trPr>
          <w:cantSplit w:val="0"/>
          <w:trHeight w:val="160"/>
          <w:tblHeader/>
        </w:trPr>
        <w:tc>
          <w:tcPr>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rezultatov, navedenih v Prilogi VIII k uredbi o Skladu za azil, migracije in vključevanje/SNV/Instrumentu za finančno podporo za upravljanje meja in vizumsko politiko za vsak specifični cilj [pridobljeno iz tabele 2 točke 2.1.2 Priloge VI] </w:t>
            </w:r>
          </w:p>
        </w:tc>
        <w:tc>
          <w:tcPr>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rezultatov</w:t>
            </w:r>
          </w:p>
        </w:tc>
      </w:tr>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kazalnik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Osnovni scenarij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izhodišče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31/12/2025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31/12/2025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menijo, da je usposabljanje koristno za njihovo delo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141,00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tri mesece po usposabljanju poročajo, da uporabljajo spretnosti in kompetence, pridobljene med usposabljanjem</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141,00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mladoletnikov brez spremstva,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družin,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jezikovnih tečajev, ki so po koncu tečaja izboljšali raven svojega znanja jezika države gostiteljice vsaj za eno stopnjo glede na skupni evropski referenčni okvir za jezike ali enakovreden nacionalni okvir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5.815,00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1.810,00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3.852,00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poročajo, da je bila dejavnost koristna za njihovo vključevanje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15.340,00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13.530,00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5.867,00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2.135,00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3.485,00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priznanje/ocenjevanje svojih kvalifikacij ali znanj in spretnosti, pridobljenih v tretji državi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dolgoročni status rezidenta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se vrnili prostovoljno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bili odstranjeni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336,00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293,00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prosilcev za mednarodno zaščito in upravičencev do nje, premeščenih iz ene države članice v drugo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preseljenih oseb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sprejetih na podlagi programov humanitarnega sprejema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bl>
    <w:p w:rsidR="00A77B3E">
      <w:pPr>
        <w:spacing w:before="100" w:after="0"/>
        <w:jc w:val="start"/>
        <w:rPr>
          <w:rFonts w:ascii="Times New Roman" w:eastAsia="Times New Roman" w:hAnsi="Times New Roman" w:cs="Times New Roman"/>
          <w:b w:val="0"/>
          <w:i w:val="0"/>
          <w:vanish w:val="0"/>
          <w:color w:val="000000"/>
          <w:sz w:val="12"/>
        </w:rPr>
        <w:sectPr>
          <w:headerReference w:type="even" r:id="rId22"/>
          <w:headerReference w:type="default" r:id="rId23"/>
          <w:footerReference w:type="even" r:id="rId24"/>
          <w:footerReference w:type="default" r:id="rId25"/>
          <w:headerReference w:type="first" r:id="rId26"/>
          <w:footerReference w:type="first" r:id="rId27"/>
          <w:type w:val="nextPage"/>
          <w:pgSz w:w="16838" w:h="11906" w:orient="landscape"/>
          <w:pgMar w:top="720" w:right="720" w:bottom="864" w:left="936" w:header="288" w:footer="72" w:gutter="0"/>
          <w:cols w:space="708"/>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3" w:name="_Toc256000007"/>
      <w:r>
        <w:rPr>
          <w:rFonts w:ascii="Times New Roman" w:eastAsia="Times New Roman" w:hAnsi="Times New Roman" w:cs="Times New Roman"/>
          <w:b w:val="0"/>
          <w:i w:val="0"/>
          <w:vanish w:val="0"/>
          <w:color w:val="000000"/>
          <w:sz w:val="24"/>
        </w:rPr>
        <w:t>Tabela 12: Podatki o finančnih instrumentih za sklade (člen 42(3))</w:t>
      </w:r>
      <w:bookmarkEnd w:id="3"/>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537"/>
        <w:gridCol w:w="748"/>
        <w:gridCol w:w="763"/>
        <w:gridCol w:w="990"/>
        <w:gridCol w:w="1102"/>
        <w:gridCol w:w="748"/>
        <w:gridCol w:w="763"/>
        <w:gridCol w:w="990"/>
        <w:gridCol w:w="1102"/>
        <w:gridCol w:w="167"/>
        <w:gridCol w:w="500"/>
        <w:gridCol w:w="500"/>
        <w:gridCol w:w="671"/>
        <w:gridCol w:w="178"/>
        <w:gridCol w:w="533"/>
        <w:gridCol w:w="533"/>
        <w:gridCol w:w="728"/>
        <w:gridCol w:w="1178"/>
        <w:gridCol w:w="729"/>
        <w:gridCol w:w="1842"/>
      </w:tblGrid>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Značilnosti izdatkov</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Upravičeni izdatki po produktih</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zasebnih in javnih sredstev, ki so bila uporabljena ob prispevku iz skladov</w:t>
            </w:r>
          </w:p>
        </w:tc>
        <w:tc>
          <w:tcPr>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stroškov upravljanja in provizij za upravljanje, prijavljenih kot upravičeni izdatki, vključno z (v primeru neposredne oddaje naročila in v primeru konkurenčnega razpisa je treba o tem poročati ločeno):</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obrestmi in drugimi dobički, ustvarjenimi s podporo iz skladov, namenjeno finančnim instrumentom iz člena 60,</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sredstvi, ki se lahko pripišejo podpori iz skladov iz člena 62,</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za jamstva, skupnimi vrednostmi posojil, naložbami lastniškega kapitala ali navideznega lastniškega kapitala v končne prejemnike, zagotovljenimi s sredstvi programa in dejansko izplačanimi končnim prejemnikom,</w:t>
            </w:r>
          </w:p>
        </w:tc>
      </w:tr>
      <w:tr>
        <w:tblPrEx>
          <w:tblW w:w="100%" w:type="pct"/>
        </w:tblPrEx>
        <w:trPr>
          <w:cantSplit w:val="0"/>
          <w:trHeight w:val="160"/>
          <w:tblHeader/>
        </w:trPr>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holdinške sklade glede na finančni produkt, ki deluje znotraj strukture holdinškega sklada</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upravljanje posebnih skladov (ustanovljenih s strukturo holdinškega sklada ali brez nje) po finančnih produktih</w:t>
            </w: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r>
        <w:tblPrEx>
          <w:tblW w:w="100%" w:type="pct"/>
        </w:tblPrEx>
        <w:trPr>
          <w:cantSplit w:val="0"/>
          <w:trHeight w:val="160"/>
          <w:tblHeader/>
        </w:trPr>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bl>
    <w:p w:rsidR="00A77B3E">
      <w:pPr>
        <w:spacing w:before="100" w:after="0"/>
        <w:jc w:val="start"/>
        <w:rPr>
          <w:rFonts w:ascii="Times New Roman" w:eastAsia="Times New Roman" w:hAnsi="Times New Roman" w:cs="Times New Roman"/>
          <w:b w:val="0"/>
          <w:i w:val="0"/>
          <w:vanish w:val="0"/>
          <w:color w:val="000000"/>
          <w:sz w:val="8"/>
        </w:rPr>
      </w:pPr>
    </w:p>
    <w:sectPr>
      <w:headerReference w:type="even" r:id="rId28"/>
      <w:headerReference w:type="default" r:id="rId29"/>
      <w:footerReference w:type="even" r:id="rId30"/>
      <w:footerReference w:type="default" r:id="rId31"/>
      <w:headerReference w:type="first" r:id="rId32"/>
      <w:footerReference w:type="first" r:id="rId33"/>
      <w:type w:val="nextPage"/>
      <w:pgSz w:w="16838" w:h="11906" w:orient="landscape"/>
      <w:pgMar w:top="720" w:right="720" w:bottom="864" w:left="936" w:header="288" w:footer="72" w:gutter="0"/>
      <w:cols w:space="708"/>
      <w:noEndnote/>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windows-1251"/>
    <w:family w:val="roman"/>
    <w:pitch w:val="variable"/>
    <w:sig w:usb0="20007A87" w:usb1="80000000" w:usb2="00000008"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windows-1251"/>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17</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18</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4114"/>
      <w:gridCol w:w="2223"/>
      <w:gridCol w:w="4113"/>
    </w:tblGrid>
    <w:tr>
      <w:tblPrEx>
        <w:tblW w:w="100%" w:type="pct"/>
      </w:tblPrEx>
      <w:trPr>
        <w:trHeight w:val="240"/>
      </w:trPr>
      <w:tc>
        <w:tcPr>
          <w:tcMar>
            <w:start w:w="5pt" w:type="dxa"/>
            <w:end w:w="5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start w:w="5pt" w:type="dxa"/>
            <w:end w:w="5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2</w:t>
          </w:r>
          <w:r>
            <w:rPr>
              <w:rFonts w:ascii="Times New Roman" w:eastAsia="Times New Roman" w:hAnsi="Times New Roman" w:cs="Times New Roman"/>
              <w:b/>
              <w:vanish w:val="0"/>
              <w:color w:val="000000"/>
              <w:sz w:val="24"/>
            </w:rPr>
            <w:fldChar w:fldCharType="end"/>
          </w:r>
        </w:p>
      </w:tc>
      <w:tc>
        <w:tcPr>
          <w:tcMar>
            <w:start w:w="5pt" w:type="dxa"/>
            <w:end w:w="5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6054"/>
      <w:gridCol w:w="3273"/>
      <w:gridCol w:w="6055"/>
    </w:tblGrid>
    <w:tr>
      <w:tblPrEx>
        <w:tblW w:w="100%" w:type="pct"/>
      </w:tblPrEx>
      <w:trPr>
        <w:trHeight w:val="240"/>
      </w:trPr>
      <w:tc>
        <w:tcPr>
          <w:tcMar>
            <w:start w:w="5pt" w:type="dxa"/>
            <w:end w:w="5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start w:w="5pt" w:type="dxa"/>
            <w:end w:w="5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4</w:t>
          </w:r>
          <w:r>
            <w:rPr>
              <w:rFonts w:ascii="Times New Roman" w:eastAsia="Times New Roman" w:hAnsi="Times New Roman" w:cs="Times New Roman"/>
              <w:b/>
              <w:vanish w:val="0"/>
              <w:color w:val="000000"/>
              <w:sz w:val="24"/>
            </w:rPr>
            <w:fldChar w:fldCharType="end"/>
          </w:r>
        </w:p>
      </w:tc>
      <w:tc>
        <w:tcPr>
          <w:tcMar>
            <w:start w:w="5pt" w:type="dxa"/>
            <w:end w:w="5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11</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grammar="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pt" w:type="dxa"/>
        <w:bottom w:w="0pt" w:type="dxa"/>
        <w:end w:w="5.4pt" w:type="dxa"/>
      </w:tblCellMar>
    </w:tblPr>
  </w:style>
  <w:style w:type="numbering" w:default="1" w:styleId="NoList">
    <w:name w:val="No List"/>
    <w:semiHidden/>
  </w:style>
  <w:style w:type="paragraph" w:styleId="TOC1">
    <w:name w:val="toc 1"/>
    <w:basedOn w:val="Normal"/>
    <w:next w:val="Normal"/>
    <w:autoRedefine/>
    <w:rsid w:val="00805BCE"/>
    <w:rPr>
      <w:b w:val="0"/>
      <w:caps w:val="0"/>
    </w:rPr>
  </w:style>
  <w:style w:type="character" w:styleId="Hyperlink">
    <w:name w:val="Hyperlink"/>
    <w:basedOn w:val="DefaultParagraphFont"/>
    <w:rsid w:val="00EF7B96"/>
    <w:rPr>
      <w:color w:val="0000FF"/>
      <w:u w:val="single"/>
    </w:rPr>
  </w:style>
  <w:style w:type="paragraph" w:styleId="TOC3">
    <w:name w:val="toc 3"/>
    <w:basedOn w:val="Normal"/>
    <w:next w:val="Normal"/>
    <w:autoRedefine/>
    <w:rsid w:val="00805BCE"/>
    <w:pPr>
      <w:ind w:start="480"/>
    </w:pPr>
    <w:rPr>
      <w:i w:val="0"/>
    </w:rPr>
  </w:style>
  <w:style w:type="paragraph" w:styleId="TOC4">
    <w:name w:val="toc 4"/>
    <w:basedOn w:val="Normal"/>
    <w:next w:val="Normal"/>
    <w:autoRedefine/>
    <w:rsid w:val="00805BCE"/>
    <w:pPr>
      <w:ind w:start="720"/>
    </w:pPr>
    <w:rPr>
      <w:i w:val="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purl.oclc.org/ooxml/officeDocument/relationships/settings" Target="settings.xml" /><Relationship Id="rId10" Type="http://purl.oclc.org/ooxml/officeDocument/relationships/header" Target="header4.xml" /><Relationship Id="rId11" Type="http://purl.oclc.org/ooxml/officeDocument/relationships/header" Target="header5.xml" /><Relationship Id="rId12" Type="http://purl.oclc.org/ooxml/officeDocument/relationships/footer" Target="footer4.xml" /><Relationship Id="rId13" Type="http://purl.oclc.org/ooxml/officeDocument/relationships/footer" Target="footer5.xml" /><Relationship Id="rId14" Type="http://purl.oclc.org/ooxml/officeDocument/relationships/header" Target="header6.xml" /><Relationship Id="rId15" Type="http://purl.oclc.org/ooxml/officeDocument/relationships/footer" Target="footer6.xml" /><Relationship Id="rId16" Type="http://purl.oclc.org/ooxml/officeDocument/relationships/header" Target="header7.xml" /><Relationship Id="rId17" Type="http://purl.oclc.org/ooxml/officeDocument/relationships/header" Target="header8.xml" /><Relationship Id="rId18" Type="http://purl.oclc.org/ooxml/officeDocument/relationships/footer" Target="footer7.xml" /><Relationship Id="rId19" Type="http://purl.oclc.org/ooxml/officeDocument/relationships/footer" Target="footer8.xml" /><Relationship Id="rId2" Type="http://purl.oclc.org/ooxml/officeDocument/relationships/webSettings" Target="webSettings.xml" /><Relationship Id="rId20" Type="http://purl.oclc.org/ooxml/officeDocument/relationships/header" Target="header9.xml" /><Relationship Id="rId21" Type="http://purl.oclc.org/ooxml/officeDocument/relationships/footer" Target="footer9.xml" /><Relationship Id="rId22" Type="http://purl.oclc.org/ooxml/officeDocument/relationships/header" Target="header10.xml" /><Relationship Id="rId23" Type="http://purl.oclc.org/ooxml/officeDocument/relationships/header" Target="header11.xml" /><Relationship Id="rId24" Type="http://purl.oclc.org/ooxml/officeDocument/relationships/footer" Target="footer10.xml" /><Relationship Id="rId25" Type="http://purl.oclc.org/ooxml/officeDocument/relationships/footer" Target="footer11.xml" /><Relationship Id="rId26" Type="http://purl.oclc.org/ooxml/officeDocument/relationships/header" Target="header12.xml" /><Relationship Id="rId27" Type="http://purl.oclc.org/ooxml/officeDocument/relationships/footer" Target="footer12.xml" /><Relationship Id="rId28" Type="http://purl.oclc.org/ooxml/officeDocument/relationships/header" Target="header13.xml" /><Relationship Id="rId29" Type="http://purl.oclc.org/ooxml/officeDocument/relationships/header" Target="header14.xml" /><Relationship Id="rId3" Type="http://purl.oclc.org/ooxml/officeDocument/relationships/fontTable" Target="fontTable.xml" /><Relationship Id="rId30" Type="http://purl.oclc.org/ooxml/officeDocument/relationships/footer" Target="footer13.xml" /><Relationship Id="rId31" Type="http://purl.oclc.org/ooxml/officeDocument/relationships/footer" Target="footer14.xml" /><Relationship Id="rId32" Type="http://purl.oclc.org/ooxml/officeDocument/relationships/header" Target="header15.xml" /><Relationship Id="rId33" Type="http://purl.oclc.org/ooxml/officeDocument/relationships/footer" Target="footer15.xml" /><Relationship Id="rId34" Type="http://purl.oclc.org/ooxml/officeDocument/relationships/theme" Target="theme/theme1.xml" /><Relationship Id="rId35" Type="http://purl.oclc.org/ooxml/officeDocument/relationships/styles" Target="styles.xml" /><Relationship Id="rId4" Type="http://purl.oclc.org/ooxml/officeDocument/relationships/header" Target="header1.xml" /><Relationship Id="rId5" Type="http://purl.oclc.org/ooxml/officeDocument/relationships/header" Target="header2.xml" /><Relationship Id="rId6" Type="http://purl.oclc.org/ooxml/officeDocument/relationships/footer" Target="footer1.xml" /><Relationship Id="rId7" Type="http://purl.oclc.org/ooxml/officeDocument/relationships/footer" Target="footer2.xml" /><Relationship Id="rId8" Type="http://purl.oclc.org/ooxml/officeDocument/relationships/header" Target="header3.xml" /><Relationship Id="rId9" Type="http://purl.oclc.org/ooxml/officeDocument/relationships/footer" Target="footer3.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 sy="100%" kx="0" ky="0" algn="b" rotWithShape="0">
              <a:srgbClr val="000000">
                <a:alpha val="38%"/>
              </a:srgbClr>
            </a:outerShdw>
          </a:effectLst>
        </a:effectStyle>
        <a:effectStyle>
          <a:effectLst>
            <a:outerShdw blurRad="40000" dist="23000" dir="5400000" sx="100%" sy="100%" kx="0" ky="0" algn="b" rotWithShape="0">
              <a:srgbClr val="000000">
                <a:alpha val="35%"/>
              </a:srgbClr>
            </a:outerShdw>
          </a:effectLst>
        </a:effectStyle>
        <a:effectStyle>
          <a:effectLst>
            <a:outerShdw blurRad="40000" dist="23000" dir="5400000" sx="100%" sy="100%" kx="0" ky="0" algn="b" rotWithShape="0">
              <a:srgbClr val="000000">
                <a:alpha val="35%"/>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xmlns:a="http://purl.oclc.org/ooxml/drawingml/main"/>
</a:theme>
</file>

<file path=docProps/app.xml><?xml version="1.0" encoding="utf-8"?>
<Properties xmlns="http://purl.oclc.org/ooxml/officeDocument/extendedProperties" xmlns:vt="http://purl.oclc.org/ooxml/officeDocument/docPropsVTypes">
  <Template>Normal.dot</Template>
  <TotalTime>0</TotalTime>
  <Pages>18</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